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rPr/>
        <w:pict>
          <v:group style="position:absolute;margin-left:0pt;margin-top:0pt;width:612pt;height:129.9500pt;mso-position-horizontal-relative:page;mso-position-vertical-relative:page;z-index:1072" coordorigin="0,0" coordsize="12240,2599">
            <v:rect style="position:absolute;left:0;top:0;width:12240;height:2599" filled="true" fillcolor="#6750eb" stroked="false">
              <v:fill type="solid"/>
            </v:rect>
            <v:shapetype id="_x0000_t202" o:spt="202" coordsize="21600,21600" path="m,l,21600r21600,l21600,xe">
              <v:stroke joinstyle="miter"/>
              <v:path gradientshapeok="t" o:connecttype="rect"/>
            </v:shapetype>
            <v:shape style="position:absolute;left:915;top:844;width:9871;height:512" type="#_x0000_t202" filled="false" stroked="false">
              <v:textbox inset="0,0,0,0">
                <w:txbxContent>
                  <w:p>
                    <w:pPr>
                      <w:spacing w:line="491" w:lineRule="exact" w:before="0"/>
                      <w:ind w:left="0" w:right="0" w:firstLine="0"/>
                      <w:jc w:val="left"/>
                      <w:rPr>
                        <w:rFonts w:ascii="P22UndergroundLight"/>
                        <w:sz w:val="42"/>
                      </w:rPr>
                    </w:pPr>
                    <w:r>
                      <w:rPr>
                        <w:rFonts w:ascii="P22UndergroundLight"/>
                        <w:color w:val="FFFFFF"/>
                        <w:sz w:val="42"/>
                      </w:rPr>
                      <w:t>TOP </w:t>
                    </w:r>
                    <w:r>
                      <w:rPr>
                        <w:rFonts w:ascii="P22UndergroundLight"/>
                        <w:color w:val="FFFFFF"/>
                        <w:spacing w:val="11"/>
                        <w:sz w:val="42"/>
                      </w:rPr>
                      <w:t>TEN </w:t>
                    </w:r>
                    <w:r>
                      <w:rPr>
                        <w:rFonts w:ascii="P22UndergroundLight"/>
                        <w:color w:val="FFFFFF"/>
                        <w:spacing w:val="14"/>
                        <w:sz w:val="42"/>
                      </w:rPr>
                      <w:t>THINGS </w:t>
                    </w:r>
                    <w:r>
                      <w:rPr>
                        <w:rFonts w:ascii="P22UndergroundLight"/>
                        <w:color w:val="FFFFFF"/>
                        <w:sz w:val="42"/>
                      </w:rPr>
                      <w:t>YOU </w:t>
                    </w:r>
                    <w:r>
                      <w:rPr>
                        <w:rFonts w:ascii="P22UndergroundLight"/>
                        <w:color w:val="FFFFFF"/>
                        <w:spacing w:val="14"/>
                        <w:sz w:val="42"/>
                      </w:rPr>
                      <w:t>SHOULD </w:t>
                    </w:r>
                    <w:r>
                      <w:rPr>
                        <w:rFonts w:ascii="P22UndergroundLight"/>
                        <w:color w:val="FFFFFF"/>
                        <w:spacing w:val="10"/>
                        <w:sz w:val="42"/>
                      </w:rPr>
                      <w:t>KNOW</w:t>
                    </w:r>
                    <w:r>
                      <w:rPr>
                        <w:rFonts w:ascii="P22UndergroundLight"/>
                        <w:color w:val="FFFFFF"/>
                        <w:spacing w:val="-50"/>
                        <w:sz w:val="42"/>
                      </w:rPr>
                      <w:t> </w:t>
                    </w:r>
                    <w:r>
                      <w:rPr>
                        <w:rFonts w:ascii="P22UndergroundLight"/>
                        <w:color w:val="FFFFFF"/>
                        <w:spacing w:val="16"/>
                        <w:sz w:val="42"/>
                      </w:rPr>
                      <w:t>ABOUT</w:t>
                    </w:r>
                  </w:p>
                </w:txbxContent>
              </v:textbox>
              <w10:wrap type="none"/>
            </v:shape>
            <v:shape style="position:absolute;left:927;top:1149;width:9828;height:1270" type="#_x0000_t202" filled="false" stroked="false">
              <v:textbox inset="0,0,0,0">
                <w:txbxContent>
                  <w:p>
                    <w:pPr>
                      <w:spacing w:line="1218" w:lineRule="exact" w:before="0"/>
                      <w:ind w:left="0" w:right="0" w:firstLine="0"/>
                      <w:jc w:val="left"/>
                      <w:rPr>
                        <w:rFonts w:ascii="P22UndergroundHeavy"/>
                        <w:b/>
                        <w:sz w:val="103"/>
                      </w:rPr>
                    </w:pPr>
                    <w:r>
                      <w:rPr>
                        <w:rFonts w:ascii="P22UndergroundHeavy"/>
                        <w:b/>
                        <w:color w:val="FFFFFF"/>
                        <w:sz w:val="103"/>
                      </w:rPr>
                      <w:t>IN-HOME THERAPY</w:t>
                    </w:r>
                  </w:p>
                </w:txbxContent>
              </v:textbox>
              <w10:wrap type="none"/>
            </v:shape>
            <w10:wrap type="none"/>
          </v:group>
        </w:pic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8"/>
        <w:rPr>
          <w:rFonts w:ascii="Times New Roman"/>
          <w:sz w:val="18"/>
        </w:rPr>
      </w:pPr>
    </w:p>
    <w:p>
      <w:pPr>
        <w:pStyle w:val="BodyText"/>
        <w:spacing w:before="87"/>
        <w:ind w:left="984" w:right="988"/>
      </w:pPr>
      <w:r>
        <w:rPr>
          <w:color w:val="231F20"/>
        </w:rPr>
        <w:t>In Home Therapy (IHT) is a MassHealth service for children and youth with social, emotional or behavioral challenges under the age of 21. It can be delivered anywhere the youth is, including home, school, child care setting, and other places in the community.</w:t>
      </w:r>
    </w:p>
    <w:p>
      <w:pPr>
        <w:pStyle w:val="BodyText"/>
        <w:rPr>
          <w:sz w:val="28"/>
        </w:rPr>
      </w:pPr>
    </w:p>
    <w:p>
      <w:pPr>
        <w:pStyle w:val="BodyText"/>
        <w:rPr>
          <w:sz w:val="34"/>
        </w:rPr>
      </w:pPr>
    </w:p>
    <w:p>
      <w:pPr>
        <w:pStyle w:val="BodyText"/>
        <w:spacing w:before="1"/>
        <w:ind w:left="2112" w:right="1176"/>
      </w:pPr>
      <w:r>
        <w:rPr/>
        <w:pict>
          <v:group style="position:absolute;margin-left:36.000301pt;margin-top:-8.403407pt;width:56.75pt;height:56.75pt;mso-position-horizontal-relative:page;mso-position-vertical-relative:paragraph;z-index:1120" coordorigin="720,-168" coordsize="1135,1135">
            <v:shape style="position:absolute;left:720;top:-168;width:1135;height:1135" coordorigin="720,-168" coordsize="1135,1135" path="m1648,-168l926,-168,807,-165,746,-142,723,-81,720,38,720,760,723,879,746,940,807,963,926,966,1648,966,1767,963,1828,940,1851,879,1854,760,1854,38,1851,-81,1828,-142,1767,-165,1648,-168xe" filled="true" fillcolor="#1f409a" stroked="false">
              <v:path arrowok="t"/>
              <v:fill type="solid"/>
            </v:shape>
            <v:shape style="position:absolute;left:720;top:-168;width:1135;height:1135" type="#_x0000_t202" filled="false" stroked="false">
              <v:textbox inset="0,0,0,0">
                <w:txbxContent>
                  <w:p>
                    <w:pPr>
                      <w:spacing w:before="37"/>
                      <w:ind w:left="339" w:right="0" w:firstLine="0"/>
                      <w:jc w:val="left"/>
                      <w:rPr>
                        <w:rFonts w:ascii="P22UndergroundHeavy"/>
                        <w:b/>
                        <w:sz w:val="82"/>
                      </w:rPr>
                    </w:pPr>
                    <w:r>
                      <w:rPr>
                        <w:rFonts w:ascii="P22UndergroundHeavy"/>
                        <w:b/>
                        <w:color w:val="FFFFFF"/>
                        <w:sz w:val="82"/>
                      </w:rPr>
                      <w:t>1.</w:t>
                    </w:r>
                  </w:p>
                </w:txbxContent>
              </v:textbox>
              <w10:wrap type="none"/>
            </v:shape>
            <w10:wrap type="none"/>
          </v:group>
        </w:pict>
      </w:r>
      <w:r>
        <w:rPr>
          <w:color w:val="231F20"/>
        </w:rPr>
        <w:t>IHT works with the whole family, not just the referred youth, by providing intensive family therapy to assist families in overcoming past trauma and coping with symptoms of mental health conditions.</w:t>
      </w:r>
    </w:p>
    <w:p>
      <w:pPr>
        <w:pStyle w:val="BodyText"/>
        <w:rPr>
          <w:sz w:val="28"/>
        </w:rPr>
      </w:pPr>
    </w:p>
    <w:p>
      <w:pPr>
        <w:pStyle w:val="BodyText"/>
        <w:spacing w:before="6"/>
      </w:pPr>
    </w:p>
    <w:p>
      <w:pPr>
        <w:pStyle w:val="BodyText"/>
        <w:ind w:left="2112" w:right="2663"/>
        <w:jc w:val="both"/>
      </w:pPr>
      <w:r>
        <w:rPr/>
        <w:pict>
          <v:group style="position:absolute;margin-left:36.000301pt;margin-top:-6.45328pt;width:56.75pt;height:56.75pt;mso-position-horizontal-relative:page;mso-position-vertical-relative:paragraph;z-index:1168" coordorigin="720,-129" coordsize="1135,1135">
            <v:shape style="position:absolute;left:720;top:-129;width:1135;height:1135" coordorigin="720,-129" coordsize="1135,1135" path="m1648,-129l926,-129,807,-126,746,-103,723,-42,720,77,720,799,723,918,746,979,807,1002,926,1005,1648,1005,1767,1002,1828,979,1851,918,1854,799,1854,77,1851,-42,1828,-103,1767,-126,1648,-129xe" filled="true" fillcolor="#ec207b" stroked="false">
              <v:path arrowok="t"/>
              <v:fill type="solid"/>
            </v:shape>
            <v:shape style="position:absolute;left:720;top:-129;width:1135;height:1135" type="#_x0000_t202" filled="false" stroked="false">
              <v:textbox inset="0,0,0,0">
                <w:txbxContent>
                  <w:p>
                    <w:pPr>
                      <w:spacing w:before="97"/>
                      <w:ind w:left="257" w:right="0" w:firstLine="0"/>
                      <w:jc w:val="left"/>
                      <w:rPr>
                        <w:rFonts w:ascii="P22UndergroundHeavy"/>
                        <w:b/>
                        <w:sz w:val="82"/>
                      </w:rPr>
                    </w:pPr>
                    <w:r>
                      <w:rPr>
                        <w:rFonts w:ascii="P22UndergroundHeavy"/>
                        <w:b/>
                        <w:color w:val="FFFFFF"/>
                        <w:sz w:val="82"/>
                      </w:rPr>
                      <w:t>2.</w:t>
                    </w:r>
                  </w:p>
                </w:txbxContent>
              </v:textbox>
              <w10:wrap type="none"/>
            </v:shape>
            <w10:wrap type="none"/>
          </v:group>
        </w:pict>
      </w:r>
      <w:r>
        <w:rPr>
          <w:color w:val="231F20"/>
        </w:rPr>
        <w:t>IHT</w:t>
      </w:r>
      <w:r>
        <w:rPr>
          <w:color w:val="231F20"/>
          <w:spacing w:val="-18"/>
        </w:rPr>
        <w:t> </w:t>
      </w:r>
      <w:r>
        <w:rPr>
          <w:color w:val="231F20"/>
        </w:rPr>
        <w:t>uses</w:t>
      </w:r>
      <w:r>
        <w:rPr>
          <w:color w:val="231F20"/>
          <w:spacing w:val="-4"/>
        </w:rPr>
        <w:t> </w:t>
      </w:r>
      <w:r>
        <w:rPr>
          <w:color w:val="231F20"/>
        </w:rPr>
        <w:t>a</w:t>
      </w:r>
      <w:r>
        <w:rPr>
          <w:color w:val="231F20"/>
          <w:spacing w:val="-4"/>
        </w:rPr>
        <w:t> </w:t>
      </w:r>
      <w:r>
        <w:rPr>
          <w:color w:val="231F20"/>
        </w:rPr>
        <w:t>team</w:t>
      </w:r>
      <w:r>
        <w:rPr>
          <w:color w:val="231F20"/>
          <w:spacing w:val="-4"/>
        </w:rPr>
        <w:t> </w:t>
      </w:r>
      <w:r>
        <w:rPr>
          <w:color w:val="231F20"/>
        </w:rPr>
        <w:t>approach:</w:t>
      </w:r>
      <w:r>
        <w:rPr>
          <w:color w:val="231F20"/>
          <w:spacing w:val="-18"/>
        </w:rPr>
        <w:t> </w:t>
      </w:r>
      <w:r>
        <w:rPr>
          <w:color w:val="231F20"/>
        </w:rPr>
        <w:t>A</w:t>
      </w:r>
      <w:r>
        <w:rPr>
          <w:color w:val="231F20"/>
          <w:spacing w:val="-18"/>
        </w:rPr>
        <w:t> </w:t>
      </w:r>
      <w:r>
        <w:rPr>
          <w:color w:val="231F20"/>
        </w:rPr>
        <w:t>therapist</w:t>
      </w:r>
      <w:r>
        <w:rPr>
          <w:color w:val="231F20"/>
          <w:spacing w:val="-4"/>
        </w:rPr>
        <w:t> </w:t>
      </w:r>
      <w:r>
        <w:rPr>
          <w:color w:val="231F20"/>
        </w:rPr>
        <w:t>and</w:t>
      </w:r>
      <w:r>
        <w:rPr>
          <w:color w:val="231F20"/>
          <w:spacing w:val="-18"/>
        </w:rPr>
        <w:t> </w:t>
      </w:r>
      <w:r>
        <w:rPr>
          <w:color w:val="231F20"/>
        </w:rPr>
        <w:t>Therapeutic</w:t>
      </w:r>
      <w:r>
        <w:rPr>
          <w:color w:val="231F20"/>
          <w:spacing w:val="-18"/>
        </w:rPr>
        <w:t> </w:t>
      </w:r>
      <w:r>
        <w:rPr>
          <w:color w:val="231F20"/>
          <w:spacing w:val="-4"/>
        </w:rPr>
        <w:t>Training </w:t>
      </w:r>
      <w:r>
        <w:rPr>
          <w:color w:val="231F20"/>
        </w:rPr>
        <w:t>and Support (TT&amp;S) worker help the </w:t>
      </w:r>
      <w:r>
        <w:rPr>
          <w:color w:val="231F20"/>
          <w:spacing w:val="-3"/>
        </w:rPr>
        <w:t>family </w:t>
      </w:r>
      <w:r>
        <w:rPr>
          <w:color w:val="231F20"/>
        </w:rPr>
        <w:t>to strengthen</w:t>
      </w:r>
      <w:r>
        <w:rPr>
          <w:color w:val="231F20"/>
          <w:spacing w:val="-13"/>
        </w:rPr>
        <w:t> </w:t>
      </w:r>
      <w:r>
        <w:rPr>
          <w:color w:val="231F20"/>
        </w:rPr>
        <w:t>relationships, communicate, and learn new </w:t>
      </w:r>
      <w:r>
        <w:rPr>
          <w:color w:val="231F20"/>
          <w:spacing w:val="-4"/>
        </w:rPr>
        <w:t>ways </w:t>
      </w:r>
      <w:r>
        <w:rPr>
          <w:color w:val="231F20"/>
        </w:rPr>
        <w:t>to </w:t>
      </w:r>
      <w:r>
        <w:rPr>
          <w:color w:val="231F20"/>
          <w:spacing w:val="-3"/>
        </w:rPr>
        <w:t>resolve</w:t>
      </w:r>
      <w:r>
        <w:rPr>
          <w:color w:val="231F20"/>
          <w:spacing w:val="2"/>
        </w:rPr>
        <w:t> </w:t>
      </w:r>
      <w:r>
        <w:rPr>
          <w:color w:val="231F20"/>
        </w:rPr>
        <w:t>conflicts.</w:t>
      </w:r>
    </w:p>
    <w:p>
      <w:pPr>
        <w:pStyle w:val="BodyText"/>
        <w:rPr>
          <w:sz w:val="28"/>
        </w:rPr>
      </w:pPr>
    </w:p>
    <w:p>
      <w:pPr>
        <w:pStyle w:val="BodyText"/>
        <w:spacing w:before="3"/>
        <w:rPr>
          <w:sz w:val="35"/>
        </w:rPr>
      </w:pPr>
    </w:p>
    <w:p>
      <w:pPr>
        <w:pStyle w:val="BodyText"/>
        <w:spacing w:before="1"/>
        <w:ind w:left="2112" w:right="1672"/>
      </w:pPr>
      <w:r>
        <w:rPr/>
        <w:pict>
          <v:group style="position:absolute;margin-left:36.000301pt;margin-top:-10.903276pt;width:56.75pt;height:56.75pt;mso-position-horizontal-relative:page;mso-position-vertical-relative:paragraph;z-index:1216" coordorigin="720,-218" coordsize="1135,1135">
            <v:shape style="position:absolute;left:720;top:-218;width:1135;height:1135" coordorigin="720,-218" coordsize="1135,1135" path="m1648,-218l926,-218,807,-215,746,-192,723,-131,720,-12,720,710,723,829,746,890,807,913,926,916,1648,916,1767,913,1828,890,1851,829,1854,710,1854,-12,1851,-131,1828,-192,1767,-215,1648,-218xe" filled="true" fillcolor="#f16421" stroked="false">
              <v:path arrowok="t"/>
              <v:fill type="solid"/>
            </v:shape>
            <v:shape style="position:absolute;left:720;top:-218;width:1135;height:1135" type="#_x0000_t202" filled="false" stroked="false">
              <v:textbox inset="0,0,0,0">
                <w:txbxContent>
                  <w:p>
                    <w:pPr>
                      <w:spacing w:before="97"/>
                      <w:ind w:left="240" w:right="0" w:firstLine="0"/>
                      <w:jc w:val="left"/>
                      <w:rPr>
                        <w:rFonts w:ascii="P22UndergroundHeavy"/>
                        <w:b/>
                        <w:sz w:val="82"/>
                      </w:rPr>
                    </w:pPr>
                    <w:r>
                      <w:rPr>
                        <w:rFonts w:ascii="P22UndergroundHeavy"/>
                        <w:b/>
                        <w:color w:val="FFFFFF"/>
                        <w:sz w:val="82"/>
                      </w:rPr>
                      <w:t>3.</w:t>
                    </w:r>
                  </w:p>
                </w:txbxContent>
              </v:textbox>
              <w10:wrap type="none"/>
            </v:shape>
            <w10:wrap type="none"/>
          </v:group>
        </w:pict>
      </w:r>
      <w:r>
        <w:rPr>
          <w:color w:val="231F20"/>
        </w:rPr>
        <w:t>The IHT team supports the youth and family as they learn and practice new skills, for example, how to manage strong feelings and safely express anger.</w:t>
      </w:r>
    </w:p>
    <w:p>
      <w:pPr>
        <w:pStyle w:val="BodyText"/>
        <w:rPr>
          <w:sz w:val="28"/>
        </w:rPr>
      </w:pPr>
    </w:p>
    <w:p>
      <w:pPr>
        <w:pStyle w:val="BodyText"/>
        <w:spacing w:before="2"/>
        <w:rPr>
          <w:sz w:val="35"/>
        </w:rPr>
      </w:pPr>
    </w:p>
    <w:p>
      <w:pPr>
        <w:pStyle w:val="BodyText"/>
        <w:ind w:left="2112" w:right="741"/>
      </w:pPr>
      <w:r>
        <w:rPr/>
        <w:pict>
          <v:group style="position:absolute;margin-left:36.000301pt;margin-top:-.953272pt;width:56.75pt;height:56.75pt;mso-position-horizontal-relative:page;mso-position-vertical-relative:paragraph;z-index:1264" coordorigin="720,-19" coordsize="1135,1135">
            <v:shape style="position:absolute;left:720;top:-19;width:1135;height:1135" coordorigin="720,-19" coordsize="1135,1135" path="m1648,-19l926,-19,807,-16,746,7,723,68,720,187,720,909,723,1028,746,1089,807,1112,926,1115,1648,1115,1767,1112,1828,1089,1851,1028,1854,909,1854,187,1851,68,1828,7,1767,-16,1648,-19xe" filled="true" fillcolor="#00adee" stroked="false">
              <v:path arrowok="t"/>
              <v:fill type="solid"/>
            </v:shape>
            <v:shape style="position:absolute;left:720;top:-19;width:1135;height:1135" type="#_x0000_t202" filled="false" stroked="false">
              <v:textbox inset="0,0,0,0">
                <w:txbxContent>
                  <w:p>
                    <w:pPr>
                      <w:spacing w:before="20"/>
                      <w:ind w:left="178" w:right="0" w:firstLine="0"/>
                      <w:jc w:val="left"/>
                      <w:rPr>
                        <w:rFonts w:ascii="P22UndergroundHeavy"/>
                        <w:b/>
                        <w:sz w:val="82"/>
                      </w:rPr>
                    </w:pPr>
                    <w:r>
                      <w:rPr>
                        <w:rFonts w:ascii="P22UndergroundHeavy"/>
                        <w:b/>
                        <w:color w:val="FFFFFF"/>
                        <w:sz w:val="82"/>
                      </w:rPr>
                      <w:t>4.</w:t>
                    </w:r>
                  </w:p>
                </w:txbxContent>
              </v:textbox>
              <w10:wrap type="none"/>
            </v:shape>
            <w10:wrap type="none"/>
          </v:group>
        </w:pict>
      </w:r>
      <w:r>
        <w:rPr>
          <w:color w:val="231F20"/>
        </w:rPr>
        <w:t>The IHT Team provides practical support and coaching to parents/caregivers around the changes they are trying out at home to support the child, such as setting rules around chores, homework, screen time, hanging out with friends or trying out new routines (for examples: getting ready for school, bed, or any kind of transition.)</w:t>
      </w:r>
    </w:p>
    <w:p>
      <w:pPr>
        <w:pStyle w:val="BodyText"/>
        <w:rPr>
          <w:sz w:val="28"/>
        </w:rPr>
      </w:pPr>
    </w:p>
    <w:p>
      <w:pPr>
        <w:pStyle w:val="BodyText"/>
        <w:spacing w:before="10"/>
      </w:pPr>
    </w:p>
    <w:p>
      <w:pPr>
        <w:pStyle w:val="BodyText"/>
        <w:ind w:left="2112" w:right="1626"/>
      </w:pPr>
      <w:r>
        <w:rPr/>
        <w:pict>
          <v:group style="position:absolute;margin-left:36.000301pt;margin-top:-12.95328pt;width:56.75pt;height:56.75pt;mso-position-horizontal-relative:page;mso-position-vertical-relative:paragraph;z-index:1312" coordorigin="720,-259" coordsize="1135,1135">
            <v:shape style="position:absolute;left:720;top:-259;width:1135;height:1135" coordorigin="720,-259" coordsize="1135,1135" path="m1648,-259l926,-259,807,-256,746,-233,723,-172,720,-53,720,669,723,788,746,849,807,872,926,875,1648,875,1767,872,1828,849,1851,788,1854,669,1854,-53,1851,-172,1828,-233,1767,-256,1648,-259xe" filled="true" fillcolor="#13a89e" stroked="false">
              <v:path arrowok="t"/>
              <v:fill type="solid"/>
            </v:shape>
            <v:shape style="position:absolute;left:720;top:-259;width:1135;height:1135" type="#_x0000_t202" filled="false" stroked="false">
              <v:textbox inset="0,0,0,0">
                <w:txbxContent>
                  <w:p>
                    <w:pPr>
                      <w:spacing w:before="37"/>
                      <w:ind w:left="240" w:right="0" w:firstLine="0"/>
                      <w:jc w:val="left"/>
                      <w:rPr>
                        <w:rFonts w:ascii="P22UndergroundHeavy"/>
                        <w:b/>
                        <w:sz w:val="82"/>
                      </w:rPr>
                    </w:pPr>
                    <w:r>
                      <w:rPr>
                        <w:rFonts w:ascii="P22UndergroundHeavy"/>
                        <w:b/>
                        <w:color w:val="FFFFFF"/>
                        <w:sz w:val="82"/>
                      </w:rPr>
                      <w:t>5.</w:t>
                    </w:r>
                  </w:p>
                </w:txbxContent>
              </v:textbox>
              <w10:wrap type="none"/>
            </v:shape>
            <w10:wrap type="none"/>
          </v:group>
        </w:pict>
      </w:r>
      <w:r>
        <w:rPr>
          <w:color w:val="231F20"/>
        </w:rPr>
        <w:t>An IHT treatment plan will be different for every family, depending on what goals they want to achieve.</w:t>
      </w:r>
    </w:p>
    <w:p>
      <w:pPr>
        <w:pStyle w:val="BodyText"/>
        <w:rPr>
          <w:sz w:val="28"/>
        </w:rPr>
      </w:pPr>
    </w:p>
    <w:p>
      <w:pPr>
        <w:pStyle w:val="BodyText"/>
        <w:rPr>
          <w:sz w:val="28"/>
        </w:rPr>
      </w:pPr>
    </w:p>
    <w:p>
      <w:pPr>
        <w:pStyle w:val="BodyText"/>
        <w:spacing w:before="5"/>
        <w:rPr>
          <w:sz w:val="35"/>
        </w:rPr>
      </w:pPr>
    </w:p>
    <w:p>
      <w:pPr>
        <w:pStyle w:val="BodyText"/>
        <w:ind w:left="2120"/>
      </w:pPr>
      <w:r>
        <w:rPr/>
        <w:pict>
          <v:group style="position:absolute;margin-left:35.999802pt;margin-top:-19.949873pt;width:58.2pt;height:58.2pt;mso-position-horizontal-relative:page;mso-position-vertical-relative:paragraph;z-index:1360" coordorigin="720,-399" coordsize="1164,1164">
            <v:shape style="position:absolute;left:720;top:-399;width:1164;height:1164" coordorigin="720,-399" coordsize="1164,1164" path="m1672,-399l932,-399,809,-396,746,-373,723,-310,720,-187,720,553,723,676,746,739,809,762,932,765,1672,765,1795,762,1858,739,1881,676,1884,553,1884,-187,1881,-310,1858,-373,1795,-396,1672,-399xe" filled="true" fillcolor="#39b549" stroked="false">
              <v:path arrowok="t"/>
              <v:fill type="solid"/>
            </v:shape>
            <v:shape style="position:absolute;left:720;top:-399;width:1164;height:1164" type="#_x0000_t202" filled="false" stroked="false">
              <v:textbox inset="0,0,0,0">
                <w:txbxContent>
                  <w:p>
                    <w:pPr>
                      <w:spacing w:before="101"/>
                      <w:ind w:left="234" w:right="0" w:firstLine="0"/>
                      <w:jc w:val="left"/>
                      <w:rPr>
                        <w:rFonts w:ascii="P22UndergroundHeavy"/>
                        <w:b/>
                        <w:sz w:val="84"/>
                      </w:rPr>
                    </w:pPr>
                    <w:r>
                      <w:rPr>
                        <w:rFonts w:ascii="P22UndergroundHeavy"/>
                        <w:b/>
                        <w:color w:val="FFFFFF"/>
                        <w:sz w:val="84"/>
                      </w:rPr>
                      <w:t>6.</w:t>
                    </w:r>
                  </w:p>
                </w:txbxContent>
              </v:textbox>
              <w10:wrap type="none"/>
            </v:shape>
            <w10:wrap type="none"/>
          </v:group>
        </w:pict>
      </w:r>
      <w:r>
        <w:rPr>
          <w:color w:val="231F20"/>
        </w:rPr>
        <w:t>The family can work with their IHT team to change the plan as needed.</w:t>
      </w:r>
    </w:p>
    <w:p>
      <w:pPr>
        <w:spacing w:after="0"/>
        <w:sectPr>
          <w:footerReference w:type="default" r:id="rId5"/>
          <w:type w:val="continuous"/>
          <w:pgSz w:w="12240" w:h="15840"/>
          <w:pgMar w:footer="1505" w:top="0" w:bottom="1700" w:left="0" w:right="0"/>
        </w:sectPr>
      </w:pPr>
    </w:p>
    <w:p>
      <w:pPr>
        <w:pStyle w:val="BodyText"/>
        <w:spacing w:before="3"/>
        <w:rPr>
          <w:sz w:val="14"/>
        </w:rPr>
      </w:pPr>
    </w:p>
    <w:p>
      <w:pPr>
        <w:pStyle w:val="BodyText"/>
        <w:spacing w:before="87"/>
        <w:ind w:left="1512" w:right="1715"/>
      </w:pPr>
      <w:r>
        <w:rPr/>
        <w:pict>
          <v:group style="position:absolute;margin-left:35.9995pt;margin-top:-8.549965pt;width:57pt;height:57pt;mso-position-horizontal-relative:page;mso-position-vertical-relative:paragraph;z-index:1408" coordorigin="720,-171" coordsize="1140,1140">
            <v:shape style="position:absolute;left:720;top:-171;width:1140;height:1140" coordorigin="720,-171" coordsize="1140,1140" path="m1679,-171l901,-171,796,-168,743,-148,723,-95,720,10,720,788,723,893,743,946,796,966,901,969,1679,969,1784,966,1837,946,1857,893,1860,788,1860,10,1857,-95,1837,-148,1784,-168,1679,-171xe" filled="true" fillcolor="#e94127" stroked="false">
              <v:path arrowok="t"/>
              <v:fill type="solid"/>
            </v:shape>
            <v:shape style="position:absolute;left:720;top:-171;width:1140;height:1140" type="#_x0000_t202" filled="false" stroked="false">
              <v:textbox inset="0,0,0,0">
                <w:txbxContent>
                  <w:p>
                    <w:pPr>
                      <w:spacing w:before="117"/>
                      <w:ind w:left="303" w:right="0" w:firstLine="0"/>
                      <w:jc w:val="left"/>
                      <w:rPr>
                        <w:rFonts w:ascii="P22UndergroundHeavy"/>
                        <w:b/>
                        <w:sz w:val="72"/>
                      </w:rPr>
                    </w:pPr>
                    <w:r>
                      <w:rPr>
                        <w:rFonts w:ascii="P22UndergroundHeavy"/>
                        <w:b/>
                        <w:color w:val="FFFFFF"/>
                        <w:spacing w:val="-87"/>
                        <w:sz w:val="72"/>
                      </w:rPr>
                      <w:t>7.</w:t>
                    </w:r>
                  </w:p>
                </w:txbxContent>
              </v:textbox>
              <w10:wrap type="none"/>
            </v:shape>
            <w10:wrap type="none"/>
          </v:group>
        </w:pict>
      </w:r>
      <w:r>
        <w:rPr>
          <w:color w:val="231F20"/>
        </w:rPr>
        <w:t>The IHT team will usually meet with the family more than once a week, depending on the family’s need.</w:t>
      </w:r>
    </w:p>
    <w:p>
      <w:pPr>
        <w:pStyle w:val="BodyText"/>
        <w:rPr>
          <w:sz w:val="20"/>
        </w:rPr>
      </w:pPr>
    </w:p>
    <w:p>
      <w:pPr>
        <w:pStyle w:val="BodyText"/>
        <w:rPr>
          <w:sz w:val="20"/>
        </w:rPr>
      </w:pPr>
    </w:p>
    <w:p>
      <w:pPr>
        <w:pStyle w:val="BodyText"/>
        <w:rPr>
          <w:sz w:val="20"/>
        </w:rPr>
      </w:pPr>
    </w:p>
    <w:p>
      <w:pPr>
        <w:pStyle w:val="BodyText"/>
        <w:spacing w:before="226"/>
        <w:ind w:left="1512" w:right="1387"/>
      </w:pPr>
      <w:r>
        <w:rPr/>
        <w:pict>
          <v:group style="position:absolute;margin-left:35.999599pt;margin-top:-.700101pt;width:56.4pt;height:56.4pt;mso-position-horizontal-relative:page;mso-position-vertical-relative:paragraph;z-index:1456" coordorigin="720,-14" coordsize="1128,1128">
            <v:shape style="position:absolute;left:720;top:-14;width:1128;height:1128" coordorigin="720,-14" coordsize="1128,1128" path="m1643,-14l925,-14,807,-11,746,12,723,73,720,191,720,909,723,1027,746,1088,807,1111,925,1114,1643,1114,1761,1111,1822,1088,1845,1027,1848,909,1848,191,1845,73,1822,12,1761,-11,1643,-14xe" filled="true" fillcolor="#662c91" stroked="false">
              <v:path arrowok="t"/>
              <v:fill type="solid"/>
            </v:shape>
            <v:shape style="position:absolute;left:720;top:-14;width:1128;height:1128" type="#_x0000_t202" filled="false" stroked="false">
              <v:textbox inset="0,0,0,0">
                <w:txbxContent>
                  <w:p>
                    <w:pPr>
                      <w:spacing w:before="15"/>
                      <w:ind w:left="231" w:right="0" w:firstLine="0"/>
                      <w:jc w:val="left"/>
                      <w:rPr>
                        <w:rFonts w:ascii="P22UndergroundHeavy"/>
                        <w:b/>
                        <w:sz w:val="82"/>
                      </w:rPr>
                    </w:pPr>
                    <w:r>
                      <w:rPr>
                        <w:rFonts w:ascii="P22UndergroundHeavy"/>
                        <w:b/>
                        <w:color w:val="FFFFFF"/>
                        <w:sz w:val="82"/>
                      </w:rPr>
                      <w:t>8.</w:t>
                    </w:r>
                  </w:p>
                </w:txbxContent>
              </v:textbox>
              <w10:wrap type="none"/>
            </v:shape>
            <w10:wrap type="none"/>
          </v:group>
        </w:pict>
      </w:r>
      <w:r>
        <w:rPr>
          <w:color w:val="231F20"/>
        </w:rPr>
        <w:t>How long a family stays involved with IHT depends on what they need and when they meet their goals.</w:t>
      </w:r>
    </w:p>
    <w:p>
      <w:pPr>
        <w:pStyle w:val="BodyText"/>
        <w:rPr>
          <w:sz w:val="20"/>
        </w:rPr>
      </w:pPr>
    </w:p>
    <w:p>
      <w:pPr>
        <w:pStyle w:val="BodyText"/>
        <w:spacing w:before="1"/>
        <w:rPr>
          <w:sz w:val="28"/>
        </w:rPr>
      </w:pPr>
    </w:p>
    <w:p>
      <w:pPr>
        <w:pStyle w:val="BodyText"/>
        <w:spacing w:before="87"/>
        <w:ind w:left="1512" w:right="235"/>
      </w:pPr>
      <w:r>
        <w:rPr/>
        <w:pict>
          <v:group style="position:absolute;margin-left:35.999901pt;margin-top:11.969998pt;width:56.8pt;height:56.8pt;mso-position-horizontal-relative:page;mso-position-vertical-relative:paragraph;z-index:1504" coordorigin="720,239" coordsize="1136,1136">
            <v:shape style="position:absolute;left:720;top:239;width:1136;height:1136" coordorigin="720,239" coordsize="1136,1136" path="m1649,239l926,239,807,243,746,265,723,326,720,446,720,1168,723,1288,746,1349,807,1371,926,1375,1649,1375,1768,1371,1829,1349,1852,1288,1855,1168,1855,446,1852,326,1829,265,1768,243,1649,239xe" filled="true" fillcolor="#6750eb" stroked="false">
              <v:path arrowok="t"/>
              <v:fill type="solid"/>
            </v:shape>
            <v:shape style="position:absolute;left:720;top:239;width:1136;height:1136" type="#_x0000_t202" filled="false" stroked="false">
              <v:textbox inset="0,0,0,0">
                <w:txbxContent>
                  <w:p>
                    <w:pPr>
                      <w:spacing w:before="20"/>
                      <w:ind w:left="236" w:right="0" w:firstLine="0"/>
                      <w:jc w:val="left"/>
                      <w:rPr>
                        <w:rFonts w:ascii="P22UndergroundHeavy"/>
                        <w:b/>
                        <w:sz w:val="82"/>
                      </w:rPr>
                    </w:pPr>
                    <w:r>
                      <w:rPr>
                        <w:rFonts w:ascii="P22UndergroundHeavy"/>
                        <w:b/>
                        <w:color w:val="FFFFFF"/>
                        <w:sz w:val="82"/>
                      </w:rPr>
                      <w:t>9.</w:t>
                    </w:r>
                  </w:p>
                </w:txbxContent>
              </v:textbox>
              <w10:wrap type="none"/>
            </v:shape>
            <w10:wrap type="none"/>
          </v:group>
        </w:pict>
      </w:r>
      <w:r>
        <w:rPr>
          <w:color w:val="231F20"/>
        </w:rPr>
        <w:t>If the family is involved in other services (for example, outpatient therapy or Early Intervention) or state agencies (such as DYS or DCF), the IHT team will help keep in touch with everyone involved with the youth to keep track of important information and updates that affect the treatment plan and to make sure everyone is doing their part to help the youth and family reach their goals.</w:t>
      </w:r>
    </w:p>
    <w:p>
      <w:pPr>
        <w:pStyle w:val="BodyText"/>
        <w:spacing w:before="1"/>
        <w:rPr>
          <w:sz w:val="18"/>
        </w:rPr>
      </w:pPr>
    </w:p>
    <w:p>
      <w:pPr>
        <w:pStyle w:val="BodyText"/>
        <w:spacing w:before="87"/>
        <w:ind w:left="1512"/>
      </w:pPr>
      <w:r>
        <w:rPr/>
        <w:pict>
          <v:group style="position:absolute;margin-left:35.9995pt;margin-top:11.524517pt;width:57.05pt;height:57.05pt;mso-position-horizontal-relative:page;mso-position-vertical-relative:paragraph;z-index:1552" coordorigin="720,230" coordsize="1141,1141">
            <v:shape style="position:absolute;left:720;top:230;width:1141;height:1141" coordorigin="720,230" coordsize="1141,1141" path="m1680,230l901,230,796,233,743,253,723,307,720,411,720,1191,723,1295,743,1349,796,1369,901,1372,1680,1372,1785,1369,1838,1349,1858,1295,1861,1191,1861,411,1858,307,1838,253,1785,233,1680,230xe" filled="true" fillcolor="#fbaf40" stroked="false">
              <v:path arrowok="t"/>
              <v:fill type="solid"/>
            </v:shape>
            <v:shape style="position:absolute;left:720;top:230;width:1141;height:1141" type="#_x0000_t202" filled="false" stroked="false">
              <v:textbox inset="0,0,0,0">
                <w:txbxContent>
                  <w:p>
                    <w:pPr>
                      <w:spacing w:before="40"/>
                      <w:ind w:left="173" w:right="0" w:firstLine="0"/>
                      <w:jc w:val="left"/>
                      <w:rPr>
                        <w:rFonts w:ascii="P22UndergroundHeavy"/>
                        <w:b/>
                        <w:sz w:val="72"/>
                      </w:rPr>
                    </w:pPr>
                    <w:r>
                      <w:rPr>
                        <w:rFonts w:ascii="P22UndergroundHeavy"/>
                        <w:b/>
                        <w:color w:val="FFFFFF"/>
                        <w:sz w:val="72"/>
                      </w:rPr>
                      <w:t>10.</w:t>
                    </w:r>
                  </w:p>
                </w:txbxContent>
              </v:textbox>
              <w10:wrap type="none"/>
            </v:shape>
            <w10:wrap type="none"/>
          </v:group>
        </w:pict>
      </w:r>
      <w:r>
        <w:rPr>
          <w:color w:val="231F20"/>
        </w:rPr>
        <w:t>IHT services begin with the end in mind—the team helps the family plan how they will keep up the gains they make during and after IHT. This can be through a mix of other services, help from natural supports (extended family, friends, or favorite teachers), and participation in community resources (for example: sports, faith communities, support groups).</w:t>
      </w:r>
    </w:p>
    <w:p>
      <w:pPr>
        <w:pStyle w:val="BodyText"/>
        <w:rPr>
          <w:sz w:val="20"/>
        </w:rPr>
      </w:pPr>
    </w:p>
    <w:p>
      <w:pPr>
        <w:pStyle w:val="BodyText"/>
        <w:rPr>
          <w:sz w:val="20"/>
        </w:rPr>
      </w:pPr>
    </w:p>
    <w:p>
      <w:pPr>
        <w:pStyle w:val="BodyText"/>
        <w:rPr>
          <w:sz w:val="20"/>
        </w:rPr>
      </w:pPr>
    </w:p>
    <w:p>
      <w:pPr>
        <w:spacing w:before="241"/>
        <w:ind w:left="3672" w:right="0" w:firstLine="0"/>
        <w:jc w:val="left"/>
        <w:rPr>
          <w:rFonts w:ascii="P22UndergroundLight"/>
          <w:sz w:val="34"/>
        </w:rPr>
      </w:pPr>
      <w:r>
        <w:rPr/>
        <w:drawing>
          <wp:anchor distT="0" distB="0" distL="0" distR="0" allowOverlap="1" layoutInCell="1" locked="0" behindDoc="0" simplePos="0" relativeHeight="1576">
            <wp:simplePos x="0" y="0"/>
            <wp:positionH relativeFrom="page">
              <wp:posOffset>457200</wp:posOffset>
            </wp:positionH>
            <wp:positionV relativeFrom="paragraph">
              <wp:posOffset>50800</wp:posOffset>
            </wp:positionV>
            <wp:extent cx="2107320" cy="626097"/>
            <wp:effectExtent l="0" t="0" r="0" b="0"/>
            <wp:wrapNone/>
            <wp:docPr id="19" name="image10.png" descr=""/>
            <wp:cNvGraphicFramePr>
              <a:graphicFrameLocks noChangeAspect="1"/>
            </wp:cNvGraphicFramePr>
            <a:graphic>
              <a:graphicData uri="http://schemas.openxmlformats.org/drawingml/2006/picture">
                <pic:pic>
                  <pic:nvPicPr>
                    <pic:cNvPr id="20" name="image10.png"/>
                    <pic:cNvPicPr/>
                  </pic:nvPicPr>
                  <pic:blipFill>
                    <a:blip r:embed="rId6" cstate="print"/>
                    <a:stretch>
                      <a:fillRect/>
                    </a:stretch>
                  </pic:blipFill>
                  <pic:spPr>
                    <a:xfrm>
                      <a:off x="0" y="0"/>
                      <a:ext cx="2107320" cy="626097"/>
                    </a:xfrm>
                    <a:prstGeom prst="rect">
                      <a:avLst/>
                    </a:prstGeom>
                  </pic:spPr>
                </pic:pic>
              </a:graphicData>
            </a:graphic>
          </wp:anchor>
        </w:drawing>
      </w:r>
      <w:r>
        <w:rPr>
          <w:rFonts w:ascii="P22UndergroundLight"/>
          <w:color w:val="231F20"/>
          <w:sz w:val="34"/>
        </w:rPr>
        <w:t>Want to learn more about IHT?</w:t>
      </w:r>
    </w:p>
    <w:p>
      <w:pPr>
        <w:spacing w:before="0"/>
        <w:ind w:left="3672" w:right="0" w:firstLine="0"/>
        <w:jc w:val="left"/>
        <w:rPr>
          <w:b/>
          <w:sz w:val="34"/>
        </w:rPr>
      </w:pPr>
      <w:r>
        <w:rPr>
          <w:b/>
          <w:color w:val="231F20"/>
          <w:sz w:val="34"/>
        </w:rPr>
        <w:t>Call an IHT provider </w:t>
      </w:r>
      <w:r>
        <w:rPr>
          <w:b/>
          <w:color w:val="231F20"/>
          <w:spacing w:val="-3"/>
          <w:sz w:val="34"/>
        </w:rPr>
        <w:t>for </w:t>
      </w:r>
      <w:r>
        <w:rPr>
          <w:b/>
          <w:color w:val="231F20"/>
          <w:sz w:val="34"/>
        </w:rPr>
        <w:t>more</w:t>
      </w:r>
      <w:r>
        <w:rPr>
          <w:b/>
          <w:color w:val="231F20"/>
          <w:spacing w:val="-51"/>
          <w:sz w:val="34"/>
        </w:rPr>
        <w:t> </w:t>
      </w:r>
      <w:r>
        <w:rPr>
          <w:b/>
          <w:color w:val="231F20"/>
          <w:sz w:val="34"/>
        </w:rPr>
        <w:t>information.</w:t>
      </w:r>
    </w:p>
    <w:p>
      <w:pPr>
        <w:pStyle w:val="BodyText"/>
        <w:spacing w:before="4"/>
        <w:rPr>
          <w:b/>
          <w:sz w:val="21"/>
        </w:rPr>
      </w:pPr>
    </w:p>
    <w:p>
      <w:pPr>
        <w:pStyle w:val="ListParagraph"/>
        <w:numPr>
          <w:ilvl w:val="0"/>
          <w:numId w:val="1"/>
        </w:numPr>
        <w:tabs>
          <w:tab w:pos="479" w:val="left" w:leader="none"/>
          <w:tab w:pos="480" w:val="left" w:leader="none"/>
        </w:tabs>
        <w:spacing w:line="240" w:lineRule="auto" w:before="87" w:after="0"/>
        <w:ind w:left="480" w:right="0" w:hanging="360"/>
        <w:jc w:val="left"/>
        <w:rPr>
          <w:sz w:val="24"/>
        </w:rPr>
      </w:pPr>
      <w:r>
        <w:rPr>
          <w:color w:val="231F20"/>
          <w:sz w:val="24"/>
        </w:rPr>
        <w:t>Go</w:t>
      </w:r>
      <w:r>
        <w:rPr>
          <w:color w:val="231F20"/>
          <w:spacing w:val="-10"/>
          <w:sz w:val="24"/>
        </w:rPr>
        <w:t> </w:t>
      </w:r>
      <w:r>
        <w:rPr>
          <w:color w:val="231F20"/>
          <w:sz w:val="24"/>
        </w:rPr>
        <w:t>to</w:t>
      </w:r>
      <w:r>
        <w:rPr>
          <w:color w:val="231F20"/>
          <w:spacing w:val="-10"/>
          <w:sz w:val="24"/>
        </w:rPr>
        <w:t> </w:t>
      </w:r>
      <w:hyperlink r:id="rId7">
        <w:r>
          <w:rPr>
            <w:color w:val="205E9E"/>
            <w:sz w:val="24"/>
            <w:u w:val="single" w:color="205E9E"/>
          </w:rPr>
          <w:t>www.mabhaccess.com</w:t>
        </w:r>
        <w:r>
          <w:rPr>
            <w:color w:val="205E9E"/>
            <w:spacing w:val="-10"/>
            <w:sz w:val="24"/>
            <w:u w:val="single" w:color="205E9E"/>
          </w:rPr>
          <w:t> </w:t>
        </w:r>
      </w:hyperlink>
      <w:r>
        <w:rPr>
          <w:color w:val="231F20"/>
          <w:sz w:val="24"/>
        </w:rPr>
        <w:t>—</w:t>
      </w:r>
      <w:r>
        <w:rPr>
          <w:color w:val="231F20"/>
          <w:spacing w:val="-10"/>
          <w:sz w:val="24"/>
        </w:rPr>
        <w:t> </w:t>
      </w:r>
      <w:r>
        <w:rPr>
          <w:color w:val="231F20"/>
          <w:sz w:val="24"/>
        </w:rPr>
        <w:t>the</w:t>
      </w:r>
      <w:r>
        <w:rPr>
          <w:color w:val="231F20"/>
          <w:spacing w:val="-10"/>
          <w:sz w:val="24"/>
        </w:rPr>
        <w:t> </w:t>
      </w:r>
      <w:r>
        <w:rPr>
          <w:color w:val="231F20"/>
          <w:sz w:val="24"/>
        </w:rPr>
        <w:t>Massachusetts</w:t>
      </w:r>
      <w:r>
        <w:rPr>
          <w:color w:val="231F20"/>
          <w:spacing w:val="-10"/>
          <w:sz w:val="24"/>
        </w:rPr>
        <w:t> </w:t>
      </w:r>
      <w:r>
        <w:rPr>
          <w:color w:val="231F20"/>
          <w:sz w:val="24"/>
        </w:rPr>
        <w:t>Behavioral</w:t>
      </w:r>
      <w:r>
        <w:rPr>
          <w:color w:val="231F20"/>
          <w:spacing w:val="-10"/>
          <w:sz w:val="24"/>
        </w:rPr>
        <w:t> </w:t>
      </w:r>
      <w:r>
        <w:rPr>
          <w:color w:val="231F20"/>
          <w:sz w:val="24"/>
        </w:rPr>
        <w:t>Health</w:t>
      </w:r>
      <w:r>
        <w:rPr>
          <w:color w:val="231F20"/>
          <w:spacing w:val="-23"/>
          <w:sz w:val="24"/>
        </w:rPr>
        <w:t> </w:t>
      </w:r>
      <w:r>
        <w:rPr>
          <w:color w:val="231F20"/>
          <w:sz w:val="24"/>
        </w:rPr>
        <w:t>Access</w:t>
      </w:r>
      <w:r>
        <w:rPr>
          <w:color w:val="231F20"/>
          <w:spacing w:val="-10"/>
          <w:sz w:val="24"/>
        </w:rPr>
        <w:t> </w:t>
      </w:r>
      <w:r>
        <w:rPr>
          <w:color w:val="231F20"/>
          <w:sz w:val="24"/>
        </w:rPr>
        <w:t>website.</w:t>
      </w:r>
    </w:p>
    <w:p>
      <w:pPr>
        <w:pStyle w:val="ListParagraph"/>
        <w:numPr>
          <w:ilvl w:val="0"/>
          <w:numId w:val="1"/>
        </w:numPr>
        <w:tabs>
          <w:tab w:pos="479" w:val="left" w:leader="none"/>
          <w:tab w:pos="480" w:val="left" w:leader="none"/>
        </w:tabs>
        <w:spacing w:line="240" w:lineRule="auto" w:before="80" w:after="0"/>
        <w:ind w:left="480" w:right="0" w:hanging="360"/>
        <w:jc w:val="left"/>
        <w:rPr>
          <w:sz w:val="24"/>
        </w:rPr>
      </w:pPr>
      <w:r>
        <w:rPr>
          <w:color w:val="231F20"/>
          <w:sz w:val="24"/>
        </w:rPr>
        <w:t>Click “CBHI Service Search”</w:t>
      </w:r>
    </w:p>
    <w:p>
      <w:pPr>
        <w:pStyle w:val="ListParagraph"/>
        <w:numPr>
          <w:ilvl w:val="0"/>
          <w:numId w:val="1"/>
        </w:numPr>
        <w:tabs>
          <w:tab w:pos="479" w:val="left" w:leader="none"/>
          <w:tab w:pos="480" w:val="left" w:leader="none"/>
        </w:tabs>
        <w:spacing w:line="240" w:lineRule="auto" w:before="80" w:after="0"/>
        <w:ind w:left="480" w:right="1390" w:hanging="360"/>
        <w:jc w:val="left"/>
        <w:rPr>
          <w:sz w:val="24"/>
        </w:rPr>
      </w:pPr>
      <w:r>
        <w:rPr>
          <w:color w:val="231F20"/>
          <w:spacing w:val="-6"/>
          <w:sz w:val="24"/>
        </w:rPr>
        <w:t>From </w:t>
      </w:r>
      <w:r>
        <w:rPr>
          <w:color w:val="231F20"/>
          <w:sz w:val="24"/>
        </w:rPr>
        <w:t>the drop-down menu, select IHT and then enter your zip code to find a list of local providers — you can see their ability to accept new referrals, though this</w:t>
      </w:r>
      <w:r>
        <w:rPr>
          <w:color w:val="231F20"/>
          <w:spacing w:val="-36"/>
          <w:sz w:val="24"/>
        </w:rPr>
        <w:t> </w:t>
      </w:r>
      <w:r>
        <w:rPr>
          <w:color w:val="231F20"/>
          <w:sz w:val="24"/>
        </w:rPr>
        <w:t>does not guarantee an appointment or</w:t>
      </w:r>
      <w:r>
        <w:rPr>
          <w:color w:val="231F20"/>
          <w:spacing w:val="-35"/>
          <w:sz w:val="24"/>
        </w:rPr>
        <w:t> </w:t>
      </w:r>
      <w:r>
        <w:rPr>
          <w:color w:val="231F20"/>
          <w:sz w:val="24"/>
        </w:rPr>
        <w:t>placement.</w:t>
      </w:r>
    </w:p>
    <w:p>
      <w:pPr>
        <w:pStyle w:val="BodyText"/>
        <w:spacing w:before="4"/>
        <w:rPr>
          <w:sz w:val="37"/>
        </w:rPr>
      </w:pPr>
    </w:p>
    <w:p>
      <w:pPr>
        <w:pStyle w:val="BodyText"/>
        <w:ind w:left="120" w:right="1156"/>
      </w:pPr>
      <w:r>
        <w:rPr>
          <w:color w:val="231F20"/>
          <w:spacing w:val="-10"/>
        </w:rPr>
        <w:t>You</w:t>
      </w:r>
      <w:r>
        <w:rPr>
          <w:color w:val="231F20"/>
          <w:spacing w:val="-4"/>
        </w:rPr>
        <w:t> </w:t>
      </w:r>
      <w:r>
        <w:rPr>
          <w:color w:val="231F20"/>
        </w:rPr>
        <w:t>can</w:t>
      </w:r>
      <w:r>
        <w:rPr>
          <w:color w:val="231F20"/>
          <w:spacing w:val="-4"/>
        </w:rPr>
        <w:t> </w:t>
      </w:r>
      <w:r>
        <w:rPr>
          <w:color w:val="231F20"/>
        </w:rPr>
        <w:t>also</w:t>
      </w:r>
      <w:r>
        <w:rPr>
          <w:color w:val="231F20"/>
          <w:spacing w:val="-4"/>
        </w:rPr>
        <w:t> </w:t>
      </w:r>
      <w:r>
        <w:rPr>
          <w:color w:val="231F20"/>
        </w:rPr>
        <w:t>download</w:t>
      </w:r>
      <w:r>
        <w:rPr>
          <w:color w:val="231F20"/>
          <w:spacing w:val="-4"/>
        </w:rPr>
        <w:t> </w:t>
      </w:r>
      <w:r>
        <w:rPr>
          <w:color w:val="231F20"/>
        </w:rPr>
        <w:t>or</w:t>
      </w:r>
      <w:r>
        <w:rPr>
          <w:color w:val="231F20"/>
          <w:spacing w:val="-4"/>
        </w:rPr>
        <w:t> </w:t>
      </w:r>
      <w:r>
        <w:rPr>
          <w:color w:val="231F20"/>
        </w:rPr>
        <w:t>order</w:t>
      </w:r>
      <w:r>
        <w:rPr>
          <w:color w:val="231F20"/>
          <w:spacing w:val="-4"/>
        </w:rPr>
        <w:t> </w:t>
      </w:r>
      <w:r>
        <w:rPr>
          <w:color w:val="231F20"/>
        </w:rPr>
        <w:t>free</w:t>
      </w:r>
      <w:r>
        <w:rPr>
          <w:color w:val="231F20"/>
          <w:spacing w:val="-4"/>
        </w:rPr>
        <w:t> </w:t>
      </w:r>
      <w:r>
        <w:rPr>
          <w:color w:val="231F20"/>
        </w:rPr>
        <w:t>brochures</w:t>
      </w:r>
      <w:r>
        <w:rPr>
          <w:color w:val="231F20"/>
          <w:spacing w:val="-4"/>
        </w:rPr>
        <w:t> </w:t>
      </w:r>
      <w:r>
        <w:rPr>
          <w:color w:val="231F20"/>
        </w:rPr>
        <w:t>with</w:t>
      </w:r>
      <w:r>
        <w:rPr>
          <w:color w:val="231F20"/>
          <w:spacing w:val="-4"/>
        </w:rPr>
        <w:t> </w:t>
      </w:r>
      <w:r>
        <w:rPr>
          <w:color w:val="231F20"/>
        </w:rPr>
        <w:t>information</w:t>
      </w:r>
      <w:r>
        <w:rPr>
          <w:color w:val="231F20"/>
          <w:spacing w:val="-4"/>
        </w:rPr>
        <w:t> </w:t>
      </w:r>
      <w:r>
        <w:rPr>
          <w:color w:val="231F20"/>
        </w:rPr>
        <w:t>about</w:t>
      </w:r>
      <w:r>
        <w:rPr>
          <w:color w:val="231F20"/>
          <w:spacing w:val="-4"/>
        </w:rPr>
        <w:t> </w:t>
      </w:r>
      <w:r>
        <w:rPr>
          <w:color w:val="231F20"/>
        </w:rPr>
        <w:t>In-Home</w:t>
      </w:r>
      <w:r>
        <w:rPr>
          <w:color w:val="231F20"/>
          <w:spacing w:val="-18"/>
        </w:rPr>
        <w:t> </w:t>
      </w:r>
      <w:r>
        <w:rPr>
          <w:color w:val="231F20"/>
        </w:rPr>
        <w:t>Therapy and other MassHealth services. Go to </w:t>
      </w:r>
      <w:hyperlink r:id="rId8">
        <w:r>
          <w:rPr>
            <w:color w:val="205E9E"/>
            <w:u w:val="single" w:color="205E9E"/>
          </w:rPr>
          <w:t>www.mass.gov/masshealth/cbhi </w:t>
        </w:r>
      </w:hyperlink>
      <w:r>
        <w:rPr>
          <w:color w:val="231F20"/>
        </w:rPr>
        <w:t>and click CBHI Brochures. </w:t>
      </w:r>
      <w:r>
        <w:rPr>
          <w:color w:val="231F20"/>
          <w:spacing w:val="-10"/>
        </w:rPr>
        <w:t>You </w:t>
      </w:r>
      <w:r>
        <w:rPr>
          <w:color w:val="231F20"/>
        </w:rPr>
        <w:t>can download copies or fill out the online order form to receive free copies of the brochure. Please note that provider listings are subject to change. The most</w:t>
      </w:r>
      <w:r>
        <w:rPr>
          <w:color w:val="231F20"/>
          <w:spacing w:val="-9"/>
        </w:rPr>
        <w:t> </w:t>
      </w:r>
      <w:r>
        <w:rPr>
          <w:color w:val="231F20"/>
        </w:rPr>
        <w:t>up-to-date</w:t>
      </w:r>
      <w:r>
        <w:rPr>
          <w:color w:val="231F20"/>
          <w:spacing w:val="-9"/>
        </w:rPr>
        <w:t> </w:t>
      </w:r>
      <w:r>
        <w:rPr>
          <w:color w:val="231F20"/>
        </w:rPr>
        <w:t>listings</w:t>
      </w:r>
      <w:r>
        <w:rPr>
          <w:color w:val="231F20"/>
          <w:spacing w:val="-9"/>
        </w:rPr>
        <w:t> </w:t>
      </w:r>
      <w:r>
        <w:rPr>
          <w:color w:val="231F20"/>
        </w:rPr>
        <w:t>are</w:t>
      </w:r>
      <w:r>
        <w:rPr>
          <w:color w:val="231F20"/>
          <w:spacing w:val="-9"/>
        </w:rPr>
        <w:t> </w:t>
      </w:r>
      <w:r>
        <w:rPr>
          <w:color w:val="231F20"/>
        </w:rPr>
        <w:t>on</w:t>
      </w:r>
      <w:r>
        <w:rPr>
          <w:color w:val="231F20"/>
          <w:spacing w:val="-10"/>
        </w:rPr>
        <w:t> </w:t>
      </w:r>
      <w:hyperlink r:id="rId7">
        <w:r>
          <w:rPr>
            <w:color w:val="205E9E"/>
            <w:u w:val="single" w:color="205E9E"/>
          </w:rPr>
          <w:t>www.mabhaccess.com</w:t>
        </w:r>
      </w:hyperlink>
    </w:p>
    <w:sectPr>
      <w:pgSz w:w="12240" w:h="15840"/>
      <w:pgMar w:header="0" w:footer="1505" w:top="720" w:bottom="1700" w:left="600" w:right="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P22 Underground">
    <w:altName w:val="P22 Underground"/>
    <w:charset w:val="0"/>
    <w:family w:val="roman"/>
    <w:pitch w:val="variable"/>
  </w:font>
  <w:font w:name="P22UndergroundLight">
    <w:altName w:val="P22UndergroundLight"/>
    <w:charset w:val="0"/>
    <w:family w:val="roman"/>
    <w:pitch w:val="variable"/>
  </w:font>
  <w:font w:name="P22UndergroundHeavy">
    <w:altName w:val="P22UndergroundHeavy"/>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30135">
          <wp:simplePos x="0" y="0"/>
          <wp:positionH relativeFrom="page">
            <wp:posOffset>802594</wp:posOffset>
          </wp:positionH>
          <wp:positionV relativeFrom="page">
            <wp:posOffset>8975559</wp:posOffset>
          </wp:positionV>
          <wp:extent cx="625639" cy="625639"/>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625639" cy="625639"/>
                  </a:xfrm>
                  <a:prstGeom prst="rect">
                    <a:avLst/>
                  </a:prstGeom>
                </pic:spPr>
              </pic:pic>
            </a:graphicData>
          </a:graphic>
        </wp:anchor>
      </w:drawing>
    </w:r>
    <w:r>
      <w:rPr/>
      <w:drawing>
        <wp:anchor distT="0" distB="0" distL="0" distR="0" allowOverlap="1" layoutInCell="1" locked="0" behindDoc="1" simplePos="0" relativeHeight="268430159">
          <wp:simplePos x="0" y="0"/>
          <wp:positionH relativeFrom="page">
            <wp:posOffset>4960695</wp:posOffset>
          </wp:positionH>
          <wp:positionV relativeFrom="page">
            <wp:posOffset>8975559</wp:posOffset>
          </wp:positionV>
          <wp:extent cx="624102" cy="625639"/>
          <wp:effectExtent l="0" t="0" r="0" b="0"/>
          <wp:wrapNone/>
          <wp:docPr id="3" name="image2.png" descr=""/>
          <wp:cNvGraphicFramePr>
            <a:graphicFrameLocks noChangeAspect="1"/>
          </wp:cNvGraphicFramePr>
          <a:graphic>
            <a:graphicData uri="http://schemas.openxmlformats.org/drawingml/2006/picture">
              <pic:pic>
                <pic:nvPicPr>
                  <pic:cNvPr id="4" name="image2.png"/>
                  <pic:cNvPicPr/>
                </pic:nvPicPr>
                <pic:blipFill>
                  <a:blip r:embed="rId2" cstate="print"/>
                  <a:stretch>
                    <a:fillRect/>
                  </a:stretch>
                </pic:blipFill>
                <pic:spPr>
                  <a:xfrm>
                    <a:off x="0" y="0"/>
                    <a:ext cx="624102" cy="625639"/>
                  </a:xfrm>
                  <a:prstGeom prst="rect">
                    <a:avLst/>
                  </a:prstGeom>
                </pic:spPr>
              </pic:pic>
            </a:graphicData>
          </a:graphic>
        </wp:anchor>
      </w:drawing>
    </w:r>
    <w:r>
      <w:rPr/>
      <w:drawing>
        <wp:anchor distT="0" distB="0" distL="0" distR="0" allowOverlap="1" layoutInCell="1" locked="0" behindDoc="1" simplePos="0" relativeHeight="268430183">
          <wp:simplePos x="0" y="0"/>
          <wp:positionH relativeFrom="page">
            <wp:posOffset>6344166</wp:posOffset>
          </wp:positionH>
          <wp:positionV relativeFrom="page">
            <wp:posOffset>8975559</wp:posOffset>
          </wp:positionV>
          <wp:extent cx="625631" cy="625639"/>
          <wp:effectExtent l="0" t="0" r="0" b="0"/>
          <wp:wrapNone/>
          <wp:docPr id="5" name="image3.png" descr=""/>
          <wp:cNvGraphicFramePr>
            <a:graphicFrameLocks noChangeAspect="1"/>
          </wp:cNvGraphicFramePr>
          <a:graphic>
            <a:graphicData uri="http://schemas.openxmlformats.org/drawingml/2006/picture">
              <pic:pic>
                <pic:nvPicPr>
                  <pic:cNvPr id="6" name="image3.png"/>
                  <pic:cNvPicPr/>
                </pic:nvPicPr>
                <pic:blipFill>
                  <a:blip r:embed="rId3" cstate="print"/>
                  <a:stretch>
                    <a:fillRect/>
                  </a:stretch>
                </pic:blipFill>
                <pic:spPr>
                  <a:xfrm>
                    <a:off x="0" y="0"/>
                    <a:ext cx="625631" cy="625639"/>
                  </a:xfrm>
                  <a:prstGeom prst="rect">
                    <a:avLst/>
                  </a:prstGeom>
                </pic:spPr>
              </pic:pic>
            </a:graphicData>
          </a:graphic>
        </wp:anchor>
      </w:drawing>
    </w:r>
    <w:r>
      <w:rPr/>
      <w:drawing>
        <wp:anchor distT="0" distB="0" distL="0" distR="0" allowOverlap="1" layoutInCell="1" locked="0" behindDoc="1" simplePos="0" relativeHeight="268430207">
          <wp:simplePos x="0" y="0"/>
          <wp:positionH relativeFrom="page">
            <wp:posOffset>1495869</wp:posOffset>
          </wp:positionH>
          <wp:positionV relativeFrom="page">
            <wp:posOffset>8976334</wp:posOffset>
          </wp:positionV>
          <wp:extent cx="625637" cy="624096"/>
          <wp:effectExtent l="0" t="0" r="0" b="0"/>
          <wp:wrapNone/>
          <wp:docPr id="7" name="image4.png" descr=""/>
          <wp:cNvGraphicFramePr>
            <a:graphicFrameLocks noChangeAspect="1"/>
          </wp:cNvGraphicFramePr>
          <a:graphic>
            <a:graphicData uri="http://schemas.openxmlformats.org/drawingml/2006/picture">
              <pic:pic>
                <pic:nvPicPr>
                  <pic:cNvPr id="8" name="image4.png"/>
                  <pic:cNvPicPr/>
                </pic:nvPicPr>
                <pic:blipFill>
                  <a:blip r:embed="rId4" cstate="print"/>
                  <a:stretch>
                    <a:fillRect/>
                  </a:stretch>
                </pic:blipFill>
                <pic:spPr>
                  <a:xfrm>
                    <a:off x="0" y="0"/>
                    <a:ext cx="625637" cy="624096"/>
                  </a:xfrm>
                  <a:prstGeom prst="rect">
                    <a:avLst/>
                  </a:prstGeom>
                </pic:spPr>
              </pic:pic>
            </a:graphicData>
          </a:graphic>
        </wp:anchor>
      </w:drawing>
    </w:r>
    <w:r>
      <w:rPr/>
      <w:drawing>
        <wp:anchor distT="0" distB="0" distL="0" distR="0" allowOverlap="1" layoutInCell="1" locked="0" behindDoc="1" simplePos="0" relativeHeight="268430231">
          <wp:simplePos x="0" y="0"/>
          <wp:positionH relativeFrom="page">
            <wp:posOffset>2189140</wp:posOffset>
          </wp:positionH>
          <wp:positionV relativeFrom="page">
            <wp:posOffset>8976334</wp:posOffset>
          </wp:positionV>
          <wp:extent cx="625624" cy="624096"/>
          <wp:effectExtent l="0" t="0" r="0" b="0"/>
          <wp:wrapNone/>
          <wp:docPr id="9" name="image5.png" descr=""/>
          <wp:cNvGraphicFramePr>
            <a:graphicFrameLocks noChangeAspect="1"/>
          </wp:cNvGraphicFramePr>
          <a:graphic>
            <a:graphicData uri="http://schemas.openxmlformats.org/drawingml/2006/picture">
              <pic:pic>
                <pic:nvPicPr>
                  <pic:cNvPr id="10" name="image5.png"/>
                  <pic:cNvPicPr/>
                </pic:nvPicPr>
                <pic:blipFill>
                  <a:blip r:embed="rId5" cstate="print"/>
                  <a:stretch>
                    <a:fillRect/>
                  </a:stretch>
                </pic:blipFill>
                <pic:spPr>
                  <a:xfrm>
                    <a:off x="0" y="0"/>
                    <a:ext cx="625624" cy="624096"/>
                  </a:xfrm>
                  <a:prstGeom prst="rect">
                    <a:avLst/>
                  </a:prstGeom>
                </pic:spPr>
              </pic:pic>
            </a:graphicData>
          </a:graphic>
        </wp:anchor>
      </w:drawing>
    </w:r>
    <w:r>
      <w:rPr/>
      <w:drawing>
        <wp:anchor distT="0" distB="0" distL="0" distR="0" allowOverlap="1" layoutInCell="1" locked="0" behindDoc="1" simplePos="0" relativeHeight="268430255">
          <wp:simplePos x="0" y="0"/>
          <wp:positionH relativeFrom="page">
            <wp:posOffset>2882417</wp:posOffset>
          </wp:positionH>
          <wp:positionV relativeFrom="page">
            <wp:posOffset>8976334</wp:posOffset>
          </wp:positionV>
          <wp:extent cx="624098" cy="624096"/>
          <wp:effectExtent l="0" t="0" r="0" b="0"/>
          <wp:wrapNone/>
          <wp:docPr id="11" name="image6.png" descr=""/>
          <wp:cNvGraphicFramePr>
            <a:graphicFrameLocks noChangeAspect="1"/>
          </wp:cNvGraphicFramePr>
          <a:graphic>
            <a:graphicData uri="http://schemas.openxmlformats.org/drawingml/2006/picture">
              <pic:pic>
                <pic:nvPicPr>
                  <pic:cNvPr id="12" name="image6.png"/>
                  <pic:cNvPicPr/>
                </pic:nvPicPr>
                <pic:blipFill>
                  <a:blip r:embed="rId6" cstate="print"/>
                  <a:stretch>
                    <a:fillRect/>
                  </a:stretch>
                </pic:blipFill>
                <pic:spPr>
                  <a:xfrm>
                    <a:off x="0" y="0"/>
                    <a:ext cx="624098" cy="624096"/>
                  </a:xfrm>
                  <a:prstGeom prst="rect">
                    <a:avLst/>
                  </a:prstGeom>
                </pic:spPr>
              </pic:pic>
            </a:graphicData>
          </a:graphic>
        </wp:anchor>
      </w:drawing>
    </w:r>
    <w:r>
      <w:rPr/>
      <w:drawing>
        <wp:anchor distT="0" distB="0" distL="0" distR="0" allowOverlap="1" layoutInCell="1" locked="0" behindDoc="1" simplePos="0" relativeHeight="268430279">
          <wp:simplePos x="0" y="0"/>
          <wp:positionH relativeFrom="page">
            <wp:posOffset>3574148</wp:posOffset>
          </wp:positionH>
          <wp:positionV relativeFrom="page">
            <wp:posOffset>8976334</wp:posOffset>
          </wp:positionV>
          <wp:extent cx="625639" cy="624096"/>
          <wp:effectExtent l="0" t="0" r="0" b="0"/>
          <wp:wrapNone/>
          <wp:docPr id="13" name="image7.png" descr=""/>
          <wp:cNvGraphicFramePr>
            <a:graphicFrameLocks noChangeAspect="1"/>
          </wp:cNvGraphicFramePr>
          <a:graphic>
            <a:graphicData uri="http://schemas.openxmlformats.org/drawingml/2006/picture">
              <pic:pic>
                <pic:nvPicPr>
                  <pic:cNvPr id="14" name="image7.png"/>
                  <pic:cNvPicPr/>
                </pic:nvPicPr>
                <pic:blipFill>
                  <a:blip r:embed="rId7" cstate="print"/>
                  <a:stretch>
                    <a:fillRect/>
                  </a:stretch>
                </pic:blipFill>
                <pic:spPr>
                  <a:xfrm>
                    <a:off x="0" y="0"/>
                    <a:ext cx="625639" cy="624096"/>
                  </a:xfrm>
                  <a:prstGeom prst="rect">
                    <a:avLst/>
                  </a:prstGeom>
                </pic:spPr>
              </pic:pic>
            </a:graphicData>
          </a:graphic>
        </wp:anchor>
      </w:drawing>
    </w:r>
    <w:r>
      <w:rPr/>
      <w:drawing>
        <wp:anchor distT="0" distB="0" distL="0" distR="0" allowOverlap="1" layoutInCell="1" locked="0" behindDoc="1" simplePos="0" relativeHeight="268430303">
          <wp:simplePos x="0" y="0"/>
          <wp:positionH relativeFrom="page">
            <wp:posOffset>4267428</wp:posOffset>
          </wp:positionH>
          <wp:positionV relativeFrom="page">
            <wp:posOffset>8976334</wp:posOffset>
          </wp:positionV>
          <wp:extent cx="625627" cy="624096"/>
          <wp:effectExtent l="0" t="0" r="0" b="0"/>
          <wp:wrapNone/>
          <wp:docPr id="15" name="image8.png" descr=""/>
          <wp:cNvGraphicFramePr>
            <a:graphicFrameLocks noChangeAspect="1"/>
          </wp:cNvGraphicFramePr>
          <a:graphic>
            <a:graphicData uri="http://schemas.openxmlformats.org/drawingml/2006/picture">
              <pic:pic>
                <pic:nvPicPr>
                  <pic:cNvPr id="16" name="image8.png"/>
                  <pic:cNvPicPr/>
                </pic:nvPicPr>
                <pic:blipFill>
                  <a:blip r:embed="rId8" cstate="print"/>
                  <a:stretch>
                    <a:fillRect/>
                  </a:stretch>
                </pic:blipFill>
                <pic:spPr>
                  <a:xfrm>
                    <a:off x="0" y="0"/>
                    <a:ext cx="625627" cy="624096"/>
                  </a:xfrm>
                  <a:prstGeom prst="rect">
                    <a:avLst/>
                  </a:prstGeom>
                </pic:spPr>
              </pic:pic>
            </a:graphicData>
          </a:graphic>
        </wp:anchor>
      </w:drawing>
    </w:r>
    <w:r>
      <w:rPr/>
      <w:drawing>
        <wp:anchor distT="0" distB="0" distL="0" distR="0" allowOverlap="1" layoutInCell="1" locked="0" behindDoc="1" simplePos="0" relativeHeight="268430327">
          <wp:simplePos x="0" y="0"/>
          <wp:positionH relativeFrom="page">
            <wp:posOffset>5652430</wp:posOffset>
          </wp:positionH>
          <wp:positionV relativeFrom="page">
            <wp:posOffset>8976334</wp:posOffset>
          </wp:positionV>
          <wp:extent cx="624099" cy="624096"/>
          <wp:effectExtent l="0" t="0" r="0" b="0"/>
          <wp:wrapNone/>
          <wp:docPr id="17" name="image9.png" descr=""/>
          <wp:cNvGraphicFramePr>
            <a:graphicFrameLocks noChangeAspect="1"/>
          </wp:cNvGraphicFramePr>
          <a:graphic>
            <a:graphicData uri="http://schemas.openxmlformats.org/drawingml/2006/picture">
              <pic:pic>
                <pic:nvPicPr>
                  <pic:cNvPr id="18" name="image9.png"/>
                  <pic:cNvPicPr/>
                </pic:nvPicPr>
                <pic:blipFill>
                  <a:blip r:embed="rId9" cstate="print"/>
                  <a:stretch>
                    <a:fillRect/>
                  </a:stretch>
                </pic:blipFill>
                <pic:spPr>
                  <a:xfrm>
                    <a:off x="0" y="0"/>
                    <a:ext cx="624099" cy="624096"/>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480" w:hanging="360"/>
      </w:pPr>
      <w:rPr>
        <w:rFonts w:hint="default" w:ascii="P22 Underground" w:hAnsi="P22 Underground" w:eastAsia="P22 Underground" w:cs="P22 Underground"/>
        <w:color w:val="231F20"/>
        <w:spacing w:val="-20"/>
        <w:w w:val="98"/>
        <w:sz w:val="24"/>
        <w:szCs w:val="24"/>
      </w:rPr>
    </w:lvl>
    <w:lvl w:ilvl="1">
      <w:start w:val="0"/>
      <w:numFmt w:val="bullet"/>
      <w:lvlText w:val="•"/>
      <w:lvlJc w:val="left"/>
      <w:pPr>
        <w:ind w:left="1552" w:hanging="360"/>
      </w:pPr>
      <w:rPr>
        <w:rFonts w:hint="default"/>
      </w:rPr>
    </w:lvl>
    <w:lvl w:ilvl="2">
      <w:start w:val="0"/>
      <w:numFmt w:val="bullet"/>
      <w:lvlText w:val="•"/>
      <w:lvlJc w:val="left"/>
      <w:pPr>
        <w:ind w:left="2624" w:hanging="360"/>
      </w:pPr>
      <w:rPr>
        <w:rFonts w:hint="default"/>
      </w:rPr>
    </w:lvl>
    <w:lvl w:ilvl="3">
      <w:start w:val="0"/>
      <w:numFmt w:val="bullet"/>
      <w:lvlText w:val="•"/>
      <w:lvlJc w:val="left"/>
      <w:pPr>
        <w:ind w:left="3696" w:hanging="360"/>
      </w:pPr>
      <w:rPr>
        <w:rFonts w:hint="default"/>
      </w:rPr>
    </w:lvl>
    <w:lvl w:ilvl="4">
      <w:start w:val="0"/>
      <w:numFmt w:val="bullet"/>
      <w:lvlText w:val="•"/>
      <w:lvlJc w:val="left"/>
      <w:pPr>
        <w:ind w:left="4768" w:hanging="360"/>
      </w:pPr>
      <w:rPr>
        <w:rFonts w:hint="default"/>
      </w:rPr>
    </w:lvl>
    <w:lvl w:ilvl="5">
      <w:start w:val="0"/>
      <w:numFmt w:val="bullet"/>
      <w:lvlText w:val="•"/>
      <w:lvlJc w:val="left"/>
      <w:pPr>
        <w:ind w:left="5840" w:hanging="360"/>
      </w:pPr>
      <w:rPr>
        <w:rFonts w:hint="default"/>
      </w:rPr>
    </w:lvl>
    <w:lvl w:ilvl="6">
      <w:start w:val="0"/>
      <w:numFmt w:val="bullet"/>
      <w:lvlText w:val="•"/>
      <w:lvlJc w:val="left"/>
      <w:pPr>
        <w:ind w:left="6912" w:hanging="360"/>
      </w:pPr>
      <w:rPr>
        <w:rFonts w:hint="default"/>
      </w:rPr>
    </w:lvl>
    <w:lvl w:ilvl="7">
      <w:start w:val="0"/>
      <w:numFmt w:val="bullet"/>
      <w:lvlText w:val="•"/>
      <w:lvlJc w:val="left"/>
      <w:pPr>
        <w:ind w:left="7984" w:hanging="360"/>
      </w:pPr>
      <w:rPr>
        <w:rFonts w:hint="default"/>
      </w:rPr>
    </w:lvl>
    <w:lvl w:ilvl="8">
      <w:start w:val="0"/>
      <w:numFmt w:val="bullet"/>
      <w:lvlText w:val="•"/>
      <w:lvlJc w:val="left"/>
      <w:pPr>
        <w:ind w:left="9056"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P22 Underground" w:hAnsi="P22 Underground" w:eastAsia="P22 Underground" w:cs="P22 Underground"/>
    </w:rPr>
  </w:style>
  <w:style w:styleId="BodyText" w:type="paragraph">
    <w:name w:val="Body Text"/>
    <w:basedOn w:val="Normal"/>
    <w:uiPriority w:val="1"/>
    <w:qFormat/>
    <w:pPr/>
    <w:rPr>
      <w:rFonts w:ascii="P22 Underground" w:hAnsi="P22 Underground" w:eastAsia="P22 Underground" w:cs="P22 Underground"/>
      <w:sz w:val="24"/>
      <w:szCs w:val="24"/>
    </w:rPr>
  </w:style>
  <w:style w:styleId="ListParagraph" w:type="paragraph">
    <w:name w:val="List Paragraph"/>
    <w:basedOn w:val="Normal"/>
    <w:uiPriority w:val="1"/>
    <w:qFormat/>
    <w:pPr>
      <w:spacing w:before="80"/>
      <w:ind w:left="480" w:hanging="360"/>
    </w:pPr>
    <w:rPr>
      <w:rFonts w:ascii="P22 Underground" w:hAnsi="P22 Underground" w:eastAsia="P22 Underground" w:cs="P22 Underground"/>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0.png"/><Relationship Id="rId7" Type="http://schemas.openxmlformats.org/officeDocument/2006/relationships/hyperlink" Target="http://www.mabhaccess.com/" TargetMode="External"/><Relationship Id="rId8" Type="http://schemas.openxmlformats.org/officeDocument/2006/relationships/hyperlink" Target="http://www.mass.gov/masshealth/cbhi" TargetMode="External"/><Relationship Id="rId9"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Relationship Id="rId5" Type="http://schemas.openxmlformats.org/officeDocument/2006/relationships/image" Target="media/image5.png"/><Relationship Id="rId6" Type="http://schemas.openxmlformats.org/officeDocument/2006/relationships/image" Target="media/image6.png"/><Relationship Id="rId7" Type="http://schemas.openxmlformats.org/officeDocument/2006/relationships/image" Target="media/image7.png"/><Relationship Id="rId8" Type="http://schemas.openxmlformats.org/officeDocument/2006/relationships/image" Target="media/image8.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2017-12-18T13:31:30Z</dcterms:created>
  <dcterms:modified xsi:type="dcterms:W3CDTF">2017-12-18T13:31:30Z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2017-12-18T00:00:00Z</vt:filetime>
  </property>
  <property fmtid="{D5CDD505-2E9C-101B-9397-08002B2CF9AE}" pid="3" name="Creator">
    <vt:lpwstr>Adobe InDesign CC 2017 (Macintosh)</vt:lpwstr>
  </property>
  <property fmtid="{D5CDD505-2E9C-101B-9397-08002B2CF9AE}" pid="4" name="LastSaved">
    <vt:filetime>2017-12-18T00:00:00Z</vt:filetime>
  </property>
</Properties>
</file>