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Scope:</w:t>
      </w:r>
    </w:p>
    <w:p w:rsidR="00000000" w:rsidDel="00000000" w:rsidP="00000000" w:rsidRDefault="00000000" w:rsidRPr="00000000" w14:paraId="00000004">
      <w:pPr>
        <w:numPr>
          <w:ilvl w:val="0"/>
          <w:numId w:val="2"/>
        </w:numPr>
        <w:shd w:fill="ffffff" w:val="clear"/>
        <w:spacing w:after="0" w:afterAutospacing="0" w:before="200" w:lineRule="auto"/>
        <w:ind w:left="720" w:hanging="360"/>
        <w:rPr>
          <w:color w:val="222222"/>
        </w:rPr>
      </w:pPr>
      <w:r w:rsidDel="00000000" w:rsidR="00000000" w:rsidRPr="00000000">
        <w:rPr>
          <w:color w:val="222222"/>
          <w:rtl w:val="0"/>
        </w:rPr>
        <w:t xml:space="preserve">From Survey: Address Group Study timeline challenges, including: Payment schedules, acceptance of alternative payment methods (bonds and LoC) and rules for refundability; developer penalty for drop outs impacting study results; consequences for developers that have negative impact on Group through delays or drop outs; new cost and requirement structure to ensure only viable projects participate; estimates duration, cost, and reassessment of cost based on extensions, durations, and true-ups.</w:t>
      </w:r>
    </w:p>
    <w:p w:rsidR="00000000" w:rsidDel="00000000" w:rsidP="00000000" w:rsidRDefault="00000000" w:rsidRPr="00000000" w14:paraId="00000005">
      <w:pPr>
        <w:numPr>
          <w:ilvl w:val="1"/>
          <w:numId w:val="1"/>
        </w:numPr>
        <w:spacing w:before="0" w:beforeAutospacing="0" w:lineRule="auto"/>
        <w:ind w:left="1660" w:hanging="360"/>
      </w:pPr>
      <w:r w:rsidDel="00000000" w:rsidR="00000000" w:rsidRPr="00000000">
        <w:rPr>
          <w:color w:val="222222"/>
          <w:rtl w:val="0"/>
        </w:rPr>
        <w:t xml:space="preserve">Potential addition: Group distribution and ASO study interaction--&gt; develop ideas to avoid delays for smaller projects and projects not required to participate in an ASO, potential for parallel studies and risk assumption by developer if distribution study results change due to ASO results.</w:t>
      </w:r>
    </w:p>
    <w:p w:rsidR="00000000" w:rsidDel="00000000" w:rsidP="00000000" w:rsidRDefault="00000000" w:rsidRPr="00000000" w14:paraId="00000006">
      <w:pPr>
        <w:numPr>
          <w:ilvl w:val="0"/>
          <w:numId w:val="2"/>
        </w:numPr>
        <w:spacing w:after="0" w:afterAutospacing="0"/>
        <w:ind w:left="720" w:hanging="360"/>
        <w:rPr>
          <w:u w:val="none"/>
        </w:rPr>
      </w:pPr>
      <w:r w:rsidDel="00000000" w:rsidR="00000000" w:rsidRPr="00000000">
        <w:rPr>
          <w:rtl w:val="0"/>
        </w:rPr>
        <w:t xml:space="preserve">Subcategories:</w:t>
      </w:r>
    </w:p>
    <w:p w:rsidR="00000000" w:rsidDel="00000000" w:rsidP="00000000" w:rsidRDefault="00000000" w:rsidRPr="00000000" w14:paraId="00000007">
      <w:pPr>
        <w:numPr>
          <w:ilvl w:val="1"/>
          <w:numId w:val="2"/>
        </w:numPr>
        <w:shd w:fill="ffffff" w:val="clear"/>
        <w:spacing w:after="0" w:afterAutospacing="0" w:before="0" w:beforeAutospacing="0" w:lineRule="auto"/>
        <w:ind w:left="1440" w:hanging="360"/>
        <w:rPr>
          <w:color w:val="222222"/>
        </w:rPr>
      </w:pPr>
      <w:r w:rsidDel="00000000" w:rsidR="00000000" w:rsidRPr="00000000">
        <w:rPr>
          <w:color w:val="222222"/>
          <w:rtl w:val="0"/>
        </w:rPr>
        <w:t xml:space="preserve">Payment schedules; Acceptance of alternative payment methods (bonds and LoC); Rules for refundability</w:t>
      </w:r>
    </w:p>
    <w:p w:rsidR="00000000" w:rsidDel="00000000" w:rsidP="00000000" w:rsidRDefault="00000000" w:rsidRPr="00000000" w14:paraId="00000008">
      <w:pPr>
        <w:numPr>
          <w:ilvl w:val="1"/>
          <w:numId w:val="2"/>
        </w:numPr>
        <w:shd w:fill="ffffff" w:val="clear"/>
        <w:spacing w:after="0" w:afterAutospacing="0" w:before="0" w:beforeAutospacing="0" w:lineRule="auto"/>
        <w:ind w:left="1440" w:hanging="360"/>
        <w:rPr>
          <w:color w:val="222222"/>
        </w:rPr>
      </w:pPr>
      <w:r w:rsidDel="00000000" w:rsidR="00000000" w:rsidRPr="00000000">
        <w:rPr>
          <w:color w:val="222222"/>
          <w:rtl w:val="0"/>
        </w:rPr>
        <w:t xml:space="preserve">Avoiding restudy and delays:</w:t>
      </w:r>
    </w:p>
    <w:p w:rsidR="00000000" w:rsidDel="00000000" w:rsidP="00000000" w:rsidRDefault="00000000" w:rsidRPr="00000000" w14:paraId="00000009">
      <w:pPr>
        <w:numPr>
          <w:ilvl w:val="2"/>
          <w:numId w:val="2"/>
        </w:numPr>
        <w:shd w:fill="ffffff" w:val="clear"/>
        <w:spacing w:after="0" w:afterAutospacing="0" w:before="0" w:beforeAutospacing="0" w:lineRule="auto"/>
        <w:ind w:left="2160" w:hanging="360"/>
        <w:rPr>
          <w:color w:val="222222"/>
        </w:rPr>
      </w:pPr>
      <w:r w:rsidDel="00000000" w:rsidR="00000000" w:rsidRPr="00000000">
        <w:rPr>
          <w:color w:val="222222"/>
          <w:rtl w:val="0"/>
        </w:rPr>
        <w:t xml:space="preserve">Penalties/consequences for withdrawals that impact study results, negative impacts on Group through delays or project modifications/design changes </w:t>
      </w:r>
    </w:p>
    <w:p w:rsidR="00000000" w:rsidDel="00000000" w:rsidP="00000000" w:rsidRDefault="00000000" w:rsidRPr="00000000" w14:paraId="0000000A">
      <w:pPr>
        <w:numPr>
          <w:ilvl w:val="2"/>
          <w:numId w:val="2"/>
        </w:numPr>
        <w:shd w:fill="ffffff" w:val="clear"/>
        <w:spacing w:after="0" w:afterAutospacing="0" w:before="0" w:beforeAutospacing="0" w:lineRule="auto"/>
        <w:ind w:left="2160" w:hanging="360"/>
        <w:rPr>
          <w:color w:val="222222"/>
        </w:rPr>
      </w:pPr>
      <w:r w:rsidDel="00000000" w:rsidR="00000000" w:rsidRPr="00000000">
        <w:rPr>
          <w:color w:val="222222"/>
          <w:rtl w:val="0"/>
        </w:rPr>
        <w:t xml:space="preserve">Process/structure to ensure only viable projects participate (possible deposit or revised payment schedule) </w:t>
      </w:r>
    </w:p>
    <w:p w:rsidR="00000000" w:rsidDel="00000000" w:rsidP="00000000" w:rsidRDefault="00000000" w:rsidRPr="00000000" w14:paraId="0000000B">
      <w:pPr>
        <w:numPr>
          <w:ilvl w:val="1"/>
          <w:numId w:val="2"/>
        </w:numPr>
        <w:shd w:fill="ffffff" w:val="clear"/>
        <w:spacing w:after="0" w:afterAutospacing="0" w:before="0" w:beforeAutospacing="0" w:lineRule="auto"/>
        <w:ind w:left="1440" w:hanging="360"/>
        <w:rPr>
          <w:color w:val="222222"/>
        </w:rPr>
      </w:pPr>
      <w:r w:rsidDel="00000000" w:rsidR="00000000" w:rsidRPr="00000000">
        <w:rPr>
          <w:color w:val="222222"/>
          <w:rtl w:val="0"/>
        </w:rPr>
        <w:t xml:space="preserve">Revising estimates based on extension or delay duration, reassessment of cost, and true-ups.</w:t>
      </w:r>
    </w:p>
    <w:p w:rsidR="00000000" w:rsidDel="00000000" w:rsidP="00000000" w:rsidRDefault="00000000" w:rsidRPr="00000000" w14:paraId="0000000C">
      <w:pPr>
        <w:numPr>
          <w:ilvl w:val="2"/>
          <w:numId w:val="2"/>
        </w:numPr>
        <w:spacing w:after="0" w:afterAutospacing="0" w:before="0" w:beforeAutospacing="0" w:lineRule="auto"/>
        <w:ind w:left="2160" w:hanging="360"/>
        <w:rPr>
          <w:color w:val="222222"/>
        </w:rPr>
      </w:pPr>
      <w:r w:rsidDel="00000000" w:rsidR="00000000" w:rsidRPr="00000000">
        <w:rPr>
          <w:color w:val="222222"/>
          <w:rtl w:val="0"/>
        </w:rPr>
        <w:t xml:space="preserve">Defining “authorization date” and deadline to commence construction, alignment of estimates and construction schedules</w:t>
      </w:r>
    </w:p>
    <w:p w:rsidR="00000000" w:rsidDel="00000000" w:rsidP="00000000" w:rsidRDefault="00000000" w:rsidRPr="00000000" w14:paraId="0000000D">
      <w:pPr>
        <w:numPr>
          <w:ilvl w:val="1"/>
          <w:numId w:val="2"/>
        </w:numPr>
        <w:spacing w:after="0" w:afterAutospacing="0" w:before="0" w:beforeAutospacing="0" w:lineRule="auto"/>
        <w:ind w:left="1440" w:hanging="360"/>
      </w:pPr>
      <w:r w:rsidDel="00000000" w:rsidR="00000000" w:rsidRPr="00000000">
        <w:rPr>
          <w:color w:val="222222"/>
          <w:rtl w:val="0"/>
        </w:rPr>
        <w:t xml:space="preserve">Group study formation- strategic development of Common Study Areas and formation criteria</w:t>
      </w:r>
    </w:p>
    <w:p w:rsidR="00000000" w:rsidDel="00000000" w:rsidP="00000000" w:rsidRDefault="00000000" w:rsidRPr="00000000" w14:paraId="0000000E">
      <w:pPr>
        <w:numPr>
          <w:ilvl w:val="1"/>
          <w:numId w:val="2"/>
        </w:numPr>
        <w:spacing w:before="0" w:beforeAutospacing="0" w:lineRule="auto"/>
        <w:ind w:left="1440" w:hanging="360"/>
      </w:pPr>
      <w:r w:rsidDel="00000000" w:rsidR="00000000" w:rsidRPr="00000000">
        <w:rPr>
          <w:color w:val="222222"/>
          <w:rtl w:val="0"/>
        </w:rPr>
        <w:t xml:space="preserve">Avoiding delays for smaller projects and projects not required to participate in an ASO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Procedural Schedule:</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