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54D10" w:rsidRDefault="00000000">
      <w:pPr>
        <w:rPr>
          <w:rFonts w:ascii="Calibri" w:eastAsia="Calibri" w:hAnsi="Calibri" w:cs="Calibri"/>
          <w:b/>
          <w:sz w:val="24"/>
          <w:szCs w:val="24"/>
          <w:u w:val="single"/>
        </w:rPr>
      </w:pPr>
      <w:r>
        <w:rPr>
          <w:rFonts w:ascii="Calibri" w:eastAsia="Calibri" w:hAnsi="Calibri" w:cs="Calibri"/>
          <w:b/>
          <w:sz w:val="24"/>
          <w:szCs w:val="24"/>
          <w:u w:val="single"/>
        </w:rPr>
        <w:t>DOER Interconnection Reporting Reform Notification</w:t>
      </w:r>
    </w:p>
    <w:p w14:paraId="00000002" w14:textId="77777777" w:rsidR="00954D10" w:rsidRDefault="0000000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The EDCs provide monthly reporting to DOER of interconnection projects following the Expedited and Standard Review processes (as directed in D.P.U. 11-75 and published online by DOER </w:t>
      </w:r>
      <w:hyperlink r:id="rId5">
        <w:r>
          <w:rPr>
            <w:rFonts w:ascii="Calibri" w:eastAsia="Calibri" w:hAnsi="Calibri" w:cs="Calibri"/>
            <w:sz w:val="24"/>
            <w:szCs w:val="24"/>
            <w:u w:val="single"/>
          </w:rPr>
          <w:t>here</w:t>
        </w:r>
      </w:hyperlink>
      <w:r>
        <w:rPr>
          <w:rFonts w:ascii="Calibri" w:eastAsia="Calibri" w:hAnsi="Calibri" w:cs="Calibri"/>
          <w:sz w:val="24"/>
          <w:szCs w:val="24"/>
        </w:rPr>
        <w:t xml:space="preserve">). This </w:t>
      </w:r>
      <w:proofErr w:type="gramStart"/>
      <w:r>
        <w:rPr>
          <w:rFonts w:ascii="Calibri" w:eastAsia="Calibri" w:hAnsi="Calibri" w:cs="Calibri"/>
          <w:sz w:val="24"/>
          <w:szCs w:val="24"/>
        </w:rPr>
        <w:t>reporting</w:t>
      </w:r>
      <w:proofErr w:type="gramEnd"/>
      <w:r>
        <w:rPr>
          <w:rFonts w:ascii="Calibri" w:eastAsia="Calibri" w:hAnsi="Calibri" w:cs="Calibri"/>
          <w:sz w:val="24"/>
          <w:szCs w:val="24"/>
        </w:rPr>
        <w:t xml:space="preserve"> assists developers and other stakeholders in their project planning and site selection.  DOER has worked with the EDCs on an ongoing basis to improve the consistency, accuracy, comprehensiveness, and timeliness of monthly interconnection reporting.</w:t>
      </w:r>
    </w:p>
    <w:p w14:paraId="00000003" w14:textId="77777777" w:rsidR="00954D10" w:rsidRDefault="0000000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In early stages of the IIRG process, the monthly reporting was indicated as a high priority item for industry and DOER. DOER and IIRG Industry Members (led by Andrew Hickok, </w:t>
      </w:r>
      <w:proofErr w:type="spellStart"/>
      <w:r>
        <w:rPr>
          <w:rFonts w:ascii="Calibri" w:eastAsia="Calibri" w:hAnsi="Calibri" w:cs="Calibri"/>
          <w:sz w:val="24"/>
          <w:szCs w:val="24"/>
        </w:rPr>
        <w:t>Solect</w:t>
      </w:r>
      <w:proofErr w:type="spellEnd"/>
      <w:r>
        <w:rPr>
          <w:rFonts w:ascii="Calibri" w:eastAsia="Calibri" w:hAnsi="Calibri" w:cs="Calibri"/>
          <w:sz w:val="24"/>
          <w:szCs w:val="24"/>
        </w:rPr>
        <w:t xml:space="preserve"> Energy) produced a list of proposed new fields for the EDCs to consider adding to the reporting and, while the group has achieved considerable headway, there is continued work needed to finalize the extent of these improvements.</w:t>
      </w:r>
    </w:p>
    <w:p w14:paraId="00000004" w14:textId="77777777" w:rsidR="00954D10" w:rsidRDefault="0000000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Milestones achieved for the monthly reporting discussions:</w:t>
      </w:r>
    </w:p>
    <w:p w14:paraId="00000005" w14:textId="77777777" w:rsidR="00954D10" w:rsidRDefault="00000000">
      <w:pPr>
        <w:numPr>
          <w:ilvl w:val="0"/>
          <w:numId w:val="1"/>
        </w:numPr>
        <w:shd w:val="clear" w:color="auto" w:fill="FFFFFF"/>
        <w:ind w:left="940"/>
        <w:rPr>
          <w:rFonts w:ascii="Calibri" w:eastAsia="Calibri" w:hAnsi="Calibri" w:cs="Calibri"/>
          <w:color w:val="000000"/>
          <w:sz w:val="24"/>
          <w:szCs w:val="24"/>
        </w:rPr>
      </w:pPr>
      <w:r>
        <w:rPr>
          <w:rFonts w:ascii="Calibri" w:eastAsia="Calibri" w:hAnsi="Calibri" w:cs="Calibri"/>
          <w:sz w:val="24"/>
          <w:szCs w:val="24"/>
        </w:rPr>
        <w:t>Through the IIRG, DOER solicited reporting reform recommendations from interested stakeholders and IIRG members.</w:t>
      </w:r>
    </w:p>
    <w:p w14:paraId="00000006" w14:textId="77777777" w:rsidR="00954D10" w:rsidRDefault="00000000">
      <w:pPr>
        <w:numPr>
          <w:ilvl w:val="0"/>
          <w:numId w:val="1"/>
        </w:numPr>
        <w:shd w:val="clear" w:color="auto" w:fill="FFFFFF"/>
        <w:ind w:left="940"/>
        <w:rPr>
          <w:rFonts w:ascii="Calibri" w:eastAsia="Calibri" w:hAnsi="Calibri" w:cs="Calibri"/>
          <w:color w:val="000000"/>
          <w:sz w:val="24"/>
          <w:szCs w:val="24"/>
        </w:rPr>
      </w:pPr>
      <w:r>
        <w:rPr>
          <w:rFonts w:ascii="Calibri" w:eastAsia="Calibri" w:hAnsi="Calibri" w:cs="Calibri"/>
          <w:sz w:val="24"/>
          <w:szCs w:val="24"/>
        </w:rPr>
        <w:t>By or before November 14, interested stakeholders submitted proposals to DOER.</w:t>
      </w:r>
    </w:p>
    <w:p w14:paraId="00000007" w14:textId="77777777" w:rsidR="00954D10" w:rsidRDefault="00000000">
      <w:pPr>
        <w:numPr>
          <w:ilvl w:val="0"/>
          <w:numId w:val="1"/>
        </w:numPr>
        <w:shd w:val="clear" w:color="auto" w:fill="FFFFFF"/>
        <w:ind w:left="940"/>
        <w:rPr>
          <w:rFonts w:ascii="Calibri" w:eastAsia="Calibri" w:hAnsi="Calibri" w:cs="Calibri"/>
          <w:color w:val="000000"/>
          <w:sz w:val="24"/>
          <w:szCs w:val="24"/>
        </w:rPr>
      </w:pPr>
      <w:r>
        <w:rPr>
          <w:rFonts w:ascii="Calibri" w:eastAsia="Calibri" w:hAnsi="Calibri" w:cs="Calibri"/>
          <w:sz w:val="24"/>
          <w:szCs w:val="24"/>
        </w:rPr>
        <w:t xml:space="preserve">On January 12, 2025, after the IIRG had completed review and voting tasks related to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Simplified Process, DOER submitted the proposed list of additional data fields to the IIRG and its EDC members.</w:t>
      </w:r>
    </w:p>
    <w:p w14:paraId="00000008" w14:textId="77777777" w:rsidR="00954D10" w:rsidRDefault="00000000">
      <w:pPr>
        <w:numPr>
          <w:ilvl w:val="1"/>
          <w:numId w:val="1"/>
        </w:numPr>
        <w:ind w:left="1660"/>
        <w:rPr>
          <w:rFonts w:ascii="Calibri" w:eastAsia="Calibri" w:hAnsi="Calibri" w:cs="Calibri"/>
          <w:color w:val="000000"/>
          <w:sz w:val="24"/>
          <w:szCs w:val="24"/>
        </w:rPr>
      </w:pPr>
      <w:r>
        <w:rPr>
          <w:rFonts w:ascii="Calibri" w:eastAsia="Calibri" w:hAnsi="Calibri" w:cs="Calibri"/>
          <w:sz w:val="24"/>
          <w:szCs w:val="24"/>
        </w:rPr>
        <w:t>Attachment A: A Word summary of the fields proposed</w:t>
      </w:r>
    </w:p>
    <w:p w14:paraId="00000009" w14:textId="77777777" w:rsidR="00954D10" w:rsidRDefault="00000000">
      <w:pPr>
        <w:numPr>
          <w:ilvl w:val="0"/>
          <w:numId w:val="1"/>
        </w:numPr>
        <w:shd w:val="clear" w:color="auto" w:fill="FFFFFF"/>
        <w:ind w:left="940"/>
        <w:rPr>
          <w:rFonts w:ascii="Calibri" w:eastAsia="Calibri" w:hAnsi="Calibri" w:cs="Calibri"/>
          <w:color w:val="000000"/>
          <w:sz w:val="24"/>
          <w:szCs w:val="24"/>
        </w:rPr>
      </w:pPr>
      <w:r>
        <w:rPr>
          <w:rFonts w:ascii="Calibri" w:eastAsia="Calibri" w:hAnsi="Calibri" w:cs="Calibri"/>
          <w:sz w:val="24"/>
          <w:szCs w:val="24"/>
        </w:rPr>
        <w:t>On February 27, 2025, DOER and Andrew Hickok (</w:t>
      </w:r>
      <w:proofErr w:type="spellStart"/>
      <w:r>
        <w:rPr>
          <w:rFonts w:ascii="Calibri" w:eastAsia="Calibri" w:hAnsi="Calibri" w:cs="Calibri"/>
          <w:sz w:val="24"/>
          <w:szCs w:val="24"/>
        </w:rPr>
        <w:t>Solect</w:t>
      </w:r>
      <w:proofErr w:type="spellEnd"/>
      <w:r>
        <w:rPr>
          <w:rFonts w:ascii="Calibri" w:eastAsia="Calibri" w:hAnsi="Calibri" w:cs="Calibri"/>
          <w:sz w:val="24"/>
          <w:szCs w:val="24"/>
        </w:rPr>
        <w:t xml:space="preserve">), as IIRG industry </w:t>
      </w:r>
      <w:proofErr w:type="gramStart"/>
      <w:r>
        <w:rPr>
          <w:rFonts w:ascii="Calibri" w:eastAsia="Calibri" w:hAnsi="Calibri" w:cs="Calibri"/>
          <w:sz w:val="24"/>
          <w:szCs w:val="24"/>
        </w:rPr>
        <w:t>member representative</w:t>
      </w:r>
      <w:proofErr w:type="gramEnd"/>
      <w:r>
        <w:rPr>
          <w:rFonts w:ascii="Calibri" w:eastAsia="Calibri" w:hAnsi="Calibri" w:cs="Calibri"/>
          <w:sz w:val="24"/>
          <w:szCs w:val="24"/>
        </w:rPr>
        <w:t>, met with the EDCs to discuss the feasibility and potential burdens of delivering new fields in the data.  In that meeting the following was established:</w:t>
      </w:r>
    </w:p>
    <w:p w14:paraId="0000000A" w14:textId="77777777" w:rsidR="00954D10" w:rsidRDefault="00000000">
      <w:pPr>
        <w:numPr>
          <w:ilvl w:val="1"/>
          <w:numId w:val="1"/>
        </w:numPr>
        <w:shd w:val="clear" w:color="auto" w:fill="FFFFFF"/>
        <w:rPr>
          <w:color w:val="000000"/>
          <w:sz w:val="24"/>
          <w:szCs w:val="24"/>
        </w:rPr>
      </w:pPr>
      <w:r>
        <w:rPr>
          <w:rFonts w:ascii="Calibri" w:eastAsia="Calibri" w:hAnsi="Calibri" w:cs="Calibri"/>
          <w:sz w:val="24"/>
          <w:szCs w:val="24"/>
        </w:rPr>
        <w:t xml:space="preserve"> Attachment B: An EDC positions summary would be produced for the IIRG filing – A spreadsheet showing EDC answers to the proposed fields.</w:t>
      </w:r>
    </w:p>
    <w:p w14:paraId="0000000B" w14:textId="77777777" w:rsidR="00954D10" w:rsidRDefault="00000000">
      <w:pPr>
        <w:numPr>
          <w:ilvl w:val="1"/>
          <w:numId w:val="1"/>
        </w:numPr>
        <w:shd w:val="clear" w:color="auto" w:fill="FFFFFF"/>
        <w:rPr>
          <w:color w:val="000000"/>
          <w:sz w:val="24"/>
          <w:szCs w:val="24"/>
        </w:rPr>
      </w:pPr>
      <w:r>
        <w:rPr>
          <w:rFonts w:ascii="Calibri" w:eastAsia="Calibri" w:hAnsi="Calibri" w:cs="Calibri"/>
          <w:sz w:val="24"/>
          <w:szCs w:val="24"/>
        </w:rPr>
        <w:t xml:space="preserve"> It was agreed by all that the time calculation fields could be dropped to reduce the burden of reporting.</w:t>
      </w:r>
    </w:p>
    <w:p w14:paraId="0000000D" w14:textId="4F479B96" w:rsidR="00954D10" w:rsidRPr="00445AF2" w:rsidRDefault="00000000" w:rsidP="00445AF2">
      <w:pPr>
        <w:numPr>
          <w:ilvl w:val="1"/>
          <w:numId w:val="1"/>
        </w:numPr>
        <w:shd w:val="clear" w:color="auto" w:fill="FFFFFF"/>
        <w:rPr>
          <w:rFonts w:ascii="Calibri" w:eastAsia="Calibri" w:hAnsi="Calibri" w:cs="Calibri"/>
          <w:color w:val="000000"/>
          <w:sz w:val="24"/>
          <w:szCs w:val="24"/>
        </w:rPr>
      </w:pPr>
      <w:r>
        <w:rPr>
          <w:rFonts w:ascii="Calibri" w:eastAsia="Calibri" w:hAnsi="Calibri" w:cs="Calibri"/>
          <w:sz w:val="24"/>
          <w:szCs w:val="24"/>
        </w:rPr>
        <w:t xml:space="preserve">The EDC’s committed to continue working closely with DOER, developers, contractors and customers to update and revise the monthly reporting to provide as much useful information as possible provided that is easily accessible. The EDCs have identified some areas that look to be beneficial and can likely be accomplished after new data is collected in tariff revisions (e.g. projects exercising the Group Study exemption provision). They will also take deeper </w:t>
      </w:r>
      <w:proofErr w:type="gramStart"/>
      <w:r>
        <w:rPr>
          <w:rFonts w:ascii="Calibri" w:eastAsia="Calibri" w:hAnsi="Calibri" w:cs="Calibri"/>
          <w:sz w:val="24"/>
          <w:szCs w:val="24"/>
        </w:rPr>
        <w:t>looks into</w:t>
      </w:r>
      <w:proofErr w:type="gramEnd"/>
      <w:r>
        <w:rPr>
          <w:rFonts w:ascii="Calibri" w:eastAsia="Calibri" w:hAnsi="Calibri" w:cs="Calibri"/>
          <w:sz w:val="24"/>
          <w:szCs w:val="24"/>
        </w:rPr>
        <w:t xml:space="preserve"> areas where some data may be more difficult to generate or costly to implement. The </w:t>
      </w:r>
      <w:proofErr w:type="gramStart"/>
      <w:r>
        <w:rPr>
          <w:rFonts w:ascii="Calibri" w:eastAsia="Calibri" w:hAnsi="Calibri" w:cs="Calibri"/>
          <w:sz w:val="24"/>
          <w:szCs w:val="24"/>
        </w:rPr>
        <w:t>EDC’s</w:t>
      </w:r>
      <w:proofErr w:type="gramEnd"/>
      <w:r>
        <w:rPr>
          <w:rFonts w:ascii="Calibri" w:eastAsia="Calibri" w:hAnsi="Calibri" w:cs="Calibri"/>
          <w:sz w:val="24"/>
          <w:szCs w:val="24"/>
        </w:rPr>
        <w:t xml:space="preserve"> also agreed to finalizing which fields will be added by no later than the Compliance Filings of the interconnection tariffs.</w:t>
      </w:r>
    </w:p>
    <w:sectPr w:rsidR="00954D10" w:rsidRPr="00445A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7389"/>
    <w:multiLevelType w:val="multilevel"/>
    <w:tmpl w:val="312A945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3714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10"/>
    <w:rsid w:val="00361BAA"/>
    <w:rsid w:val="00445AF2"/>
    <w:rsid w:val="0095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147D"/>
  <w15:docId w15:val="{EDA7E88D-E781-49C7-9D25-94B813FF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info-details/utility-interconnection-in-massachuset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Tohme</cp:lastModifiedBy>
  <cp:revision>2</cp:revision>
  <dcterms:created xsi:type="dcterms:W3CDTF">2025-03-20T13:54:00Z</dcterms:created>
  <dcterms:modified xsi:type="dcterms:W3CDTF">2025-03-20T13:54:00Z</dcterms:modified>
</cp:coreProperties>
</file>