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Group Study Timeline Challenges – Proposed Scope</w:t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Desired Outcomes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20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More efficient Group Study process enables the Commonwealth to meet its clean energy  goals.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0" w:before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In queue PV projects are able to meet ITC deadlines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Increased certainty through proactive forecast of group study and upgrade costs, which are critical for financing DG projects.</w:t>
      </w:r>
    </w:p>
    <w:p w:rsidR="00000000" w:rsidDel="00000000" w:rsidP="00000000" w:rsidRDefault="00000000" w:rsidRPr="00000000" w14:paraId="0000000A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Subtopic 1 - Group Study payments</w:t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Avoid restudy and delays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More flexible study fee payment schedules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Acceptance of alternative payment methods (bonds and LoC) and rules for eligibility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Penalties/consequences for withdrawals that impact study results, negative impacts on Group through delays or project modifications/design changes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Process/structure to ensure only viable projects participate (possible deposit or revised payment schedule)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Process for revising estimates based on extension or delay duration, reassessment of cost, and true-ups.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Defining “authorization date” and deadline to commence construction, alignment of estimates and construction schedules</w:t>
      </w:r>
    </w:p>
    <w:p w:rsidR="00000000" w:rsidDel="00000000" w:rsidP="00000000" w:rsidRDefault="00000000" w:rsidRPr="00000000" w14:paraId="00000014">
      <w:pPr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ind w:left="0" w:firstLine="0"/>
        <w:rPr>
          <w:b w:val="1"/>
          <w:color w:val="222222"/>
          <w:u w:val="single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Subtopic 2 - Eligibility</w:t>
      </w:r>
    </w:p>
    <w:p w:rsidR="00000000" w:rsidDel="00000000" w:rsidP="00000000" w:rsidRDefault="00000000" w:rsidRPr="00000000" w14:paraId="00000017">
      <w:pPr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Avoiding delays for projects not required to participate in an ASO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Establish set of criteria initially established by Group Study Exemption that enables projects &lt; 1MW to move in parallel to ASO studies for larger projects (rather than in sequence)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Address issue of risk assumption by developer if distribution study results change due to ASO results</w:t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Group study formation- strategic development of Common Study Areas and formation criteria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Create more specificity in definition of Common Study Area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Define grid conditions that trigger Group Study so that developers have more advance notice.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Enable transition to a world of Proactive Hosting Capacity fees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Procedural Schedule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583647921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80"/>
            <w:gridCol w:w="4260"/>
            <w:gridCol w:w="3120"/>
            <w:tblGridChange w:id="0">
              <w:tblGrid>
                <w:gridCol w:w="1980"/>
                <w:gridCol w:w="4260"/>
                <w:gridCol w:w="31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Procedural Deadline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Context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9/30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Industry Group and EDCs exchange comments on Group Study Timeline substantive issue scope (this document)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10/1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Address open concerns on GS Timeline and vote on subtopic prioritization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IIRG meeting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10/7 - 10/28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Tariff redlining session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10/29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Provide update to IIRG and substantive discussion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IIRG meeting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10/30-12/2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Tariff redlining session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12/3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Provide update to IIRG and substantive discussion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IIRG meeting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12/8-12/19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Tariff redlining session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1/5-1/16/2026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Final tariff redlining/small group discussion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1/28/2026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Vote on tariff redlines (consensus/non-consensus)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IIRG meeting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February 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Develop filing, final filing review, electronic vote on filing, submit tariff redline package to DPU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ZBV01V8gWSPn/eNK1dz8pEv2w==">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