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E3DEF" w14:textId="77777777" w:rsidR="00D25D16" w:rsidRPr="00E0471D" w:rsidRDefault="00346975" w:rsidP="00E0471D">
      <w:pPr>
        <w:pStyle w:val="Heading1"/>
      </w:pPr>
      <w:r w:rsidRPr="00E0471D">
        <w:t xml:space="preserve">Slide 1: </w:t>
      </w:r>
      <w:r w:rsidR="00D25D16" w:rsidRPr="00E0471D">
        <w:t xml:space="preserve">Oral Health Considerations for the </w:t>
      </w:r>
      <w:proofErr w:type="gramStart"/>
      <w:r w:rsidR="00D25D16" w:rsidRPr="00E0471D">
        <w:t>Dually-Eligible</w:t>
      </w:r>
      <w:proofErr w:type="gramEnd"/>
      <w:r w:rsidR="00D25D16" w:rsidRPr="00E0471D">
        <w:t xml:space="preserve"> Population</w:t>
      </w:r>
    </w:p>
    <w:p w14:paraId="1AEAE965" w14:textId="77777777" w:rsidR="00D25D16" w:rsidRPr="00A56921" w:rsidRDefault="00D25D16" w:rsidP="00A56921">
      <w:pPr>
        <w:rPr>
          <w:rFonts w:cs="Arial"/>
          <w:szCs w:val="36"/>
        </w:rPr>
      </w:pPr>
      <w:r w:rsidRPr="00D25D16">
        <w:rPr>
          <w:rFonts w:cs="Arial"/>
          <w:szCs w:val="36"/>
        </w:rPr>
        <w:t>Kasey Wilson, Senior Policy Analyst</w:t>
      </w:r>
    </w:p>
    <w:p w14:paraId="41088D00" w14:textId="77777777" w:rsidR="001A0AF7" w:rsidRPr="00A56921" w:rsidRDefault="001A0AF7" w:rsidP="00A56921">
      <w:pPr>
        <w:rPr>
          <w:rFonts w:cs="Arial"/>
          <w:szCs w:val="36"/>
        </w:rPr>
      </w:pPr>
    </w:p>
    <w:p w14:paraId="00161385" w14:textId="77777777" w:rsidR="001A0AF7" w:rsidRPr="001A0AF7" w:rsidRDefault="001A0AF7" w:rsidP="00A56921">
      <w:pPr>
        <w:rPr>
          <w:rFonts w:cs="Arial"/>
          <w:szCs w:val="36"/>
        </w:rPr>
      </w:pPr>
      <w:r w:rsidRPr="001A0AF7">
        <w:rPr>
          <w:rFonts w:cs="Arial"/>
          <w:szCs w:val="36"/>
        </w:rPr>
        <w:t>MARCH 2023</w:t>
      </w:r>
    </w:p>
    <w:p w14:paraId="69F7729C" w14:textId="77777777" w:rsidR="001A0AF7" w:rsidRPr="00A56921" w:rsidRDefault="001A0AF7" w:rsidP="00A56921">
      <w:pPr>
        <w:rPr>
          <w:rFonts w:cs="Arial"/>
          <w:szCs w:val="36"/>
        </w:rPr>
      </w:pPr>
    </w:p>
    <w:p w14:paraId="54F4CBB3" w14:textId="77777777" w:rsidR="00D25D16" w:rsidRPr="00D25D16" w:rsidRDefault="001A0AF7" w:rsidP="00A56921">
      <w:pPr>
        <w:rPr>
          <w:rFonts w:cs="Arial"/>
          <w:szCs w:val="36"/>
        </w:rPr>
      </w:pPr>
      <w:r w:rsidRPr="00E0471D">
        <w:rPr>
          <w:rFonts w:cs="Arial"/>
          <w:b/>
          <w:bCs/>
          <w:szCs w:val="36"/>
        </w:rPr>
        <w:t>Note:</w:t>
      </w:r>
      <w:r w:rsidRPr="00A56921">
        <w:rPr>
          <w:rFonts w:cs="Arial"/>
          <w:szCs w:val="36"/>
        </w:rPr>
        <w:t xml:space="preserve"> this slide includes the </w:t>
      </w:r>
      <w:r w:rsidR="00D25D16" w:rsidRPr="00A56921">
        <w:rPr>
          <w:rFonts w:cs="Arial"/>
          <w:szCs w:val="36"/>
        </w:rPr>
        <w:t>Community Catalyst</w:t>
      </w:r>
      <w:r w:rsidRPr="00A56921">
        <w:rPr>
          <w:rFonts w:cs="Arial"/>
          <w:szCs w:val="36"/>
        </w:rPr>
        <w:t xml:space="preserve"> logo.</w:t>
      </w:r>
    </w:p>
    <w:p w14:paraId="4E377143" w14:textId="77777777" w:rsidR="00E0471D" w:rsidRDefault="00CF548F" w:rsidP="00E0471D">
      <w:pPr>
        <w:pStyle w:val="Heading1"/>
      </w:pPr>
      <w:r w:rsidRPr="00E0471D">
        <w:t xml:space="preserve">Slide 2: </w:t>
      </w:r>
      <w:r w:rsidR="00E0471D" w:rsidRPr="00E0471D">
        <w:t>Community Catalyst</w:t>
      </w:r>
    </w:p>
    <w:p w14:paraId="4000EC02" w14:textId="77777777" w:rsidR="00E0156A" w:rsidRDefault="001A0AF7" w:rsidP="00E0471D">
      <w:r w:rsidRPr="00E0471D">
        <w:rPr>
          <w:b/>
          <w:bCs/>
        </w:rPr>
        <w:t>Note</w:t>
      </w:r>
      <w:r w:rsidRPr="00A56921">
        <w:t xml:space="preserve">: this slide includes the Community Catalyst logo along </w:t>
      </w:r>
      <w:r w:rsidR="00E0156A" w:rsidRPr="00A56921">
        <w:t xml:space="preserve">with three individual photos of adult women of diverse ethnicity. The bottom photo is of Crystal Evan, the </w:t>
      </w:r>
      <w:r w:rsidRPr="00A56921">
        <w:t xml:space="preserve">Vice-Chair </w:t>
      </w:r>
      <w:r w:rsidR="00E0156A" w:rsidRPr="00A56921">
        <w:t>of the One Care Implementation Council</w:t>
      </w:r>
      <w:r w:rsidR="00C267D1">
        <w:t>.</w:t>
      </w:r>
    </w:p>
    <w:p w14:paraId="7E6AEC4E" w14:textId="77777777" w:rsidR="00E0471D" w:rsidRPr="00E0471D" w:rsidRDefault="00CF548F" w:rsidP="00E0471D">
      <w:pPr>
        <w:pStyle w:val="Heading1"/>
      </w:pPr>
      <w:r w:rsidRPr="00E0471D">
        <w:t xml:space="preserve">Slide 3: </w:t>
      </w:r>
      <w:r w:rsidR="00E0156A" w:rsidRPr="00E0471D">
        <w:t>ORAL HEALTH ACCESS &amp; CARE</w:t>
      </w:r>
    </w:p>
    <w:p w14:paraId="66F85589" w14:textId="77777777" w:rsidR="00E0156A" w:rsidRPr="00E0156A" w:rsidRDefault="00E0471D" w:rsidP="00E0471D">
      <w:pPr>
        <w:rPr>
          <w:rFonts w:cs="Arial"/>
          <w:szCs w:val="36"/>
        </w:rPr>
      </w:pPr>
      <w:r>
        <w:t>C</w:t>
      </w:r>
      <w:r w:rsidR="00E0156A" w:rsidRPr="00E0471D">
        <w:t>overage Considerations</w:t>
      </w:r>
    </w:p>
    <w:p w14:paraId="5FF64382" w14:textId="77777777" w:rsidR="00E0156A" w:rsidRPr="00E0156A" w:rsidRDefault="00E0156A" w:rsidP="00A5692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b/>
          <w:bCs/>
          <w:sz w:val="36"/>
          <w:szCs w:val="36"/>
        </w:rPr>
        <w:t>Medicare</w:t>
      </w:r>
      <w:r w:rsidRPr="00E0156A">
        <w:rPr>
          <w:rFonts w:ascii="Arial" w:hAnsi="Arial" w:cs="Arial"/>
          <w:sz w:val="36"/>
          <w:szCs w:val="36"/>
        </w:rPr>
        <w:t xml:space="preserve"> does not include a dental </w:t>
      </w:r>
      <w:proofErr w:type="gramStart"/>
      <w:r w:rsidRPr="00E0156A">
        <w:rPr>
          <w:rFonts w:ascii="Arial" w:hAnsi="Arial" w:cs="Arial"/>
          <w:sz w:val="36"/>
          <w:szCs w:val="36"/>
        </w:rPr>
        <w:t>benefit</w:t>
      </w:r>
      <w:proofErr w:type="gramEnd"/>
    </w:p>
    <w:p w14:paraId="0588AACC" w14:textId="77777777" w:rsidR="00E0156A" w:rsidRPr="00E0156A" w:rsidRDefault="00E0156A" w:rsidP="00A5692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b/>
          <w:bCs/>
          <w:sz w:val="36"/>
          <w:szCs w:val="36"/>
        </w:rPr>
        <w:t>Medicaid</w:t>
      </w:r>
      <w:r w:rsidRPr="00E0156A">
        <w:rPr>
          <w:rFonts w:ascii="Arial" w:hAnsi="Arial" w:cs="Arial"/>
          <w:sz w:val="36"/>
          <w:szCs w:val="36"/>
        </w:rPr>
        <w:t xml:space="preserve"> dental benefits are optional for </w:t>
      </w:r>
      <w:proofErr w:type="gramStart"/>
      <w:r w:rsidRPr="00E0156A">
        <w:rPr>
          <w:rFonts w:ascii="Arial" w:hAnsi="Arial" w:cs="Arial"/>
          <w:sz w:val="36"/>
          <w:szCs w:val="36"/>
        </w:rPr>
        <w:t>adults</w:t>
      </w:r>
      <w:proofErr w:type="gramEnd"/>
    </w:p>
    <w:p w14:paraId="670CFC0B" w14:textId="77777777" w:rsidR="00E0156A" w:rsidRPr="00A56921" w:rsidRDefault="00E0156A" w:rsidP="00A56921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 xml:space="preserve">12-20% of </w:t>
      </w:r>
      <w:r w:rsidRPr="00E0156A">
        <w:rPr>
          <w:rFonts w:ascii="Arial" w:hAnsi="Arial" w:cs="Arial"/>
          <w:b/>
          <w:bCs/>
          <w:sz w:val="36"/>
          <w:szCs w:val="36"/>
        </w:rPr>
        <w:t xml:space="preserve">dual eligibles </w:t>
      </w:r>
      <w:r w:rsidRPr="00E0156A">
        <w:rPr>
          <w:rFonts w:ascii="Arial" w:hAnsi="Arial" w:cs="Arial"/>
          <w:sz w:val="36"/>
          <w:szCs w:val="36"/>
        </w:rPr>
        <w:t>use (Medicaid) dental services</w:t>
      </w:r>
    </w:p>
    <w:p w14:paraId="782E2B14" w14:textId="77777777" w:rsidR="00E0156A" w:rsidRPr="00E0156A" w:rsidRDefault="00E0156A" w:rsidP="00A56921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36"/>
          <w:szCs w:val="36"/>
        </w:rPr>
      </w:pPr>
    </w:p>
    <w:p w14:paraId="1E378C7D" w14:textId="77777777" w:rsidR="00E0471D" w:rsidRDefault="00E0156A" w:rsidP="00D24C78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471D">
        <w:rPr>
          <w:rFonts w:ascii="Arial" w:hAnsi="Arial" w:cs="Arial"/>
          <w:b/>
          <w:bCs/>
          <w:sz w:val="36"/>
          <w:szCs w:val="36"/>
        </w:rPr>
        <w:t>12.2 MIL</w:t>
      </w:r>
      <w:r w:rsidR="00E0471D" w:rsidRPr="00E0471D">
        <w:rPr>
          <w:rFonts w:ascii="Arial" w:hAnsi="Arial" w:cs="Arial"/>
          <w:b/>
          <w:bCs/>
          <w:sz w:val="36"/>
          <w:szCs w:val="36"/>
        </w:rPr>
        <w:t xml:space="preserve"> </w:t>
      </w:r>
      <w:r w:rsidRPr="00E0471D">
        <w:rPr>
          <w:rFonts w:ascii="Arial" w:hAnsi="Arial" w:cs="Arial"/>
          <w:sz w:val="36"/>
          <w:szCs w:val="36"/>
        </w:rPr>
        <w:t>People enrolled in both Medicare and Medicaid</w:t>
      </w:r>
    </w:p>
    <w:p w14:paraId="54155261" w14:textId="77777777" w:rsidR="00E0471D" w:rsidRPr="00E0471D" w:rsidRDefault="00E0156A" w:rsidP="00FE1113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471D">
        <w:rPr>
          <w:rFonts w:ascii="Arial" w:hAnsi="Arial" w:cs="Arial"/>
          <w:b/>
          <w:bCs/>
          <w:sz w:val="36"/>
          <w:szCs w:val="36"/>
        </w:rPr>
        <w:t>62%</w:t>
      </w:r>
      <w:r w:rsidR="00E0471D" w:rsidRPr="00E0471D">
        <w:rPr>
          <w:rFonts w:ascii="Arial" w:hAnsi="Arial" w:cs="Arial"/>
          <w:b/>
          <w:bCs/>
          <w:sz w:val="36"/>
          <w:szCs w:val="36"/>
        </w:rPr>
        <w:t xml:space="preserve"> </w:t>
      </w:r>
      <w:r w:rsidRPr="00E0471D">
        <w:rPr>
          <w:rFonts w:ascii="Arial" w:hAnsi="Arial" w:cs="Arial"/>
          <w:b/>
          <w:bCs/>
          <w:sz w:val="36"/>
          <w:szCs w:val="36"/>
        </w:rPr>
        <w:t>Of dual eligibles are age 65+</w:t>
      </w:r>
    </w:p>
    <w:p w14:paraId="51062B34" w14:textId="77777777" w:rsidR="00E0156A" w:rsidRPr="00E0471D" w:rsidRDefault="00E0156A" w:rsidP="00025BFA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471D">
        <w:rPr>
          <w:rFonts w:ascii="Arial" w:hAnsi="Arial" w:cs="Arial"/>
          <w:b/>
          <w:bCs/>
          <w:sz w:val="36"/>
          <w:szCs w:val="36"/>
        </w:rPr>
        <w:t>49%</w:t>
      </w:r>
      <w:r w:rsidR="00E0471D" w:rsidRPr="00E0471D">
        <w:rPr>
          <w:rFonts w:ascii="Arial" w:hAnsi="Arial" w:cs="Arial"/>
          <w:b/>
          <w:bCs/>
          <w:sz w:val="36"/>
          <w:szCs w:val="36"/>
        </w:rPr>
        <w:t xml:space="preserve"> </w:t>
      </w:r>
      <w:r w:rsidRPr="00E0471D">
        <w:rPr>
          <w:rFonts w:ascii="Arial" w:hAnsi="Arial" w:cs="Arial"/>
          <w:sz w:val="36"/>
          <w:szCs w:val="36"/>
        </w:rPr>
        <w:t xml:space="preserve">Of dual eligibles have 1+ limitation on activities of daily </w:t>
      </w:r>
      <w:proofErr w:type="gramStart"/>
      <w:r w:rsidRPr="00E0471D">
        <w:rPr>
          <w:rFonts w:ascii="Arial" w:hAnsi="Arial" w:cs="Arial"/>
          <w:sz w:val="36"/>
          <w:szCs w:val="36"/>
        </w:rPr>
        <w:t>living</w:t>
      </w:r>
      <w:proofErr w:type="gramEnd"/>
    </w:p>
    <w:p w14:paraId="74B44D2B" w14:textId="77777777" w:rsidR="00E0156A" w:rsidRPr="00A56921" w:rsidRDefault="00E0156A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A56921">
        <w:rPr>
          <w:rFonts w:ascii="Arial" w:hAnsi="Arial" w:cs="Arial"/>
          <w:i/>
          <w:iCs/>
          <w:sz w:val="36"/>
          <w:szCs w:val="36"/>
        </w:rPr>
        <w:t>Slide Footnote</w:t>
      </w:r>
      <w:r w:rsidRPr="00A56921">
        <w:rPr>
          <w:rFonts w:ascii="Arial" w:hAnsi="Arial" w:cs="Arial"/>
          <w:sz w:val="36"/>
          <w:szCs w:val="36"/>
        </w:rPr>
        <w:t>:  ©COMMUNITY CATALYST 2023</w:t>
      </w:r>
    </w:p>
    <w:p w14:paraId="44015E4F" w14:textId="77777777" w:rsidR="00E0156A" w:rsidRPr="00A56921" w:rsidRDefault="00E0156A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038BE7ED" w14:textId="77777777" w:rsidR="00E0471D" w:rsidRPr="00E0471D" w:rsidRDefault="00E0156A" w:rsidP="00E0471D">
      <w:pPr>
        <w:pStyle w:val="Heading1"/>
      </w:pPr>
      <w:r w:rsidRPr="00E0471D">
        <w:lastRenderedPageBreak/>
        <w:t>Slide 4: ORAL HEALTH ACCESS &amp; CARE</w:t>
      </w:r>
    </w:p>
    <w:p w14:paraId="294D1FCE" w14:textId="77777777" w:rsidR="00E0156A" w:rsidRPr="00E0156A" w:rsidRDefault="00E0156A" w:rsidP="00E0471D">
      <w:r w:rsidRPr="00E0471D">
        <w:t>Impact on Health Outcomes</w:t>
      </w:r>
    </w:p>
    <w:p w14:paraId="0EC9D7DD" w14:textId="77777777" w:rsidR="00E0156A" w:rsidRPr="00E0156A" w:rsidRDefault="00E0156A" w:rsidP="00A56921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 xml:space="preserve">Many common </w:t>
      </w:r>
      <w:r w:rsidRPr="00E0156A">
        <w:rPr>
          <w:rFonts w:ascii="Arial" w:hAnsi="Arial" w:cs="Arial"/>
          <w:b/>
          <w:bCs/>
          <w:sz w:val="36"/>
          <w:szCs w:val="36"/>
        </w:rPr>
        <w:t xml:space="preserve">chronic conditions </w:t>
      </w:r>
      <w:r w:rsidRPr="00E0156A">
        <w:rPr>
          <w:rFonts w:ascii="Arial" w:hAnsi="Arial" w:cs="Arial"/>
          <w:sz w:val="36"/>
          <w:szCs w:val="36"/>
        </w:rPr>
        <w:t xml:space="preserve">are connected to oral </w:t>
      </w:r>
      <w:proofErr w:type="gramStart"/>
      <w:r w:rsidRPr="00E0156A">
        <w:rPr>
          <w:rFonts w:ascii="Arial" w:hAnsi="Arial" w:cs="Arial"/>
          <w:sz w:val="36"/>
          <w:szCs w:val="36"/>
        </w:rPr>
        <w:t>health</w:t>
      </w:r>
      <w:proofErr w:type="gramEnd"/>
    </w:p>
    <w:p w14:paraId="706AEB56" w14:textId="77777777" w:rsidR="00E0156A" w:rsidRPr="00E0156A" w:rsidRDefault="00E0156A" w:rsidP="00A56921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 xml:space="preserve">Common for people with disabilities with Medicare to have chronic health </w:t>
      </w:r>
      <w:proofErr w:type="gramStart"/>
      <w:r w:rsidRPr="00E0156A">
        <w:rPr>
          <w:rFonts w:ascii="Arial" w:hAnsi="Arial" w:cs="Arial"/>
          <w:sz w:val="36"/>
          <w:szCs w:val="36"/>
        </w:rPr>
        <w:t>conditions</w:t>
      </w:r>
      <w:proofErr w:type="gramEnd"/>
    </w:p>
    <w:p w14:paraId="50D328F8" w14:textId="77777777" w:rsidR="00E0156A" w:rsidRPr="00E0156A" w:rsidRDefault="00E0156A" w:rsidP="00A56921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 xml:space="preserve">More likely to develop gum </w:t>
      </w:r>
      <w:proofErr w:type="gramStart"/>
      <w:r w:rsidRPr="00E0156A">
        <w:rPr>
          <w:rFonts w:ascii="Arial" w:hAnsi="Arial" w:cs="Arial"/>
          <w:sz w:val="36"/>
          <w:szCs w:val="36"/>
        </w:rPr>
        <w:t>disease</w:t>
      </w:r>
      <w:proofErr w:type="gramEnd"/>
    </w:p>
    <w:p w14:paraId="4FD78D22" w14:textId="77777777" w:rsidR="00E0156A" w:rsidRPr="00E0156A" w:rsidRDefault="00E0156A" w:rsidP="00A56921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 xml:space="preserve">Less likely to get dental </w:t>
      </w:r>
      <w:proofErr w:type="gramStart"/>
      <w:r w:rsidRPr="00E0156A">
        <w:rPr>
          <w:rFonts w:ascii="Arial" w:hAnsi="Arial" w:cs="Arial"/>
          <w:sz w:val="36"/>
          <w:szCs w:val="36"/>
        </w:rPr>
        <w:t>care</w:t>
      </w:r>
      <w:proofErr w:type="gramEnd"/>
    </w:p>
    <w:p w14:paraId="1B4E1F6E" w14:textId="77777777" w:rsidR="00E0156A" w:rsidRPr="00E0156A" w:rsidRDefault="00E0156A" w:rsidP="00A56921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b/>
          <w:bCs/>
          <w:sz w:val="36"/>
          <w:szCs w:val="36"/>
        </w:rPr>
        <w:t xml:space="preserve">People with developmental disabilities </w:t>
      </w:r>
      <w:r w:rsidRPr="00E0156A">
        <w:rPr>
          <w:rFonts w:ascii="Arial" w:hAnsi="Arial" w:cs="Arial"/>
          <w:sz w:val="36"/>
          <w:szCs w:val="36"/>
        </w:rPr>
        <w:t xml:space="preserve">have higher levels of tooth decay and gum </w:t>
      </w:r>
      <w:proofErr w:type="gramStart"/>
      <w:r w:rsidRPr="00E0156A">
        <w:rPr>
          <w:rFonts w:ascii="Arial" w:hAnsi="Arial" w:cs="Arial"/>
          <w:sz w:val="36"/>
          <w:szCs w:val="36"/>
        </w:rPr>
        <w:t>disease</w:t>
      </w:r>
      <w:proofErr w:type="gramEnd"/>
    </w:p>
    <w:p w14:paraId="1F187CC7" w14:textId="77777777" w:rsidR="00E0156A" w:rsidRPr="00E0156A" w:rsidRDefault="00E0156A" w:rsidP="00A56921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 xml:space="preserve">1 in 5 </w:t>
      </w:r>
      <w:r w:rsidRPr="00E0156A">
        <w:rPr>
          <w:rFonts w:ascii="Arial" w:hAnsi="Arial" w:cs="Arial"/>
          <w:b/>
          <w:bCs/>
          <w:sz w:val="36"/>
          <w:szCs w:val="36"/>
        </w:rPr>
        <w:t xml:space="preserve">older adults </w:t>
      </w:r>
      <w:r w:rsidRPr="00E0156A">
        <w:rPr>
          <w:rFonts w:ascii="Arial" w:hAnsi="Arial" w:cs="Arial"/>
          <w:sz w:val="36"/>
          <w:szCs w:val="36"/>
        </w:rPr>
        <w:t xml:space="preserve">have untreated tooth </w:t>
      </w:r>
      <w:proofErr w:type="gramStart"/>
      <w:r w:rsidRPr="00E0156A">
        <w:rPr>
          <w:rFonts w:ascii="Arial" w:hAnsi="Arial" w:cs="Arial"/>
          <w:sz w:val="36"/>
          <w:szCs w:val="36"/>
        </w:rPr>
        <w:t>decay</w:t>
      </w:r>
      <w:proofErr w:type="gramEnd"/>
    </w:p>
    <w:p w14:paraId="0977B284" w14:textId="77777777" w:rsidR="00E0156A" w:rsidRPr="00E0156A" w:rsidRDefault="00E0156A" w:rsidP="00A56921">
      <w:pPr>
        <w:pStyle w:val="NormalWeb"/>
        <w:numPr>
          <w:ilvl w:val="1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>About 2/3 have gum disease</w:t>
      </w:r>
    </w:p>
    <w:p w14:paraId="50082BB9" w14:textId="77777777" w:rsidR="00E0156A" w:rsidRPr="00E0156A" w:rsidRDefault="00E0156A" w:rsidP="00A56921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b/>
          <w:bCs/>
          <w:sz w:val="36"/>
          <w:szCs w:val="36"/>
        </w:rPr>
        <w:t xml:space="preserve">Dually eligible </w:t>
      </w:r>
      <w:r w:rsidRPr="00E0156A">
        <w:rPr>
          <w:rFonts w:ascii="Arial" w:hAnsi="Arial" w:cs="Arial"/>
          <w:sz w:val="36"/>
          <w:szCs w:val="36"/>
        </w:rPr>
        <w:t xml:space="preserve">adults are more likely than other Medicare enrollees to have dental </w:t>
      </w:r>
      <w:proofErr w:type="gramStart"/>
      <w:r w:rsidRPr="00E0156A">
        <w:rPr>
          <w:rFonts w:ascii="Arial" w:hAnsi="Arial" w:cs="Arial"/>
          <w:sz w:val="36"/>
          <w:szCs w:val="36"/>
        </w:rPr>
        <w:t>problems</w:t>
      </w:r>
      <w:proofErr w:type="gramEnd"/>
    </w:p>
    <w:p w14:paraId="648233C4" w14:textId="77777777" w:rsidR="00E0156A" w:rsidRPr="00E0156A" w:rsidRDefault="00E0156A" w:rsidP="00A56921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156A">
        <w:rPr>
          <w:rFonts w:ascii="Arial" w:hAnsi="Arial" w:cs="Arial"/>
          <w:sz w:val="36"/>
          <w:szCs w:val="36"/>
        </w:rPr>
        <w:t xml:space="preserve">Some </w:t>
      </w:r>
      <w:r w:rsidRPr="00E0156A">
        <w:rPr>
          <w:rFonts w:ascii="Arial" w:hAnsi="Arial" w:cs="Arial"/>
          <w:b/>
          <w:bCs/>
          <w:sz w:val="36"/>
          <w:szCs w:val="36"/>
        </w:rPr>
        <w:t>medications</w:t>
      </w:r>
      <w:r w:rsidRPr="00E0156A">
        <w:rPr>
          <w:rFonts w:ascii="Arial" w:hAnsi="Arial" w:cs="Arial"/>
          <w:sz w:val="36"/>
          <w:szCs w:val="36"/>
        </w:rPr>
        <w:t xml:space="preserve"> can cause dry mouth or other symptoms/side effects that affect oral </w:t>
      </w:r>
      <w:proofErr w:type="gramStart"/>
      <w:r w:rsidRPr="00E0156A">
        <w:rPr>
          <w:rFonts w:ascii="Arial" w:hAnsi="Arial" w:cs="Arial"/>
          <w:sz w:val="36"/>
          <w:szCs w:val="36"/>
        </w:rPr>
        <w:t>health</w:t>
      </w:r>
      <w:proofErr w:type="gramEnd"/>
    </w:p>
    <w:p w14:paraId="7208E50E" w14:textId="77777777" w:rsidR="00E0156A" w:rsidRPr="00A56921" w:rsidRDefault="00E0156A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5A4837C8" w14:textId="77777777" w:rsidR="00977874" w:rsidRPr="00A56921" w:rsidRDefault="00977874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0471D">
        <w:rPr>
          <w:rFonts w:ascii="Arial" w:hAnsi="Arial" w:cs="Arial"/>
          <w:b/>
          <w:bCs/>
          <w:sz w:val="36"/>
          <w:szCs w:val="36"/>
        </w:rPr>
        <w:t>Note:</w:t>
      </w:r>
      <w:r w:rsidRPr="00A56921">
        <w:rPr>
          <w:rFonts w:ascii="Arial" w:hAnsi="Arial" w:cs="Arial"/>
          <w:sz w:val="36"/>
          <w:szCs w:val="36"/>
        </w:rPr>
        <w:t xml:space="preserve"> This slide includes a photo of a crowd gathered for a public demonstration. The group includes adults and what appears to be middle and high school youth</w:t>
      </w:r>
      <w:r w:rsidR="00A56921">
        <w:rPr>
          <w:rFonts w:ascii="Arial" w:hAnsi="Arial" w:cs="Arial"/>
          <w:sz w:val="36"/>
          <w:szCs w:val="36"/>
        </w:rPr>
        <w:t>. S</w:t>
      </w:r>
      <w:r w:rsidRPr="00A56921">
        <w:rPr>
          <w:rFonts w:ascii="Arial" w:hAnsi="Arial" w:cs="Arial"/>
          <w:sz w:val="36"/>
          <w:szCs w:val="36"/>
        </w:rPr>
        <w:t xml:space="preserve">ome in </w:t>
      </w:r>
      <w:r w:rsidR="00A56921" w:rsidRPr="00A56921">
        <w:rPr>
          <w:rFonts w:ascii="Arial" w:hAnsi="Arial" w:cs="Arial"/>
          <w:sz w:val="36"/>
          <w:szCs w:val="36"/>
        </w:rPr>
        <w:t xml:space="preserve">the </w:t>
      </w:r>
      <w:r w:rsidRPr="00A56921">
        <w:rPr>
          <w:rFonts w:ascii="Arial" w:hAnsi="Arial" w:cs="Arial"/>
          <w:sz w:val="36"/>
          <w:szCs w:val="36"/>
        </w:rPr>
        <w:t>group</w:t>
      </w:r>
      <w:r w:rsidR="009521C7">
        <w:rPr>
          <w:rFonts w:ascii="Arial" w:hAnsi="Arial" w:cs="Arial"/>
          <w:sz w:val="36"/>
          <w:szCs w:val="36"/>
        </w:rPr>
        <w:t xml:space="preserve"> are</w:t>
      </w:r>
      <w:r w:rsidRPr="00A56921">
        <w:rPr>
          <w:rFonts w:ascii="Arial" w:hAnsi="Arial" w:cs="Arial"/>
          <w:sz w:val="36"/>
          <w:szCs w:val="36"/>
        </w:rPr>
        <w:t xml:space="preserve"> holding up large signs that </w:t>
      </w:r>
      <w:proofErr w:type="gramStart"/>
      <w:r w:rsidRPr="00A56921">
        <w:rPr>
          <w:rFonts w:ascii="Arial" w:hAnsi="Arial" w:cs="Arial"/>
          <w:sz w:val="36"/>
          <w:szCs w:val="36"/>
        </w:rPr>
        <w:t>say</w:t>
      </w:r>
      <w:proofErr w:type="gramEnd"/>
      <w:r w:rsidRPr="00A56921">
        <w:rPr>
          <w:rFonts w:ascii="Arial" w:hAnsi="Arial" w:cs="Arial"/>
          <w:sz w:val="36"/>
          <w:szCs w:val="36"/>
        </w:rPr>
        <w:t xml:space="preserve"> “Dental Access Now”, “My Life My Future”, and “Kids Can’t Wait”, and other smaller signs.</w:t>
      </w:r>
    </w:p>
    <w:p w14:paraId="1F90CA80" w14:textId="77777777" w:rsidR="00E72054" w:rsidRPr="00E72054" w:rsidRDefault="00E0156A" w:rsidP="00E72054">
      <w:pPr>
        <w:pStyle w:val="Heading1"/>
      </w:pPr>
      <w:r w:rsidRPr="00E72054">
        <w:t>Slide 5: ORAL HEALTH ACCESS &amp; CARE</w:t>
      </w:r>
    </w:p>
    <w:p w14:paraId="10B557FC" w14:textId="77777777" w:rsidR="00977874" w:rsidRPr="00A56921" w:rsidRDefault="00977874" w:rsidP="00E72054">
      <w:pPr>
        <w:rPr>
          <w:b/>
          <w:bCs/>
        </w:rPr>
      </w:pPr>
      <w:r w:rsidRPr="00977874">
        <w:t>Accessibility Considerations</w:t>
      </w:r>
    </w:p>
    <w:p w14:paraId="17FD1CF7" w14:textId="77777777" w:rsidR="00977874" w:rsidRPr="00977874" w:rsidRDefault="00977874" w:rsidP="00A5692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977874">
        <w:rPr>
          <w:rFonts w:ascii="Arial" w:hAnsi="Arial" w:cs="Arial"/>
          <w:sz w:val="36"/>
          <w:szCs w:val="36"/>
        </w:rPr>
        <w:t>Wheelchair/mobility device accessibility</w:t>
      </w:r>
    </w:p>
    <w:p w14:paraId="644CEEF8" w14:textId="77777777" w:rsidR="00977874" w:rsidRPr="00977874" w:rsidRDefault="00977874" w:rsidP="00A5692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977874">
        <w:rPr>
          <w:rFonts w:ascii="Arial" w:hAnsi="Arial" w:cs="Arial"/>
          <w:sz w:val="36"/>
          <w:szCs w:val="36"/>
        </w:rPr>
        <w:t>Accessibility of dental chairs/operatories</w:t>
      </w:r>
    </w:p>
    <w:p w14:paraId="7678859E" w14:textId="77777777" w:rsidR="00977874" w:rsidRPr="00977874" w:rsidRDefault="00977874" w:rsidP="00A5692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977874">
        <w:rPr>
          <w:rFonts w:ascii="Arial" w:hAnsi="Arial" w:cs="Arial"/>
          <w:sz w:val="36"/>
          <w:szCs w:val="36"/>
        </w:rPr>
        <w:t>Behavioral or sensory needs</w:t>
      </w:r>
    </w:p>
    <w:p w14:paraId="08AB0353" w14:textId="77777777" w:rsidR="00977874" w:rsidRPr="00977874" w:rsidRDefault="00977874" w:rsidP="00A5692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977874">
        <w:rPr>
          <w:rFonts w:ascii="Arial" w:hAnsi="Arial" w:cs="Arial"/>
          <w:sz w:val="36"/>
          <w:szCs w:val="36"/>
        </w:rPr>
        <w:lastRenderedPageBreak/>
        <w:t>Provider education/interprofessional training</w:t>
      </w:r>
    </w:p>
    <w:p w14:paraId="23AB439F" w14:textId="77777777" w:rsidR="00E0156A" w:rsidRPr="00A56921" w:rsidRDefault="00E0156A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7C4DF4A3" w14:textId="77777777" w:rsidR="00977874" w:rsidRPr="00A56921" w:rsidRDefault="00977874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72054">
        <w:rPr>
          <w:rFonts w:ascii="Arial" w:hAnsi="Arial" w:cs="Arial"/>
          <w:b/>
          <w:bCs/>
          <w:sz w:val="36"/>
          <w:szCs w:val="36"/>
        </w:rPr>
        <w:t>Note:</w:t>
      </w:r>
      <w:r w:rsidRPr="00A56921">
        <w:rPr>
          <w:rFonts w:ascii="Arial" w:hAnsi="Arial" w:cs="Arial"/>
          <w:sz w:val="36"/>
          <w:szCs w:val="36"/>
        </w:rPr>
        <w:t xml:space="preserve"> This slide includes a photo of a</w:t>
      </w:r>
      <w:r w:rsidR="00A56921" w:rsidRPr="00A56921">
        <w:rPr>
          <w:rFonts w:ascii="Arial" w:hAnsi="Arial" w:cs="Arial"/>
          <w:sz w:val="36"/>
          <w:szCs w:val="36"/>
        </w:rPr>
        <w:t xml:space="preserve"> </w:t>
      </w:r>
      <w:r w:rsidRPr="00A56921">
        <w:rPr>
          <w:rFonts w:ascii="Arial" w:hAnsi="Arial" w:cs="Arial"/>
          <w:sz w:val="36"/>
          <w:szCs w:val="36"/>
        </w:rPr>
        <w:t xml:space="preserve">man and women of diverse ethnicity. </w:t>
      </w:r>
    </w:p>
    <w:p w14:paraId="55AF152A" w14:textId="77777777" w:rsidR="001A0AF7" w:rsidRPr="00A56921" w:rsidRDefault="001A0AF7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</w:p>
    <w:p w14:paraId="38CBC127" w14:textId="77777777" w:rsidR="001A0AF7" w:rsidRPr="00A56921" w:rsidRDefault="001A0AF7" w:rsidP="00A56921">
      <w:pPr>
        <w:pStyle w:val="NormalWeb"/>
        <w:spacing w:before="0" w:beforeAutospacing="0" w:after="0" w:afterAutospacing="0"/>
        <w:rPr>
          <w:rFonts w:ascii="Arial" w:hAnsi="Arial" w:cs="Arial"/>
          <w:sz w:val="36"/>
          <w:szCs w:val="36"/>
        </w:rPr>
      </w:pPr>
      <w:r w:rsidRPr="00E72054">
        <w:rPr>
          <w:rFonts w:ascii="Arial" w:hAnsi="Arial" w:cs="Arial"/>
          <w:b/>
          <w:bCs/>
          <w:sz w:val="36"/>
          <w:szCs w:val="36"/>
        </w:rPr>
        <w:t>Slide Footnote:</w:t>
      </w:r>
      <w:r w:rsidRPr="00A56921">
        <w:rPr>
          <w:rFonts w:ascii="Arial" w:hAnsi="Arial" w:cs="Arial"/>
          <w:sz w:val="36"/>
          <w:szCs w:val="36"/>
        </w:rPr>
        <w:t xml:space="preserve">  ©COMMUNITY CATALYST 2022 </w:t>
      </w:r>
    </w:p>
    <w:p w14:paraId="7BBDC749" w14:textId="77777777" w:rsidR="001A0AF7" w:rsidRPr="00E72054" w:rsidRDefault="00E0156A" w:rsidP="00E72054">
      <w:pPr>
        <w:pStyle w:val="Heading1"/>
      </w:pPr>
      <w:r w:rsidRPr="00E72054">
        <w:t xml:space="preserve">Slide 6: </w:t>
      </w:r>
      <w:r w:rsidR="001A0AF7" w:rsidRPr="00E72054">
        <w:t>Thank you</w:t>
      </w:r>
    </w:p>
    <w:p w14:paraId="3A933EB8" w14:textId="77777777" w:rsidR="00A56921" w:rsidRPr="00D25D16" w:rsidRDefault="00A56921" w:rsidP="00A56921">
      <w:pPr>
        <w:rPr>
          <w:rFonts w:cs="Arial"/>
          <w:szCs w:val="36"/>
        </w:rPr>
      </w:pPr>
      <w:r w:rsidRPr="00E72054">
        <w:rPr>
          <w:rFonts w:cs="Arial"/>
          <w:b/>
          <w:bCs/>
          <w:szCs w:val="36"/>
        </w:rPr>
        <w:t>Note:</w:t>
      </w:r>
      <w:r w:rsidRPr="00A56921">
        <w:rPr>
          <w:rFonts w:cs="Arial"/>
          <w:szCs w:val="36"/>
        </w:rPr>
        <w:t xml:space="preserve"> this slide includes the Community Catalyst logo.</w:t>
      </w:r>
    </w:p>
    <w:p w14:paraId="3DD9F4C8" w14:textId="77777777" w:rsidR="00A56921" w:rsidRPr="00A56921" w:rsidRDefault="00A56921" w:rsidP="00A56921">
      <w:pPr>
        <w:rPr>
          <w:rFonts w:cs="Arial"/>
          <w:szCs w:val="36"/>
        </w:rPr>
      </w:pPr>
    </w:p>
    <w:sectPr w:rsidR="00A56921" w:rsidRPr="00A5692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63FDD" w14:textId="77777777" w:rsidR="00D21B52" w:rsidRDefault="00D21B52" w:rsidP="009521C7">
      <w:r>
        <w:separator/>
      </w:r>
    </w:p>
  </w:endnote>
  <w:endnote w:type="continuationSeparator" w:id="0">
    <w:p w14:paraId="3B4671BB" w14:textId="77777777" w:rsidR="00D21B52" w:rsidRDefault="00D21B52" w:rsidP="0095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95AB5" w14:textId="77777777" w:rsidR="009521C7" w:rsidRDefault="009521C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619BE53" w14:textId="77777777" w:rsidR="009521C7" w:rsidRDefault="00952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3E037" w14:textId="77777777" w:rsidR="00D21B52" w:rsidRDefault="00D21B52" w:rsidP="009521C7">
      <w:r>
        <w:separator/>
      </w:r>
    </w:p>
  </w:footnote>
  <w:footnote w:type="continuationSeparator" w:id="0">
    <w:p w14:paraId="1EE246C6" w14:textId="77777777" w:rsidR="00D21B52" w:rsidRDefault="00D21B52" w:rsidP="0095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0702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B4CD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2A3B"/>
    <w:multiLevelType w:val="hybridMultilevel"/>
    <w:tmpl w:val="FFFFFFFF"/>
    <w:lvl w:ilvl="0" w:tplc="3DCC3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C6D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80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6EF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8A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85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C4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0B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0C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A644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6049D"/>
    <w:multiLevelType w:val="hybridMultilevel"/>
    <w:tmpl w:val="FFFFFFFF"/>
    <w:lvl w:ilvl="0" w:tplc="EF0C658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41F8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890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AC870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C54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221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CA7D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2443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A2B3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197A82"/>
    <w:multiLevelType w:val="hybridMultilevel"/>
    <w:tmpl w:val="FFFFFFFF"/>
    <w:lvl w:ilvl="0" w:tplc="2DBE1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2E2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25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CD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805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0C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D22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88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0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8557DBA"/>
    <w:multiLevelType w:val="hybridMultilevel"/>
    <w:tmpl w:val="FFFFFFFF"/>
    <w:lvl w:ilvl="0" w:tplc="A5AE9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20B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9A8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A4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64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683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05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2AA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C8F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B67D1D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7D47A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1019E"/>
    <w:multiLevelType w:val="hybridMultilevel"/>
    <w:tmpl w:val="FFFFFFFF"/>
    <w:lvl w:ilvl="0" w:tplc="283E48A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460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E35B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232A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057D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82B6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C2A7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42D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CA62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59577927">
    <w:abstractNumId w:val="9"/>
  </w:num>
  <w:num w:numId="2" w16cid:durableId="686980915">
    <w:abstractNumId w:val="4"/>
  </w:num>
  <w:num w:numId="3" w16cid:durableId="366880333">
    <w:abstractNumId w:val="8"/>
  </w:num>
  <w:num w:numId="4" w16cid:durableId="411395975">
    <w:abstractNumId w:val="3"/>
  </w:num>
  <w:num w:numId="5" w16cid:durableId="1859080704">
    <w:abstractNumId w:val="6"/>
  </w:num>
  <w:num w:numId="6" w16cid:durableId="498034396">
    <w:abstractNumId w:val="5"/>
  </w:num>
  <w:num w:numId="7" w16cid:durableId="1336497803">
    <w:abstractNumId w:val="2"/>
  </w:num>
  <w:num w:numId="8" w16cid:durableId="1650792257">
    <w:abstractNumId w:val="0"/>
  </w:num>
  <w:num w:numId="9" w16cid:durableId="1358890630">
    <w:abstractNumId w:val="1"/>
  </w:num>
  <w:num w:numId="10" w16cid:durableId="1705521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5"/>
    <w:rsid w:val="00025BFA"/>
    <w:rsid w:val="001A0AF7"/>
    <w:rsid w:val="00346975"/>
    <w:rsid w:val="004A4982"/>
    <w:rsid w:val="00853FB3"/>
    <w:rsid w:val="009521C7"/>
    <w:rsid w:val="00977874"/>
    <w:rsid w:val="00A56921"/>
    <w:rsid w:val="00B1358C"/>
    <w:rsid w:val="00BE4AC9"/>
    <w:rsid w:val="00C267D1"/>
    <w:rsid w:val="00C44DFE"/>
    <w:rsid w:val="00CF548F"/>
    <w:rsid w:val="00D21B52"/>
    <w:rsid w:val="00D24C78"/>
    <w:rsid w:val="00D25D16"/>
    <w:rsid w:val="00E0156A"/>
    <w:rsid w:val="00E0471D"/>
    <w:rsid w:val="00E72054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5E031"/>
  <w14:defaultImageDpi w14:val="0"/>
  <w15:docId w15:val="{75243E2A-C925-43D0-BD09-E9EF5A18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1D"/>
    <w:pPr>
      <w:spacing w:after="0" w:line="240" w:lineRule="auto"/>
    </w:pPr>
    <w:rPr>
      <w:rFonts w:ascii="Arial" w:hAnsi="Arial" w:cs="Times New Roman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71D"/>
    <w:pPr>
      <w:keepNext/>
      <w:spacing w:before="240" w:after="240"/>
      <w:outlineLvl w:val="0"/>
    </w:pPr>
    <w:rPr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0471D"/>
    <w:rPr>
      <w:rFonts w:ascii="Arial" w:hAnsi="Arial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3469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48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8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21C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2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21C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9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93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Betteanne</dc:creator>
  <cp:keywords/>
  <dc:description/>
  <cp:lastModifiedBy>Leblanc, Donna M (EHS)</cp:lastModifiedBy>
  <cp:revision>2</cp:revision>
  <dcterms:created xsi:type="dcterms:W3CDTF">2024-05-14T16:28:00Z</dcterms:created>
  <dcterms:modified xsi:type="dcterms:W3CDTF">2024-05-14T16:28:00Z</dcterms:modified>
</cp:coreProperties>
</file>