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1"/>
        <w:gridCol w:w="7021"/>
      </w:tblGrid>
      <w:tr w:rsidR="008D1AA6">
        <w:trPr>
          <w:trHeight w:val="763"/>
        </w:trPr>
        <w:tc>
          <w:tcPr>
            <w:tcW w:w="9452" w:type="dxa"/>
            <w:gridSpan w:val="2"/>
            <w:tcBorders>
              <w:top w:val="nil"/>
              <w:left w:val="nil"/>
              <w:bottom w:val="nil"/>
              <w:right w:val="nil"/>
            </w:tcBorders>
            <w:shd w:val="clear" w:color="auto" w:fill="000000"/>
          </w:tcPr>
          <w:p w:rsidR="008D1AA6" w:rsidRDefault="008967D0">
            <w:pPr>
              <w:pStyle w:val="TableParagraph"/>
              <w:spacing w:before="233"/>
              <w:ind w:left="1533" w:right="1514"/>
              <w:jc w:val="center"/>
              <w:rPr>
                <w:rFonts w:ascii="Arial"/>
                <w:b/>
                <w:sz w:val="32"/>
              </w:rPr>
            </w:pPr>
            <w:r>
              <w:rPr>
                <w:rFonts w:ascii="Arial"/>
                <w:b/>
                <w:color w:val="FFFFFF"/>
                <w:sz w:val="32"/>
              </w:rPr>
              <w:t>IN-HOME BEHAVIORAL SERVICES (IHBS)</w:t>
            </w:r>
          </w:p>
        </w:tc>
      </w:tr>
      <w:tr w:rsidR="008D1AA6">
        <w:trPr>
          <w:trHeight w:val="230"/>
        </w:trPr>
        <w:tc>
          <w:tcPr>
            <w:tcW w:w="9452" w:type="dxa"/>
            <w:gridSpan w:val="2"/>
            <w:tcBorders>
              <w:top w:val="nil"/>
              <w:left w:val="nil"/>
              <w:right w:val="nil"/>
            </w:tcBorders>
          </w:tcPr>
          <w:p w:rsidR="008D1AA6" w:rsidRDefault="008D1AA6">
            <w:pPr>
              <w:pStyle w:val="TableParagraph"/>
              <w:spacing w:before="0"/>
              <w:ind w:left="0"/>
              <w:rPr>
                <w:sz w:val="16"/>
              </w:rPr>
            </w:pPr>
          </w:p>
        </w:tc>
      </w:tr>
      <w:tr w:rsidR="008D1AA6">
        <w:trPr>
          <w:trHeight w:val="6744"/>
        </w:trPr>
        <w:tc>
          <w:tcPr>
            <w:tcW w:w="9452" w:type="dxa"/>
            <w:gridSpan w:val="2"/>
          </w:tcPr>
          <w:p w:rsidR="008D1AA6" w:rsidRDefault="008967D0">
            <w:pPr>
              <w:pStyle w:val="TableParagraph"/>
              <w:spacing w:before="0"/>
              <w:ind w:left="121" w:right="723"/>
              <w:jc w:val="both"/>
              <w:rPr>
                <w:sz w:val="24"/>
              </w:rPr>
            </w:pPr>
            <w:r>
              <w:rPr>
                <w:b/>
                <w:sz w:val="24"/>
              </w:rPr>
              <w:t xml:space="preserve">In-Home Behavioral Services (IHBS) are </w:t>
            </w:r>
            <w:r>
              <w:rPr>
                <w:sz w:val="24"/>
              </w:rPr>
              <w:t>delivered by one or more members of a team consisting of professional and paraprofessional staff, offering a combination of medically necessary Behavior Management Therapy and Behavior Management Monitoring.</w:t>
            </w:r>
          </w:p>
          <w:p w:rsidR="008D1AA6" w:rsidRDefault="008D1AA6">
            <w:pPr>
              <w:pStyle w:val="TableParagraph"/>
              <w:spacing w:before="5"/>
              <w:ind w:left="0"/>
              <w:rPr>
                <w:sz w:val="23"/>
              </w:rPr>
            </w:pPr>
          </w:p>
          <w:p w:rsidR="008D1AA6" w:rsidRDefault="008967D0">
            <w:pPr>
              <w:pStyle w:val="TableParagraph"/>
              <w:spacing w:before="0"/>
              <w:ind w:left="121" w:right="224"/>
              <w:rPr>
                <w:sz w:val="24"/>
              </w:rPr>
            </w:pPr>
            <w:r>
              <w:rPr>
                <w:b/>
                <w:sz w:val="24"/>
              </w:rPr>
              <w:t>Behavior Management Therapy</w:t>
            </w:r>
            <w:r>
              <w:rPr>
                <w:sz w:val="24"/>
              </w:rPr>
              <w:t>: This service includes a behavioral assessment (including observing the youth’s behavior, antecedents of behaviors, and identification of motivators); development of a highly specific behavior plan; supervision and coordination of interventions; and train</w:t>
            </w:r>
            <w:r>
              <w:rPr>
                <w:sz w:val="24"/>
              </w:rPr>
              <w:t>ing other interveners to address specific behavioral objectives or performance goals.</w:t>
            </w:r>
          </w:p>
          <w:p w:rsidR="008D1AA6" w:rsidRDefault="008967D0">
            <w:pPr>
              <w:pStyle w:val="TableParagraph"/>
              <w:spacing w:before="0"/>
              <w:ind w:left="121" w:right="132"/>
              <w:rPr>
                <w:sz w:val="24"/>
              </w:rPr>
            </w:pPr>
            <w:r>
              <w:rPr>
                <w:sz w:val="24"/>
              </w:rPr>
              <w:t>This service is designed to treat challenging behaviors that interfere with the youth’s successful functioning. The behavior management therapist develops specific behavi</w:t>
            </w:r>
            <w:r>
              <w:rPr>
                <w:sz w:val="24"/>
              </w:rPr>
              <w:t>oral objectives and interventions that are designed to diminish, extinguish, or improve specific behaviors related to the youth’s behavioral health condition(s) and which are incorporated into the behavior plan and the risk management/safety plan.</w:t>
            </w:r>
          </w:p>
          <w:p w:rsidR="008D1AA6" w:rsidRDefault="008D1AA6">
            <w:pPr>
              <w:pStyle w:val="TableParagraph"/>
              <w:spacing w:before="1"/>
              <w:ind w:left="0"/>
              <w:rPr>
                <w:sz w:val="24"/>
              </w:rPr>
            </w:pPr>
          </w:p>
          <w:p w:rsidR="008D1AA6" w:rsidRDefault="008967D0">
            <w:pPr>
              <w:pStyle w:val="TableParagraph"/>
              <w:spacing w:before="0"/>
              <w:ind w:left="121" w:right="159"/>
              <w:rPr>
                <w:sz w:val="24"/>
              </w:rPr>
            </w:pPr>
            <w:r>
              <w:rPr>
                <w:b/>
                <w:sz w:val="24"/>
              </w:rPr>
              <w:t>Behavio</w:t>
            </w:r>
            <w:r>
              <w:rPr>
                <w:b/>
                <w:sz w:val="24"/>
              </w:rPr>
              <w:t>r Management Monitoring</w:t>
            </w:r>
            <w:r>
              <w:rPr>
                <w:sz w:val="24"/>
              </w:rPr>
              <w:t>: This service includes implementation of the behavior plan, monitoring the youth’s behavior, reinforcing implementation of the behavior plan by the parent(s)/guardian(s)/caregiver(s), and reporting to the behavior management therapi</w:t>
            </w:r>
            <w:r>
              <w:rPr>
                <w:sz w:val="24"/>
              </w:rPr>
              <w:t>st on implementation of the behavior plan and progress toward behavioral objectives or performance goals. Phone contact and consultation may be provided as part of the intervention.</w:t>
            </w:r>
          </w:p>
          <w:p w:rsidR="008D1AA6" w:rsidRDefault="008D1AA6">
            <w:pPr>
              <w:pStyle w:val="TableParagraph"/>
              <w:spacing w:before="0"/>
              <w:ind w:left="0"/>
              <w:rPr>
                <w:sz w:val="24"/>
              </w:rPr>
            </w:pPr>
          </w:p>
          <w:p w:rsidR="008D1AA6" w:rsidRDefault="008967D0">
            <w:pPr>
              <w:pStyle w:val="TableParagraph"/>
              <w:spacing w:before="0"/>
              <w:ind w:left="121"/>
              <w:rPr>
                <w:sz w:val="24"/>
              </w:rPr>
            </w:pPr>
            <w:r>
              <w:rPr>
                <w:sz w:val="24"/>
              </w:rPr>
              <w:t>For youth engaged in Intensive Care Coordination (ICC), the behavior plan</w:t>
            </w:r>
            <w:r>
              <w:rPr>
                <w:sz w:val="24"/>
              </w:rPr>
              <w:t xml:space="preserve"> is designed to achieve a goal(s) identified in the youth’s Individual Care Plan (ICP). The Care Planning Team (CPT) works closely with the youth, parent/guardian/caregiver and/or other individual(s) identified by the family to support adherence to the beh</w:t>
            </w:r>
            <w:r>
              <w:rPr>
                <w:sz w:val="24"/>
              </w:rPr>
              <w:t>avior plan and to sustain the gains made.</w:t>
            </w:r>
          </w:p>
        </w:tc>
      </w:tr>
      <w:tr w:rsidR="008D1AA6">
        <w:trPr>
          <w:trHeight w:val="431"/>
        </w:trPr>
        <w:tc>
          <w:tcPr>
            <w:tcW w:w="9452" w:type="dxa"/>
            <w:gridSpan w:val="2"/>
          </w:tcPr>
          <w:p w:rsidR="008D1AA6" w:rsidRDefault="008967D0">
            <w:pPr>
              <w:pStyle w:val="TableParagraph"/>
              <w:spacing w:before="51"/>
              <w:ind w:left="121"/>
              <w:rPr>
                <w:rFonts w:ascii="Arial"/>
                <w:b/>
                <w:sz w:val="28"/>
              </w:rPr>
            </w:pPr>
            <w:r>
              <w:rPr>
                <w:rFonts w:ascii="Arial"/>
                <w:b/>
                <w:sz w:val="28"/>
              </w:rPr>
              <w:t>Criteria</w:t>
            </w:r>
          </w:p>
        </w:tc>
      </w:tr>
      <w:tr w:rsidR="008D1AA6">
        <w:trPr>
          <w:trHeight w:val="5211"/>
        </w:trPr>
        <w:tc>
          <w:tcPr>
            <w:tcW w:w="2431" w:type="dxa"/>
          </w:tcPr>
          <w:p w:rsidR="008D1AA6" w:rsidRDefault="008967D0">
            <w:pPr>
              <w:pStyle w:val="TableParagraph"/>
              <w:spacing w:before="61"/>
              <w:ind w:left="121"/>
              <w:rPr>
                <w:rFonts w:ascii="Tw Cen MT"/>
                <w:b/>
                <w:sz w:val="20"/>
              </w:rPr>
            </w:pPr>
            <w:r>
              <w:rPr>
                <w:rFonts w:ascii="Tw Cen MT"/>
                <w:b/>
                <w:sz w:val="20"/>
              </w:rPr>
              <w:t>Admission Criteria</w:t>
            </w:r>
          </w:p>
        </w:tc>
        <w:tc>
          <w:tcPr>
            <w:tcW w:w="7021" w:type="dxa"/>
          </w:tcPr>
          <w:p w:rsidR="008D1AA6" w:rsidRDefault="008967D0">
            <w:pPr>
              <w:pStyle w:val="TableParagraph"/>
              <w:spacing w:before="54"/>
              <w:ind w:left="120" w:right="532"/>
              <w:rPr>
                <w:sz w:val="24"/>
              </w:rPr>
            </w:pPr>
            <w:r>
              <w:rPr>
                <w:b/>
                <w:i/>
                <w:sz w:val="24"/>
              </w:rPr>
              <w:t xml:space="preserve">All </w:t>
            </w:r>
            <w:r>
              <w:rPr>
                <w:i/>
                <w:sz w:val="24"/>
              </w:rPr>
              <w:t>of the following criteria are necessary for participation in this level of care</w:t>
            </w:r>
            <w:r>
              <w:rPr>
                <w:sz w:val="24"/>
              </w:rPr>
              <w:t>:</w:t>
            </w:r>
          </w:p>
          <w:p w:rsidR="008D1AA6" w:rsidRDefault="008967D0">
            <w:pPr>
              <w:pStyle w:val="TableParagraph"/>
              <w:numPr>
                <w:ilvl w:val="0"/>
                <w:numId w:val="5"/>
              </w:numPr>
              <w:tabs>
                <w:tab w:val="left" w:pos="481"/>
              </w:tabs>
              <w:ind w:right="455"/>
              <w:rPr>
                <w:sz w:val="24"/>
              </w:rPr>
            </w:pPr>
            <w:r>
              <w:rPr>
                <w:sz w:val="24"/>
              </w:rPr>
              <w:t>A comprehensive behavioral health assessment inclusive of a Functional Behavioral Assessment indicates that the youth’s clinical condition warrants this service in order to diminish, extinguish, or improve specific behaviors related to the</w:t>
            </w:r>
            <w:r>
              <w:rPr>
                <w:spacing w:val="-12"/>
                <w:sz w:val="24"/>
              </w:rPr>
              <w:t xml:space="preserve"> </w:t>
            </w:r>
            <w:r>
              <w:rPr>
                <w:sz w:val="24"/>
              </w:rPr>
              <w:t>youth’s</w:t>
            </w:r>
          </w:p>
          <w:p w:rsidR="008D1AA6" w:rsidRDefault="008967D0">
            <w:pPr>
              <w:pStyle w:val="TableParagraph"/>
              <w:spacing w:before="0"/>
              <w:ind w:left="480" w:right="127"/>
              <w:rPr>
                <w:sz w:val="24"/>
              </w:rPr>
            </w:pPr>
            <w:r>
              <w:rPr>
                <w:sz w:val="24"/>
              </w:rPr>
              <w:t>behavioral health condition(s).  If the Member has MassHealth as a secondary insurance and is being referred to services by a provider who is paid through the Member’s primary insurance,</w:t>
            </w:r>
            <w:r>
              <w:rPr>
                <w:spacing w:val="-11"/>
                <w:sz w:val="24"/>
              </w:rPr>
              <w:t xml:space="preserve"> </w:t>
            </w:r>
            <w:r>
              <w:rPr>
                <w:sz w:val="24"/>
              </w:rPr>
              <w:t>the provider must conduct a comprehensive behavioral health assessmen</w:t>
            </w:r>
            <w:r>
              <w:rPr>
                <w:sz w:val="24"/>
              </w:rPr>
              <w:t>t.</w:t>
            </w:r>
          </w:p>
          <w:p w:rsidR="008D1AA6" w:rsidRDefault="008967D0">
            <w:pPr>
              <w:pStyle w:val="TableParagraph"/>
              <w:numPr>
                <w:ilvl w:val="0"/>
                <w:numId w:val="5"/>
              </w:numPr>
              <w:tabs>
                <w:tab w:val="left" w:pos="481"/>
              </w:tabs>
              <w:spacing w:before="61"/>
              <w:ind w:right="312"/>
              <w:jc w:val="both"/>
              <w:rPr>
                <w:sz w:val="24"/>
              </w:rPr>
            </w:pPr>
            <w:r>
              <w:rPr>
                <w:sz w:val="24"/>
              </w:rPr>
              <w:t>Less-intensive behavioral interventions have not been successful in reducing or eliminating the problem behavior(s) or increasing or maintaining desirable</w:t>
            </w:r>
            <w:r>
              <w:rPr>
                <w:spacing w:val="-3"/>
                <w:sz w:val="24"/>
              </w:rPr>
              <w:t xml:space="preserve"> </w:t>
            </w:r>
            <w:r>
              <w:rPr>
                <w:sz w:val="24"/>
              </w:rPr>
              <w:t>behavior(s).</w:t>
            </w:r>
          </w:p>
          <w:p w:rsidR="008D1AA6" w:rsidRDefault="008967D0">
            <w:pPr>
              <w:pStyle w:val="TableParagraph"/>
              <w:numPr>
                <w:ilvl w:val="0"/>
                <w:numId w:val="5"/>
              </w:numPr>
              <w:tabs>
                <w:tab w:val="left" w:pos="481"/>
              </w:tabs>
              <w:spacing w:line="270" w:lineRule="atLeast"/>
              <w:ind w:right="485"/>
              <w:rPr>
                <w:sz w:val="24"/>
              </w:rPr>
            </w:pPr>
            <w:r>
              <w:rPr>
                <w:sz w:val="24"/>
              </w:rPr>
              <w:t>Clinical evaluation suggests that the youth’s clinical condition, level of functionin</w:t>
            </w:r>
            <w:r>
              <w:rPr>
                <w:sz w:val="24"/>
              </w:rPr>
              <w:t>g, and intensity of need require the establishment of a specific structure and the establishment of positive behavioral supports to be applied consistently</w:t>
            </w:r>
            <w:r>
              <w:rPr>
                <w:spacing w:val="-8"/>
                <w:sz w:val="24"/>
              </w:rPr>
              <w:t xml:space="preserve"> </w:t>
            </w:r>
            <w:r>
              <w:rPr>
                <w:sz w:val="24"/>
              </w:rPr>
              <w:t>across</w:t>
            </w:r>
          </w:p>
        </w:tc>
      </w:tr>
    </w:tbl>
    <w:p w:rsidR="008D1AA6" w:rsidRDefault="008D1AA6">
      <w:pPr>
        <w:spacing w:line="270" w:lineRule="atLeast"/>
        <w:rPr>
          <w:sz w:val="24"/>
        </w:rPr>
        <w:sectPr w:rsidR="008D1AA6" w:rsidSect="005B29B9">
          <w:headerReference w:type="default" r:id="rId9"/>
          <w:footerReference w:type="default" r:id="rId10"/>
          <w:type w:val="continuous"/>
          <w:pgSz w:w="12240" w:h="15840"/>
          <w:pgMar w:top="1420" w:right="1140" w:bottom="880" w:left="1420" w:header="576" w:footer="288" w:gutter="0"/>
          <w:pgNumType w:start="1"/>
          <w:cols w:space="720"/>
          <w:docGrid w:linePitch="299"/>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2"/>
        <w:gridCol w:w="7022"/>
      </w:tblGrid>
      <w:tr w:rsidR="008D1AA6">
        <w:trPr>
          <w:trHeight w:val="887"/>
        </w:trPr>
        <w:tc>
          <w:tcPr>
            <w:tcW w:w="2432" w:type="dxa"/>
          </w:tcPr>
          <w:p w:rsidR="008D1AA6" w:rsidRDefault="008D1AA6">
            <w:pPr>
              <w:pStyle w:val="TableParagraph"/>
              <w:spacing w:before="0"/>
              <w:ind w:left="0"/>
            </w:pPr>
            <w:bookmarkStart w:id="0" w:name="_GoBack" w:colFirst="0" w:colLast="2"/>
          </w:p>
        </w:tc>
        <w:tc>
          <w:tcPr>
            <w:tcW w:w="7022" w:type="dxa"/>
          </w:tcPr>
          <w:p w:rsidR="008D1AA6" w:rsidRDefault="008967D0">
            <w:pPr>
              <w:pStyle w:val="TableParagraph"/>
              <w:spacing w:before="0"/>
              <w:ind w:right="829"/>
              <w:rPr>
                <w:sz w:val="24"/>
              </w:rPr>
            </w:pPr>
            <w:r>
              <w:rPr>
                <w:sz w:val="24"/>
              </w:rPr>
              <w:t>home and school settings; and warrants this level of care to successfully support him/her in the home and community.</w:t>
            </w:r>
          </w:p>
          <w:p w:rsidR="008D1AA6" w:rsidRDefault="008967D0">
            <w:pPr>
              <w:pStyle w:val="TableParagraph"/>
              <w:spacing w:before="54" w:line="261" w:lineRule="exact"/>
              <w:ind w:left="119"/>
              <w:rPr>
                <w:sz w:val="24"/>
              </w:rPr>
            </w:pPr>
            <w:r>
              <w:rPr>
                <w:sz w:val="24"/>
              </w:rPr>
              <w:t>4. Required</w:t>
            </w:r>
            <w:r>
              <w:rPr>
                <w:sz w:val="24"/>
              </w:rPr>
              <w:t xml:space="preserve"> consent is obtained.</w:t>
            </w:r>
          </w:p>
        </w:tc>
      </w:tr>
      <w:tr w:rsidR="008D1AA6">
        <w:trPr>
          <w:trHeight w:val="930"/>
        </w:trPr>
        <w:tc>
          <w:tcPr>
            <w:tcW w:w="2432" w:type="dxa"/>
          </w:tcPr>
          <w:p w:rsidR="008D1AA6" w:rsidRDefault="008967D0">
            <w:pPr>
              <w:pStyle w:val="TableParagraph"/>
              <w:spacing w:before="61"/>
              <w:ind w:left="122" w:right="420"/>
              <w:rPr>
                <w:rFonts w:ascii="Tw Cen MT"/>
                <w:b/>
                <w:sz w:val="20"/>
              </w:rPr>
            </w:pPr>
            <w:r>
              <w:rPr>
                <w:rFonts w:ascii="Tw Cen MT"/>
                <w:b/>
                <w:sz w:val="20"/>
              </w:rPr>
              <w:t>Psychosocial, Occupational, and Cultural and Linguistic</w:t>
            </w:r>
          </w:p>
          <w:p w:rsidR="008D1AA6" w:rsidRDefault="008967D0">
            <w:pPr>
              <w:pStyle w:val="TableParagraph"/>
              <w:spacing w:before="0" w:line="196" w:lineRule="exact"/>
              <w:ind w:left="122"/>
              <w:rPr>
                <w:rFonts w:ascii="Tw Cen MT"/>
                <w:b/>
                <w:sz w:val="20"/>
              </w:rPr>
            </w:pPr>
            <w:r>
              <w:rPr>
                <w:rFonts w:ascii="Tw Cen MT"/>
                <w:b/>
                <w:sz w:val="20"/>
              </w:rPr>
              <w:t>Factors</w:t>
            </w:r>
          </w:p>
        </w:tc>
        <w:tc>
          <w:tcPr>
            <w:tcW w:w="7022" w:type="dxa"/>
          </w:tcPr>
          <w:p w:rsidR="008D1AA6" w:rsidRDefault="008967D0">
            <w:pPr>
              <w:pStyle w:val="TableParagraph"/>
              <w:spacing w:before="54"/>
              <w:ind w:left="119" w:right="1062"/>
              <w:rPr>
                <w:i/>
                <w:sz w:val="24"/>
              </w:rPr>
            </w:pPr>
            <w:r>
              <w:rPr>
                <w:i/>
                <w:sz w:val="24"/>
              </w:rPr>
              <w:t>These factors may change the risk assessment and should be considered when making level-of-care decisions</w:t>
            </w:r>
          </w:p>
        </w:tc>
      </w:tr>
      <w:tr w:rsidR="008D1AA6">
        <w:trPr>
          <w:trHeight w:val="5604"/>
        </w:trPr>
        <w:tc>
          <w:tcPr>
            <w:tcW w:w="2432" w:type="dxa"/>
          </w:tcPr>
          <w:p w:rsidR="008D1AA6" w:rsidRDefault="008967D0">
            <w:pPr>
              <w:pStyle w:val="TableParagraph"/>
              <w:spacing w:before="61"/>
              <w:ind w:left="122"/>
              <w:rPr>
                <w:rFonts w:ascii="Tw Cen MT"/>
                <w:b/>
                <w:sz w:val="20"/>
              </w:rPr>
            </w:pPr>
            <w:r>
              <w:rPr>
                <w:rFonts w:ascii="Tw Cen MT"/>
                <w:b/>
                <w:sz w:val="20"/>
              </w:rPr>
              <w:t>Exclusion Criteria</w:t>
            </w:r>
          </w:p>
        </w:tc>
        <w:tc>
          <w:tcPr>
            <w:tcW w:w="7022" w:type="dxa"/>
          </w:tcPr>
          <w:p w:rsidR="008D1AA6" w:rsidRDefault="008967D0">
            <w:pPr>
              <w:pStyle w:val="TableParagraph"/>
              <w:spacing w:before="56"/>
              <w:ind w:left="119" w:right="314"/>
              <w:rPr>
                <w:sz w:val="24"/>
              </w:rPr>
            </w:pPr>
            <w:r>
              <w:rPr>
                <w:b/>
                <w:i/>
                <w:sz w:val="24"/>
              </w:rPr>
              <w:t xml:space="preserve">Any one </w:t>
            </w:r>
            <w:r>
              <w:rPr>
                <w:i/>
                <w:sz w:val="24"/>
              </w:rPr>
              <w:t>of the following criteria is sufficient for exclusion from this level of care</w:t>
            </w:r>
            <w:r>
              <w:rPr>
                <w:sz w:val="24"/>
              </w:rPr>
              <w:t>:</w:t>
            </w:r>
          </w:p>
          <w:p w:rsidR="008D1AA6" w:rsidRDefault="008967D0">
            <w:pPr>
              <w:pStyle w:val="TableParagraph"/>
              <w:numPr>
                <w:ilvl w:val="0"/>
                <w:numId w:val="4"/>
              </w:numPr>
              <w:tabs>
                <w:tab w:val="left" w:pos="480"/>
              </w:tabs>
              <w:ind w:right="765"/>
              <w:rPr>
                <w:sz w:val="24"/>
              </w:rPr>
            </w:pPr>
            <w:r>
              <w:rPr>
                <w:sz w:val="24"/>
              </w:rPr>
              <w:t xml:space="preserve">The environment in which the service takes place presents </w:t>
            </w:r>
            <w:r>
              <w:rPr>
                <w:spacing w:val="-12"/>
                <w:sz w:val="24"/>
              </w:rPr>
              <w:t xml:space="preserve">a </w:t>
            </w:r>
            <w:r>
              <w:rPr>
                <w:sz w:val="24"/>
              </w:rPr>
              <w:t>serious safety risk to the behavior management therapist or monitor, alternative community settings are not likely to</w:t>
            </w:r>
            <w:r>
              <w:rPr>
                <w:sz w:val="24"/>
              </w:rPr>
              <w:t xml:space="preserve"> ameliorate the risk, and no other safe venue is available or appropriate for this</w:t>
            </w:r>
            <w:r>
              <w:rPr>
                <w:spacing w:val="-2"/>
                <w:sz w:val="24"/>
              </w:rPr>
              <w:t xml:space="preserve"> </w:t>
            </w:r>
            <w:r>
              <w:rPr>
                <w:sz w:val="24"/>
              </w:rPr>
              <w:t>service.</w:t>
            </w:r>
          </w:p>
          <w:p w:rsidR="008D1AA6" w:rsidRDefault="008967D0">
            <w:pPr>
              <w:pStyle w:val="TableParagraph"/>
              <w:numPr>
                <w:ilvl w:val="0"/>
                <w:numId w:val="4"/>
              </w:numPr>
              <w:tabs>
                <w:tab w:val="left" w:pos="480"/>
              </w:tabs>
              <w:spacing w:before="61"/>
              <w:ind w:right="299"/>
              <w:rPr>
                <w:sz w:val="24"/>
              </w:rPr>
            </w:pPr>
            <w:r>
              <w:rPr>
                <w:sz w:val="24"/>
              </w:rPr>
              <w:t>The youth is at imminent risk to harm self or others, or</w:t>
            </w:r>
            <w:r>
              <w:rPr>
                <w:spacing w:val="-14"/>
                <w:sz w:val="24"/>
              </w:rPr>
              <w:t xml:space="preserve"> </w:t>
            </w:r>
            <w:r>
              <w:rPr>
                <w:sz w:val="24"/>
              </w:rPr>
              <w:t>sufficient impairment exists that requires a more-intensive level of care beyond a community-based interven</w:t>
            </w:r>
            <w:r>
              <w:rPr>
                <w:sz w:val="24"/>
              </w:rPr>
              <w:t>tion.</w:t>
            </w:r>
          </w:p>
          <w:p w:rsidR="008D1AA6" w:rsidRDefault="008967D0">
            <w:pPr>
              <w:pStyle w:val="TableParagraph"/>
              <w:numPr>
                <w:ilvl w:val="0"/>
                <w:numId w:val="4"/>
              </w:numPr>
              <w:tabs>
                <w:tab w:val="left" w:pos="480"/>
              </w:tabs>
              <w:ind w:right="684"/>
              <w:rPr>
                <w:sz w:val="24"/>
              </w:rPr>
            </w:pPr>
            <w:r>
              <w:rPr>
                <w:sz w:val="24"/>
              </w:rPr>
              <w:t>The youth has medical conditions or impairments that would prevent beneficial utilization of</w:t>
            </w:r>
            <w:r>
              <w:rPr>
                <w:spacing w:val="-2"/>
                <w:sz w:val="24"/>
              </w:rPr>
              <w:t xml:space="preserve"> </w:t>
            </w:r>
            <w:r>
              <w:rPr>
                <w:sz w:val="24"/>
              </w:rPr>
              <w:t>services.</w:t>
            </w:r>
          </w:p>
          <w:p w:rsidR="008D1AA6" w:rsidRDefault="008967D0">
            <w:pPr>
              <w:pStyle w:val="TableParagraph"/>
              <w:numPr>
                <w:ilvl w:val="0"/>
                <w:numId w:val="4"/>
              </w:numPr>
              <w:tabs>
                <w:tab w:val="left" w:pos="480"/>
              </w:tabs>
              <w:ind w:right="348"/>
              <w:rPr>
                <w:sz w:val="24"/>
              </w:rPr>
            </w:pPr>
            <w:r>
              <w:rPr>
                <w:sz w:val="24"/>
              </w:rPr>
              <w:t>Introduction of this service would be duplicative of services</w:t>
            </w:r>
            <w:r>
              <w:rPr>
                <w:spacing w:val="-11"/>
                <w:sz w:val="24"/>
              </w:rPr>
              <w:t xml:space="preserve"> </w:t>
            </w:r>
            <w:r>
              <w:rPr>
                <w:sz w:val="24"/>
              </w:rPr>
              <w:t>that are already in</w:t>
            </w:r>
            <w:r>
              <w:rPr>
                <w:spacing w:val="-7"/>
                <w:sz w:val="24"/>
              </w:rPr>
              <w:t xml:space="preserve"> </w:t>
            </w:r>
            <w:r>
              <w:rPr>
                <w:sz w:val="24"/>
              </w:rPr>
              <w:t>place.</w:t>
            </w:r>
          </w:p>
          <w:p w:rsidR="008D1AA6" w:rsidRDefault="008967D0">
            <w:pPr>
              <w:pStyle w:val="TableParagraph"/>
              <w:numPr>
                <w:ilvl w:val="0"/>
                <w:numId w:val="4"/>
              </w:numPr>
              <w:tabs>
                <w:tab w:val="left" w:pos="480"/>
              </w:tabs>
              <w:ind w:right="116"/>
              <w:rPr>
                <w:sz w:val="24"/>
              </w:rPr>
            </w:pPr>
            <w:r>
              <w:rPr>
                <w:sz w:val="24"/>
              </w:rPr>
              <w:t>The youth is in a hospital, skilled nursing facility, psychiatric residential treatment facility, or other residential setting at the</w:t>
            </w:r>
            <w:r>
              <w:rPr>
                <w:spacing w:val="-12"/>
                <w:sz w:val="24"/>
              </w:rPr>
              <w:t xml:space="preserve"> </w:t>
            </w:r>
            <w:r>
              <w:rPr>
                <w:sz w:val="24"/>
              </w:rPr>
              <w:t>time of referral and is not ready for discharge to a family</w:t>
            </w:r>
            <w:r>
              <w:rPr>
                <w:spacing w:val="-10"/>
                <w:sz w:val="24"/>
              </w:rPr>
              <w:t xml:space="preserve"> </w:t>
            </w:r>
            <w:r>
              <w:rPr>
                <w:sz w:val="24"/>
              </w:rPr>
              <w:t>home</w:t>
            </w:r>
          </w:p>
          <w:p w:rsidR="008D1AA6" w:rsidRDefault="008967D0">
            <w:pPr>
              <w:pStyle w:val="TableParagraph"/>
              <w:spacing w:before="5" w:line="274" w:lineRule="exact"/>
              <w:ind w:right="915"/>
              <w:rPr>
                <w:sz w:val="24"/>
              </w:rPr>
            </w:pPr>
            <w:r>
              <w:rPr>
                <w:sz w:val="24"/>
              </w:rPr>
              <w:t>environment or community setting with community-based sup</w:t>
            </w:r>
            <w:r>
              <w:rPr>
                <w:sz w:val="24"/>
              </w:rPr>
              <w:t>ports.</w:t>
            </w:r>
          </w:p>
        </w:tc>
      </w:tr>
      <w:tr w:rsidR="008D1AA6">
        <w:trPr>
          <w:trHeight w:val="3554"/>
        </w:trPr>
        <w:tc>
          <w:tcPr>
            <w:tcW w:w="2432" w:type="dxa"/>
          </w:tcPr>
          <w:p w:rsidR="008D1AA6" w:rsidRDefault="008967D0">
            <w:pPr>
              <w:pStyle w:val="TableParagraph"/>
              <w:spacing w:before="61"/>
              <w:ind w:left="122"/>
              <w:rPr>
                <w:rFonts w:ascii="Tw Cen MT"/>
                <w:b/>
                <w:sz w:val="20"/>
              </w:rPr>
            </w:pPr>
            <w:r>
              <w:rPr>
                <w:rFonts w:ascii="Tw Cen MT"/>
                <w:b/>
                <w:sz w:val="20"/>
              </w:rPr>
              <w:t>Continued Stay Criteria</w:t>
            </w:r>
          </w:p>
        </w:tc>
        <w:tc>
          <w:tcPr>
            <w:tcW w:w="7022" w:type="dxa"/>
          </w:tcPr>
          <w:p w:rsidR="008D1AA6" w:rsidRDefault="008967D0">
            <w:pPr>
              <w:pStyle w:val="TableParagraph"/>
              <w:spacing w:before="56"/>
              <w:ind w:left="119" w:right="308"/>
              <w:rPr>
                <w:sz w:val="24"/>
              </w:rPr>
            </w:pPr>
            <w:r>
              <w:rPr>
                <w:b/>
                <w:i/>
                <w:sz w:val="24"/>
              </w:rPr>
              <w:t xml:space="preserve">All </w:t>
            </w:r>
            <w:r>
              <w:rPr>
                <w:i/>
                <w:sz w:val="24"/>
              </w:rPr>
              <w:t>of the following criteria are required for continuing treatment at this level of care</w:t>
            </w:r>
            <w:r>
              <w:rPr>
                <w:sz w:val="24"/>
              </w:rPr>
              <w:t>:</w:t>
            </w:r>
          </w:p>
          <w:p w:rsidR="008D1AA6" w:rsidRDefault="008967D0">
            <w:pPr>
              <w:pStyle w:val="TableParagraph"/>
              <w:numPr>
                <w:ilvl w:val="0"/>
                <w:numId w:val="3"/>
              </w:numPr>
              <w:tabs>
                <w:tab w:val="left" w:pos="451"/>
              </w:tabs>
              <w:ind w:right="249" w:hanging="360"/>
              <w:rPr>
                <w:sz w:val="24"/>
              </w:rPr>
            </w:pPr>
            <w:r>
              <w:rPr>
                <w:sz w:val="24"/>
              </w:rPr>
              <w:t>The youth’s clinical condition(s) continues to warrant In-Home Behavioral Services in order to maintain him/her in the community and continue progress toward goals established in</w:t>
            </w:r>
            <w:r>
              <w:rPr>
                <w:spacing w:val="-11"/>
                <w:sz w:val="24"/>
              </w:rPr>
              <w:t xml:space="preserve"> </w:t>
            </w:r>
            <w:r>
              <w:rPr>
                <w:sz w:val="24"/>
              </w:rPr>
              <w:t>the behavior</w:t>
            </w:r>
            <w:r>
              <w:rPr>
                <w:spacing w:val="-1"/>
                <w:sz w:val="24"/>
              </w:rPr>
              <w:t xml:space="preserve"> </w:t>
            </w:r>
            <w:r>
              <w:rPr>
                <w:sz w:val="24"/>
              </w:rPr>
              <w:t>plan.</w:t>
            </w:r>
          </w:p>
          <w:p w:rsidR="008D1AA6" w:rsidRDefault="008967D0">
            <w:pPr>
              <w:pStyle w:val="TableParagraph"/>
              <w:numPr>
                <w:ilvl w:val="0"/>
                <w:numId w:val="3"/>
              </w:numPr>
              <w:tabs>
                <w:tab w:val="left" w:pos="451"/>
              </w:tabs>
              <w:ind w:right="283" w:hanging="360"/>
              <w:rPr>
                <w:sz w:val="24"/>
              </w:rPr>
            </w:pPr>
            <w:r>
              <w:rPr>
                <w:sz w:val="24"/>
              </w:rPr>
              <w:t>The youth is actively participating in the plan of care an</w:t>
            </w:r>
            <w:r>
              <w:rPr>
                <w:sz w:val="24"/>
              </w:rPr>
              <w:t>d treatment to the extent possible consistent with his/her</w:t>
            </w:r>
            <w:r>
              <w:rPr>
                <w:spacing w:val="-11"/>
                <w:sz w:val="24"/>
              </w:rPr>
              <w:t xml:space="preserve"> </w:t>
            </w:r>
            <w:r>
              <w:rPr>
                <w:sz w:val="24"/>
              </w:rPr>
              <w:t>condition.</w:t>
            </w:r>
          </w:p>
          <w:p w:rsidR="008D1AA6" w:rsidRDefault="008967D0">
            <w:pPr>
              <w:pStyle w:val="TableParagraph"/>
              <w:numPr>
                <w:ilvl w:val="0"/>
                <w:numId w:val="3"/>
              </w:numPr>
              <w:tabs>
                <w:tab w:val="left" w:pos="451"/>
              </w:tabs>
              <w:ind w:right="306" w:hanging="360"/>
              <w:rPr>
                <w:sz w:val="20"/>
              </w:rPr>
            </w:pPr>
            <w:r>
              <w:rPr>
                <w:sz w:val="24"/>
              </w:rPr>
              <w:t>With consent, the parent/guardian/caregiver, and/or natural supports are actively involved in the treatment as required by</w:t>
            </w:r>
            <w:r>
              <w:rPr>
                <w:spacing w:val="-14"/>
                <w:sz w:val="24"/>
              </w:rPr>
              <w:t xml:space="preserve"> </w:t>
            </w:r>
            <w:r>
              <w:rPr>
                <w:sz w:val="24"/>
              </w:rPr>
              <w:t>the behavior plan, or there are active efforts being made</w:t>
            </w:r>
            <w:r>
              <w:rPr>
                <w:spacing w:val="-4"/>
                <w:sz w:val="24"/>
              </w:rPr>
              <w:t xml:space="preserve"> </w:t>
            </w:r>
            <w:r>
              <w:rPr>
                <w:sz w:val="24"/>
              </w:rPr>
              <w:t>and</w:t>
            </w:r>
          </w:p>
          <w:p w:rsidR="008D1AA6" w:rsidRDefault="008967D0">
            <w:pPr>
              <w:pStyle w:val="TableParagraph"/>
              <w:spacing w:before="1" w:line="261" w:lineRule="exact"/>
              <w:rPr>
                <w:sz w:val="24"/>
              </w:rPr>
            </w:pPr>
            <w:r>
              <w:rPr>
                <w:sz w:val="24"/>
              </w:rPr>
              <w:t>documented to involve them.</w:t>
            </w:r>
          </w:p>
        </w:tc>
      </w:tr>
      <w:tr w:rsidR="008D1AA6">
        <w:trPr>
          <w:trHeight w:val="2111"/>
        </w:trPr>
        <w:tc>
          <w:tcPr>
            <w:tcW w:w="2432" w:type="dxa"/>
          </w:tcPr>
          <w:p w:rsidR="008D1AA6" w:rsidRDefault="008967D0">
            <w:pPr>
              <w:pStyle w:val="TableParagraph"/>
              <w:spacing w:before="61"/>
              <w:ind w:left="122"/>
              <w:rPr>
                <w:rFonts w:ascii="Tw Cen MT"/>
                <w:b/>
                <w:sz w:val="20"/>
              </w:rPr>
            </w:pPr>
            <w:r>
              <w:rPr>
                <w:rFonts w:ascii="Tw Cen MT"/>
                <w:b/>
                <w:sz w:val="20"/>
              </w:rPr>
              <w:t>Discharge Criteria</w:t>
            </w:r>
          </w:p>
        </w:tc>
        <w:tc>
          <w:tcPr>
            <w:tcW w:w="7022" w:type="dxa"/>
          </w:tcPr>
          <w:p w:rsidR="008D1AA6" w:rsidRDefault="008967D0">
            <w:pPr>
              <w:pStyle w:val="TableParagraph"/>
              <w:spacing w:before="54"/>
              <w:ind w:left="119" w:right="274"/>
              <w:rPr>
                <w:sz w:val="24"/>
              </w:rPr>
            </w:pPr>
            <w:r>
              <w:rPr>
                <w:b/>
                <w:i/>
                <w:sz w:val="24"/>
              </w:rPr>
              <w:t xml:space="preserve">Any one </w:t>
            </w:r>
            <w:r>
              <w:rPr>
                <w:i/>
                <w:sz w:val="24"/>
              </w:rPr>
              <w:t>of the following criteria is sufficient for discharge from this level of care</w:t>
            </w:r>
            <w:r>
              <w:rPr>
                <w:sz w:val="24"/>
              </w:rPr>
              <w:t>:</w:t>
            </w:r>
          </w:p>
          <w:p w:rsidR="008D1AA6" w:rsidRDefault="008967D0" w:rsidP="005B29B9">
            <w:pPr>
              <w:pStyle w:val="TableParagraph"/>
              <w:numPr>
                <w:ilvl w:val="0"/>
                <w:numId w:val="2"/>
              </w:numPr>
              <w:tabs>
                <w:tab w:val="left" w:pos="480"/>
              </w:tabs>
              <w:ind w:right="132"/>
              <w:rPr>
                <w:sz w:val="24"/>
              </w:rPr>
            </w:pPr>
            <w:r>
              <w:rPr>
                <w:sz w:val="24"/>
              </w:rPr>
              <w:t>The youth no longer meets admission criteria for this level of</w:t>
            </w:r>
            <w:r>
              <w:rPr>
                <w:spacing w:val="-15"/>
                <w:sz w:val="24"/>
              </w:rPr>
              <w:t xml:space="preserve"> </w:t>
            </w:r>
            <w:r>
              <w:rPr>
                <w:sz w:val="24"/>
              </w:rPr>
              <w:t>care, or meets criteria for a less- or more-intensive leve</w:t>
            </w:r>
            <w:r>
              <w:rPr>
                <w:sz w:val="24"/>
              </w:rPr>
              <w:t>l of</w:t>
            </w:r>
            <w:r>
              <w:rPr>
                <w:spacing w:val="-7"/>
                <w:sz w:val="24"/>
              </w:rPr>
              <w:t xml:space="preserve"> </w:t>
            </w:r>
            <w:r>
              <w:rPr>
                <w:sz w:val="24"/>
              </w:rPr>
              <w:t>care.</w:t>
            </w:r>
          </w:p>
          <w:p w:rsidR="008D1AA6" w:rsidRDefault="008967D0" w:rsidP="005B29B9">
            <w:pPr>
              <w:pStyle w:val="TableParagraph"/>
              <w:numPr>
                <w:ilvl w:val="0"/>
                <w:numId w:val="2"/>
              </w:numPr>
              <w:tabs>
                <w:tab w:val="left" w:pos="480"/>
              </w:tabs>
              <w:spacing w:line="270" w:lineRule="atLeast"/>
              <w:ind w:right="630"/>
              <w:rPr>
                <w:sz w:val="24"/>
              </w:rPr>
            </w:pPr>
            <w:r>
              <w:rPr>
                <w:sz w:val="24"/>
              </w:rPr>
              <w:t>The youth’s behavior plan goals and objectives have been substantially met, and continued services are not necessary</w:t>
            </w:r>
            <w:r>
              <w:rPr>
                <w:spacing w:val="-12"/>
                <w:sz w:val="24"/>
              </w:rPr>
              <w:t xml:space="preserve"> </w:t>
            </w:r>
            <w:r>
              <w:rPr>
                <w:sz w:val="24"/>
              </w:rPr>
              <w:t>to prevent the worsening of the youth’s</w:t>
            </w:r>
            <w:r>
              <w:rPr>
                <w:spacing w:val="-4"/>
                <w:sz w:val="24"/>
              </w:rPr>
              <w:t xml:space="preserve"> </w:t>
            </w:r>
            <w:r>
              <w:rPr>
                <w:sz w:val="24"/>
              </w:rPr>
              <w:t>behavior.</w:t>
            </w:r>
          </w:p>
          <w:p w:rsidR="005B29B9" w:rsidRDefault="005B29B9" w:rsidP="005B29B9">
            <w:pPr>
              <w:pStyle w:val="TableParagraph"/>
              <w:numPr>
                <w:ilvl w:val="0"/>
                <w:numId w:val="2"/>
              </w:numPr>
              <w:tabs>
                <w:tab w:val="left" w:pos="480"/>
              </w:tabs>
              <w:spacing w:before="54"/>
              <w:ind w:right="522"/>
              <w:rPr>
                <w:sz w:val="24"/>
              </w:rPr>
            </w:pPr>
            <w:r>
              <w:rPr>
                <w:sz w:val="24"/>
              </w:rPr>
              <w:t>The youth and/or parent/guardian/caregiver are not engaged</w:t>
            </w:r>
            <w:r>
              <w:rPr>
                <w:spacing w:val="-12"/>
                <w:sz w:val="24"/>
              </w:rPr>
              <w:t xml:space="preserve"> </w:t>
            </w:r>
            <w:r>
              <w:rPr>
                <w:sz w:val="24"/>
              </w:rPr>
              <w:t>in treatment. The lack of engagement is of such a degree that treatment at this level of care becomes ineffective or unsafe, despite multiple, documented attempts to address engagement issues.</w:t>
            </w:r>
          </w:p>
          <w:p w:rsidR="005B29B9" w:rsidRDefault="005B29B9" w:rsidP="005B29B9">
            <w:pPr>
              <w:pStyle w:val="TableParagraph"/>
              <w:numPr>
                <w:ilvl w:val="0"/>
                <w:numId w:val="2"/>
              </w:numPr>
              <w:tabs>
                <w:tab w:val="left" w:pos="480"/>
              </w:tabs>
              <w:ind w:right="326"/>
              <w:rPr>
                <w:sz w:val="24"/>
              </w:rPr>
            </w:pPr>
            <w:r>
              <w:rPr>
                <w:sz w:val="24"/>
              </w:rPr>
              <w:t>The youth is not making progress toward goals and objectives in the behavior plan, and there is no reasonable expectation of progress at this level of care, nor is it required to maintain the current level of</w:t>
            </w:r>
            <w:r>
              <w:rPr>
                <w:spacing w:val="-1"/>
                <w:sz w:val="24"/>
              </w:rPr>
              <w:t xml:space="preserve"> </w:t>
            </w:r>
            <w:r>
              <w:rPr>
                <w:sz w:val="24"/>
              </w:rPr>
              <w:t>functioning.</w:t>
            </w:r>
          </w:p>
          <w:p w:rsidR="005B29B9" w:rsidRDefault="005B29B9" w:rsidP="005B29B9">
            <w:pPr>
              <w:pStyle w:val="TableParagraph"/>
              <w:numPr>
                <w:ilvl w:val="0"/>
                <w:numId w:val="2"/>
              </w:numPr>
              <w:tabs>
                <w:tab w:val="left" w:pos="480"/>
              </w:tabs>
              <w:spacing w:line="270" w:lineRule="atLeast"/>
              <w:ind w:right="630"/>
              <w:rPr>
                <w:sz w:val="24"/>
              </w:rPr>
            </w:pPr>
            <w:r>
              <w:rPr>
                <w:sz w:val="24"/>
              </w:rPr>
              <w:t>Consent for treatment is</w:t>
            </w:r>
            <w:r>
              <w:rPr>
                <w:spacing w:val="-7"/>
                <w:sz w:val="24"/>
              </w:rPr>
              <w:t xml:space="preserve"> </w:t>
            </w:r>
            <w:r>
              <w:rPr>
                <w:sz w:val="24"/>
              </w:rPr>
              <w:t>withdrawn.</w:t>
            </w:r>
          </w:p>
        </w:tc>
      </w:tr>
      <w:bookmarkEnd w:id="0"/>
    </w:tbl>
    <w:p w:rsidR="008967D0" w:rsidRDefault="008967D0" w:rsidP="005B29B9"/>
    <w:sectPr w:rsidR="008967D0">
      <w:pgSz w:w="12240" w:h="15840"/>
      <w:pgMar w:top="1420" w:right="1140" w:bottom="940" w:left="1420" w:header="725" w:footer="6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7D0" w:rsidRDefault="008967D0">
      <w:r>
        <w:separator/>
      </w:r>
    </w:p>
  </w:endnote>
  <w:endnote w:type="continuationSeparator" w:id="0">
    <w:p w:rsidR="008967D0" w:rsidRDefault="0089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899913"/>
      <w:docPartObj>
        <w:docPartGallery w:val="Page Numbers (Bottom of Page)"/>
        <w:docPartUnique/>
      </w:docPartObj>
    </w:sdtPr>
    <w:sdtEndPr>
      <w:rPr>
        <w:noProof/>
      </w:rPr>
    </w:sdtEndPr>
    <w:sdtContent>
      <w:p w:rsidR="00B242E6" w:rsidRDefault="00B242E6" w:rsidP="005B29B9">
        <w:pPr>
          <w:tabs>
            <w:tab w:val="left" w:pos="9180"/>
          </w:tabs>
          <w:spacing w:before="14"/>
          <w:ind w:left="20"/>
        </w:pPr>
        <w:r>
          <w:rPr>
            <w:rFonts w:ascii="Arial"/>
            <w:i/>
            <w:sz w:val="18"/>
          </w:rPr>
          <w:t>Effective 11/1/2019</w:t>
        </w:r>
        <w:r w:rsidR="005B29B9">
          <w:rPr>
            <w:rFonts w:ascii="Arial"/>
            <w:i/>
            <w:sz w:val="18"/>
          </w:rPr>
          <w:tab/>
        </w:r>
        <w:r>
          <w:t xml:space="preserve"> </w:t>
        </w:r>
        <w:r>
          <w:fldChar w:fldCharType="begin"/>
        </w:r>
        <w:r>
          <w:instrText xml:space="preserve"> PAGE   \* MERGEFORMAT </w:instrText>
        </w:r>
        <w:r>
          <w:fldChar w:fldCharType="separate"/>
        </w:r>
        <w:r w:rsidR="008967D0">
          <w:rPr>
            <w:noProof/>
          </w:rPr>
          <w:t>1</w:t>
        </w:r>
        <w:r>
          <w:rPr>
            <w:noProof/>
          </w:rPr>
          <w:fldChar w:fldCharType="end"/>
        </w:r>
      </w:p>
    </w:sdtContent>
  </w:sdt>
  <w:p w:rsidR="008D1AA6" w:rsidRPr="00B242E6" w:rsidRDefault="008D1AA6" w:rsidP="00B242E6">
    <w:pPr>
      <w:spacing w:before="14"/>
      <w:ind w:left="20"/>
      <w:rPr>
        <w:rFonts w:ascii="Arial"/>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7D0" w:rsidRDefault="008967D0">
      <w:r>
        <w:separator/>
      </w:r>
    </w:p>
  </w:footnote>
  <w:footnote w:type="continuationSeparator" w:id="0">
    <w:p w:rsidR="008967D0" w:rsidRDefault="00896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2E6" w:rsidRPr="00B242E6" w:rsidRDefault="00B242E6" w:rsidP="00B242E6">
    <w:pPr>
      <w:pStyle w:val="BodyText"/>
      <w:tabs>
        <w:tab w:val="left" w:pos="6840"/>
      </w:tabs>
      <w:ind w:left="90"/>
      <w:rPr>
        <w:sz w:val="24"/>
        <w:szCs w:val="24"/>
      </w:rPr>
    </w:pPr>
    <w:r w:rsidRPr="00B242E6">
      <w:rPr>
        <w:sz w:val="24"/>
        <w:szCs w:val="24"/>
      </w:rPr>
      <w:t>In-Home Behavioral Services (IHBS)</w:t>
    </w:r>
    <w:r w:rsidRPr="00B242E6">
      <w:rPr>
        <w:sz w:val="24"/>
        <w:szCs w:val="24"/>
      </w:rPr>
      <w:tab/>
      <w:t>Medical Necessity Criteria</w:t>
    </w:r>
    <w:r>
      <w:rPr>
        <w:noProof/>
        <w:lang w:bidi="ar-SA"/>
      </w:rPr>
      <mc:AlternateContent>
        <mc:Choice Requires="wps">
          <w:drawing>
            <wp:anchor distT="0" distB="0" distL="114300" distR="114300" simplePos="0" relativeHeight="251659264" behindDoc="1" locked="0" layoutInCell="1" allowOverlap="1" wp14:anchorId="5630D60B" wp14:editId="2A9053B7">
              <wp:simplePos x="0" y="0"/>
              <wp:positionH relativeFrom="page">
                <wp:posOffset>936625</wp:posOffset>
              </wp:positionH>
              <wp:positionV relativeFrom="page">
                <wp:posOffset>660897</wp:posOffset>
              </wp:positionV>
              <wp:extent cx="6039485" cy="0"/>
              <wp:effectExtent l="0" t="0" r="18415" b="19050"/>
              <wp:wrapNone/>
              <wp:docPr id="5" name="Line 5" title="&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94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alt="Title: &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75pt,52.05pt" to="549.3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3usKQIAAFYEAAAOAAAAZHJzL2Uyb0RvYy54bWysVM2O2jAQvlfqO1g+9AZJ2CyFlLCqCPSy&#10;bZF2+wDGdohVx3ZtQ0DVvnvHDkFse6mq5uDMZGa++ebHWTycWomO3DqhVYmzcYoRV1QzofYl/va8&#10;Gc0wcp4oRqRWvMRn7vDD8u2bRWcKPtGNloxbBCDKFZ0pceO9KZLE0Ya3xI214QqMtbYt8aDafcIs&#10;6QC9lckkTadJpy0zVlPuHHyteiNeRvy65tR/rWvHPZIlBm4+njaeu3AmywUp9paYRtALDfIPLFoi&#10;FCS9QlXEE3Sw4g+oVlCrna79mOo20XUtKI81QDVZ+ls1Tw0xPNYCzXHm2ib3/2Dpl+PWIsFKfI+R&#10;Ii2M6FEojkDzwktQ3/04aP+hP0O7OuMKiFqprQ0F05N6Mo+afndI6VVD1J5H2s9nA8FZiEhehQTF&#10;GUi66z5rBj7k4HXs3am2bYCErqBTHNH5OiJ+8ojCx2l6N89nwI4OtoQUQ6Cxzn/iukVBKLGEQiIw&#10;OT46H4iQYnAJeZTeCCnjBkiFugA+n8YAp6VgwRjcnN3vVtKiIwk7FJ9YFVhu3QJyRVzT+0VTv11W&#10;HxSLWRpO2PoieyJkLwMrqUIiqBF4XqR+e37O0/l6tp7lo3wyXY/ytKpGHzerfDTdZO/vq7tqtaqy&#10;l8A5y4tGMMZVoD1scpb/3aZc7lS/g9ddvvYneY0eGwlkh3ckHYcc5tpvyE6z89YOw4fljc6XixZu&#10;x60O8u3vYPkLAAD//wMAUEsDBBQABgAIAAAAIQCNa0Zi4AAAAAwBAAAPAAAAZHJzL2Rvd25yZXYu&#10;eG1sTI9BS8NAEIXvgv9hGcGb3VRqu43ZFFEUepBiWzxvs2MSk50N2W2T/nunIOht3szjzfey1eha&#10;ccI+1J40TCcJCKTC25pKDfvd650CEaIha1pPqOGMAVb59VVmUusH+sDTNpaCQyikRkMVY5dKGYoK&#10;nQkT3yHx7cv3zkSWfSltbwYOd628T5K5dKYm/lCZDp8rLJrt0Wl4V/LFb5rP4vw97N6UWjfLxXqv&#10;9e3N+PQIIuIY/8xwwWd0yJnp4I9kg2hZzxYPbOUhmU1BXBzJUs1BHH5XMs/k/xL5DwAAAP//AwBQ&#10;SwECLQAUAAYACAAAACEAtoM4kv4AAADhAQAAEwAAAAAAAAAAAAAAAAAAAAAAW0NvbnRlbnRfVHlw&#10;ZXNdLnhtbFBLAQItABQABgAIAAAAIQA4/SH/1gAAAJQBAAALAAAAAAAAAAAAAAAAAC8BAABfcmVs&#10;cy8ucmVsc1BLAQItABQABgAIAAAAIQBbX3usKQIAAFYEAAAOAAAAAAAAAAAAAAAAAC4CAABkcnMv&#10;ZTJvRG9jLnhtbFBLAQItABQABgAIAAAAIQCNa0Zi4AAAAAwBAAAPAAAAAAAAAAAAAAAAAIMEAABk&#10;cnMvZG93bnJldi54bWxQSwUGAAAAAAQABADzAAAAkAUAAAAA&#10;" strokeweight=".48pt">
              <w10:wrap anchorx="page" anchory="page"/>
            </v:line>
          </w:pict>
        </mc:Fallback>
      </mc:AlternateContent>
    </w:r>
  </w:p>
  <w:p w:rsidR="00B242E6" w:rsidRPr="00B242E6" w:rsidRDefault="00B242E6" w:rsidP="00B242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E00CF"/>
    <w:multiLevelType w:val="hybridMultilevel"/>
    <w:tmpl w:val="8C3EBA2E"/>
    <w:lvl w:ilvl="0" w:tplc="F844083A">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F446B906">
      <w:numFmt w:val="bullet"/>
      <w:lvlText w:val="•"/>
      <w:lvlJc w:val="left"/>
      <w:pPr>
        <w:ind w:left="1132" w:hanging="360"/>
      </w:pPr>
      <w:rPr>
        <w:rFonts w:hint="default"/>
        <w:lang w:val="en-US" w:eastAsia="en-US" w:bidi="en-US"/>
      </w:rPr>
    </w:lvl>
    <w:lvl w:ilvl="2" w:tplc="97B21A76">
      <w:numFmt w:val="bullet"/>
      <w:lvlText w:val="•"/>
      <w:lvlJc w:val="left"/>
      <w:pPr>
        <w:ind w:left="1785" w:hanging="360"/>
      </w:pPr>
      <w:rPr>
        <w:rFonts w:hint="default"/>
        <w:lang w:val="en-US" w:eastAsia="en-US" w:bidi="en-US"/>
      </w:rPr>
    </w:lvl>
    <w:lvl w:ilvl="3" w:tplc="6114C4E8">
      <w:numFmt w:val="bullet"/>
      <w:lvlText w:val="•"/>
      <w:lvlJc w:val="left"/>
      <w:pPr>
        <w:ind w:left="2437" w:hanging="360"/>
      </w:pPr>
      <w:rPr>
        <w:rFonts w:hint="default"/>
        <w:lang w:val="en-US" w:eastAsia="en-US" w:bidi="en-US"/>
      </w:rPr>
    </w:lvl>
    <w:lvl w:ilvl="4" w:tplc="80524CEA">
      <w:numFmt w:val="bullet"/>
      <w:lvlText w:val="•"/>
      <w:lvlJc w:val="left"/>
      <w:pPr>
        <w:ind w:left="3090" w:hanging="360"/>
      </w:pPr>
      <w:rPr>
        <w:rFonts w:hint="default"/>
        <w:lang w:val="en-US" w:eastAsia="en-US" w:bidi="en-US"/>
      </w:rPr>
    </w:lvl>
    <w:lvl w:ilvl="5" w:tplc="3AA8CFB2">
      <w:numFmt w:val="bullet"/>
      <w:lvlText w:val="•"/>
      <w:lvlJc w:val="left"/>
      <w:pPr>
        <w:ind w:left="3743" w:hanging="360"/>
      </w:pPr>
      <w:rPr>
        <w:rFonts w:hint="default"/>
        <w:lang w:val="en-US" w:eastAsia="en-US" w:bidi="en-US"/>
      </w:rPr>
    </w:lvl>
    <w:lvl w:ilvl="6" w:tplc="7B2E3A7C">
      <w:numFmt w:val="bullet"/>
      <w:lvlText w:val="•"/>
      <w:lvlJc w:val="left"/>
      <w:pPr>
        <w:ind w:left="4395" w:hanging="360"/>
      </w:pPr>
      <w:rPr>
        <w:rFonts w:hint="default"/>
        <w:lang w:val="en-US" w:eastAsia="en-US" w:bidi="en-US"/>
      </w:rPr>
    </w:lvl>
    <w:lvl w:ilvl="7" w:tplc="24BA4276">
      <w:numFmt w:val="bullet"/>
      <w:lvlText w:val="•"/>
      <w:lvlJc w:val="left"/>
      <w:pPr>
        <w:ind w:left="5048" w:hanging="360"/>
      </w:pPr>
      <w:rPr>
        <w:rFonts w:hint="default"/>
        <w:lang w:val="en-US" w:eastAsia="en-US" w:bidi="en-US"/>
      </w:rPr>
    </w:lvl>
    <w:lvl w:ilvl="8" w:tplc="3DCC060A">
      <w:numFmt w:val="bullet"/>
      <w:lvlText w:val="•"/>
      <w:lvlJc w:val="left"/>
      <w:pPr>
        <w:ind w:left="5700" w:hanging="360"/>
      </w:pPr>
      <w:rPr>
        <w:rFonts w:hint="default"/>
        <w:lang w:val="en-US" w:eastAsia="en-US" w:bidi="en-US"/>
      </w:rPr>
    </w:lvl>
  </w:abstractNum>
  <w:abstractNum w:abstractNumId="1">
    <w:nsid w:val="4A4A3A8B"/>
    <w:multiLevelType w:val="hybridMultilevel"/>
    <w:tmpl w:val="684CA2CC"/>
    <w:lvl w:ilvl="0" w:tplc="13C605BA">
      <w:start w:val="1"/>
      <w:numFmt w:val="decimal"/>
      <w:lvlText w:val="%1."/>
      <w:lvlJc w:val="left"/>
      <w:pPr>
        <w:ind w:left="479" w:hanging="360"/>
        <w:jc w:val="left"/>
      </w:pPr>
      <w:rPr>
        <w:rFonts w:ascii="Times New Roman" w:eastAsia="Times New Roman" w:hAnsi="Times New Roman" w:cs="Times New Roman" w:hint="default"/>
        <w:spacing w:val="-5"/>
        <w:w w:val="99"/>
        <w:sz w:val="24"/>
        <w:szCs w:val="24"/>
        <w:lang w:val="en-US" w:eastAsia="en-US" w:bidi="en-US"/>
      </w:rPr>
    </w:lvl>
    <w:lvl w:ilvl="1" w:tplc="24647D6A">
      <w:numFmt w:val="bullet"/>
      <w:lvlText w:val="•"/>
      <w:lvlJc w:val="left"/>
      <w:pPr>
        <w:ind w:left="1132" w:hanging="360"/>
      </w:pPr>
      <w:rPr>
        <w:rFonts w:hint="default"/>
        <w:lang w:val="en-US" w:eastAsia="en-US" w:bidi="en-US"/>
      </w:rPr>
    </w:lvl>
    <w:lvl w:ilvl="2" w:tplc="EC145176">
      <w:numFmt w:val="bullet"/>
      <w:lvlText w:val="•"/>
      <w:lvlJc w:val="left"/>
      <w:pPr>
        <w:ind w:left="1785" w:hanging="360"/>
      </w:pPr>
      <w:rPr>
        <w:rFonts w:hint="default"/>
        <w:lang w:val="en-US" w:eastAsia="en-US" w:bidi="en-US"/>
      </w:rPr>
    </w:lvl>
    <w:lvl w:ilvl="3" w:tplc="6BD2C050">
      <w:numFmt w:val="bullet"/>
      <w:lvlText w:val="•"/>
      <w:lvlJc w:val="left"/>
      <w:pPr>
        <w:ind w:left="2438" w:hanging="360"/>
      </w:pPr>
      <w:rPr>
        <w:rFonts w:hint="default"/>
        <w:lang w:val="en-US" w:eastAsia="en-US" w:bidi="en-US"/>
      </w:rPr>
    </w:lvl>
    <w:lvl w:ilvl="4" w:tplc="71A66500">
      <w:numFmt w:val="bullet"/>
      <w:lvlText w:val="•"/>
      <w:lvlJc w:val="left"/>
      <w:pPr>
        <w:ind w:left="3090" w:hanging="360"/>
      </w:pPr>
      <w:rPr>
        <w:rFonts w:hint="default"/>
        <w:lang w:val="en-US" w:eastAsia="en-US" w:bidi="en-US"/>
      </w:rPr>
    </w:lvl>
    <w:lvl w:ilvl="5" w:tplc="0F3CB0BE">
      <w:numFmt w:val="bullet"/>
      <w:lvlText w:val="•"/>
      <w:lvlJc w:val="left"/>
      <w:pPr>
        <w:ind w:left="3743" w:hanging="360"/>
      </w:pPr>
      <w:rPr>
        <w:rFonts w:hint="default"/>
        <w:lang w:val="en-US" w:eastAsia="en-US" w:bidi="en-US"/>
      </w:rPr>
    </w:lvl>
    <w:lvl w:ilvl="6" w:tplc="E842EF1E">
      <w:numFmt w:val="bullet"/>
      <w:lvlText w:val="•"/>
      <w:lvlJc w:val="left"/>
      <w:pPr>
        <w:ind w:left="4396" w:hanging="360"/>
      </w:pPr>
      <w:rPr>
        <w:rFonts w:hint="default"/>
        <w:lang w:val="en-US" w:eastAsia="en-US" w:bidi="en-US"/>
      </w:rPr>
    </w:lvl>
    <w:lvl w:ilvl="7" w:tplc="E00E2AF8">
      <w:numFmt w:val="bullet"/>
      <w:lvlText w:val="•"/>
      <w:lvlJc w:val="left"/>
      <w:pPr>
        <w:ind w:left="5048" w:hanging="360"/>
      </w:pPr>
      <w:rPr>
        <w:rFonts w:hint="default"/>
        <w:lang w:val="en-US" w:eastAsia="en-US" w:bidi="en-US"/>
      </w:rPr>
    </w:lvl>
    <w:lvl w:ilvl="8" w:tplc="D2F0B840">
      <w:numFmt w:val="bullet"/>
      <w:lvlText w:val="•"/>
      <w:lvlJc w:val="left"/>
      <w:pPr>
        <w:ind w:left="5701" w:hanging="360"/>
      </w:pPr>
      <w:rPr>
        <w:rFonts w:hint="default"/>
        <w:lang w:val="en-US" w:eastAsia="en-US" w:bidi="en-US"/>
      </w:rPr>
    </w:lvl>
  </w:abstractNum>
  <w:abstractNum w:abstractNumId="2">
    <w:nsid w:val="653145AC"/>
    <w:multiLevelType w:val="hybridMultilevel"/>
    <w:tmpl w:val="5428EE0E"/>
    <w:lvl w:ilvl="0" w:tplc="2D6AB796">
      <w:start w:val="1"/>
      <w:numFmt w:val="decimal"/>
      <w:lvlText w:val="%1."/>
      <w:lvlJc w:val="left"/>
      <w:pPr>
        <w:ind w:left="479" w:hanging="360"/>
        <w:jc w:val="left"/>
      </w:pPr>
      <w:rPr>
        <w:rFonts w:ascii="Times New Roman" w:eastAsia="Times New Roman" w:hAnsi="Times New Roman" w:cs="Times New Roman" w:hint="default"/>
        <w:spacing w:val="-12"/>
        <w:w w:val="99"/>
        <w:sz w:val="24"/>
        <w:szCs w:val="24"/>
        <w:lang w:val="en-US" w:eastAsia="en-US" w:bidi="en-US"/>
      </w:rPr>
    </w:lvl>
    <w:lvl w:ilvl="1" w:tplc="849820F0">
      <w:numFmt w:val="bullet"/>
      <w:lvlText w:val="•"/>
      <w:lvlJc w:val="left"/>
      <w:pPr>
        <w:ind w:left="1132" w:hanging="360"/>
      </w:pPr>
      <w:rPr>
        <w:rFonts w:hint="default"/>
        <w:lang w:val="en-US" w:eastAsia="en-US" w:bidi="en-US"/>
      </w:rPr>
    </w:lvl>
    <w:lvl w:ilvl="2" w:tplc="EA4876CC">
      <w:numFmt w:val="bullet"/>
      <w:lvlText w:val="•"/>
      <w:lvlJc w:val="left"/>
      <w:pPr>
        <w:ind w:left="1785" w:hanging="360"/>
      </w:pPr>
      <w:rPr>
        <w:rFonts w:hint="default"/>
        <w:lang w:val="en-US" w:eastAsia="en-US" w:bidi="en-US"/>
      </w:rPr>
    </w:lvl>
    <w:lvl w:ilvl="3" w:tplc="EEE69B02">
      <w:numFmt w:val="bullet"/>
      <w:lvlText w:val="•"/>
      <w:lvlJc w:val="left"/>
      <w:pPr>
        <w:ind w:left="2438" w:hanging="360"/>
      </w:pPr>
      <w:rPr>
        <w:rFonts w:hint="default"/>
        <w:lang w:val="en-US" w:eastAsia="en-US" w:bidi="en-US"/>
      </w:rPr>
    </w:lvl>
    <w:lvl w:ilvl="4" w:tplc="1FE4B35E">
      <w:numFmt w:val="bullet"/>
      <w:lvlText w:val="•"/>
      <w:lvlJc w:val="left"/>
      <w:pPr>
        <w:ind w:left="3090" w:hanging="360"/>
      </w:pPr>
      <w:rPr>
        <w:rFonts w:hint="default"/>
        <w:lang w:val="en-US" w:eastAsia="en-US" w:bidi="en-US"/>
      </w:rPr>
    </w:lvl>
    <w:lvl w:ilvl="5" w:tplc="CF8CCD70">
      <w:numFmt w:val="bullet"/>
      <w:lvlText w:val="•"/>
      <w:lvlJc w:val="left"/>
      <w:pPr>
        <w:ind w:left="3743" w:hanging="360"/>
      </w:pPr>
      <w:rPr>
        <w:rFonts w:hint="default"/>
        <w:lang w:val="en-US" w:eastAsia="en-US" w:bidi="en-US"/>
      </w:rPr>
    </w:lvl>
    <w:lvl w:ilvl="6" w:tplc="BD2E24C8">
      <w:numFmt w:val="bullet"/>
      <w:lvlText w:val="•"/>
      <w:lvlJc w:val="left"/>
      <w:pPr>
        <w:ind w:left="4396" w:hanging="360"/>
      </w:pPr>
      <w:rPr>
        <w:rFonts w:hint="default"/>
        <w:lang w:val="en-US" w:eastAsia="en-US" w:bidi="en-US"/>
      </w:rPr>
    </w:lvl>
    <w:lvl w:ilvl="7" w:tplc="9A4A9C2E">
      <w:numFmt w:val="bullet"/>
      <w:lvlText w:val="•"/>
      <w:lvlJc w:val="left"/>
      <w:pPr>
        <w:ind w:left="5048" w:hanging="360"/>
      </w:pPr>
      <w:rPr>
        <w:rFonts w:hint="default"/>
        <w:lang w:val="en-US" w:eastAsia="en-US" w:bidi="en-US"/>
      </w:rPr>
    </w:lvl>
    <w:lvl w:ilvl="8" w:tplc="2402BCAA">
      <w:numFmt w:val="bullet"/>
      <w:lvlText w:val="•"/>
      <w:lvlJc w:val="left"/>
      <w:pPr>
        <w:ind w:left="5701" w:hanging="360"/>
      </w:pPr>
      <w:rPr>
        <w:rFonts w:hint="default"/>
        <w:lang w:val="en-US" w:eastAsia="en-US" w:bidi="en-US"/>
      </w:rPr>
    </w:lvl>
  </w:abstractNum>
  <w:abstractNum w:abstractNumId="3">
    <w:nsid w:val="728068C1"/>
    <w:multiLevelType w:val="hybridMultilevel"/>
    <w:tmpl w:val="0DFAA2EE"/>
    <w:lvl w:ilvl="0" w:tplc="1DA00306">
      <w:start w:val="3"/>
      <w:numFmt w:val="decimal"/>
      <w:lvlText w:val="%1."/>
      <w:lvlJc w:val="left"/>
      <w:pPr>
        <w:ind w:left="479" w:hanging="360"/>
        <w:jc w:val="left"/>
      </w:pPr>
      <w:rPr>
        <w:rFonts w:ascii="Times New Roman" w:eastAsia="Times New Roman" w:hAnsi="Times New Roman" w:cs="Times New Roman" w:hint="default"/>
        <w:spacing w:val="-5"/>
        <w:w w:val="99"/>
        <w:sz w:val="24"/>
        <w:szCs w:val="24"/>
        <w:lang w:val="en-US" w:eastAsia="en-US" w:bidi="en-US"/>
      </w:rPr>
    </w:lvl>
    <w:lvl w:ilvl="1" w:tplc="4CC22A9E">
      <w:numFmt w:val="bullet"/>
      <w:lvlText w:val="•"/>
      <w:lvlJc w:val="left"/>
      <w:pPr>
        <w:ind w:left="1132" w:hanging="360"/>
      </w:pPr>
      <w:rPr>
        <w:rFonts w:hint="default"/>
        <w:lang w:val="en-US" w:eastAsia="en-US" w:bidi="en-US"/>
      </w:rPr>
    </w:lvl>
    <w:lvl w:ilvl="2" w:tplc="3DC89FC0">
      <w:numFmt w:val="bullet"/>
      <w:lvlText w:val="•"/>
      <w:lvlJc w:val="left"/>
      <w:pPr>
        <w:ind w:left="1785" w:hanging="360"/>
      </w:pPr>
      <w:rPr>
        <w:rFonts w:hint="default"/>
        <w:lang w:val="en-US" w:eastAsia="en-US" w:bidi="en-US"/>
      </w:rPr>
    </w:lvl>
    <w:lvl w:ilvl="3" w:tplc="2B34B83C">
      <w:numFmt w:val="bullet"/>
      <w:lvlText w:val="•"/>
      <w:lvlJc w:val="left"/>
      <w:pPr>
        <w:ind w:left="2438" w:hanging="360"/>
      </w:pPr>
      <w:rPr>
        <w:rFonts w:hint="default"/>
        <w:lang w:val="en-US" w:eastAsia="en-US" w:bidi="en-US"/>
      </w:rPr>
    </w:lvl>
    <w:lvl w:ilvl="4" w:tplc="6FB6F3F6">
      <w:numFmt w:val="bullet"/>
      <w:lvlText w:val="•"/>
      <w:lvlJc w:val="left"/>
      <w:pPr>
        <w:ind w:left="3090" w:hanging="360"/>
      </w:pPr>
      <w:rPr>
        <w:rFonts w:hint="default"/>
        <w:lang w:val="en-US" w:eastAsia="en-US" w:bidi="en-US"/>
      </w:rPr>
    </w:lvl>
    <w:lvl w:ilvl="5" w:tplc="CB3EA6CC">
      <w:numFmt w:val="bullet"/>
      <w:lvlText w:val="•"/>
      <w:lvlJc w:val="left"/>
      <w:pPr>
        <w:ind w:left="3743" w:hanging="360"/>
      </w:pPr>
      <w:rPr>
        <w:rFonts w:hint="default"/>
        <w:lang w:val="en-US" w:eastAsia="en-US" w:bidi="en-US"/>
      </w:rPr>
    </w:lvl>
    <w:lvl w:ilvl="6" w:tplc="79ECDF2E">
      <w:numFmt w:val="bullet"/>
      <w:lvlText w:val="•"/>
      <w:lvlJc w:val="left"/>
      <w:pPr>
        <w:ind w:left="4396" w:hanging="360"/>
      </w:pPr>
      <w:rPr>
        <w:rFonts w:hint="default"/>
        <w:lang w:val="en-US" w:eastAsia="en-US" w:bidi="en-US"/>
      </w:rPr>
    </w:lvl>
    <w:lvl w:ilvl="7" w:tplc="9DB6D4A6">
      <w:numFmt w:val="bullet"/>
      <w:lvlText w:val="•"/>
      <w:lvlJc w:val="left"/>
      <w:pPr>
        <w:ind w:left="5048" w:hanging="360"/>
      </w:pPr>
      <w:rPr>
        <w:rFonts w:hint="default"/>
        <w:lang w:val="en-US" w:eastAsia="en-US" w:bidi="en-US"/>
      </w:rPr>
    </w:lvl>
    <w:lvl w:ilvl="8" w:tplc="750E26D2">
      <w:numFmt w:val="bullet"/>
      <w:lvlText w:val="•"/>
      <w:lvlJc w:val="left"/>
      <w:pPr>
        <w:ind w:left="5701" w:hanging="360"/>
      </w:pPr>
      <w:rPr>
        <w:rFonts w:hint="default"/>
        <w:lang w:val="en-US" w:eastAsia="en-US" w:bidi="en-US"/>
      </w:rPr>
    </w:lvl>
  </w:abstractNum>
  <w:abstractNum w:abstractNumId="4">
    <w:nsid w:val="7F6D3CD2"/>
    <w:multiLevelType w:val="hybridMultilevel"/>
    <w:tmpl w:val="0C0465AA"/>
    <w:lvl w:ilvl="0" w:tplc="94DE9442">
      <w:start w:val="1"/>
      <w:numFmt w:val="decimal"/>
      <w:lvlText w:val="%1."/>
      <w:lvlJc w:val="left"/>
      <w:pPr>
        <w:ind w:left="479" w:hanging="332"/>
        <w:jc w:val="left"/>
      </w:pPr>
      <w:rPr>
        <w:rFonts w:hint="default"/>
        <w:spacing w:val="-29"/>
        <w:w w:val="99"/>
        <w:lang w:val="en-US" w:eastAsia="en-US" w:bidi="en-US"/>
      </w:rPr>
    </w:lvl>
    <w:lvl w:ilvl="1" w:tplc="50449584">
      <w:numFmt w:val="bullet"/>
      <w:lvlText w:val="•"/>
      <w:lvlJc w:val="left"/>
      <w:pPr>
        <w:ind w:left="1132" w:hanging="332"/>
      </w:pPr>
      <w:rPr>
        <w:rFonts w:hint="default"/>
        <w:lang w:val="en-US" w:eastAsia="en-US" w:bidi="en-US"/>
      </w:rPr>
    </w:lvl>
    <w:lvl w:ilvl="2" w:tplc="80D26054">
      <w:numFmt w:val="bullet"/>
      <w:lvlText w:val="•"/>
      <w:lvlJc w:val="left"/>
      <w:pPr>
        <w:ind w:left="1785" w:hanging="332"/>
      </w:pPr>
      <w:rPr>
        <w:rFonts w:hint="default"/>
        <w:lang w:val="en-US" w:eastAsia="en-US" w:bidi="en-US"/>
      </w:rPr>
    </w:lvl>
    <w:lvl w:ilvl="3" w:tplc="DD40A2DE">
      <w:numFmt w:val="bullet"/>
      <w:lvlText w:val="•"/>
      <w:lvlJc w:val="left"/>
      <w:pPr>
        <w:ind w:left="2438" w:hanging="332"/>
      </w:pPr>
      <w:rPr>
        <w:rFonts w:hint="default"/>
        <w:lang w:val="en-US" w:eastAsia="en-US" w:bidi="en-US"/>
      </w:rPr>
    </w:lvl>
    <w:lvl w:ilvl="4" w:tplc="AB82460A">
      <w:numFmt w:val="bullet"/>
      <w:lvlText w:val="•"/>
      <w:lvlJc w:val="left"/>
      <w:pPr>
        <w:ind w:left="3090" w:hanging="332"/>
      </w:pPr>
      <w:rPr>
        <w:rFonts w:hint="default"/>
        <w:lang w:val="en-US" w:eastAsia="en-US" w:bidi="en-US"/>
      </w:rPr>
    </w:lvl>
    <w:lvl w:ilvl="5" w:tplc="4CEC556A">
      <w:numFmt w:val="bullet"/>
      <w:lvlText w:val="•"/>
      <w:lvlJc w:val="left"/>
      <w:pPr>
        <w:ind w:left="3743" w:hanging="332"/>
      </w:pPr>
      <w:rPr>
        <w:rFonts w:hint="default"/>
        <w:lang w:val="en-US" w:eastAsia="en-US" w:bidi="en-US"/>
      </w:rPr>
    </w:lvl>
    <w:lvl w:ilvl="6" w:tplc="3888055E">
      <w:numFmt w:val="bullet"/>
      <w:lvlText w:val="•"/>
      <w:lvlJc w:val="left"/>
      <w:pPr>
        <w:ind w:left="4396" w:hanging="332"/>
      </w:pPr>
      <w:rPr>
        <w:rFonts w:hint="default"/>
        <w:lang w:val="en-US" w:eastAsia="en-US" w:bidi="en-US"/>
      </w:rPr>
    </w:lvl>
    <w:lvl w:ilvl="7" w:tplc="2CF64CCC">
      <w:numFmt w:val="bullet"/>
      <w:lvlText w:val="•"/>
      <w:lvlJc w:val="left"/>
      <w:pPr>
        <w:ind w:left="5048" w:hanging="332"/>
      </w:pPr>
      <w:rPr>
        <w:rFonts w:hint="default"/>
        <w:lang w:val="en-US" w:eastAsia="en-US" w:bidi="en-US"/>
      </w:rPr>
    </w:lvl>
    <w:lvl w:ilvl="8" w:tplc="C49C1ED8">
      <w:numFmt w:val="bullet"/>
      <w:lvlText w:val="•"/>
      <w:lvlJc w:val="left"/>
      <w:pPr>
        <w:ind w:left="5701" w:hanging="332"/>
      </w:pPr>
      <w:rPr>
        <w:rFonts w:hint="default"/>
        <w:lang w:val="en-US" w:eastAsia="en-US" w:bidi="en-US"/>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AA6"/>
    <w:rsid w:val="005B29B9"/>
    <w:rsid w:val="008967D0"/>
    <w:rsid w:val="008D1AA6"/>
    <w:rsid w:val="00970A4D"/>
    <w:rsid w:val="00A6694E"/>
    <w:rsid w:val="00B2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0"/>
      <w:ind w:left="479"/>
    </w:pPr>
  </w:style>
  <w:style w:type="paragraph" w:styleId="Header">
    <w:name w:val="header"/>
    <w:basedOn w:val="Normal"/>
    <w:link w:val="HeaderChar"/>
    <w:uiPriority w:val="99"/>
    <w:unhideWhenUsed/>
    <w:rsid w:val="00970A4D"/>
    <w:pPr>
      <w:tabs>
        <w:tab w:val="center" w:pos="4680"/>
        <w:tab w:val="right" w:pos="9360"/>
      </w:tabs>
    </w:pPr>
  </w:style>
  <w:style w:type="character" w:customStyle="1" w:styleId="HeaderChar">
    <w:name w:val="Header Char"/>
    <w:basedOn w:val="DefaultParagraphFont"/>
    <w:link w:val="Header"/>
    <w:uiPriority w:val="99"/>
    <w:rsid w:val="00970A4D"/>
    <w:rPr>
      <w:rFonts w:ascii="Times New Roman" w:eastAsia="Times New Roman" w:hAnsi="Times New Roman" w:cs="Times New Roman"/>
      <w:lang w:bidi="en-US"/>
    </w:rPr>
  </w:style>
  <w:style w:type="paragraph" w:styleId="Footer">
    <w:name w:val="footer"/>
    <w:basedOn w:val="Normal"/>
    <w:link w:val="FooterChar"/>
    <w:uiPriority w:val="99"/>
    <w:unhideWhenUsed/>
    <w:rsid w:val="00970A4D"/>
    <w:pPr>
      <w:tabs>
        <w:tab w:val="center" w:pos="4680"/>
        <w:tab w:val="right" w:pos="9360"/>
      </w:tabs>
    </w:pPr>
  </w:style>
  <w:style w:type="character" w:customStyle="1" w:styleId="FooterChar">
    <w:name w:val="Footer Char"/>
    <w:basedOn w:val="DefaultParagraphFont"/>
    <w:link w:val="Footer"/>
    <w:uiPriority w:val="99"/>
    <w:rsid w:val="00970A4D"/>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242E6"/>
    <w:rPr>
      <w:rFonts w:ascii="Times New Roman" w:eastAsia="Times New Roman" w:hAnsi="Times New Roman" w:cs="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0"/>
      <w:ind w:left="479"/>
    </w:pPr>
  </w:style>
  <w:style w:type="paragraph" w:styleId="Header">
    <w:name w:val="header"/>
    <w:basedOn w:val="Normal"/>
    <w:link w:val="HeaderChar"/>
    <w:uiPriority w:val="99"/>
    <w:unhideWhenUsed/>
    <w:rsid w:val="00970A4D"/>
    <w:pPr>
      <w:tabs>
        <w:tab w:val="center" w:pos="4680"/>
        <w:tab w:val="right" w:pos="9360"/>
      </w:tabs>
    </w:pPr>
  </w:style>
  <w:style w:type="character" w:customStyle="1" w:styleId="HeaderChar">
    <w:name w:val="Header Char"/>
    <w:basedOn w:val="DefaultParagraphFont"/>
    <w:link w:val="Header"/>
    <w:uiPriority w:val="99"/>
    <w:rsid w:val="00970A4D"/>
    <w:rPr>
      <w:rFonts w:ascii="Times New Roman" w:eastAsia="Times New Roman" w:hAnsi="Times New Roman" w:cs="Times New Roman"/>
      <w:lang w:bidi="en-US"/>
    </w:rPr>
  </w:style>
  <w:style w:type="paragraph" w:styleId="Footer">
    <w:name w:val="footer"/>
    <w:basedOn w:val="Normal"/>
    <w:link w:val="FooterChar"/>
    <w:uiPriority w:val="99"/>
    <w:unhideWhenUsed/>
    <w:rsid w:val="00970A4D"/>
    <w:pPr>
      <w:tabs>
        <w:tab w:val="center" w:pos="4680"/>
        <w:tab w:val="right" w:pos="9360"/>
      </w:tabs>
    </w:pPr>
  </w:style>
  <w:style w:type="character" w:customStyle="1" w:styleId="FooterChar">
    <w:name w:val="Footer Char"/>
    <w:basedOn w:val="DefaultParagraphFont"/>
    <w:link w:val="Footer"/>
    <w:uiPriority w:val="99"/>
    <w:rsid w:val="00970A4D"/>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242E6"/>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7206F-39DA-45D5-B2FB-7820692E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869</Words>
  <Characters>4958</Characters>
  <Application>Microsoft Office Word</Application>
  <DocSecurity>0</DocSecurity>
  <Lines>225</Lines>
  <Paragraphs>97</Paragraphs>
  <ScaleCrop>false</ScaleCrop>
  <HeadingPairs>
    <vt:vector size="2" baseType="variant">
      <vt:variant>
        <vt:lpstr>Title</vt:lpstr>
      </vt:variant>
      <vt:variant>
        <vt:i4>1</vt:i4>
      </vt:variant>
    </vt:vector>
  </HeadingPairs>
  <TitlesOfParts>
    <vt:vector size="1" baseType="lpstr">
      <vt:lpstr>MENTORING SERVICES</vt:lpstr>
    </vt:vector>
  </TitlesOfParts>
  <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MENTORING SERVICES</dc:title>
  <dc:creator>Karen</dc:creator>
  <cp:lastModifiedBy>Administrator</cp:lastModifiedBy>
  <cp:revision>3</cp:revision>
  <dcterms:created xsi:type="dcterms:W3CDTF">2019-11-05T16:34:00Z</dcterms:created>
  <dcterms:modified xsi:type="dcterms:W3CDTF">2019-11-05T17:09:00Z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2016</vt:lpwstr>
  </property>
  <property fmtid="{D5CDD505-2E9C-101B-9397-08002B2CF9AE}" pid="4" name="LastSaved">
    <vt:filetime>2019-11-05T00:00:00Z</vt:filetime>
  </property>
</Properties>
</file>