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152" w:rsidRDefault="00B47152" w:rsidP="000F315B">
      <w:pPr>
        <w:framePr w:w="6926" w:hSpace="187" w:wrap="notBeside" w:vAnchor="page" w:hAnchor="page" w:x="2884" w:y="711"/>
        <w:jc w:val="center"/>
        <w:rPr>
          <w:rFonts w:ascii="Arial" w:hAnsi="Arial"/>
          <w:sz w:val="36"/>
        </w:rPr>
      </w:pPr>
      <w:bookmarkStart w:id="0" w:name="_GoBack"/>
      <w:bookmarkEnd w:id="0"/>
      <w:r>
        <w:rPr>
          <w:rFonts w:ascii="Arial" w:hAnsi="Arial"/>
          <w:sz w:val="36"/>
        </w:rPr>
        <w:t>The Commonwealth of Massachusetts</w:t>
      </w:r>
    </w:p>
    <w:p w:rsidR="00B47152" w:rsidRDefault="00B47152" w:rsidP="00385FC7">
      <w:pPr>
        <w:pStyle w:val="ExecOffice"/>
        <w:framePr w:w="7556" w:wrap="notBeside" w:vAnchor="page" w:x="2526" w:y="1261"/>
      </w:pPr>
      <w:r>
        <w:t>Executive Office of Health and Human Services</w:t>
      </w:r>
    </w:p>
    <w:p w:rsidR="00B47152" w:rsidRDefault="00B47152" w:rsidP="00385FC7">
      <w:pPr>
        <w:pStyle w:val="ExecOffice"/>
        <w:framePr w:w="7556" w:wrap="notBeside" w:vAnchor="page" w:x="2526" w:y="1261"/>
      </w:pPr>
      <w:r>
        <w:t>Department of Public Health</w:t>
      </w:r>
    </w:p>
    <w:p w:rsidR="00B47152" w:rsidRDefault="00B47152" w:rsidP="00385FC7">
      <w:pPr>
        <w:pStyle w:val="ExecOffice"/>
        <w:framePr w:w="7556" w:wrap="notBeside" w:vAnchor="page" w:x="2526" w:y="1261"/>
      </w:pPr>
      <w:r w:rsidRPr="009A50F8">
        <w:t>Bureau of Infectious Disease and Laboratory Sciences</w:t>
      </w:r>
    </w:p>
    <w:p w:rsidR="00B47152" w:rsidRDefault="00B47152" w:rsidP="00385FC7">
      <w:pPr>
        <w:pStyle w:val="ExecOffice"/>
        <w:framePr w:w="7556" w:wrap="notBeside" w:vAnchor="page" w:x="2526" w:y="1261"/>
      </w:pPr>
      <w:r>
        <w:t>305 South Street, Jamaica Plain, MA 02130</w:t>
      </w:r>
    </w:p>
    <w:p w:rsidR="00B47152" w:rsidRDefault="00984007" w:rsidP="00385FC7">
      <w:pPr>
        <w:pStyle w:val="ExecOffice"/>
        <w:framePr w:w="7556" w:wrap="notBeside" w:vAnchor="page" w:x="2526" w:y="1261"/>
      </w:pPr>
      <w:r>
        <w:rPr>
          <w:noProof/>
        </w:rPr>
        <mc:AlternateContent>
          <mc:Choice Requires="wps">
            <w:drawing>
              <wp:anchor distT="0" distB="0" distL="114300" distR="114300" simplePos="0" relativeHeight="251658240" behindDoc="0" locked="0" layoutInCell="1" allowOverlap="1" wp14:anchorId="3436F5C7" wp14:editId="3B7FA99C">
                <wp:simplePos x="0" y="0"/>
                <wp:positionH relativeFrom="column">
                  <wp:posOffset>4111625</wp:posOffset>
                </wp:positionH>
                <wp:positionV relativeFrom="paragraph">
                  <wp:posOffset>130175</wp:posOffset>
                </wp:positionV>
                <wp:extent cx="1814195" cy="1133475"/>
                <wp:effectExtent l="0"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7152" w:rsidRDefault="00B47152" w:rsidP="00D44DFC">
                            <w:pPr>
                              <w:pStyle w:val="Governor"/>
                              <w:spacing w:after="0"/>
                              <w:rPr>
                                <w:sz w:val="16"/>
                              </w:rPr>
                            </w:pPr>
                          </w:p>
                          <w:p w:rsidR="00B47152" w:rsidRPr="009A50F8" w:rsidRDefault="00B47152" w:rsidP="00D44DFC">
                            <w:pPr>
                              <w:pStyle w:val="Weld"/>
                              <w:rPr>
                                <w:rFonts w:ascii="Arial" w:hAnsi="Arial" w:cs="Arial"/>
                                <w:b/>
                              </w:rPr>
                            </w:pPr>
                            <w:r w:rsidRPr="009A50F8">
                              <w:rPr>
                                <w:rFonts w:ascii="Arial" w:hAnsi="Arial" w:cs="Arial"/>
                                <w:b/>
                              </w:rPr>
                              <w:t>MARYLOU SUDDERS</w:t>
                            </w:r>
                          </w:p>
                          <w:p w:rsidR="00B47152" w:rsidRPr="009A50F8" w:rsidRDefault="00B47152" w:rsidP="00D44DFC">
                            <w:pPr>
                              <w:pStyle w:val="Governor"/>
                              <w:rPr>
                                <w:rFonts w:ascii="Arial" w:hAnsi="Arial" w:cs="Arial"/>
                                <w:b/>
                              </w:rPr>
                            </w:pPr>
                            <w:r w:rsidRPr="009A50F8">
                              <w:rPr>
                                <w:rFonts w:ascii="Arial" w:hAnsi="Arial" w:cs="Arial"/>
                                <w:b/>
                              </w:rPr>
                              <w:t>Secretary</w:t>
                            </w:r>
                          </w:p>
                          <w:p w:rsidR="00B47152" w:rsidRPr="009A50F8" w:rsidRDefault="00B47152" w:rsidP="00D44DFC">
                            <w:pPr>
                              <w:jc w:val="center"/>
                              <w:rPr>
                                <w:rFonts w:ascii="Arial" w:hAnsi="Arial" w:cs="Arial"/>
                                <w:b/>
                                <w:sz w:val="14"/>
                                <w:szCs w:val="14"/>
                              </w:rPr>
                            </w:pPr>
                            <w:r w:rsidRPr="009A50F8">
                              <w:rPr>
                                <w:rFonts w:ascii="Arial" w:hAnsi="Arial" w:cs="Arial"/>
                                <w:b/>
                                <w:sz w:val="16"/>
                                <w:szCs w:val="16"/>
                              </w:rPr>
                              <w:t xml:space="preserve">MONICA BHAREL, MD, MPH </w:t>
                            </w:r>
                            <w:r w:rsidRPr="009A50F8">
                              <w:rPr>
                                <w:rFonts w:ascii="Arial" w:hAnsi="Arial" w:cs="Arial"/>
                                <w:b/>
                                <w:sz w:val="14"/>
                                <w:szCs w:val="14"/>
                              </w:rPr>
                              <w:t>Commissioner</w:t>
                            </w:r>
                          </w:p>
                          <w:p w:rsidR="00B47152" w:rsidRDefault="00B47152" w:rsidP="00D44DFC">
                            <w:pPr>
                              <w:jc w:val="center"/>
                              <w:rPr>
                                <w:rFonts w:ascii="Arial Rounded MT Bold" w:hAnsi="Arial Rounded MT Bold"/>
                                <w:sz w:val="14"/>
                                <w:szCs w:val="14"/>
                              </w:rPr>
                            </w:pPr>
                          </w:p>
                          <w:p w:rsidR="00B47152" w:rsidRPr="004813AC" w:rsidRDefault="00B47152" w:rsidP="00D44DFC">
                            <w:pPr>
                              <w:jc w:val="center"/>
                              <w:rPr>
                                <w:rFonts w:ascii="Arial" w:hAnsi="Arial" w:cs="Arial"/>
                                <w:b/>
                                <w:sz w:val="14"/>
                                <w:szCs w:val="14"/>
                              </w:rPr>
                            </w:pPr>
                            <w:r w:rsidRPr="004813AC">
                              <w:rPr>
                                <w:rFonts w:ascii="Arial" w:hAnsi="Arial" w:cs="Arial"/>
                                <w:b/>
                                <w:sz w:val="14"/>
                                <w:szCs w:val="14"/>
                              </w:rPr>
                              <w:t>Tel: 617-624-6000</w:t>
                            </w:r>
                          </w:p>
                          <w:p w:rsidR="00B47152" w:rsidRPr="004813AC" w:rsidRDefault="00B47152" w:rsidP="00D44DFC">
                            <w:pPr>
                              <w:jc w:val="center"/>
                              <w:rPr>
                                <w:rFonts w:ascii="Arial" w:hAnsi="Arial" w:cs="Arial"/>
                                <w:b/>
                                <w:sz w:val="14"/>
                                <w:szCs w:val="14"/>
                                <w:lang w:val="fr-FR"/>
                              </w:rPr>
                            </w:pPr>
                            <w:r w:rsidRPr="004813AC">
                              <w:rPr>
                                <w:rFonts w:ascii="Arial" w:hAnsi="Arial" w:cs="Arial"/>
                                <w:b/>
                                <w:sz w:val="14"/>
                                <w:szCs w:val="14"/>
                                <w:lang w:val="fr-FR"/>
                              </w:rPr>
                              <w:t>www.mass.gov/dph</w:t>
                            </w:r>
                          </w:p>
                          <w:p w:rsidR="00B47152" w:rsidRPr="00FC6B42" w:rsidRDefault="00B47152" w:rsidP="00D44DFC">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3.75pt;margin-top:10.25pt;width:142.85pt;height:8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qGZgQIAABAFAAAOAAAAZHJzL2Uyb0RvYy54bWysVNmO2yAUfa/Uf0C8Z7yUTGJrnNEsdVVp&#10;ukgz/QBicIyKgQKJPa36773gJJPpIlVV/YBZLucu51wuLsdeoh23TmhV4ewsxYirRjOhNhX+9FDP&#10;lhg5TxWjUite4Ufu8OXq5YuLwZQ8152WjFsEIMqVg6lw570pk8Q1He+pO9OGKzhste2ph6XdJMzS&#10;AdB7meRpep4M2jJjdcOdg93b6RCvIn7b8sZ/aFvHPZIVhth8HG0c12FMVhe03FhqOtHsw6D/EEVP&#10;hQKnR6hb6inaWvELVC8aq51u/Vmj+0S3rWh4zAGyydKfsrnvqOExFyiOM8cyuf8H27zffbRIsAoT&#10;jBTtgaIHPnp0rUeUh+oMxpVgdG/AzI+wDSzHTJ25081nh5S+6aja8Ctr9dBxyiC6LNxMTq5OOC6A&#10;rId3moEbuvU6Ao2t7UPpoBgI0IGlxyMzIZQmuFxmJCvmGDVwlmWvXpHFPPqg5eG6sc6/4bpHYVJh&#10;C9RHeLq7cz6EQ8uDSfDmtBSsFlLGhd2sb6RFOwoyqeO3R39mJlUwVjpcmxCnHYgSfISzEG+k/VuR&#10;5SS9zotZfb5czEhN5rNikS5naVZcF+cpKcht/T0EmJGyE4xxdScUP0gwI39H8b4ZJvFEEaKhwsU8&#10;n08c/THJNH6/S7IXHjpSir7Cy6MRLQOzrxWDtGnpqZDTPHkefqwy1ODwj1WJOgjUTyLw43oElCCO&#10;tWaPoAirgS+gHZ4RmHTafsVogJassPuypZZjJN8qUFWRERJ6OC7IfJHDwp6erE9PqGoAqsIeo2l6&#10;46e+3xorNh14Ouj4CpRYi6iRp6j2+oW2i8nsn4jQ16fraPX0kK1+AAAA//8DAFBLAwQUAAYACAAA&#10;ACEAJvDbDt8AAAAKAQAADwAAAGRycy9kb3ducmV2LnhtbEyPwU7DMAyG70i8Q2QkbixdxwotTSeE&#10;xAXtwAYHjl5jmtImKU26lbfHnMbJsvzp/z+Xm9n24khjaL1TsFwkIMjVXreuUfD+9nxzDyJEdBp7&#10;70jBDwXYVJcXJRban9yOjvvYCA5xoUAFJsahkDLUhiyGhR/I8e3TjxYjr2Mj9YgnDre9TJMkkxZb&#10;xw0GB3oyVHf7yXLJNtTTzn9/Lbed/DBdhutX86LU9dX8+AAi0hzPMPzpszpU7HTwk9NB9Aqy27s1&#10;owrShCcD+WqVgjgwmecJyKqU/1+ofgEAAP//AwBQSwECLQAUAAYACAAAACEAtoM4kv4AAADhAQAA&#10;EwAAAAAAAAAAAAAAAAAAAAAAW0NvbnRlbnRfVHlwZXNdLnhtbFBLAQItABQABgAIAAAAIQA4/SH/&#10;1gAAAJQBAAALAAAAAAAAAAAAAAAAAC8BAABfcmVscy8ucmVsc1BLAQItABQABgAIAAAAIQC96qGZ&#10;gQIAABAFAAAOAAAAAAAAAAAAAAAAAC4CAABkcnMvZTJvRG9jLnhtbFBLAQItABQABgAIAAAAIQAm&#10;8NsO3wAAAAoBAAAPAAAAAAAAAAAAAAAAANsEAABkcnMvZG93bnJldi54bWxQSwUGAAAAAAQABADz&#10;AAAA5wUAAAAA&#10;" stroked="f">
                <v:textbox style="mso-fit-shape-to-text:t">
                  <w:txbxContent>
                    <w:p w:rsidR="00B47152" w:rsidRDefault="00B47152" w:rsidP="00D44DFC">
                      <w:pPr>
                        <w:pStyle w:val="Governor"/>
                        <w:spacing w:after="0"/>
                        <w:rPr>
                          <w:sz w:val="16"/>
                        </w:rPr>
                      </w:pPr>
                    </w:p>
                    <w:p w:rsidR="00B47152" w:rsidRPr="009A50F8" w:rsidRDefault="00B47152" w:rsidP="00D44DFC">
                      <w:pPr>
                        <w:pStyle w:val="Weld"/>
                        <w:rPr>
                          <w:rFonts w:ascii="Arial" w:hAnsi="Arial" w:cs="Arial"/>
                          <w:b/>
                        </w:rPr>
                      </w:pPr>
                      <w:r w:rsidRPr="009A50F8">
                        <w:rPr>
                          <w:rFonts w:ascii="Arial" w:hAnsi="Arial" w:cs="Arial"/>
                          <w:b/>
                        </w:rPr>
                        <w:t>MARYLOU SUDDERS</w:t>
                      </w:r>
                    </w:p>
                    <w:p w:rsidR="00B47152" w:rsidRPr="009A50F8" w:rsidRDefault="00B47152" w:rsidP="00D44DFC">
                      <w:pPr>
                        <w:pStyle w:val="Governor"/>
                        <w:rPr>
                          <w:rFonts w:ascii="Arial" w:hAnsi="Arial" w:cs="Arial"/>
                          <w:b/>
                        </w:rPr>
                      </w:pPr>
                      <w:r w:rsidRPr="009A50F8">
                        <w:rPr>
                          <w:rFonts w:ascii="Arial" w:hAnsi="Arial" w:cs="Arial"/>
                          <w:b/>
                        </w:rPr>
                        <w:t>Secretary</w:t>
                      </w:r>
                    </w:p>
                    <w:p w:rsidR="00B47152" w:rsidRPr="009A50F8" w:rsidRDefault="00B47152" w:rsidP="00D44DFC">
                      <w:pPr>
                        <w:jc w:val="center"/>
                        <w:rPr>
                          <w:rFonts w:ascii="Arial" w:hAnsi="Arial" w:cs="Arial"/>
                          <w:b/>
                          <w:sz w:val="14"/>
                          <w:szCs w:val="14"/>
                        </w:rPr>
                      </w:pPr>
                      <w:r w:rsidRPr="009A50F8">
                        <w:rPr>
                          <w:rFonts w:ascii="Arial" w:hAnsi="Arial" w:cs="Arial"/>
                          <w:b/>
                          <w:sz w:val="16"/>
                          <w:szCs w:val="16"/>
                        </w:rPr>
                        <w:t xml:space="preserve">MONICA BHAREL, MD, MPH </w:t>
                      </w:r>
                      <w:r w:rsidRPr="009A50F8">
                        <w:rPr>
                          <w:rFonts w:ascii="Arial" w:hAnsi="Arial" w:cs="Arial"/>
                          <w:b/>
                          <w:sz w:val="14"/>
                          <w:szCs w:val="14"/>
                        </w:rPr>
                        <w:t>Commissioner</w:t>
                      </w:r>
                    </w:p>
                    <w:p w:rsidR="00B47152" w:rsidRDefault="00B47152" w:rsidP="00D44DFC">
                      <w:pPr>
                        <w:jc w:val="center"/>
                        <w:rPr>
                          <w:rFonts w:ascii="Arial Rounded MT Bold" w:hAnsi="Arial Rounded MT Bold"/>
                          <w:sz w:val="14"/>
                          <w:szCs w:val="14"/>
                        </w:rPr>
                      </w:pPr>
                    </w:p>
                    <w:p w:rsidR="00B47152" w:rsidRPr="004813AC" w:rsidRDefault="00B47152" w:rsidP="00D44DFC">
                      <w:pPr>
                        <w:jc w:val="center"/>
                        <w:rPr>
                          <w:rFonts w:ascii="Arial" w:hAnsi="Arial" w:cs="Arial"/>
                          <w:b/>
                          <w:sz w:val="14"/>
                          <w:szCs w:val="14"/>
                        </w:rPr>
                      </w:pPr>
                      <w:r w:rsidRPr="004813AC">
                        <w:rPr>
                          <w:rFonts w:ascii="Arial" w:hAnsi="Arial" w:cs="Arial"/>
                          <w:b/>
                          <w:sz w:val="14"/>
                          <w:szCs w:val="14"/>
                        </w:rPr>
                        <w:t>Tel: 617-624-6000</w:t>
                      </w:r>
                    </w:p>
                    <w:p w:rsidR="00B47152" w:rsidRPr="004813AC" w:rsidRDefault="00B47152" w:rsidP="00D44DFC">
                      <w:pPr>
                        <w:jc w:val="center"/>
                        <w:rPr>
                          <w:rFonts w:ascii="Arial" w:hAnsi="Arial" w:cs="Arial"/>
                          <w:b/>
                          <w:sz w:val="14"/>
                          <w:szCs w:val="14"/>
                          <w:lang w:val="fr-FR"/>
                        </w:rPr>
                      </w:pPr>
                      <w:r w:rsidRPr="004813AC">
                        <w:rPr>
                          <w:rFonts w:ascii="Arial" w:hAnsi="Arial" w:cs="Arial"/>
                          <w:b/>
                          <w:sz w:val="14"/>
                          <w:szCs w:val="14"/>
                          <w:lang w:val="fr-FR"/>
                        </w:rPr>
                        <w:t>www.mass.gov/dph</w:t>
                      </w:r>
                    </w:p>
                    <w:p w:rsidR="00B47152" w:rsidRPr="00FC6B42" w:rsidRDefault="00B47152" w:rsidP="00D44DFC">
                      <w:pPr>
                        <w:jc w:val="center"/>
                        <w:rPr>
                          <w:rFonts w:ascii="Arial Rounded MT Bold" w:hAnsi="Arial Rounded MT Bold"/>
                          <w:sz w:val="14"/>
                          <w:szCs w:val="14"/>
                        </w:rPr>
                      </w:pPr>
                    </w:p>
                  </w:txbxContent>
                </v:textbox>
              </v:shape>
            </w:pict>
          </mc:Fallback>
        </mc:AlternateContent>
      </w:r>
    </w:p>
    <w:p w:rsidR="00B47152" w:rsidRDefault="00984007" w:rsidP="00274D45">
      <w:pPr>
        <w:framePr w:w="1927" w:hSpace="180" w:wrap="auto" w:vAnchor="text" w:hAnchor="page" w:x="701" w:y="-919"/>
        <w:ind w:firstLine="180"/>
        <w:rPr>
          <w:rFonts w:ascii="LinePrinter" w:hAnsi="LinePrinter"/>
        </w:rPr>
      </w:pPr>
      <w:r>
        <w:rPr>
          <w:rFonts w:ascii="LinePrinter" w:hAnsi="LinePrinter"/>
          <w:noProof/>
        </w:rPr>
        <w:drawing>
          <wp:inline distT="0" distB="0" distL="0" distR="0" wp14:anchorId="2B9AA91A" wp14:editId="675625B5">
            <wp:extent cx="914400" cy="1152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1152525"/>
                    </a:xfrm>
                    <a:prstGeom prst="rect">
                      <a:avLst/>
                    </a:prstGeom>
                    <a:noFill/>
                    <a:ln>
                      <a:noFill/>
                    </a:ln>
                  </pic:spPr>
                </pic:pic>
              </a:graphicData>
            </a:graphic>
          </wp:inline>
        </w:drawing>
      </w:r>
    </w:p>
    <w:p w:rsidR="00B47152" w:rsidRDefault="00984007" w:rsidP="0072610D">
      <w:r>
        <w:rPr>
          <w:noProof/>
          <w:sz w:val="22"/>
          <w:szCs w:val="22"/>
        </w:rPr>
        <mc:AlternateContent>
          <mc:Choice Requires="wps">
            <w:drawing>
              <wp:anchor distT="0" distB="0" distL="114300" distR="114300" simplePos="0" relativeHeight="251659264" behindDoc="0" locked="0" layoutInCell="1" allowOverlap="1" wp14:anchorId="6EF173BB" wp14:editId="3FF1CB1D">
                <wp:simplePos x="0" y="0"/>
                <wp:positionH relativeFrom="column">
                  <wp:posOffset>1562100</wp:posOffset>
                </wp:positionH>
                <wp:positionV relativeFrom="paragraph">
                  <wp:posOffset>1000126</wp:posOffset>
                </wp:positionV>
                <wp:extent cx="2886075" cy="847090"/>
                <wp:effectExtent l="0" t="0" r="9525"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847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4007" w:rsidRPr="00C36976" w:rsidRDefault="00984007" w:rsidP="00984007">
                            <w:pPr>
                              <w:pStyle w:val="ExecOffice"/>
                              <w:rPr>
                                <w:sz w:val="22"/>
                                <w:szCs w:val="22"/>
                              </w:rPr>
                            </w:pPr>
                            <w:r>
                              <w:rPr>
                                <w:sz w:val="22"/>
                                <w:szCs w:val="22"/>
                              </w:rPr>
                              <w:t>Division of STD Prevention</w:t>
                            </w:r>
                          </w:p>
                          <w:p w:rsidR="00984007" w:rsidRPr="00C36976" w:rsidRDefault="00984007" w:rsidP="00984007">
                            <w:pPr>
                              <w:pStyle w:val="ExecOffice"/>
                              <w:rPr>
                                <w:sz w:val="22"/>
                                <w:szCs w:val="22"/>
                              </w:rPr>
                            </w:pPr>
                            <w:r w:rsidRPr="00C36976">
                              <w:rPr>
                                <w:sz w:val="22"/>
                                <w:szCs w:val="22"/>
                              </w:rPr>
                              <w:t>Tel:  (617) 983-6</w:t>
                            </w:r>
                            <w:r>
                              <w:rPr>
                                <w:sz w:val="22"/>
                                <w:szCs w:val="22"/>
                              </w:rPr>
                              <w:t>940</w:t>
                            </w:r>
                            <w:r w:rsidRPr="00C36976">
                              <w:rPr>
                                <w:sz w:val="22"/>
                                <w:szCs w:val="22"/>
                              </w:rPr>
                              <w:t xml:space="preserve"> </w:t>
                            </w:r>
                          </w:p>
                          <w:p w:rsidR="00984007" w:rsidRDefault="00984007" w:rsidP="00984007">
                            <w:pPr>
                              <w:pStyle w:val="ExecOffice"/>
                              <w:rPr>
                                <w:sz w:val="22"/>
                                <w:szCs w:val="22"/>
                              </w:rPr>
                            </w:pPr>
                            <w:r w:rsidRPr="00C36976">
                              <w:rPr>
                                <w:sz w:val="22"/>
                                <w:szCs w:val="22"/>
                              </w:rPr>
                              <w:t>Fax: (617) 983-6</w:t>
                            </w:r>
                            <w:r>
                              <w:rPr>
                                <w:sz w:val="22"/>
                                <w:szCs w:val="22"/>
                              </w:rPr>
                              <w:t>962</w:t>
                            </w:r>
                          </w:p>
                          <w:p w:rsidR="00984007" w:rsidRDefault="00984007" w:rsidP="00984007">
                            <w:pPr>
                              <w:pStyle w:val="ExecOffice"/>
                              <w:rPr>
                                <w:rStyle w:val="Strong"/>
                                <w:b w:val="0"/>
                                <w:sz w:val="22"/>
                                <w:szCs w:val="22"/>
                              </w:rPr>
                            </w:pPr>
                            <w:r w:rsidRPr="00C36976">
                              <w:rPr>
                                <w:sz w:val="22"/>
                                <w:szCs w:val="22"/>
                              </w:rPr>
                              <w:t xml:space="preserve"> </w:t>
                            </w:r>
                            <w:hyperlink r:id="rId10" w:history="1">
                              <w:r w:rsidRPr="00947474">
                                <w:rPr>
                                  <w:rStyle w:val="Hyperlink"/>
                                  <w:sz w:val="22"/>
                                  <w:szCs w:val="22"/>
                                </w:rPr>
                                <w:t>www.mass.gov/dph/cdc/std</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123pt;margin-top:78.75pt;width:227.25pt;height:6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gmthQIAABY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q8w&#10;UqQDih744NG1HtA8VKc3rgKnewNufoBtYDlm6sydpp8dUvqmJWrLr6zVfcsJg+iycDI5OzriuACy&#10;6d9pBteQndcRaGhsF0oHxUCADiw9npgJoVDYzBeLWTqfYkTBtijmaRmpS0h1PG2s82+47lCY1NgC&#10;8xGd7O+cD9GQ6ugSLnNaCrYWUsaF3W5upEV7AipZxy8m8MxNquCsdDg2Io47ECTcEWwh3Mj6tzLL&#10;i/Q6Lyfr2WI+KdbFdFLO08UkzcrrcpYWZXG7/h4CzIqqFYxxdScUPyowK/6O4UMvjNqJGkR9jctp&#10;Ph0p+mOSafx+l2QnPDSkFB3U+eREqkDsa8UgbVJ5IuQ4T34OP1YZanD8x6pEGQTmRw34YTNEvUWN&#10;BIlsNHsEXVgNtAH58JjApNX2K0Y9NGaN3ZcdsRwj+VaBtsqsKEInx0UxneewsOeWzbmFKApQNfYY&#10;jdMbP3b/zlixbeGmUc1KX4EeGxGl8hTVQcXQfDGnw0MRuvt8Hb2enrPVDwAAAP//AwBQSwMEFAAG&#10;AAgAAAAhAEts8fveAAAACwEAAA8AAABkcnMvZG93bnJldi54bWxMj81OwzAQhO9IvIO1SFwQtama&#10;hIQ4FSCBuPbnATbxNomI7Sh2m/TtWU5w29E3mp0pt4sdxIWm0Hun4WmlQJBrvOldq+F4+Hh8BhEi&#10;OoODd6ThSgG21e1NiYXxs9vRZR9bwSEuFKihi3EspAxNRxbDyo/kmJ38ZDGynFppJpw53A5yrVQq&#10;LfaOP3Q40ntHzff+bDWcvuaHJJ/rz3jMdpv0Dfus9let7++W1xcQkZb4Z4bf+lwdKu5U+7MzQQwa&#10;1puUt0QGSZaAYEemFB81o1zlIKtS/t9Q/QAAAP//AwBQSwECLQAUAAYACAAAACEAtoM4kv4AAADh&#10;AQAAEwAAAAAAAAAAAAAAAAAAAAAAW0NvbnRlbnRfVHlwZXNdLnhtbFBLAQItABQABgAIAAAAIQA4&#10;/SH/1gAAAJQBAAALAAAAAAAAAAAAAAAAAC8BAABfcmVscy8ucmVsc1BLAQItABQABgAIAAAAIQCA&#10;HgmthQIAABYFAAAOAAAAAAAAAAAAAAAAAC4CAABkcnMvZTJvRG9jLnhtbFBLAQItABQABgAIAAAA&#10;IQBLbPH73gAAAAsBAAAPAAAAAAAAAAAAAAAAAN8EAABkcnMvZG93bnJldi54bWxQSwUGAAAAAAQA&#10;BADzAAAA6gUAAAAA&#10;" stroked="f">
                <v:textbox>
                  <w:txbxContent>
                    <w:p w:rsidR="00984007" w:rsidRPr="00C36976" w:rsidRDefault="00984007" w:rsidP="00984007">
                      <w:pPr>
                        <w:pStyle w:val="ExecOffice"/>
                        <w:rPr>
                          <w:sz w:val="22"/>
                          <w:szCs w:val="22"/>
                        </w:rPr>
                      </w:pPr>
                      <w:r>
                        <w:rPr>
                          <w:sz w:val="22"/>
                          <w:szCs w:val="22"/>
                        </w:rPr>
                        <w:t>Division of STD Prevention</w:t>
                      </w:r>
                    </w:p>
                    <w:p w:rsidR="00984007" w:rsidRPr="00C36976" w:rsidRDefault="00984007" w:rsidP="00984007">
                      <w:pPr>
                        <w:pStyle w:val="ExecOffice"/>
                        <w:rPr>
                          <w:sz w:val="22"/>
                          <w:szCs w:val="22"/>
                        </w:rPr>
                      </w:pPr>
                      <w:r w:rsidRPr="00C36976">
                        <w:rPr>
                          <w:sz w:val="22"/>
                          <w:szCs w:val="22"/>
                        </w:rPr>
                        <w:t>Tel:  (617) 983-6</w:t>
                      </w:r>
                      <w:r>
                        <w:rPr>
                          <w:sz w:val="22"/>
                          <w:szCs w:val="22"/>
                        </w:rPr>
                        <w:t>940</w:t>
                      </w:r>
                      <w:r w:rsidRPr="00C36976">
                        <w:rPr>
                          <w:sz w:val="22"/>
                          <w:szCs w:val="22"/>
                        </w:rPr>
                        <w:t xml:space="preserve"> </w:t>
                      </w:r>
                    </w:p>
                    <w:p w:rsidR="00984007" w:rsidRDefault="00984007" w:rsidP="00984007">
                      <w:pPr>
                        <w:pStyle w:val="ExecOffice"/>
                        <w:rPr>
                          <w:sz w:val="22"/>
                          <w:szCs w:val="22"/>
                        </w:rPr>
                      </w:pPr>
                      <w:r w:rsidRPr="00C36976">
                        <w:rPr>
                          <w:sz w:val="22"/>
                          <w:szCs w:val="22"/>
                        </w:rPr>
                        <w:t>Fax: (617) 983-6</w:t>
                      </w:r>
                      <w:r>
                        <w:rPr>
                          <w:sz w:val="22"/>
                          <w:szCs w:val="22"/>
                        </w:rPr>
                        <w:t>962</w:t>
                      </w:r>
                    </w:p>
                    <w:p w:rsidR="00984007" w:rsidRDefault="00984007" w:rsidP="00984007">
                      <w:pPr>
                        <w:pStyle w:val="ExecOffice"/>
                        <w:rPr>
                          <w:rStyle w:val="Strong"/>
                          <w:b w:val="0"/>
                          <w:sz w:val="22"/>
                          <w:szCs w:val="22"/>
                        </w:rPr>
                      </w:pPr>
                      <w:r w:rsidRPr="00C36976">
                        <w:rPr>
                          <w:sz w:val="22"/>
                          <w:szCs w:val="22"/>
                        </w:rPr>
                        <w:t xml:space="preserve"> </w:t>
                      </w:r>
                      <w:hyperlink r:id="rId11" w:history="1">
                        <w:r w:rsidRPr="00947474">
                          <w:rPr>
                            <w:rStyle w:val="Hyperlink"/>
                            <w:sz w:val="22"/>
                            <w:szCs w:val="22"/>
                          </w:rPr>
                          <w:t>www.mass.gov/dph/cdc/std</w:t>
                        </w:r>
                      </w:hyperlink>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3A09ECE1" wp14:editId="29D1494F">
                <wp:simplePos x="0" y="0"/>
                <wp:positionH relativeFrom="column">
                  <wp:posOffset>-680085</wp:posOffset>
                </wp:positionH>
                <wp:positionV relativeFrom="paragraph">
                  <wp:posOffset>1047750</wp:posOffset>
                </wp:positionV>
                <wp:extent cx="1572895" cy="799465"/>
                <wp:effectExtent l="0" t="0" r="254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799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7152" w:rsidRDefault="00B47152" w:rsidP="00D44DFC">
                            <w:pPr>
                              <w:pStyle w:val="Governor"/>
                              <w:spacing w:after="0"/>
                              <w:rPr>
                                <w:sz w:val="16"/>
                              </w:rPr>
                            </w:pPr>
                          </w:p>
                          <w:p w:rsidR="00B47152" w:rsidRPr="009A50F8" w:rsidRDefault="00B47152" w:rsidP="00D44DFC">
                            <w:pPr>
                              <w:pStyle w:val="Governor"/>
                              <w:spacing w:after="0"/>
                              <w:rPr>
                                <w:rFonts w:ascii="Arial" w:hAnsi="Arial" w:cs="Arial"/>
                                <w:b/>
                                <w:sz w:val="16"/>
                              </w:rPr>
                            </w:pPr>
                            <w:r w:rsidRPr="009A50F8">
                              <w:rPr>
                                <w:rFonts w:ascii="Arial" w:hAnsi="Arial" w:cs="Arial"/>
                                <w:b/>
                                <w:sz w:val="16"/>
                              </w:rPr>
                              <w:t>CHARLES D. BAKER</w:t>
                            </w:r>
                          </w:p>
                          <w:p w:rsidR="00B47152" w:rsidRPr="009A50F8" w:rsidRDefault="00B47152" w:rsidP="00D44DFC">
                            <w:pPr>
                              <w:pStyle w:val="Governor"/>
                              <w:rPr>
                                <w:rFonts w:ascii="Arial" w:hAnsi="Arial" w:cs="Arial"/>
                                <w:b/>
                              </w:rPr>
                            </w:pPr>
                            <w:r w:rsidRPr="009A50F8">
                              <w:rPr>
                                <w:rFonts w:ascii="Arial" w:hAnsi="Arial" w:cs="Arial"/>
                                <w:b/>
                              </w:rPr>
                              <w:t>Governor</w:t>
                            </w:r>
                          </w:p>
                          <w:p w:rsidR="00B47152" w:rsidRPr="009A50F8" w:rsidRDefault="00B47152" w:rsidP="00D44DFC">
                            <w:pPr>
                              <w:pStyle w:val="Governor"/>
                              <w:spacing w:after="0"/>
                              <w:rPr>
                                <w:rFonts w:ascii="Arial" w:hAnsi="Arial" w:cs="Arial"/>
                                <w:b/>
                                <w:sz w:val="16"/>
                              </w:rPr>
                            </w:pPr>
                            <w:r w:rsidRPr="009A50F8">
                              <w:rPr>
                                <w:rFonts w:ascii="Arial" w:hAnsi="Arial" w:cs="Arial"/>
                                <w:b/>
                                <w:sz w:val="16"/>
                              </w:rPr>
                              <w:t>KARYN E. POLITO</w:t>
                            </w:r>
                          </w:p>
                          <w:p w:rsidR="00B47152" w:rsidRPr="009A50F8" w:rsidRDefault="00B47152" w:rsidP="00D44DFC">
                            <w:pPr>
                              <w:pStyle w:val="Governor"/>
                              <w:rPr>
                                <w:rFonts w:ascii="Arial" w:hAnsi="Arial" w:cs="Arial"/>
                                <w:b/>
                              </w:rPr>
                            </w:pPr>
                            <w:r w:rsidRPr="009A50F8">
                              <w:rPr>
                                <w:rFonts w:ascii="Arial" w:hAnsi="Arial" w:cs="Arial"/>
                                <w:b/>
                              </w:rPr>
                              <w:t>Lieutenant Governor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53.55pt;margin-top:82.5pt;width:123.85pt;height:6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a/ygQIAABYFAAAOAAAAZHJzL2Uyb0RvYy54bWysVNlu3CAUfa/Uf0C8T7zIs9iKJ2qSuqqU&#10;LlLSD2AAj1ExUGDGTqv+ey94ZjLpIlVV/YBZLucu51wur8Zeoj23TmhV4+wixYgrqplQ2xp/emhm&#10;K4ycJ4oRqRWv8SN3+Gr98sXlYCqe605Lxi0CEOWqwdS4895USeJox3viLrThCg5bbXviYWm3CbNk&#10;APReJnmaLpJBW2asptw52L2dDvE64rctp/5D2zrukawxxObjaOO4CWOyviTV1hLTCXoIg/xDFD0R&#10;CpyeoG6JJ2hnxS9QvaBWO936C6r7RLetoDzmANlk6U/Z3HfE8JgLFMeZU5nc/4Ol7/cfLRKsxjlG&#10;ivRA0QMfPbrWI8pDdQbjKjC6N2DmR9gGlmOmztxp+tkhpW86orb8lbV66DhhEF0WbiZnVyccF0A2&#10;wzvNwA3ZeR2Bxtb2oXRQDATowNLjiZkQCg0u58t8Vc4xonC2LMtiMY8uSHW8bazzb7juUZjU2ALz&#10;EZ3s75wP0ZDqaBKcOS0Fa4SUcWG3mxtp0Z6ASpr4HdCfmUkVjJUO1ybEaQeCBB/hLIQbWf9WZnmR&#10;XuflrFmslrOiKeazcpmuZmlWXpeLtCiL2+Z7CDArqk4wxtWdUPyowKz4O4YPvTBpJ2oQDTUu5/l8&#10;ouiPSabx+12SvfDQkFL0NV6djEgViH2tGKRNKk+EnObJ8/BjlaEGx3+sSpRBYH7SgB8340FvABYk&#10;stHsEXRhNdAG5MNjApNO268YDdCYNXZfdsRyjORbBdoqs6IInRwXBegCFvb8ZHN+QhQFqBp7jKbp&#10;jZ+6f2es2Hbg6ajmV6DHRkSpPEV1UDE0X8zp8FCE7j5fR6un52z9AwAA//8DAFBLAwQUAAYACAAA&#10;ACEAWilcneAAAAAMAQAADwAAAGRycy9kb3ducmV2LnhtbEyPMU/DMBSEdyT+g/WQ2Fo7FQ1tiFMh&#10;JBbUgRYGRjd5jUPi5xA7bfj3vE50PN3p7rt8M7lOnHAIjScNyVyBQCp91VCt4fPjdbYCEaKhynSe&#10;UMMvBtgUtze5ySp/ph2e9rEWXEIhMxpsjH0mZSgtOhPmvkdi7+gHZyLLoZbVYM5c7jq5UCqVzjTE&#10;C9b0+GKxbPej45FtKMed//lOtq38sm1qlu/2Tev7u+n5CUTEKf6H4YLP6FAw08GPVAXRaZgl6jHh&#10;LDvpkl9dIg8qBXHQsFirNcgil9cnij8AAAD//wMAUEsBAi0AFAAGAAgAAAAhALaDOJL+AAAA4QEA&#10;ABMAAAAAAAAAAAAAAAAAAAAAAFtDb250ZW50X1R5cGVzXS54bWxQSwECLQAUAAYACAAAACEAOP0h&#10;/9YAAACUAQAACwAAAAAAAAAAAAAAAAAvAQAAX3JlbHMvLnJlbHNQSwECLQAUAAYACAAAACEAVzmv&#10;8oECAAAWBQAADgAAAAAAAAAAAAAAAAAuAgAAZHJzL2Uyb0RvYy54bWxQSwECLQAUAAYACAAAACEA&#10;WilcneAAAAAMAQAADwAAAAAAAAAAAAAAAADbBAAAZHJzL2Rvd25yZXYueG1sUEsFBgAAAAAEAAQA&#10;8wAAAOgFAAAAAA==&#10;" stroked="f">
                <v:textbox style="mso-fit-shape-to-text:t">
                  <w:txbxContent>
                    <w:p w:rsidR="00B47152" w:rsidRDefault="00B47152" w:rsidP="00D44DFC">
                      <w:pPr>
                        <w:pStyle w:val="Governor"/>
                        <w:spacing w:after="0"/>
                        <w:rPr>
                          <w:sz w:val="16"/>
                        </w:rPr>
                      </w:pPr>
                    </w:p>
                    <w:p w:rsidR="00B47152" w:rsidRPr="009A50F8" w:rsidRDefault="00B47152" w:rsidP="00D44DFC">
                      <w:pPr>
                        <w:pStyle w:val="Governor"/>
                        <w:spacing w:after="0"/>
                        <w:rPr>
                          <w:rFonts w:ascii="Arial" w:hAnsi="Arial" w:cs="Arial"/>
                          <w:b/>
                          <w:sz w:val="16"/>
                        </w:rPr>
                      </w:pPr>
                      <w:r w:rsidRPr="009A50F8">
                        <w:rPr>
                          <w:rFonts w:ascii="Arial" w:hAnsi="Arial" w:cs="Arial"/>
                          <w:b/>
                          <w:sz w:val="16"/>
                        </w:rPr>
                        <w:t>CHARLES D. BAKER</w:t>
                      </w:r>
                    </w:p>
                    <w:p w:rsidR="00B47152" w:rsidRPr="009A50F8" w:rsidRDefault="00B47152" w:rsidP="00D44DFC">
                      <w:pPr>
                        <w:pStyle w:val="Governor"/>
                        <w:rPr>
                          <w:rFonts w:ascii="Arial" w:hAnsi="Arial" w:cs="Arial"/>
                          <w:b/>
                        </w:rPr>
                      </w:pPr>
                      <w:r w:rsidRPr="009A50F8">
                        <w:rPr>
                          <w:rFonts w:ascii="Arial" w:hAnsi="Arial" w:cs="Arial"/>
                          <w:b/>
                        </w:rPr>
                        <w:t>Governor</w:t>
                      </w:r>
                    </w:p>
                    <w:p w:rsidR="00B47152" w:rsidRPr="009A50F8" w:rsidRDefault="00B47152" w:rsidP="00D44DFC">
                      <w:pPr>
                        <w:pStyle w:val="Governor"/>
                        <w:spacing w:after="0"/>
                        <w:rPr>
                          <w:rFonts w:ascii="Arial" w:hAnsi="Arial" w:cs="Arial"/>
                          <w:b/>
                          <w:sz w:val="16"/>
                        </w:rPr>
                      </w:pPr>
                      <w:r w:rsidRPr="009A50F8">
                        <w:rPr>
                          <w:rFonts w:ascii="Arial" w:hAnsi="Arial" w:cs="Arial"/>
                          <w:b/>
                          <w:sz w:val="16"/>
                        </w:rPr>
                        <w:t>KARYN E. POLITO</w:t>
                      </w:r>
                    </w:p>
                    <w:p w:rsidR="00B47152" w:rsidRPr="009A50F8" w:rsidRDefault="00B47152" w:rsidP="00D44DFC">
                      <w:pPr>
                        <w:pStyle w:val="Governor"/>
                        <w:rPr>
                          <w:rFonts w:ascii="Arial" w:hAnsi="Arial" w:cs="Arial"/>
                          <w:b/>
                        </w:rPr>
                      </w:pPr>
                      <w:r w:rsidRPr="009A50F8">
                        <w:rPr>
                          <w:rFonts w:ascii="Arial" w:hAnsi="Arial" w:cs="Arial"/>
                          <w:b/>
                        </w:rPr>
                        <w:t>Lieutenant Governor</w:t>
                      </w:r>
                    </w:p>
                  </w:txbxContent>
                </v:textbox>
              </v:shape>
            </w:pict>
          </mc:Fallback>
        </mc:AlternateContent>
      </w:r>
    </w:p>
    <w:p w:rsidR="00B47152" w:rsidRPr="00EE433A" w:rsidRDefault="00B47152" w:rsidP="0072610D">
      <w:pPr>
        <w:rPr>
          <w:sz w:val="22"/>
          <w:szCs w:val="22"/>
        </w:rPr>
      </w:pPr>
    </w:p>
    <w:p w:rsidR="00B47152" w:rsidRDefault="00B47152" w:rsidP="0072610D">
      <w:pPr>
        <w:rPr>
          <w:sz w:val="22"/>
          <w:szCs w:val="22"/>
        </w:rPr>
      </w:pPr>
    </w:p>
    <w:p w:rsidR="00B47152" w:rsidRDefault="00B47152" w:rsidP="0072610D">
      <w:pPr>
        <w:rPr>
          <w:sz w:val="22"/>
          <w:szCs w:val="22"/>
        </w:rPr>
      </w:pPr>
    </w:p>
    <w:p w:rsidR="00B47152" w:rsidRDefault="00B47152" w:rsidP="0072610D">
      <w:pPr>
        <w:rPr>
          <w:sz w:val="22"/>
          <w:szCs w:val="22"/>
        </w:rPr>
      </w:pPr>
    </w:p>
    <w:p w:rsidR="00B47152" w:rsidRDefault="00B47152" w:rsidP="0072610D">
      <w:pPr>
        <w:rPr>
          <w:sz w:val="22"/>
          <w:szCs w:val="22"/>
        </w:rPr>
      </w:pPr>
    </w:p>
    <w:p w:rsidR="0090001A" w:rsidRPr="002708AA" w:rsidRDefault="0090001A" w:rsidP="002708AA">
      <w:pPr>
        <w:jc w:val="center"/>
        <w:rPr>
          <w:rFonts w:asciiTheme="minorHAnsi" w:hAnsiTheme="minorHAnsi"/>
          <w:b/>
          <w:sz w:val="26"/>
          <w:szCs w:val="26"/>
        </w:rPr>
      </w:pPr>
      <w:r w:rsidRPr="002708AA">
        <w:rPr>
          <w:rFonts w:asciiTheme="minorHAnsi" w:hAnsiTheme="minorHAnsi"/>
          <w:b/>
          <w:sz w:val="26"/>
          <w:szCs w:val="26"/>
        </w:rPr>
        <w:t>Clinical Advisory</w:t>
      </w:r>
      <w:r w:rsidR="00D201ED">
        <w:rPr>
          <w:rFonts w:asciiTheme="minorHAnsi" w:hAnsiTheme="minorHAnsi"/>
          <w:b/>
          <w:sz w:val="26"/>
          <w:szCs w:val="26"/>
        </w:rPr>
        <w:t xml:space="preserve">: Increases in Syphilis and Gonorrhea Cases </w:t>
      </w:r>
    </w:p>
    <w:p w:rsidR="0090001A" w:rsidRPr="002708AA" w:rsidRDefault="00A16A3B" w:rsidP="002708AA">
      <w:pPr>
        <w:jc w:val="center"/>
        <w:rPr>
          <w:rFonts w:asciiTheme="minorHAnsi" w:hAnsiTheme="minorHAnsi"/>
          <w:b/>
          <w:sz w:val="26"/>
          <w:szCs w:val="26"/>
        </w:rPr>
      </w:pPr>
      <w:r>
        <w:rPr>
          <w:rFonts w:asciiTheme="minorHAnsi" w:hAnsiTheme="minorHAnsi"/>
          <w:b/>
          <w:sz w:val="26"/>
          <w:szCs w:val="26"/>
        </w:rPr>
        <w:t>April</w:t>
      </w:r>
      <w:r w:rsidR="007B7710">
        <w:rPr>
          <w:rFonts w:asciiTheme="minorHAnsi" w:hAnsiTheme="minorHAnsi"/>
          <w:b/>
          <w:sz w:val="26"/>
          <w:szCs w:val="26"/>
        </w:rPr>
        <w:t xml:space="preserve"> </w:t>
      </w:r>
      <w:r w:rsidR="004F5CEC">
        <w:rPr>
          <w:rFonts w:asciiTheme="minorHAnsi" w:hAnsiTheme="minorHAnsi"/>
          <w:b/>
          <w:sz w:val="26"/>
          <w:szCs w:val="26"/>
        </w:rPr>
        <w:t>23</w:t>
      </w:r>
      <w:r w:rsidR="009C464E" w:rsidRPr="002708AA">
        <w:rPr>
          <w:rFonts w:asciiTheme="minorHAnsi" w:hAnsiTheme="minorHAnsi"/>
          <w:b/>
          <w:sz w:val="26"/>
          <w:szCs w:val="26"/>
        </w:rPr>
        <w:t>, 2018</w:t>
      </w:r>
    </w:p>
    <w:p w:rsidR="0090001A" w:rsidRPr="009E04BA" w:rsidRDefault="009E04BA" w:rsidP="009E04BA">
      <w:pPr>
        <w:spacing w:before="100" w:after="100"/>
        <w:jc w:val="center"/>
        <w:rPr>
          <w:rFonts w:asciiTheme="minorHAnsi" w:hAnsiTheme="minorHAnsi"/>
          <w:b/>
        </w:rPr>
      </w:pPr>
      <w:r>
        <w:rPr>
          <w:rFonts w:asciiTheme="minorHAnsi" w:hAnsiTheme="minorHAnsi"/>
          <w:b/>
          <w:noProof/>
        </w:rPr>
        <w:drawing>
          <wp:inline distT="0" distB="0" distL="0" distR="0" wp14:anchorId="5CF61FCF" wp14:editId="692F264F">
            <wp:extent cx="6126480" cy="1837944"/>
            <wp:effectExtent l="0" t="0" r="762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6480" cy="1837944"/>
                    </a:xfrm>
                    <a:prstGeom prst="rect">
                      <a:avLst/>
                    </a:prstGeom>
                    <a:noFill/>
                  </pic:spPr>
                </pic:pic>
              </a:graphicData>
            </a:graphic>
          </wp:inline>
        </w:drawing>
      </w:r>
    </w:p>
    <w:p w:rsidR="0090001A" w:rsidRPr="00132F6D" w:rsidRDefault="003B7566" w:rsidP="008038FC">
      <w:pPr>
        <w:spacing w:before="100" w:after="100"/>
        <w:rPr>
          <w:rFonts w:asciiTheme="minorHAnsi" w:hAnsiTheme="minorHAnsi"/>
        </w:rPr>
      </w:pPr>
      <w:r w:rsidRPr="002708AA">
        <w:rPr>
          <w:rFonts w:asciiTheme="minorHAnsi" w:hAnsiTheme="minorHAnsi"/>
          <w:b/>
        </w:rPr>
        <w:t>Cases of infectious (primary, secondary, and early latent) syphilis and gonorrhea reported in Massachusetts have increased and now approach levels not seen since the early 1990s.</w:t>
      </w:r>
      <w:r w:rsidR="004F5CEC">
        <w:rPr>
          <w:rFonts w:asciiTheme="minorHAnsi" w:hAnsiTheme="minorHAnsi"/>
          <w:b/>
        </w:rPr>
        <w:t xml:space="preserve"> </w:t>
      </w:r>
      <w:r w:rsidR="00C127D3" w:rsidRPr="00132F6D">
        <w:rPr>
          <w:rFonts w:asciiTheme="minorHAnsi" w:hAnsiTheme="minorHAnsi"/>
        </w:rPr>
        <w:t>Th</w:t>
      </w:r>
      <w:r w:rsidR="00C127D3">
        <w:rPr>
          <w:rFonts w:asciiTheme="minorHAnsi" w:hAnsiTheme="minorHAnsi"/>
        </w:rPr>
        <w:t>is</w:t>
      </w:r>
      <w:r w:rsidR="00C127D3" w:rsidRPr="00132F6D">
        <w:rPr>
          <w:rFonts w:asciiTheme="minorHAnsi" w:hAnsiTheme="minorHAnsi"/>
        </w:rPr>
        <w:t xml:space="preserve"> </w:t>
      </w:r>
      <w:r w:rsidR="0090001A" w:rsidRPr="00132F6D">
        <w:rPr>
          <w:rFonts w:asciiTheme="minorHAnsi" w:hAnsiTheme="minorHAnsi"/>
        </w:rPr>
        <w:t>rise has coincided with increasing reports of serious complications (ocular, otologic, and other forms of neurosyphilis, syphilitic aortitis, congenital syphilis, and gonococcal opthalmia neonatorum)</w:t>
      </w:r>
      <w:r w:rsidR="00D201ED">
        <w:rPr>
          <w:rFonts w:asciiTheme="minorHAnsi" w:hAnsiTheme="minorHAnsi"/>
        </w:rPr>
        <w:t xml:space="preserve"> in Massachusetts</w:t>
      </w:r>
      <w:r w:rsidR="0090001A" w:rsidRPr="00132F6D">
        <w:rPr>
          <w:rFonts w:asciiTheme="minorHAnsi" w:hAnsiTheme="minorHAnsi"/>
        </w:rPr>
        <w:t xml:space="preserve">. </w:t>
      </w:r>
      <w:r w:rsidR="00366633">
        <w:rPr>
          <w:rFonts w:asciiTheme="minorHAnsi" w:hAnsiTheme="minorHAnsi"/>
        </w:rPr>
        <w:t>M</w:t>
      </w:r>
      <w:r w:rsidR="0090001A" w:rsidRPr="00132F6D">
        <w:rPr>
          <w:rFonts w:asciiTheme="minorHAnsi" w:hAnsiTheme="minorHAnsi"/>
        </w:rPr>
        <w:t>en who have sex with men (MSM) bear a disproportionate burden of both infections (</w:t>
      </w:r>
      <w:r w:rsidR="00C34573">
        <w:rPr>
          <w:rFonts w:asciiTheme="minorHAnsi" w:hAnsiTheme="minorHAnsi"/>
        </w:rPr>
        <w:t xml:space="preserve">estimated </w:t>
      </w:r>
      <w:r w:rsidR="009C464E">
        <w:rPr>
          <w:rFonts w:asciiTheme="minorHAnsi" w:hAnsiTheme="minorHAnsi"/>
        </w:rPr>
        <w:t>74</w:t>
      </w:r>
      <w:r w:rsidR="00C34573">
        <w:rPr>
          <w:rFonts w:asciiTheme="minorHAnsi" w:hAnsiTheme="minorHAnsi"/>
        </w:rPr>
        <w:t xml:space="preserve">% </w:t>
      </w:r>
      <w:r w:rsidR="0090001A" w:rsidRPr="00132F6D">
        <w:rPr>
          <w:rFonts w:asciiTheme="minorHAnsi" w:hAnsiTheme="minorHAnsi"/>
        </w:rPr>
        <w:t xml:space="preserve">of infectious syphilis and </w:t>
      </w:r>
      <w:r w:rsidR="00C34573">
        <w:rPr>
          <w:rFonts w:asciiTheme="minorHAnsi" w:hAnsiTheme="minorHAnsi"/>
        </w:rPr>
        <w:t>21</w:t>
      </w:r>
      <w:r w:rsidR="00C34573" w:rsidRPr="00132F6D">
        <w:rPr>
          <w:rFonts w:asciiTheme="minorHAnsi" w:hAnsiTheme="minorHAnsi"/>
        </w:rPr>
        <w:t xml:space="preserve">% </w:t>
      </w:r>
      <w:r w:rsidR="00C34573">
        <w:rPr>
          <w:rFonts w:asciiTheme="minorHAnsi" w:hAnsiTheme="minorHAnsi"/>
        </w:rPr>
        <w:t>of gonorrhea cases</w:t>
      </w:r>
      <w:r w:rsidR="0090001A" w:rsidRPr="00132F6D">
        <w:rPr>
          <w:rFonts w:asciiTheme="minorHAnsi" w:hAnsiTheme="minorHAnsi"/>
        </w:rPr>
        <w:t xml:space="preserve">), </w:t>
      </w:r>
      <w:r w:rsidR="00366633">
        <w:rPr>
          <w:rFonts w:asciiTheme="minorHAnsi" w:hAnsiTheme="minorHAnsi"/>
        </w:rPr>
        <w:t xml:space="preserve">but </w:t>
      </w:r>
      <w:r w:rsidR="0090001A" w:rsidRPr="00132F6D">
        <w:rPr>
          <w:rFonts w:asciiTheme="minorHAnsi" w:hAnsiTheme="minorHAnsi"/>
        </w:rPr>
        <w:t>women of child-bearing</w:t>
      </w:r>
      <w:r w:rsidR="00C53237">
        <w:rPr>
          <w:rFonts w:asciiTheme="minorHAnsi" w:hAnsiTheme="minorHAnsi"/>
        </w:rPr>
        <w:t xml:space="preserve"> age (15-44 years) </w:t>
      </w:r>
      <w:r w:rsidR="00C34573">
        <w:rPr>
          <w:rFonts w:asciiTheme="minorHAnsi" w:hAnsiTheme="minorHAnsi"/>
        </w:rPr>
        <w:t xml:space="preserve">also </w:t>
      </w:r>
      <w:r w:rsidR="00C53237">
        <w:rPr>
          <w:rFonts w:asciiTheme="minorHAnsi" w:hAnsiTheme="minorHAnsi"/>
        </w:rPr>
        <w:t xml:space="preserve">represent a </w:t>
      </w:r>
      <w:r w:rsidR="00C127D3">
        <w:rPr>
          <w:rFonts w:asciiTheme="minorHAnsi" w:hAnsiTheme="minorHAnsi"/>
        </w:rPr>
        <w:t xml:space="preserve">growing </w:t>
      </w:r>
      <w:r w:rsidR="0090001A" w:rsidRPr="00132F6D">
        <w:rPr>
          <w:rFonts w:asciiTheme="minorHAnsi" w:hAnsiTheme="minorHAnsi"/>
        </w:rPr>
        <w:t>proportion of both infections (</w:t>
      </w:r>
      <w:r w:rsidR="00C127D3">
        <w:rPr>
          <w:rFonts w:asciiTheme="minorHAnsi" w:hAnsiTheme="minorHAnsi"/>
        </w:rPr>
        <w:t xml:space="preserve">currently </w:t>
      </w:r>
      <w:r w:rsidR="009C464E">
        <w:rPr>
          <w:rFonts w:asciiTheme="minorHAnsi" w:hAnsiTheme="minorHAnsi"/>
        </w:rPr>
        <w:t>5</w:t>
      </w:r>
      <w:r w:rsidR="0090001A" w:rsidRPr="00132F6D">
        <w:rPr>
          <w:rFonts w:asciiTheme="minorHAnsi" w:hAnsiTheme="minorHAnsi"/>
        </w:rPr>
        <w:t xml:space="preserve">% and </w:t>
      </w:r>
      <w:r w:rsidR="009C464E">
        <w:rPr>
          <w:rFonts w:asciiTheme="minorHAnsi" w:hAnsiTheme="minorHAnsi"/>
        </w:rPr>
        <w:t>30</w:t>
      </w:r>
      <w:r w:rsidR="0090001A" w:rsidRPr="00132F6D">
        <w:rPr>
          <w:rFonts w:asciiTheme="minorHAnsi" w:hAnsiTheme="minorHAnsi"/>
        </w:rPr>
        <w:t>%).</w:t>
      </w:r>
    </w:p>
    <w:p w:rsidR="00132F6D" w:rsidRDefault="0090001A" w:rsidP="008038FC">
      <w:pPr>
        <w:spacing w:before="100" w:after="100"/>
        <w:rPr>
          <w:rFonts w:asciiTheme="minorHAnsi" w:hAnsiTheme="minorHAnsi"/>
        </w:rPr>
      </w:pPr>
      <w:r w:rsidRPr="00132F6D">
        <w:rPr>
          <w:rFonts w:asciiTheme="minorHAnsi" w:hAnsiTheme="minorHAnsi"/>
        </w:rPr>
        <w:t xml:space="preserve">Review of surveillance data on </w:t>
      </w:r>
      <w:r w:rsidR="00655FB6">
        <w:rPr>
          <w:rFonts w:asciiTheme="minorHAnsi" w:hAnsiTheme="minorHAnsi"/>
        </w:rPr>
        <w:t xml:space="preserve">Massachusetts 13-65 year olds </w:t>
      </w:r>
      <w:r w:rsidRPr="00132F6D">
        <w:rPr>
          <w:rFonts w:asciiTheme="minorHAnsi" w:hAnsiTheme="minorHAnsi"/>
        </w:rPr>
        <w:t xml:space="preserve">(N = 4,847,510) reveals that only 1% were reported with a bacterial sexually transmitted infection (STI) over 2 years and 0.1% accounted for 28% of all reported bacterial STIs (infectious syphilis, gonorrhea, and chlamydia infections. This </w:t>
      </w:r>
      <w:r w:rsidR="00C127D3">
        <w:rPr>
          <w:rFonts w:asciiTheme="minorHAnsi" w:hAnsiTheme="minorHAnsi"/>
        </w:rPr>
        <w:t xml:space="preserve">is consistent with earlier </w:t>
      </w:r>
      <w:r w:rsidR="00942DA9">
        <w:rPr>
          <w:rFonts w:asciiTheme="minorHAnsi" w:hAnsiTheme="minorHAnsi"/>
        </w:rPr>
        <w:t>observations</w:t>
      </w:r>
      <w:r w:rsidRPr="00132F6D">
        <w:rPr>
          <w:rFonts w:asciiTheme="minorHAnsi" w:hAnsiTheme="minorHAnsi"/>
        </w:rPr>
        <w:t xml:space="preserve"> that bacterial STIs remain relatively concentrated in certain sexual networks and </w:t>
      </w:r>
      <w:r w:rsidR="00366633">
        <w:rPr>
          <w:rFonts w:asciiTheme="minorHAnsi" w:hAnsiTheme="minorHAnsi"/>
        </w:rPr>
        <w:t xml:space="preserve">that </w:t>
      </w:r>
      <w:r w:rsidRPr="00132F6D">
        <w:rPr>
          <w:rFonts w:asciiTheme="minorHAnsi" w:hAnsiTheme="minorHAnsi"/>
        </w:rPr>
        <w:t>reductions in morbidity can be achieved through focused intensive screening and treatment efforts.</w:t>
      </w:r>
      <w:r w:rsidR="005D7AA6" w:rsidRPr="005D7AA6">
        <w:rPr>
          <w:rStyle w:val="FootnoteReference"/>
          <w:rFonts w:asciiTheme="minorHAnsi" w:hAnsiTheme="minorHAnsi"/>
        </w:rPr>
        <w:t xml:space="preserve"> </w:t>
      </w:r>
      <w:r w:rsidR="005D7AA6" w:rsidRPr="00132F6D">
        <w:rPr>
          <w:rStyle w:val="FootnoteReference"/>
          <w:rFonts w:asciiTheme="minorHAnsi" w:hAnsiTheme="minorHAnsi"/>
        </w:rPr>
        <w:footnoteReference w:id="1"/>
      </w:r>
    </w:p>
    <w:p w:rsidR="00E31F07" w:rsidRDefault="00E31F07" w:rsidP="008038FC">
      <w:pPr>
        <w:spacing w:before="100" w:after="100"/>
        <w:rPr>
          <w:rFonts w:asciiTheme="minorHAnsi" w:hAnsiTheme="minorHAnsi"/>
          <w:b/>
        </w:rPr>
      </w:pPr>
      <w:r w:rsidRPr="00132F6D">
        <w:rPr>
          <w:rFonts w:asciiTheme="minorHAnsi" w:hAnsiTheme="minorHAnsi"/>
          <w:b/>
        </w:rPr>
        <w:t xml:space="preserve">MDPH Division of STD Prevention (DSTDP) </w:t>
      </w:r>
      <w:r w:rsidR="00366633">
        <w:rPr>
          <w:rFonts w:asciiTheme="minorHAnsi" w:hAnsiTheme="minorHAnsi"/>
          <w:b/>
        </w:rPr>
        <w:t xml:space="preserve">recommends </w:t>
      </w:r>
      <w:r w:rsidRPr="00132F6D">
        <w:rPr>
          <w:rFonts w:asciiTheme="minorHAnsi" w:hAnsiTheme="minorHAnsi"/>
          <w:b/>
        </w:rPr>
        <w:t>the following actions</w:t>
      </w:r>
      <w:r w:rsidR="00366633">
        <w:rPr>
          <w:rFonts w:asciiTheme="minorHAnsi" w:hAnsiTheme="minorHAnsi"/>
          <w:b/>
        </w:rPr>
        <w:t xml:space="preserve"> to</w:t>
      </w:r>
      <w:r w:rsidRPr="00132F6D">
        <w:rPr>
          <w:rFonts w:asciiTheme="minorHAnsi" w:hAnsiTheme="minorHAnsi"/>
          <w:b/>
        </w:rPr>
        <w:t xml:space="preserve"> Massachusetts clinicians:</w:t>
      </w:r>
    </w:p>
    <w:p w:rsidR="00E31F07" w:rsidRPr="00132F6D" w:rsidRDefault="00E31F07" w:rsidP="002708AA">
      <w:pPr>
        <w:pStyle w:val="ListParagraph"/>
        <w:numPr>
          <w:ilvl w:val="0"/>
          <w:numId w:val="1"/>
        </w:numPr>
        <w:spacing w:before="100" w:after="100"/>
        <w:ind w:left="360"/>
      </w:pPr>
      <w:r w:rsidRPr="00132F6D">
        <w:rPr>
          <w:b/>
        </w:rPr>
        <w:t>Screen more frequently</w:t>
      </w:r>
      <w:r w:rsidRPr="00132F6D">
        <w:t xml:space="preserve"> -- this reduces carriage and prolonged infectiousness, thereby reducing transmission</w:t>
      </w:r>
    </w:p>
    <w:p w:rsidR="00E31F07" w:rsidRPr="00132F6D" w:rsidRDefault="00E31F07" w:rsidP="002708AA">
      <w:pPr>
        <w:pStyle w:val="ListParagraph"/>
        <w:numPr>
          <w:ilvl w:val="1"/>
          <w:numId w:val="2"/>
        </w:numPr>
        <w:tabs>
          <w:tab w:val="left" w:pos="720"/>
        </w:tabs>
        <w:spacing w:before="100" w:after="100"/>
        <w:ind w:left="720"/>
      </w:pPr>
      <w:r w:rsidRPr="00132F6D">
        <w:t>In those with a prior STI diagnosis, re-screen for STI in 3 months.</w:t>
      </w:r>
      <w:bookmarkStart w:id="1" w:name="_Ref509312051"/>
      <w:r w:rsidRPr="00132F6D">
        <w:rPr>
          <w:rStyle w:val="FootnoteReference"/>
        </w:rPr>
        <w:footnoteReference w:id="2"/>
      </w:r>
      <w:bookmarkEnd w:id="1"/>
    </w:p>
    <w:p w:rsidR="00655FB6" w:rsidRPr="00E31F07" w:rsidRDefault="00E31F07" w:rsidP="002708AA">
      <w:pPr>
        <w:pStyle w:val="ListParagraph"/>
        <w:numPr>
          <w:ilvl w:val="1"/>
          <w:numId w:val="2"/>
        </w:numPr>
        <w:tabs>
          <w:tab w:val="left" w:pos="720"/>
        </w:tabs>
        <w:spacing w:before="100" w:after="100"/>
        <w:ind w:left="720"/>
      </w:pPr>
      <w:r w:rsidRPr="00132F6D">
        <w:t>MSM at high</w:t>
      </w:r>
      <w:r w:rsidR="00366633">
        <w:t xml:space="preserve"> </w:t>
      </w:r>
      <w:r w:rsidRPr="00132F6D">
        <w:t>risk should be screened for HIV</w:t>
      </w:r>
      <w:r w:rsidR="00D201ED">
        <w:t xml:space="preserve"> and </w:t>
      </w:r>
      <w:r w:rsidRPr="00132F6D">
        <w:t xml:space="preserve">syphilis, </w:t>
      </w:r>
      <w:r w:rsidR="00721472">
        <w:t>and</w:t>
      </w:r>
      <w:r w:rsidR="00D201ED">
        <w:t xml:space="preserve"> </w:t>
      </w:r>
      <w:r w:rsidRPr="00132F6D">
        <w:t>gonorrhea and chlamydia infection at exposed mucosal surfaces (</w:t>
      </w:r>
      <w:r w:rsidR="00D201ED">
        <w:t xml:space="preserve">using </w:t>
      </w:r>
      <w:r w:rsidRPr="00132F6D">
        <w:t>urine, rect</w:t>
      </w:r>
      <w:r w:rsidR="00D201ED">
        <w:t xml:space="preserve">al </w:t>
      </w:r>
      <w:r w:rsidR="003B7566">
        <w:t>and</w:t>
      </w:r>
      <w:r w:rsidRPr="00132F6D">
        <w:t xml:space="preserve"> oropharyn</w:t>
      </w:r>
      <w:r w:rsidR="00D201ED">
        <w:t>geal swab</w:t>
      </w:r>
      <w:r w:rsidR="003B7566">
        <w:t>s</w:t>
      </w:r>
      <w:r w:rsidRPr="00132F6D">
        <w:t>) every 3 months.</w:t>
      </w:r>
      <w:r w:rsidRPr="00132F6D">
        <w:fldChar w:fldCharType="begin"/>
      </w:r>
      <w:r w:rsidRPr="00132F6D">
        <w:instrText xml:space="preserve"> NOTEREF _Ref509312051 \f \h </w:instrText>
      </w:r>
      <w:r>
        <w:instrText xml:space="preserve"> \* MERGEFORMAT </w:instrText>
      </w:r>
      <w:r w:rsidRPr="00132F6D">
        <w:fldChar w:fldCharType="separate"/>
      </w:r>
      <w:r w:rsidR="007B7710" w:rsidRPr="007B7710">
        <w:rPr>
          <w:rStyle w:val="FootnoteReference"/>
        </w:rPr>
        <w:t>2</w:t>
      </w:r>
      <w:r w:rsidRPr="00132F6D">
        <w:fldChar w:fldCharType="end"/>
      </w:r>
    </w:p>
    <w:p w:rsidR="00655FB6" w:rsidRDefault="00655FB6" w:rsidP="002708AA">
      <w:pPr>
        <w:spacing w:before="100" w:after="100"/>
        <w:ind w:firstLine="720"/>
        <w:rPr>
          <w:rFonts w:asciiTheme="minorHAnsi" w:hAnsiTheme="minorHAnsi"/>
        </w:rPr>
        <w:sectPr w:rsidR="00655FB6" w:rsidSect="00C53237">
          <w:pgSz w:w="12240" w:h="15840"/>
          <w:pgMar w:top="1440" w:right="1080" w:bottom="720" w:left="1080" w:header="720" w:footer="720" w:gutter="0"/>
          <w:cols w:space="720"/>
          <w:docGrid w:linePitch="326"/>
        </w:sectPr>
      </w:pPr>
    </w:p>
    <w:p w:rsidR="0090001A" w:rsidRPr="00132F6D" w:rsidRDefault="0090001A" w:rsidP="002708AA">
      <w:pPr>
        <w:pStyle w:val="ListParagraph"/>
        <w:spacing w:before="100" w:after="100"/>
      </w:pPr>
    </w:p>
    <w:p w:rsidR="0090001A" w:rsidRPr="00132F6D" w:rsidRDefault="0090001A" w:rsidP="002708AA">
      <w:pPr>
        <w:pStyle w:val="ListParagraph"/>
        <w:numPr>
          <w:ilvl w:val="0"/>
          <w:numId w:val="1"/>
        </w:numPr>
        <w:spacing w:before="100" w:after="100"/>
        <w:ind w:left="360"/>
      </w:pPr>
      <w:r w:rsidRPr="00132F6D">
        <w:rPr>
          <w:b/>
        </w:rPr>
        <w:t>Treat as quickly as possible, with recommended regimens</w:t>
      </w:r>
      <w:r w:rsidRPr="00132F6D">
        <w:t>.</w:t>
      </w:r>
    </w:p>
    <w:p w:rsidR="0090001A" w:rsidRPr="00132F6D" w:rsidRDefault="0090001A" w:rsidP="002708AA">
      <w:pPr>
        <w:pStyle w:val="ListParagraph"/>
        <w:numPr>
          <w:ilvl w:val="1"/>
          <w:numId w:val="3"/>
        </w:numPr>
        <w:tabs>
          <w:tab w:val="left" w:pos="720"/>
        </w:tabs>
        <w:spacing w:before="100" w:after="100"/>
        <w:ind w:left="720"/>
      </w:pPr>
      <w:r w:rsidRPr="00132F6D">
        <w:t>STI syndromes, symptomatic patients, and contacts of STI cases can be treated presumptively in accordance with CDC STD Treatment Guidelines, to reduce morbidity and likelihood of complications, and render them non-infectious.</w:t>
      </w:r>
      <w:r w:rsidRPr="00132F6D">
        <w:fldChar w:fldCharType="begin"/>
      </w:r>
      <w:r w:rsidRPr="00132F6D">
        <w:instrText xml:space="preserve"> NOTEREF _Ref509312051 \f \h </w:instrText>
      </w:r>
      <w:r w:rsidR="00132F6D">
        <w:instrText xml:space="preserve"> \* MERGEFORMAT </w:instrText>
      </w:r>
      <w:r w:rsidRPr="00132F6D">
        <w:fldChar w:fldCharType="separate"/>
      </w:r>
      <w:r w:rsidR="007B7710" w:rsidRPr="007B7710">
        <w:rPr>
          <w:rStyle w:val="FootnoteReference"/>
        </w:rPr>
        <w:t>2</w:t>
      </w:r>
      <w:r w:rsidRPr="00132F6D">
        <w:fldChar w:fldCharType="end"/>
      </w:r>
    </w:p>
    <w:p w:rsidR="0090001A" w:rsidRPr="00132F6D" w:rsidRDefault="0090001A" w:rsidP="002708AA">
      <w:pPr>
        <w:pStyle w:val="ListParagraph"/>
        <w:numPr>
          <w:ilvl w:val="1"/>
          <w:numId w:val="3"/>
        </w:numPr>
        <w:tabs>
          <w:tab w:val="left" w:pos="720"/>
        </w:tabs>
        <w:spacing w:before="100" w:after="100"/>
        <w:ind w:left="720"/>
      </w:pPr>
      <w:r w:rsidRPr="00132F6D">
        <w:t>Asymptomatic patients, once positive STI test results are back, should also be treated rapidly, to minimize carriage and transmission.</w:t>
      </w:r>
      <w:r w:rsidRPr="00132F6D">
        <w:fldChar w:fldCharType="begin"/>
      </w:r>
      <w:r w:rsidRPr="00132F6D">
        <w:instrText xml:space="preserve"> NOTEREF _Ref509312051 \f \h </w:instrText>
      </w:r>
      <w:r w:rsidR="00132F6D">
        <w:instrText xml:space="preserve"> \* MERGEFORMAT </w:instrText>
      </w:r>
      <w:r w:rsidRPr="00132F6D">
        <w:fldChar w:fldCharType="separate"/>
      </w:r>
      <w:r w:rsidR="007B7710" w:rsidRPr="007B7710">
        <w:rPr>
          <w:rStyle w:val="FootnoteReference"/>
        </w:rPr>
        <w:t>2</w:t>
      </w:r>
      <w:r w:rsidRPr="00132F6D">
        <w:fldChar w:fldCharType="end"/>
      </w:r>
    </w:p>
    <w:p w:rsidR="0090001A" w:rsidRPr="00132F6D" w:rsidRDefault="0090001A" w:rsidP="002708AA">
      <w:pPr>
        <w:pStyle w:val="ListParagraph"/>
        <w:numPr>
          <w:ilvl w:val="1"/>
          <w:numId w:val="3"/>
        </w:numPr>
        <w:tabs>
          <w:tab w:val="left" w:pos="720"/>
        </w:tabs>
        <w:spacing w:before="100" w:after="100"/>
        <w:ind w:left="720"/>
      </w:pPr>
      <w:r w:rsidRPr="00132F6D">
        <w:t xml:space="preserve">Offer pre-exposure prophylaxis (PrEP) to prevent HIV </w:t>
      </w:r>
      <w:r w:rsidR="00C127D3">
        <w:t xml:space="preserve">infection </w:t>
      </w:r>
      <w:r w:rsidRPr="00132F6D">
        <w:t>in men who test positive for syphilis or rectal STIs and other patients at risk for acquiring HIV.</w:t>
      </w:r>
      <w:r w:rsidRPr="00132F6D">
        <w:rPr>
          <w:rStyle w:val="FootnoteReference"/>
        </w:rPr>
        <w:footnoteReference w:id="3"/>
      </w:r>
    </w:p>
    <w:p w:rsidR="0090001A" w:rsidRPr="00132F6D" w:rsidRDefault="0090001A" w:rsidP="002708AA">
      <w:pPr>
        <w:pStyle w:val="ListParagraph"/>
        <w:spacing w:before="100" w:after="100"/>
      </w:pPr>
    </w:p>
    <w:p w:rsidR="0090001A" w:rsidRPr="00132F6D" w:rsidRDefault="0090001A" w:rsidP="002708AA">
      <w:pPr>
        <w:pStyle w:val="ListParagraph"/>
        <w:numPr>
          <w:ilvl w:val="0"/>
          <w:numId w:val="1"/>
        </w:numPr>
        <w:tabs>
          <w:tab w:val="left" w:pos="360"/>
        </w:tabs>
        <w:spacing w:before="100" w:after="100"/>
        <w:ind w:left="360"/>
      </w:pPr>
      <w:r w:rsidRPr="00132F6D">
        <w:rPr>
          <w:b/>
        </w:rPr>
        <w:t>Vaccinate cases with no prior history of STI vaccines</w:t>
      </w:r>
      <w:r w:rsidRPr="00132F6D">
        <w:t xml:space="preserve">. Indications for HPV, hepatitis A, and hepatitis B vaccination extend across age groups, and recommendations for </w:t>
      </w:r>
      <w:r w:rsidR="00942DA9">
        <w:t>vaccines</w:t>
      </w:r>
      <w:r w:rsidR="00942DA9" w:rsidRPr="00132F6D">
        <w:t xml:space="preserve"> </w:t>
      </w:r>
      <w:r w:rsidRPr="00132F6D">
        <w:t>are provided by the CDC Advisory Committee on Immunization Practices.</w:t>
      </w:r>
      <w:r w:rsidRPr="00132F6D">
        <w:rPr>
          <w:rStyle w:val="FootnoteReference"/>
        </w:rPr>
        <w:footnoteReference w:id="4"/>
      </w:r>
    </w:p>
    <w:p w:rsidR="0090001A" w:rsidRPr="00132F6D" w:rsidRDefault="0090001A" w:rsidP="002708AA">
      <w:pPr>
        <w:pStyle w:val="ListParagraph"/>
        <w:spacing w:before="100" w:after="100"/>
        <w:ind w:left="360"/>
      </w:pPr>
    </w:p>
    <w:p w:rsidR="0090001A" w:rsidRPr="00132F6D" w:rsidRDefault="0090001A" w:rsidP="002708AA">
      <w:pPr>
        <w:pStyle w:val="ListParagraph"/>
        <w:numPr>
          <w:ilvl w:val="0"/>
          <w:numId w:val="1"/>
        </w:numPr>
        <w:spacing w:before="100" w:after="100"/>
        <w:ind w:left="360"/>
        <w:rPr>
          <w:b/>
        </w:rPr>
      </w:pPr>
      <w:r w:rsidRPr="00132F6D">
        <w:rPr>
          <w:b/>
        </w:rPr>
        <w:t>Contact MDPH DSTDP for</w:t>
      </w:r>
    </w:p>
    <w:p w:rsidR="0090001A" w:rsidRPr="00132F6D" w:rsidRDefault="0090001A" w:rsidP="002708AA">
      <w:pPr>
        <w:pStyle w:val="ListParagraph"/>
        <w:numPr>
          <w:ilvl w:val="0"/>
          <w:numId w:val="4"/>
        </w:numPr>
        <w:tabs>
          <w:tab w:val="left" w:pos="720"/>
        </w:tabs>
        <w:spacing w:before="100" w:after="100"/>
        <w:ind w:left="720"/>
      </w:pPr>
      <w:r w:rsidRPr="00132F6D">
        <w:rPr>
          <w:b/>
        </w:rPr>
        <w:t>Clinical consultation on complex cases</w:t>
      </w:r>
      <w:r w:rsidRPr="00132F6D">
        <w:t>, available through the STD Clinical Consultation Network.</w:t>
      </w:r>
      <w:r w:rsidRPr="00132F6D">
        <w:rPr>
          <w:rStyle w:val="FootnoteReference"/>
        </w:rPr>
        <w:footnoteReference w:id="5"/>
      </w:r>
    </w:p>
    <w:p w:rsidR="0090001A" w:rsidRPr="00132F6D" w:rsidRDefault="0090001A" w:rsidP="002708AA">
      <w:pPr>
        <w:pStyle w:val="ListParagraph"/>
        <w:numPr>
          <w:ilvl w:val="0"/>
          <w:numId w:val="4"/>
        </w:numPr>
        <w:tabs>
          <w:tab w:val="left" w:pos="720"/>
        </w:tabs>
        <w:spacing w:before="100" w:after="100"/>
        <w:ind w:left="720"/>
      </w:pPr>
      <w:r w:rsidRPr="00132F6D">
        <w:rPr>
          <w:b/>
        </w:rPr>
        <w:t>Record searches</w:t>
      </w:r>
      <w:r w:rsidRPr="00132F6D">
        <w:t xml:space="preserve"> on prior syphilis test titers and treatment history.</w:t>
      </w:r>
    </w:p>
    <w:p w:rsidR="0090001A" w:rsidRPr="00132F6D" w:rsidRDefault="0090001A" w:rsidP="002708AA">
      <w:pPr>
        <w:pStyle w:val="ListParagraph"/>
        <w:numPr>
          <w:ilvl w:val="0"/>
          <w:numId w:val="4"/>
        </w:numPr>
        <w:tabs>
          <w:tab w:val="left" w:pos="720"/>
        </w:tabs>
        <w:spacing w:before="100" w:after="100"/>
        <w:ind w:left="720"/>
      </w:pPr>
      <w:r w:rsidRPr="00132F6D">
        <w:rPr>
          <w:b/>
        </w:rPr>
        <w:t>Partner services</w:t>
      </w:r>
      <w:r w:rsidRPr="00132F6D">
        <w:t xml:space="preserve"> – contact tracing and notification is automatically performed for acute HIV </w:t>
      </w:r>
      <w:r w:rsidR="00942DA9">
        <w:t xml:space="preserve">infection </w:t>
      </w:r>
      <w:r w:rsidRPr="00132F6D">
        <w:t>and infectious syphilis cases, but is not routinely provided for other STIs unless a clinician requests it.</w:t>
      </w:r>
    </w:p>
    <w:p w:rsidR="0090001A" w:rsidRPr="00132F6D" w:rsidRDefault="0090001A" w:rsidP="002708AA">
      <w:pPr>
        <w:pStyle w:val="ListParagraph"/>
        <w:numPr>
          <w:ilvl w:val="0"/>
          <w:numId w:val="4"/>
        </w:numPr>
        <w:tabs>
          <w:tab w:val="left" w:pos="720"/>
        </w:tabs>
        <w:spacing w:before="100" w:after="100"/>
        <w:ind w:left="720"/>
      </w:pPr>
      <w:r w:rsidRPr="00132F6D">
        <w:rPr>
          <w:b/>
        </w:rPr>
        <w:t>Technical assistance on expedited partner therapy</w:t>
      </w:r>
      <w:r w:rsidRPr="00132F6D">
        <w:t xml:space="preserve"> (EPT) for chlamydia infection, which is permissible under Massachusetts law.</w:t>
      </w:r>
      <w:r w:rsidRPr="00132F6D">
        <w:rPr>
          <w:rStyle w:val="FootnoteReference"/>
        </w:rPr>
        <w:footnoteReference w:id="6"/>
      </w:r>
    </w:p>
    <w:p w:rsidR="0090001A" w:rsidRPr="00132F6D" w:rsidRDefault="0090001A" w:rsidP="002708AA">
      <w:pPr>
        <w:pStyle w:val="ListParagraph"/>
        <w:numPr>
          <w:ilvl w:val="1"/>
          <w:numId w:val="4"/>
        </w:numPr>
        <w:tabs>
          <w:tab w:val="left" w:pos="720"/>
        </w:tabs>
        <w:spacing w:before="100" w:after="100"/>
        <w:ind w:left="720"/>
      </w:pPr>
      <w:r w:rsidRPr="00132F6D">
        <w:rPr>
          <w:b/>
        </w:rPr>
        <w:t xml:space="preserve">Case reporting </w:t>
      </w:r>
      <w:r w:rsidRPr="00132F6D">
        <w:t>- clinician-completed MDPH DSTDP Case Report Forms</w:t>
      </w:r>
      <w:r w:rsidRPr="00132F6D">
        <w:rPr>
          <w:rStyle w:val="FootnoteReference"/>
        </w:rPr>
        <w:footnoteReference w:id="7"/>
      </w:r>
      <w:r w:rsidRPr="00132F6D">
        <w:t xml:space="preserve"> are required, and provide details on case characteristics and tre</w:t>
      </w:r>
      <w:r w:rsidR="00655FB6">
        <w:t xml:space="preserve">atment </w:t>
      </w:r>
      <w:r w:rsidRPr="00132F6D">
        <w:t>not automatically reported, unless your clinical organization participates in ESPNet.</w:t>
      </w:r>
      <w:r w:rsidRPr="00132F6D">
        <w:rPr>
          <w:rStyle w:val="FootnoteReference"/>
        </w:rPr>
        <w:footnoteReference w:id="8"/>
      </w:r>
      <w:r w:rsidRPr="00132F6D">
        <w:t xml:space="preserve"> </w:t>
      </w:r>
    </w:p>
    <w:p w:rsidR="0090001A" w:rsidRPr="00132F6D" w:rsidRDefault="0090001A" w:rsidP="002708AA">
      <w:pPr>
        <w:pStyle w:val="ListParagraph"/>
        <w:tabs>
          <w:tab w:val="left" w:pos="720"/>
        </w:tabs>
        <w:spacing w:before="100" w:after="100"/>
      </w:pPr>
    </w:p>
    <w:p w:rsidR="0090001A" w:rsidRPr="00132F6D" w:rsidRDefault="0090001A" w:rsidP="002708AA">
      <w:pPr>
        <w:pStyle w:val="ListParagraph"/>
        <w:numPr>
          <w:ilvl w:val="0"/>
          <w:numId w:val="1"/>
        </w:numPr>
        <w:spacing w:before="100" w:after="100"/>
        <w:ind w:left="360"/>
        <w:rPr>
          <w:b/>
        </w:rPr>
      </w:pPr>
      <w:r w:rsidRPr="00132F6D">
        <w:rPr>
          <w:b/>
        </w:rPr>
        <w:t xml:space="preserve">Help MDPH DSTDP to </w:t>
      </w:r>
    </w:p>
    <w:p w:rsidR="0090001A" w:rsidRPr="00132F6D" w:rsidRDefault="0090001A" w:rsidP="002708AA">
      <w:pPr>
        <w:pStyle w:val="ListParagraph"/>
        <w:numPr>
          <w:ilvl w:val="0"/>
          <w:numId w:val="5"/>
        </w:numPr>
        <w:spacing w:before="100" w:after="100"/>
        <w:ind w:left="720"/>
      </w:pPr>
      <w:r w:rsidRPr="00132F6D">
        <w:rPr>
          <w:b/>
        </w:rPr>
        <w:t>Collect clinical samples for public health purposes</w:t>
      </w:r>
      <w:r w:rsidRPr="00132F6D">
        <w:t>.</w:t>
      </w:r>
    </w:p>
    <w:p w:rsidR="0090001A" w:rsidRPr="00132F6D" w:rsidRDefault="0090001A" w:rsidP="002708AA">
      <w:pPr>
        <w:pStyle w:val="ListParagraph"/>
        <w:numPr>
          <w:ilvl w:val="2"/>
          <w:numId w:val="1"/>
        </w:numPr>
        <w:tabs>
          <w:tab w:val="left" w:pos="1080"/>
        </w:tabs>
        <w:spacing w:before="100" w:after="100"/>
        <w:ind w:left="1080"/>
      </w:pPr>
      <w:r w:rsidRPr="00132F6D">
        <w:t>Samples (whole blood, primary/moist secondary lesions, cerebrospinal or ocular fluid) from ocular syphilis cases.</w:t>
      </w:r>
      <w:r w:rsidRPr="00132F6D">
        <w:rPr>
          <w:rStyle w:val="FootnoteReference"/>
        </w:rPr>
        <w:footnoteReference w:id="9"/>
      </w:r>
    </w:p>
    <w:p w:rsidR="0090001A" w:rsidRPr="00132F6D" w:rsidRDefault="0090001A" w:rsidP="002708AA">
      <w:pPr>
        <w:pStyle w:val="ListParagraph"/>
        <w:numPr>
          <w:ilvl w:val="2"/>
          <w:numId w:val="1"/>
        </w:numPr>
        <w:tabs>
          <w:tab w:val="left" w:pos="1080"/>
        </w:tabs>
        <w:spacing w:before="100" w:after="100"/>
        <w:ind w:left="1080"/>
      </w:pPr>
      <w:r w:rsidRPr="00132F6D">
        <w:t>Gonococcal culture should be performed on:</w:t>
      </w:r>
    </w:p>
    <w:p w:rsidR="0090001A" w:rsidRPr="00132F6D" w:rsidRDefault="0090001A" w:rsidP="002708AA">
      <w:pPr>
        <w:pStyle w:val="ListParagraph"/>
        <w:numPr>
          <w:ilvl w:val="3"/>
          <w:numId w:val="6"/>
        </w:numPr>
        <w:tabs>
          <w:tab w:val="left" w:pos="1440"/>
        </w:tabs>
        <w:spacing w:before="100" w:after="100"/>
        <w:ind w:left="1440"/>
      </w:pPr>
      <w:r w:rsidRPr="00132F6D">
        <w:t>Symptomatic cases who do not respond to the recommended treatment regimen.</w:t>
      </w:r>
    </w:p>
    <w:p w:rsidR="0090001A" w:rsidRPr="00132F6D" w:rsidRDefault="0090001A" w:rsidP="002708AA">
      <w:pPr>
        <w:pStyle w:val="ListParagraph"/>
        <w:numPr>
          <w:ilvl w:val="3"/>
          <w:numId w:val="6"/>
        </w:numPr>
        <w:tabs>
          <w:tab w:val="left" w:pos="1440"/>
        </w:tabs>
        <w:spacing w:before="100" w:after="100"/>
        <w:ind w:left="1440"/>
      </w:pPr>
      <w:r w:rsidRPr="00132F6D">
        <w:t xml:space="preserve">All cases </w:t>
      </w:r>
      <w:r w:rsidRPr="00132F6D">
        <w:rPr>
          <w:i/>
        </w:rPr>
        <w:t>not</w:t>
      </w:r>
      <w:r w:rsidRPr="00132F6D">
        <w:t xml:space="preserve"> treated with the recommended treatment regimen, where oropharyngeal infection is suspected.</w:t>
      </w:r>
    </w:p>
    <w:p w:rsidR="0090001A" w:rsidRPr="00132F6D" w:rsidRDefault="0090001A" w:rsidP="002708AA">
      <w:pPr>
        <w:pStyle w:val="ListParagraph"/>
        <w:numPr>
          <w:ilvl w:val="1"/>
          <w:numId w:val="1"/>
        </w:numPr>
        <w:spacing w:before="100" w:after="100"/>
        <w:ind w:left="720"/>
      </w:pPr>
      <w:r w:rsidRPr="00132F6D">
        <w:rPr>
          <w:b/>
        </w:rPr>
        <w:t>Encourage partner services to reduce reinfection</w:t>
      </w:r>
      <w:r w:rsidRPr="00132F6D">
        <w:t>. Allay patient concerns and ask for patient cooperation should they be contacted by DSTDP.</w:t>
      </w:r>
    </w:p>
    <w:p w:rsidR="0090001A" w:rsidRPr="00132F6D" w:rsidRDefault="0090001A" w:rsidP="002708AA">
      <w:pPr>
        <w:pStyle w:val="ListParagraph"/>
        <w:numPr>
          <w:ilvl w:val="1"/>
          <w:numId w:val="1"/>
        </w:numPr>
        <w:spacing w:before="100" w:after="100"/>
        <w:ind w:left="720"/>
      </w:pPr>
      <w:r w:rsidRPr="00132F6D">
        <w:rPr>
          <w:b/>
        </w:rPr>
        <w:t>Follow</w:t>
      </w:r>
      <w:r w:rsidR="00CC17E0">
        <w:rPr>
          <w:b/>
        </w:rPr>
        <w:t xml:space="preserve"> </w:t>
      </w:r>
      <w:r w:rsidRPr="00132F6D">
        <w:rPr>
          <w:b/>
        </w:rPr>
        <w:t xml:space="preserve">up on </w:t>
      </w:r>
      <w:r w:rsidR="00942DA9">
        <w:rPr>
          <w:b/>
        </w:rPr>
        <w:t xml:space="preserve">pregnant women with syphilis and </w:t>
      </w:r>
      <w:r w:rsidRPr="00132F6D">
        <w:rPr>
          <w:b/>
        </w:rPr>
        <w:t>pregnancy outcomes to eliminate congenital syphilis</w:t>
      </w:r>
      <w:r w:rsidRPr="00132F6D">
        <w:t>. Our congenital syphilis prevention program includes obstetric, perinatal, and newborn follow-up to ensure appropriate work-up and treatment.</w:t>
      </w:r>
    </w:p>
    <w:p w:rsidR="00B47152" w:rsidRPr="00132F6D" w:rsidRDefault="00B47152" w:rsidP="002708AA">
      <w:pPr>
        <w:spacing w:before="100" w:after="100"/>
        <w:rPr>
          <w:rFonts w:asciiTheme="minorHAnsi" w:hAnsiTheme="minorHAnsi"/>
          <w:sz w:val="22"/>
          <w:szCs w:val="22"/>
        </w:rPr>
      </w:pPr>
    </w:p>
    <w:sectPr w:rsidR="00B47152" w:rsidRPr="00132F6D" w:rsidSect="00132F6D">
      <w:pgSz w:w="12240" w:h="15840"/>
      <w:pgMar w:top="1080" w:right="1080" w:bottom="720"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956" w:rsidRDefault="00DF0956" w:rsidP="0090001A">
      <w:r>
        <w:separator/>
      </w:r>
    </w:p>
  </w:endnote>
  <w:endnote w:type="continuationSeparator" w:id="0">
    <w:p w:rsidR="00DF0956" w:rsidRDefault="00DF0956" w:rsidP="00900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956" w:rsidRDefault="00DF0956" w:rsidP="0090001A">
      <w:r>
        <w:separator/>
      </w:r>
    </w:p>
  </w:footnote>
  <w:footnote w:type="continuationSeparator" w:id="0">
    <w:p w:rsidR="00DF0956" w:rsidRDefault="00DF0956" w:rsidP="0090001A">
      <w:r>
        <w:continuationSeparator/>
      </w:r>
    </w:p>
  </w:footnote>
  <w:footnote w:id="1">
    <w:p w:rsidR="005D7AA6" w:rsidRPr="002708AA" w:rsidRDefault="005D7AA6" w:rsidP="005D7AA6">
      <w:pPr>
        <w:pStyle w:val="FootnoteText"/>
        <w:rPr>
          <w:sz w:val="18"/>
          <w:szCs w:val="18"/>
        </w:rPr>
      </w:pPr>
      <w:r w:rsidRPr="002708AA">
        <w:rPr>
          <w:rStyle w:val="FootnoteReference"/>
          <w:sz w:val="18"/>
          <w:szCs w:val="18"/>
        </w:rPr>
        <w:footnoteRef/>
      </w:r>
      <w:r w:rsidRPr="002708AA">
        <w:rPr>
          <w:sz w:val="18"/>
          <w:szCs w:val="18"/>
        </w:rPr>
        <w:t xml:space="preserve"> Hsu KK, Molotnikov LE, Roosevelt KA, Elder HR, Klevens RM, DeMaria Jr A, Aral SO. </w:t>
      </w:r>
      <w:r w:rsidRPr="002708AA">
        <w:rPr>
          <w:i/>
          <w:sz w:val="18"/>
          <w:szCs w:val="18"/>
        </w:rPr>
        <w:t>Clinical Infectious Diseases</w:t>
      </w:r>
      <w:r w:rsidRPr="002708AA">
        <w:rPr>
          <w:sz w:val="18"/>
          <w:szCs w:val="18"/>
        </w:rPr>
        <w:t xml:space="preserve">, 2018. </w:t>
      </w:r>
    </w:p>
  </w:footnote>
  <w:footnote w:id="2">
    <w:p w:rsidR="00E31F07" w:rsidRPr="002708AA" w:rsidRDefault="00E31F07" w:rsidP="00E31F07">
      <w:pPr>
        <w:pStyle w:val="FootnoteText"/>
        <w:rPr>
          <w:sz w:val="18"/>
          <w:szCs w:val="18"/>
        </w:rPr>
      </w:pPr>
      <w:r w:rsidRPr="002708AA">
        <w:rPr>
          <w:rStyle w:val="FootnoteReference"/>
          <w:sz w:val="18"/>
          <w:szCs w:val="18"/>
        </w:rPr>
        <w:footnoteRef/>
      </w:r>
      <w:r w:rsidRPr="002708AA">
        <w:rPr>
          <w:sz w:val="18"/>
          <w:szCs w:val="18"/>
        </w:rPr>
        <w:t xml:space="preserve"> 2015 CDC STD Treatment Guidelines, available as an app for Apple and Android devices, </w:t>
      </w:r>
      <w:hyperlink r:id="rId1" w:history="1">
        <w:r w:rsidRPr="002708AA">
          <w:rPr>
            <w:rStyle w:val="Hyperlink"/>
            <w:sz w:val="18"/>
            <w:szCs w:val="18"/>
          </w:rPr>
          <w:t>www.cdc.gov/std/tg2015/default.htm</w:t>
        </w:r>
      </w:hyperlink>
      <w:r w:rsidRPr="002708AA">
        <w:rPr>
          <w:sz w:val="18"/>
          <w:szCs w:val="18"/>
        </w:rPr>
        <w:t xml:space="preserve">. </w:t>
      </w:r>
    </w:p>
  </w:footnote>
  <w:footnote w:id="3">
    <w:p w:rsidR="0090001A" w:rsidRPr="002708AA" w:rsidRDefault="0090001A" w:rsidP="0090001A">
      <w:pPr>
        <w:pStyle w:val="FootnoteText"/>
        <w:rPr>
          <w:sz w:val="18"/>
          <w:szCs w:val="18"/>
        </w:rPr>
      </w:pPr>
      <w:r w:rsidRPr="002708AA">
        <w:rPr>
          <w:rStyle w:val="FootnoteReference"/>
          <w:sz w:val="18"/>
          <w:szCs w:val="18"/>
        </w:rPr>
        <w:footnoteRef/>
      </w:r>
      <w:r w:rsidRPr="002708AA">
        <w:rPr>
          <w:sz w:val="18"/>
          <w:szCs w:val="18"/>
        </w:rPr>
        <w:t xml:space="preserve"> MDPH HIV PrEP Information for Providers</w:t>
      </w:r>
      <w:r w:rsidR="00EA0321" w:rsidRPr="002708AA">
        <w:rPr>
          <w:sz w:val="18"/>
          <w:szCs w:val="18"/>
        </w:rPr>
        <w:t>,</w:t>
      </w:r>
      <w:r w:rsidRPr="002708AA">
        <w:rPr>
          <w:sz w:val="18"/>
          <w:szCs w:val="18"/>
        </w:rPr>
        <w:t xml:space="preserve"> </w:t>
      </w:r>
      <w:hyperlink r:id="rId2" w:history="1">
        <w:r w:rsidR="00EB31C6" w:rsidRPr="002708AA">
          <w:rPr>
            <w:rStyle w:val="Hyperlink"/>
            <w:sz w:val="18"/>
            <w:szCs w:val="18"/>
          </w:rPr>
          <w:t>www.mass.gov/service-details/hiv-pre-exposure-prophylaxis-prep-information-for-providers</w:t>
        </w:r>
      </w:hyperlink>
      <w:r w:rsidR="00EA0321" w:rsidRPr="002708AA">
        <w:rPr>
          <w:sz w:val="18"/>
          <w:szCs w:val="18"/>
        </w:rPr>
        <w:t>.</w:t>
      </w:r>
    </w:p>
  </w:footnote>
  <w:footnote w:id="4">
    <w:p w:rsidR="0090001A" w:rsidRPr="002708AA" w:rsidRDefault="0090001A" w:rsidP="0090001A">
      <w:pPr>
        <w:pStyle w:val="FootnoteText"/>
        <w:rPr>
          <w:sz w:val="18"/>
          <w:szCs w:val="18"/>
        </w:rPr>
      </w:pPr>
      <w:r w:rsidRPr="002708AA">
        <w:rPr>
          <w:rStyle w:val="FootnoteReference"/>
          <w:sz w:val="18"/>
          <w:szCs w:val="18"/>
        </w:rPr>
        <w:footnoteRef/>
      </w:r>
      <w:r w:rsidRPr="002708AA">
        <w:rPr>
          <w:sz w:val="18"/>
          <w:szCs w:val="18"/>
        </w:rPr>
        <w:t xml:space="preserve"> CDC ACIP Vaccine Recommendatio</w:t>
      </w:r>
      <w:r w:rsidR="00EA0321" w:rsidRPr="002708AA">
        <w:rPr>
          <w:sz w:val="18"/>
          <w:szCs w:val="18"/>
        </w:rPr>
        <w:t xml:space="preserve">ns and Guidelines, </w:t>
      </w:r>
      <w:hyperlink r:id="rId3" w:history="1">
        <w:r w:rsidR="00EB31C6" w:rsidRPr="002708AA">
          <w:rPr>
            <w:rStyle w:val="Hyperlink"/>
            <w:sz w:val="18"/>
            <w:szCs w:val="18"/>
          </w:rPr>
          <w:t>www.cdc.gov/vaccines/hcp/acip-recs/index.html</w:t>
        </w:r>
      </w:hyperlink>
      <w:r w:rsidRPr="002708AA">
        <w:rPr>
          <w:sz w:val="18"/>
          <w:szCs w:val="18"/>
        </w:rPr>
        <w:t xml:space="preserve">. </w:t>
      </w:r>
    </w:p>
  </w:footnote>
  <w:footnote w:id="5">
    <w:p w:rsidR="0090001A" w:rsidRPr="002708AA" w:rsidRDefault="0090001A" w:rsidP="0090001A">
      <w:pPr>
        <w:pStyle w:val="FootnoteText"/>
        <w:rPr>
          <w:sz w:val="18"/>
          <w:szCs w:val="18"/>
        </w:rPr>
      </w:pPr>
      <w:r w:rsidRPr="002708AA">
        <w:rPr>
          <w:rStyle w:val="FootnoteReference"/>
          <w:sz w:val="18"/>
          <w:szCs w:val="18"/>
        </w:rPr>
        <w:footnoteRef/>
      </w:r>
      <w:r w:rsidRPr="002708AA">
        <w:rPr>
          <w:sz w:val="18"/>
          <w:szCs w:val="18"/>
        </w:rPr>
        <w:t xml:space="preserve"> </w:t>
      </w:r>
      <w:r w:rsidR="005249CF">
        <w:rPr>
          <w:sz w:val="18"/>
          <w:szCs w:val="18"/>
        </w:rPr>
        <w:t>National</w:t>
      </w:r>
      <w:r w:rsidR="00EB31C6" w:rsidRPr="002708AA">
        <w:rPr>
          <w:sz w:val="18"/>
          <w:szCs w:val="18"/>
        </w:rPr>
        <w:t xml:space="preserve"> Network of STD Clinical Prevention Training Centers </w:t>
      </w:r>
      <w:r w:rsidRPr="002708AA">
        <w:rPr>
          <w:sz w:val="18"/>
          <w:szCs w:val="18"/>
        </w:rPr>
        <w:t>S</w:t>
      </w:r>
      <w:r w:rsidR="00EB31C6" w:rsidRPr="002708AA">
        <w:rPr>
          <w:sz w:val="18"/>
          <w:szCs w:val="18"/>
        </w:rPr>
        <w:t>TD Clinical Consultation Network</w:t>
      </w:r>
      <w:r w:rsidR="00EA0321" w:rsidRPr="002708AA">
        <w:rPr>
          <w:sz w:val="18"/>
          <w:szCs w:val="18"/>
        </w:rPr>
        <w:t>,</w:t>
      </w:r>
      <w:r w:rsidRPr="002708AA">
        <w:rPr>
          <w:sz w:val="18"/>
          <w:szCs w:val="18"/>
        </w:rPr>
        <w:t xml:space="preserve"> </w:t>
      </w:r>
      <w:hyperlink r:id="rId4" w:history="1">
        <w:r w:rsidR="00EF4F3E" w:rsidRPr="006F0E34">
          <w:rPr>
            <w:rStyle w:val="Hyperlink"/>
            <w:sz w:val="18"/>
            <w:szCs w:val="18"/>
          </w:rPr>
          <w:t>www.stdccn.org</w:t>
        </w:r>
      </w:hyperlink>
      <w:r w:rsidRPr="002708AA">
        <w:rPr>
          <w:sz w:val="18"/>
          <w:szCs w:val="18"/>
        </w:rPr>
        <w:t xml:space="preserve">. </w:t>
      </w:r>
    </w:p>
  </w:footnote>
  <w:footnote w:id="6">
    <w:p w:rsidR="0090001A" w:rsidRPr="002708AA" w:rsidRDefault="0090001A" w:rsidP="0090001A">
      <w:pPr>
        <w:pStyle w:val="FootnoteText"/>
        <w:rPr>
          <w:sz w:val="18"/>
          <w:szCs w:val="18"/>
        </w:rPr>
      </w:pPr>
      <w:r w:rsidRPr="002708AA">
        <w:rPr>
          <w:rStyle w:val="FootnoteReference"/>
          <w:sz w:val="18"/>
          <w:szCs w:val="18"/>
        </w:rPr>
        <w:footnoteRef/>
      </w:r>
      <w:r w:rsidR="00E4484F" w:rsidRPr="002708AA">
        <w:rPr>
          <w:sz w:val="18"/>
          <w:szCs w:val="18"/>
        </w:rPr>
        <w:t xml:space="preserve"> MDPH </w:t>
      </w:r>
      <w:r w:rsidRPr="002708AA">
        <w:rPr>
          <w:sz w:val="18"/>
          <w:szCs w:val="18"/>
        </w:rPr>
        <w:t>Expedited Partner T</w:t>
      </w:r>
      <w:r w:rsidR="00E4484F" w:rsidRPr="002708AA">
        <w:rPr>
          <w:sz w:val="18"/>
          <w:szCs w:val="18"/>
        </w:rPr>
        <w:t xml:space="preserve">herapy for Chlamydia Infection, </w:t>
      </w:r>
      <w:hyperlink r:id="rId5" w:history="1">
        <w:r w:rsidR="00EB31C6" w:rsidRPr="002708AA">
          <w:rPr>
            <w:rStyle w:val="Hyperlink"/>
            <w:sz w:val="18"/>
            <w:szCs w:val="18"/>
          </w:rPr>
          <w:t>www.mass.gov/eohhs/gov/departments/dph/programs/id/std/public-health-cdc-std-clinical-advisories.html</w:t>
        </w:r>
      </w:hyperlink>
      <w:r w:rsidRPr="002708AA">
        <w:rPr>
          <w:sz w:val="18"/>
          <w:szCs w:val="18"/>
        </w:rPr>
        <w:t xml:space="preserve">. </w:t>
      </w:r>
    </w:p>
  </w:footnote>
  <w:footnote w:id="7">
    <w:p w:rsidR="0090001A" w:rsidRPr="002708AA" w:rsidRDefault="0090001A" w:rsidP="0090001A">
      <w:pPr>
        <w:pStyle w:val="FootnoteText"/>
        <w:rPr>
          <w:sz w:val="18"/>
          <w:szCs w:val="18"/>
        </w:rPr>
      </w:pPr>
      <w:r w:rsidRPr="002708AA">
        <w:rPr>
          <w:rStyle w:val="FootnoteReference"/>
          <w:sz w:val="18"/>
          <w:szCs w:val="18"/>
        </w:rPr>
        <w:footnoteRef/>
      </w:r>
      <w:r w:rsidR="00E4484F" w:rsidRPr="002708AA">
        <w:rPr>
          <w:sz w:val="18"/>
          <w:szCs w:val="18"/>
        </w:rPr>
        <w:t xml:space="preserve"> MDPH STD </w:t>
      </w:r>
      <w:r w:rsidR="00EB31C6" w:rsidRPr="002708AA">
        <w:rPr>
          <w:sz w:val="18"/>
          <w:szCs w:val="18"/>
        </w:rPr>
        <w:t>Case Report Forms</w:t>
      </w:r>
      <w:r w:rsidR="00E4484F" w:rsidRPr="002708AA">
        <w:rPr>
          <w:sz w:val="18"/>
          <w:szCs w:val="18"/>
        </w:rPr>
        <w:t>,</w:t>
      </w:r>
      <w:r w:rsidRPr="002708AA">
        <w:rPr>
          <w:sz w:val="18"/>
          <w:szCs w:val="18"/>
        </w:rPr>
        <w:t xml:space="preserve"> </w:t>
      </w:r>
      <w:hyperlink r:id="rId6" w:history="1">
        <w:r w:rsidR="00EB31C6" w:rsidRPr="002708AA">
          <w:rPr>
            <w:rStyle w:val="Hyperlink"/>
            <w:sz w:val="18"/>
            <w:szCs w:val="18"/>
          </w:rPr>
          <w:t>www.mass.gov/eohhs/gov/departments/dph/programs/id/std/case-report-forms.html</w:t>
        </w:r>
      </w:hyperlink>
      <w:r w:rsidRPr="002708AA">
        <w:rPr>
          <w:sz w:val="18"/>
          <w:szCs w:val="18"/>
        </w:rPr>
        <w:t xml:space="preserve">. </w:t>
      </w:r>
    </w:p>
  </w:footnote>
  <w:footnote w:id="8">
    <w:p w:rsidR="0090001A" w:rsidRPr="002708AA" w:rsidRDefault="0090001A" w:rsidP="0090001A">
      <w:pPr>
        <w:pStyle w:val="FootnoteText"/>
        <w:rPr>
          <w:sz w:val="18"/>
          <w:szCs w:val="18"/>
        </w:rPr>
      </w:pPr>
      <w:r w:rsidRPr="002708AA">
        <w:rPr>
          <w:rStyle w:val="FootnoteReference"/>
          <w:sz w:val="18"/>
          <w:szCs w:val="18"/>
        </w:rPr>
        <w:footnoteRef/>
      </w:r>
      <w:r w:rsidRPr="002708AA">
        <w:rPr>
          <w:sz w:val="18"/>
          <w:szCs w:val="18"/>
        </w:rPr>
        <w:t xml:space="preserve"> </w:t>
      </w:r>
      <w:r w:rsidRPr="002708AA">
        <w:rPr>
          <w:b/>
          <w:sz w:val="18"/>
          <w:szCs w:val="18"/>
        </w:rPr>
        <w:t>E</w:t>
      </w:r>
      <w:r w:rsidRPr="002708AA">
        <w:rPr>
          <w:sz w:val="18"/>
          <w:szCs w:val="18"/>
        </w:rPr>
        <w:t xml:space="preserve">lectronic medical record </w:t>
      </w:r>
      <w:r w:rsidRPr="002708AA">
        <w:rPr>
          <w:b/>
          <w:sz w:val="18"/>
          <w:szCs w:val="18"/>
        </w:rPr>
        <w:t>S</w:t>
      </w:r>
      <w:r w:rsidRPr="002708AA">
        <w:rPr>
          <w:sz w:val="18"/>
          <w:szCs w:val="18"/>
        </w:rPr>
        <w:t xml:space="preserve">upport for </w:t>
      </w:r>
      <w:r w:rsidRPr="002708AA">
        <w:rPr>
          <w:b/>
          <w:sz w:val="18"/>
          <w:szCs w:val="18"/>
        </w:rPr>
        <w:t>P</w:t>
      </w:r>
      <w:r w:rsidR="00E4484F" w:rsidRPr="002708AA">
        <w:rPr>
          <w:sz w:val="18"/>
          <w:szCs w:val="18"/>
        </w:rPr>
        <w:t xml:space="preserve">ublic health, </w:t>
      </w:r>
      <w:hyperlink r:id="rId7" w:history="1">
        <w:r w:rsidR="00EF4F3E" w:rsidRPr="006F0E34">
          <w:rPr>
            <w:rStyle w:val="Hyperlink"/>
            <w:sz w:val="18"/>
            <w:szCs w:val="18"/>
          </w:rPr>
          <w:t>www.esphealth.org</w:t>
        </w:r>
      </w:hyperlink>
      <w:r w:rsidRPr="002708AA">
        <w:rPr>
          <w:sz w:val="18"/>
          <w:szCs w:val="18"/>
        </w:rPr>
        <w:t xml:space="preserve">. </w:t>
      </w:r>
    </w:p>
  </w:footnote>
  <w:footnote w:id="9">
    <w:p w:rsidR="0090001A" w:rsidRPr="002708AA" w:rsidRDefault="0090001A" w:rsidP="0090001A">
      <w:pPr>
        <w:pStyle w:val="FootnoteText"/>
        <w:rPr>
          <w:sz w:val="18"/>
          <w:szCs w:val="18"/>
        </w:rPr>
      </w:pPr>
      <w:r w:rsidRPr="002708AA">
        <w:rPr>
          <w:rStyle w:val="FootnoteReference"/>
          <w:sz w:val="18"/>
          <w:szCs w:val="18"/>
        </w:rPr>
        <w:footnoteRef/>
      </w:r>
      <w:r w:rsidRPr="002708AA">
        <w:rPr>
          <w:sz w:val="18"/>
          <w:szCs w:val="18"/>
        </w:rPr>
        <w:t xml:space="preserve"> </w:t>
      </w:r>
      <w:r w:rsidR="00E4484F" w:rsidRPr="002708AA">
        <w:rPr>
          <w:sz w:val="18"/>
          <w:szCs w:val="18"/>
        </w:rPr>
        <w:t xml:space="preserve">CDC </w:t>
      </w:r>
      <w:r w:rsidRPr="002708AA">
        <w:rPr>
          <w:sz w:val="18"/>
          <w:szCs w:val="18"/>
        </w:rPr>
        <w:t xml:space="preserve">Clinical Advisory: Ocular Syphilis in </w:t>
      </w:r>
      <w:r w:rsidR="00E4484F" w:rsidRPr="002708AA">
        <w:rPr>
          <w:sz w:val="18"/>
          <w:szCs w:val="18"/>
        </w:rPr>
        <w:t xml:space="preserve">the United States, </w:t>
      </w:r>
      <w:hyperlink r:id="rId8" w:history="1">
        <w:r w:rsidR="00E4484F" w:rsidRPr="002708AA">
          <w:rPr>
            <w:rStyle w:val="Hyperlink"/>
            <w:sz w:val="18"/>
            <w:szCs w:val="18"/>
          </w:rPr>
          <w:t>www.cdc.gov/std/syphilis/clinicaladvisoryos2015.htm</w:t>
        </w:r>
      </w:hyperlink>
      <w:r w:rsidRPr="002708AA">
        <w:rPr>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3483D"/>
    <w:multiLevelType w:val="hybridMultilevel"/>
    <w:tmpl w:val="0ACC9B34"/>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667317E"/>
    <w:multiLevelType w:val="hybridMultilevel"/>
    <w:tmpl w:val="B8A04202"/>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B3E04256">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B66BCA"/>
    <w:multiLevelType w:val="hybridMultilevel"/>
    <w:tmpl w:val="7930C078"/>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650D86"/>
    <w:multiLevelType w:val="hybridMultilevel"/>
    <w:tmpl w:val="E73CA012"/>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C46D4C"/>
    <w:multiLevelType w:val="hybridMultilevel"/>
    <w:tmpl w:val="85B2A6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02B520F"/>
    <w:multiLevelType w:val="hybridMultilevel"/>
    <w:tmpl w:val="B442FC6C"/>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A6"/>
    <w:rsid w:val="00033154"/>
    <w:rsid w:val="00042048"/>
    <w:rsid w:val="000537DA"/>
    <w:rsid w:val="000778BF"/>
    <w:rsid w:val="000E59E8"/>
    <w:rsid w:val="000F315B"/>
    <w:rsid w:val="00131178"/>
    <w:rsid w:val="00132F6D"/>
    <w:rsid w:val="00152272"/>
    <w:rsid w:val="0015268B"/>
    <w:rsid w:val="00174433"/>
    <w:rsid w:val="00177C77"/>
    <w:rsid w:val="001A5680"/>
    <w:rsid w:val="001C20C8"/>
    <w:rsid w:val="00206E67"/>
    <w:rsid w:val="002323F6"/>
    <w:rsid w:val="002708AA"/>
    <w:rsid w:val="00274C97"/>
    <w:rsid w:val="00274D45"/>
    <w:rsid w:val="00276957"/>
    <w:rsid w:val="00276DCC"/>
    <w:rsid w:val="002C3A70"/>
    <w:rsid w:val="00366633"/>
    <w:rsid w:val="00384B60"/>
    <w:rsid w:val="00385812"/>
    <w:rsid w:val="00385FC7"/>
    <w:rsid w:val="00392D0B"/>
    <w:rsid w:val="003A7AFC"/>
    <w:rsid w:val="003B7566"/>
    <w:rsid w:val="003C60EF"/>
    <w:rsid w:val="004032EB"/>
    <w:rsid w:val="00437E84"/>
    <w:rsid w:val="00476AF3"/>
    <w:rsid w:val="004813AC"/>
    <w:rsid w:val="00495B78"/>
    <w:rsid w:val="004B37A0"/>
    <w:rsid w:val="004D6B39"/>
    <w:rsid w:val="004F5CEC"/>
    <w:rsid w:val="005249CF"/>
    <w:rsid w:val="005448AA"/>
    <w:rsid w:val="00570DEB"/>
    <w:rsid w:val="005809E2"/>
    <w:rsid w:val="005D15EE"/>
    <w:rsid w:val="005D7AA6"/>
    <w:rsid w:val="00630D29"/>
    <w:rsid w:val="00632868"/>
    <w:rsid w:val="00655FB6"/>
    <w:rsid w:val="0068222A"/>
    <w:rsid w:val="006D06D9"/>
    <w:rsid w:val="006D77A6"/>
    <w:rsid w:val="00702109"/>
    <w:rsid w:val="00721472"/>
    <w:rsid w:val="0072610D"/>
    <w:rsid w:val="00735050"/>
    <w:rsid w:val="00773108"/>
    <w:rsid w:val="007B3F4B"/>
    <w:rsid w:val="007B7347"/>
    <w:rsid w:val="007B7710"/>
    <w:rsid w:val="007D10F3"/>
    <w:rsid w:val="0080117D"/>
    <w:rsid w:val="008038FC"/>
    <w:rsid w:val="00830AA2"/>
    <w:rsid w:val="00833F50"/>
    <w:rsid w:val="00885424"/>
    <w:rsid w:val="008A1605"/>
    <w:rsid w:val="008B1DD6"/>
    <w:rsid w:val="008C15D2"/>
    <w:rsid w:val="008D7E6C"/>
    <w:rsid w:val="0090001A"/>
    <w:rsid w:val="00942DA9"/>
    <w:rsid w:val="00984007"/>
    <w:rsid w:val="009908FF"/>
    <w:rsid w:val="0099542E"/>
    <w:rsid w:val="00995505"/>
    <w:rsid w:val="009A50F8"/>
    <w:rsid w:val="009B5D27"/>
    <w:rsid w:val="009C464E"/>
    <w:rsid w:val="009E04BA"/>
    <w:rsid w:val="009E4F08"/>
    <w:rsid w:val="00A16A3B"/>
    <w:rsid w:val="00A65101"/>
    <w:rsid w:val="00AE3F85"/>
    <w:rsid w:val="00B12D24"/>
    <w:rsid w:val="00B403BF"/>
    <w:rsid w:val="00B47152"/>
    <w:rsid w:val="00B608D9"/>
    <w:rsid w:val="00B60FE5"/>
    <w:rsid w:val="00B81496"/>
    <w:rsid w:val="00BA4055"/>
    <w:rsid w:val="00BA6211"/>
    <w:rsid w:val="00BA7FB6"/>
    <w:rsid w:val="00C127D3"/>
    <w:rsid w:val="00C20BFE"/>
    <w:rsid w:val="00C34573"/>
    <w:rsid w:val="00C53237"/>
    <w:rsid w:val="00CC1778"/>
    <w:rsid w:val="00CC17E0"/>
    <w:rsid w:val="00CE575B"/>
    <w:rsid w:val="00CF0F53"/>
    <w:rsid w:val="00CF3DE8"/>
    <w:rsid w:val="00D0493F"/>
    <w:rsid w:val="00D201ED"/>
    <w:rsid w:val="00D44DFC"/>
    <w:rsid w:val="00D56F91"/>
    <w:rsid w:val="00D8671C"/>
    <w:rsid w:val="00DA57C3"/>
    <w:rsid w:val="00DC3855"/>
    <w:rsid w:val="00DD06C4"/>
    <w:rsid w:val="00DF0956"/>
    <w:rsid w:val="00DF3496"/>
    <w:rsid w:val="00E274B8"/>
    <w:rsid w:val="00E31F07"/>
    <w:rsid w:val="00E4484F"/>
    <w:rsid w:val="00E72707"/>
    <w:rsid w:val="00E96202"/>
    <w:rsid w:val="00EA0321"/>
    <w:rsid w:val="00EA0ABA"/>
    <w:rsid w:val="00EB31C6"/>
    <w:rsid w:val="00EC4030"/>
    <w:rsid w:val="00ED05BE"/>
    <w:rsid w:val="00EE433A"/>
    <w:rsid w:val="00EF4F3E"/>
    <w:rsid w:val="00F0586E"/>
    <w:rsid w:val="00F43932"/>
    <w:rsid w:val="00F64F9A"/>
    <w:rsid w:val="00FC5BF1"/>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7DA"/>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basedOn w:val="DefaultParagraphFont"/>
    <w:uiPriority w:val="99"/>
    <w:rsid w:val="00CE575B"/>
    <w:rPr>
      <w:rFonts w:cs="Times New Roman"/>
      <w:color w:val="0000FF"/>
      <w:u w:val="single"/>
    </w:rPr>
  </w:style>
  <w:style w:type="paragraph" w:styleId="BalloonText">
    <w:name w:val="Balloon Text"/>
    <w:basedOn w:val="Normal"/>
    <w:link w:val="BalloonTextChar"/>
    <w:uiPriority w:val="99"/>
    <w:rsid w:val="00FC6B42"/>
    <w:rPr>
      <w:rFonts w:ascii="Tahoma" w:hAnsi="Tahoma"/>
      <w:sz w:val="16"/>
      <w:szCs w:val="16"/>
    </w:rPr>
  </w:style>
  <w:style w:type="character" w:customStyle="1" w:styleId="BalloonTextChar">
    <w:name w:val="Balloon Text Char"/>
    <w:basedOn w:val="DefaultParagraphFont"/>
    <w:link w:val="BalloonText"/>
    <w:uiPriority w:val="99"/>
    <w:locked/>
    <w:rsid w:val="00FC6B42"/>
    <w:rPr>
      <w:rFonts w:ascii="Tahoma" w:hAnsi="Tahoma"/>
      <w:sz w:val="16"/>
    </w:rPr>
  </w:style>
  <w:style w:type="character" w:styleId="Strong">
    <w:name w:val="Strong"/>
    <w:qFormat/>
    <w:locked/>
    <w:rsid w:val="00984007"/>
    <w:rPr>
      <w:b/>
      <w:bCs/>
    </w:rPr>
  </w:style>
  <w:style w:type="paragraph" w:styleId="ListParagraph">
    <w:name w:val="List Paragraph"/>
    <w:basedOn w:val="Normal"/>
    <w:uiPriority w:val="34"/>
    <w:qFormat/>
    <w:rsid w:val="0090001A"/>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90001A"/>
    <w:rPr>
      <w:sz w:val="16"/>
      <w:szCs w:val="16"/>
    </w:rPr>
  </w:style>
  <w:style w:type="paragraph" w:styleId="CommentText">
    <w:name w:val="annotation text"/>
    <w:basedOn w:val="Normal"/>
    <w:link w:val="CommentTextChar"/>
    <w:uiPriority w:val="99"/>
    <w:semiHidden/>
    <w:unhideWhenUsed/>
    <w:rsid w:val="0090001A"/>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90001A"/>
    <w:rPr>
      <w:rFonts w:asciiTheme="minorHAnsi" w:eastAsiaTheme="minorHAnsi" w:hAnsiTheme="minorHAnsi" w:cstheme="minorBidi"/>
      <w:sz w:val="20"/>
      <w:szCs w:val="20"/>
    </w:rPr>
  </w:style>
  <w:style w:type="paragraph" w:styleId="FootnoteText">
    <w:name w:val="footnote text"/>
    <w:basedOn w:val="Normal"/>
    <w:link w:val="FootnoteTextChar"/>
    <w:uiPriority w:val="99"/>
    <w:semiHidden/>
    <w:unhideWhenUsed/>
    <w:rsid w:val="0090001A"/>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90001A"/>
    <w:rPr>
      <w:rFonts w:asciiTheme="minorHAnsi" w:eastAsiaTheme="minorHAnsi" w:hAnsiTheme="minorHAnsi" w:cstheme="minorBidi"/>
      <w:sz w:val="20"/>
      <w:szCs w:val="20"/>
    </w:rPr>
  </w:style>
  <w:style w:type="character" w:styleId="FootnoteReference">
    <w:name w:val="footnote reference"/>
    <w:basedOn w:val="DefaultParagraphFont"/>
    <w:uiPriority w:val="99"/>
    <w:unhideWhenUsed/>
    <w:rsid w:val="0090001A"/>
    <w:rPr>
      <w:vertAlign w:val="superscript"/>
    </w:rPr>
  </w:style>
  <w:style w:type="character" w:styleId="FollowedHyperlink">
    <w:name w:val="FollowedHyperlink"/>
    <w:basedOn w:val="DefaultParagraphFont"/>
    <w:uiPriority w:val="99"/>
    <w:semiHidden/>
    <w:unhideWhenUsed/>
    <w:rsid w:val="00EB31C6"/>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366633"/>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66633"/>
    <w:rPr>
      <w:rFonts w:asciiTheme="minorHAnsi" w:eastAsiaTheme="minorHAnsi" w:hAnsiTheme="minorHAnsi" w:cstheme="minorBid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7DA"/>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basedOn w:val="DefaultParagraphFont"/>
    <w:uiPriority w:val="99"/>
    <w:rsid w:val="00CE575B"/>
    <w:rPr>
      <w:rFonts w:cs="Times New Roman"/>
      <w:color w:val="0000FF"/>
      <w:u w:val="single"/>
    </w:rPr>
  </w:style>
  <w:style w:type="paragraph" w:styleId="BalloonText">
    <w:name w:val="Balloon Text"/>
    <w:basedOn w:val="Normal"/>
    <w:link w:val="BalloonTextChar"/>
    <w:uiPriority w:val="99"/>
    <w:rsid w:val="00FC6B42"/>
    <w:rPr>
      <w:rFonts w:ascii="Tahoma" w:hAnsi="Tahoma"/>
      <w:sz w:val="16"/>
      <w:szCs w:val="16"/>
    </w:rPr>
  </w:style>
  <w:style w:type="character" w:customStyle="1" w:styleId="BalloonTextChar">
    <w:name w:val="Balloon Text Char"/>
    <w:basedOn w:val="DefaultParagraphFont"/>
    <w:link w:val="BalloonText"/>
    <w:uiPriority w:val="99"/>
    <w:locked/>
    <w:rsid w:val="00FC6B42"/>
    <w:rPr>
      <w:rFonts w:ascii="Tahoma" w:hAnsi="Tahoma"/>
      <w:sz w:val="16"/>
    </w:rPr>
  </w:style>
  <w:style w:type="character" w:styleId="Strong">
    <w:name w:val="Strong"/>
    <w:qFormat/>
    <w:locked/>
    <w:rsid w:val="00984007"/>
    <w:rPr>
      <w:b/>
      <w:bCs/>
    </w:rPr>
  </w:style>
  <w:style w:type="paragraph" w:styleId="ListParagraph">
    <w:name w:val="List Paragraph"/>
    <w:basedOn w:val="Normal"/>
    <w:uiPriority w:val="34"/>
    <w:qFormat/>
    <w:rsid w:val="0090001A"/>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90001A"/>
    <w:rPr>
      <w:sz w:val="16"/>
      <w:szCs w:val="16"/>
    </w:rPr>
  </w:style>
  <w:style w:type="paragraph" w:styleId="CommentText">
    <w:name w:val="annotation text"/>
    <w:basedOn w:val="Normal"/>
    <w:link w:val="CommentTextChar"/>
    <w:uiPriority w:val="99"/>
    <w:semiHidden/>
    <w:unhideWhenUsed/>
    <w:rsid w:val="0090001A"/>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90001A"/>
    <w:rPr>
      <w:rFonts w:asciiTheme="minorHAnsi" w:eastAsiaTheme="minorHAnsi" w:hAnsiTheme="minorHAnsi" w:cstheme="minorBidi"/>
      <w:sz w:val="20"/>
      <w:szCs w:val="20"/>
    </w:rPr>
  </w:style>
  <w:style w:type="paragraph" w:styleId="FootnoteText">
    <w:name w:val="footnote text"/>
    <w:basedOn w:val="Normal"/>
    <w:link w:val="FootnoteTextChar"/>
    <w:uiPriority w:val="99"/>
    <w:semiHidden/>
    <w:unhideWhenUsed/>
    <w:rsid w:val="0090001A"/>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90001A"/>
    <w:rPr>
      <w:rFonts w:asciiTheme="minorHAnsi" w:eastAsiaTheme="minorHAnsi" w:hAnsiTheme="minorHAnsi" w:cstheme="minorBidi"/>
      <w:sz w:val="20"/>
      <w:szCs w:val="20"/>
    </w:rPr>
  </w:style>
  <w:style w:type="character" w:styleId="FootnoteReference">
    <w:name w:val="footnote reference"/>
    <w:basedOn w:val="DefaultParagraphFont"/>
    <w:uiPriority w:val="99"/>
    <w:unhideWhenUsed/>
    <w:rsid w:val="0090001A"/>
    <w:rPr>
      <w:vertAlign w:val="superscript"/>
    </w:rPr>
  </w:style>
  <w:style w:type="character" w:styleId="FollowedHyperlink">
    <w:name w:val="FollowedHyperlink"/>
    <w:basedOn w:val="DefaultParagraphFont"/>
    <w:uiPriority w:val="99"/>
    <w:semiHidden/>
    <w:unhideWhenUsed/>
    <w:rsid w:val="00EB31C6"/>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366633"/>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66633"/>
    <w:rPr>
      <w:rFonts w:asciiTheme="minorHAnsi" w:eastAsia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cdc/std" TargetMode="External"/><Relationship Id="rId5" Type="http://schemas.openxmlformats.org/officeDocument/2006/relationships/settings" Target="settings.xml"/><Relationship Id="rId10" Type="http://schemas.openxmlformats.org/officeDocument/2006/relationships/hyperlink" Target="http://www.mass.gov/dph/cdc/st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cdc.gov/std/syphilis/clinicaladvisoryos2015.htm" TargetMode="External"/><Relationship Id="rId3" Type="http://schemas.openxmlformats.org/officeDocument/2006/relationships/hyperlink" Target="http://www.cdc.gov/vaccines/hcp/acip-recs/index.html" TargetMode="External"/><Relationship Id="rId7" Type="http://schemas.openxmlformats.org/officeDocument/2006/relationships/hyperlink" Target="http://www.esphealth.org" TargetMode="External"/><Relationship Id="rId2" Type="http://schemas.openxmlformats.org/officeDocument/2006/relationships/hyperlink" Target="http://www.mass.gov/service-details/hiv-pre-exposure-prophylaxis-prep-information-for-providers" TargetMode="External"/><Relationship Id="rId1" Type="http://schemas.openxmlformats.org/officeDocument/2006/relationships/hyperlink" Target="http://www.cdc.gov/std/tg2015/default.htm" TargetMode="External"/><Relationship Id="rId6" Type="http://schemas.openxmlformats.org/officeDocument/2006/relationships/hyperlink" Target="http://www.mass.gov/eohhs/gov/departments/dph/programs/id/std/case-report-forms.html" TargetMode="External"/><Relationship Id="rId5" Type="http://schemas.openxmlformats.org/officeDocument/2006/relationships/hyperlink" Target="http://www.mass.gov/eohhs/gov/departments/dph/programs/id/std/public-health-cdc-std-clinical-advisories.html" TargetMode="External"/><Relationship Id="rId4" Type="http://schemas.openxmlformats.org/officeDocument/2006/relationships/hyperlink" Target="http://www.stdccn.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DEC18-90DE-46C4-A634-FDE5E7A74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Commonwealth of Massachusetts</Company>
  <LinksUpToDate>false</LinksUpToDate>
  <CharactersWithSpaces>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Kyle Marshall</dc:creator>
  <cp:lastModifiedBy>Dyer, Janine (DPH)</cp:lastModifiedBy>
  <cp:revision>2</cp:revision>
  <cp:lastPrinted>2018-04-23T12:54:00Z</cp:lastPrinted>
  <dcterms:created xsi:type="dcterms:W3CDTF">2018-07-02T16:18:00Z</dcterms:created>
  <dcterms:modified xsi:type="dcterms:W3CDTF">2018-07-02T16:18:00Z</dcterms:modified>
</cp:coreProperties>
</file>