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8A8BE" w14:textId="77777777" w:rsidR="00C6618D" w:rsidRPr="00762734" w:rsidRDefault="00C6618D" w:rsidP="00C6618D">
      <w:pPr>
        <w:pStyle w:val="StyleCentered"/>
      </w:pPr>
    </w:p>
    <w:p w14:paraId="3A9E4F66" w14:textId="77777777" w:rsidR="00C6618D" w:rsidRPr="00762734" w:rsidRDefault="00C6618D" w:rsidP="00C6618D">
      <w:pPr>
        <w:pStyle w:val="StyleCentered"/>
      </w:pPr>
    </w:p>
    <w:p w14:paraId="6658D5BE" w14:textId="77777777" w:rsidR="00C6618D" w:rsidRPr="00762734" w:rsidRDefault="00C6618D" w:rsidP="00C6618D">
      <w:pPr>
        <w:pStyle w:val="StyleCentered"/>
      </w:pPr>
    </w:p>
    <w:p w14:paraId="790CC41E" w14:textId="77777777" w:rsidR="00C6618D" w:rsidRPr="00762734" w:rsidRDefault="00C6618D" w:rsidP="00C6618D">
      <w:pPr>
        <w:pStyle w:val="StyleCentered"/>
      </w:pPr>
    </w:p>
    <w:p w14:paraId="79CCBAE4" w14:textId="77777777" w:rsidR="00C6618D" w:rsidRPr="00762734" w:rsidRDefault="00C6618D" w:rsidP="00C6618D">
      <w:pPr>
        <w:jc w:val="center"/>
        <w:rPr>
          <w:b/>
          <w:bCs/>
        </w:rPr>
      </w:pPr>
      <w:r w:rsidRPr="00762734">
        <w:rPr>
          <w:b/>
          <w:bCs/>
        </w:rPr>
        <w:t>Independent Cost Analysis for</w:t>
      </w:r>
    </w:p>
    <w:p w14:paraId="3E2AB0BE" w14:textId="77777777" w:rsidR="00C6618D" w:rsidRPr="00762734" w:rsidRDefault="00C6618D" w:rsidP="00C6618D">
      <w:pPr>
        <w:jc w:val="center"/>
        <w:rPr>
          <w:b/>
          <w:bCs/>
        </w:rPr>
      </w:pPr>
      <w:r w:rsidRPr="00762734">
        <w:rPr>
          <w:b/>
          <w:bCs/>
        </w:rPr>
        <w:t>Dana-Farber Cancer Institute Determination of Need</w:t>
      </w:r>
    </w:p>
    <w:p w14:paraId="06CB42DE" w14:textId="77777777" w:rsidR="00C6618D" w:rsidRPr="00762734" w:rsidRDefault="00C6618D" w:rsidP="00C6618D">
      <w:pPr>
        <w:jc w:val="center"/>
        <w:rPr>
          <w:b/>
          <w:bCs/>
        </w:rPr>
      </w:pPr>
      <w:r w:rsidRPr="00762734">
        <w:rPr>
          <w:b/>
          <w:bCs/>
        </w:rPr>
        <w:t>DoN Application #: DFCI-23040915-HE</w:t>
      </w:r>
    </w:p>
    <w:p w14:paraId="3ED0E9F5" w14:textId="77777777" w:rsidR="00C6618D" w:rsidRPr="00762734" w:rsidRDefault="00C6618D" w:rsidP="00C6618D">
      <w:pPr>
        <w:jc w:val="center"/>
        <w:rPr>
          <w:b/>
          <w:bCs/>
        </w:rPr>
      </w:pPr>
    </w:p>
    <w:p w14:paraId="3C8931EB" w14:textId="77777777" w:rsidR="00C6618D" w:rsidRDefault="00C6618D" w:rsidP="00C6618D">
      <w:pPr>
        <w:jc w:val="center"/>
        <w:rPr>
          <w:b/>
          <w:bCs/>
        </w:rPr>
      </w:pPr>
    </w:p>
    <w:p w14:paraId="6B41A97D" w14:textId="77777777" w:rsidR="00C6618D" w:rsidRPr="00762734" w:rsidRDefault="00C6618D" w:rsidP="00C6618D">
      <w:pPr>
        <w:jc w:val="center"/>
        <w:rPr>
          <w:b/>
          <w:bCs/>
        </w:rPr>
      </w:pPr>
    </w:p>
    <w:p w14:paraId="764CD01F" w14:textId="7D3C4BA2" w:rsidR="00C6618D" w:rsidRPr="00762734" w:rsidRDefault="00C02F78" w:rsidP="00C6618D">
      <w:pPr>
        <w:jc w:val="center"/>
        <w:rPr>
          <w:b/>
          <w:bCs/>
        </w:rPr>
      </w:pPr>
      <w:r>
        <w:rPr>
          <w:b/>
          <w:bCs/>
        </w:rPr>
        <w:t xml:space="preserve">January </w:t>
      </w:r>
      <w:r w:rsidR="0085394E">
        <w:rPr>
          <w:b/>
          <w:bCs/>
        </w:rPr>
        <w:t>10</w:t>
      </w:r>
      <w:r>
        <w:rPr>
          <w:b/>
          <w:bCs/>
        </w:rPr>
        <w:t>, 2025</w:t>
      </w:r>
    </w:p>
    <w:p w14:paraId="7BD92799" w14:textId="76C59D58" w:rsidR="00C6618D" w:rsidRPr="00762734" w:rsidRDefault="00C6618D" w:rsidP="00C6618D">
      <w:pPr>
        <w:jc w:val="center"/>
        <w:rPr>
          <w:b/>
          <w:bCs/>
        </w:rPr>
      </w:pPr>
    </w:p>
    <w:p w14:paraId="54D11FFA" w14:textId="77777777" w:rsidR="00C6618D" w:rsidRDefault="00C6618D" w:rsidP="00C6618D"/>
    <w:p w14:paraId="75C49C59" w14:textId="77777777" w:rsidR="00C6618D" w:rsidRDefault="00C6618D" w:rsidP="00C6618D"/>
    <w:p w14:paraId="12AEFD11" w14:textId="77777777" w:rsidR="00C6618D" w:rsidRDefault="00C6618D" w:rsidP="00C6618D"/>
    <w:p w14:paraId="5E2F3D08" w14:textId="77777777" w:rsidR="00C6618D" w:rsidRDefault="00C6618D" w:rsidP="00C6618D"/>
    <w:p w14:paraId="55453D2A" w14:textId="77777777" w:rsidR="00C6618D" w:rsidRPr="00762734" w:rsidRDefault="00C6618D" w:rsidP="00C6618D"/>
    <w:p w14:paraId="5C484541" w14:textId="77777777" w:rsidR="00C6618D" w:rsidRPr="00762734" w:rsidRDefault="00C6618D" w:rsidP="00C6618D">
      <w:pPr>
        <w:rPr>
          <w:b/>
          <w:bCs/>
        </w:rPr>
      </w:pPr>
      <w:r w:rsidRPr="00762734">
        <w:rPr>
          <w:b/>
          <w:bCs/>
        </w:rPr>
        <w:t>Prepared for Submission to:</w:t>
      </w:r>
    </w:p>
    <w:p w14:paraId="5B95B603" w14:textId="77777777" w:rsidR="00C6618D" w:rsidRPr="00762734" w:rsidRDefault="00C6618D" w:rsidP="00C6618D">
      <w:r w:rsidRPr="00762734">
        <w:t>Massachusetts Department of Public Health</w:t>
      </w:r>
    </w:p>
    <w:p w14:paraId="19748468" w14:textId="77777777" w:rsidR="00C6618D" w:rsidRDefault="00C6618D" w:rsidP="00C6618D"/>
    <w:p w14:paraId="2608522A" w14:textId="77777777" w:rsidR="00C6618D" w:rsidRDefault="00C6618D" w:rsidP="00C6618D"/>
    <w:p w14:paraId="2844DA91" w14:textId="77777777" w:rsidR="00C6618D" w:rsidRDefault="00C6618D" w:rsidP="00C6618D"/>
    <w:p w14:paraId="7481C730" w14:textId="77777777" w:rsidR="00C6618D" w:rsidRPr="00762734" w:rsidRDefault="00C6618D" w:rsidP="00C6618D"/>
    <w:p w14:paraId="31C36676" w14:textId="77777777" w:rsidR="00C6618D" w:rsidRPr="00762734" w:rsidRDefault="00C6618D" w:rsidP="00C6618D">
      <w:pPr>
        <w:rPr>
          <w:b/>
          <w:bCs/>
        </w:rPr>
      </w:pPr>
      <w:r w:rsidRPr="00762734">
        <w:rPr>
          <w:b/>
          <w:bCs/>
        </w:rPr>
        <w:t>Authored by:</w:t>
      </w:r>
    </w:p>
    <w:p w14:paraId="303E979B" w14:textId="77777777" w:rsidR="00C6618D" w:rsidRDefault="00C6618D" w:rsidP="00C6618D">
      <w:r w:rsidRPr="00762734">
        <w:t>Bryan J. Perry, Ph.D.</w:t>
      </w:r>
      <w:r w:rsidRPr="00CB4BBB">
        <w:rPr>
          <w:vertAlign w:val="superscript"/>
        </w:rPr>
        <w:t>*</w:t>
      </w:r>
      <w:r w:rsidRPr="00762734">
        <w:br/>
        <w:t>FTI Consulting, Inc.</w:t>
      </w:r>
      <w:r w:rsidRPr="00762734">
        <w:br/>
        <w:t>Center for Healthcare Economics and Policy</w:t>
      </w:r>
      <w:r w:rsidRPr="00762734">
        <w:br/>
        <w:t>555 12</w:t>
      </w:r>
      <w:r w:rsidRPr="00762734">
        <w:rPr>
          <w:vertAlign w:val="superscript"/>
        </w:rPr>
        <w:t>th</w:t>
      </w:r>
      <w:r w:rsidRPr="00762734">
        <w:t xml:space="preserve"> Street NW, Suite 700</w:t>
      </w:r>
      <w:r w:rsidRPr="00762734">
        <w:br/>
        <w:t>Washington, D.C. 20004</w:t>
      </w:r>
    </w:p>
    <w:p w14:paraId="6C4AEDDF" w14:textId="77777777" w:rsidR="00C6618D" w:rsidRPr="00762734" w:rsidRDefault="00C6618D" w:rsidP="00C6618D"/>
    <w:p w14:paraId="5BD21A1F" w14:textId="119478AE" w:rsidR="00D828A9" w:rsidRPr="00762734" w:rsidRDefault="00C6618D" w:rsidP="00C6618D">
      <w:r w:rsidRPr="00CB4BBB">
        <w:rPr>
          <w:vertAlign w:val="superscript"/>
        </w:rPr>
        <w:t>*</w:t>
      </w:r>
      <w:r>
        <w:t xml:space="preserve"> </w:t>
      </w:r>
      <w:r w:rsidRPr="008A5AD1">
        <w:t xml:space="preserve">The views expressed herein are those of the author and </w:t>
      </w:r>
      <w:r>
        <w:t xml:space="preserve">do not reflect or represent </w:t>
      </w:r>
      <w:r w:rsidRPr="008A5AD1">
        <w:t>the views of FTI Consulting, Inc., its management, its subsidiaries, its affiliates, or its other professionals.</w:t>
      </w:r>
    </w:p>
    <w:p w14:paraId="11FC3FAB" w14:textId="705A23A4" w:rsidR="00D828A9" w:rsidRPr="00762734" w:rsidRDefault="00E60BED" w:rsidP="00D828A9">
      <w:pPr>
        <w:rPr>
          <w:b/>
          <w:bCs/>
          <w:u w:val="single"/>
        </w:rPr>
      </w:pPr>
      <w:r w:rsidRPr="00762734">
        <w:rPr>
          <w:b/>
          <w:bCs/>
          <w:u w:val="single"/>
        </w:rPr>
        <w:lastRenderedPageBreak/>
        <w:t>Table of Contents</w:t>
      </w:r>
    </w:p>
    <w:p w14:paraId="0F687C55" w14:textId="1F81B730" w:rsidR="0085394E" w:rsidRDefault="0023426D">
      <w:pPr>
        <w:pStyle w:val="TOC1"/>
        <w:rPr>
          <w:rFonts w:asciiTheme="minorHAnsi" w:hAnsiTheme="minorHAnsi"/>
          <w:b w:val="0"/>
          <w:noProof/>
        </w:rPr>
      </w:pPr>
      <w:r w:rsidRPr="00191445">
        <w:rPr>
          <w:bCs/>
        </w:rPr>
        <w:fldChar w:fldCharType="begin"/>
      </w:r>
      <w:r w:rsidRPr="00762734">
        <w:rPr>
          <w:bCs/>
        </w:rPr>
        <w:instrText xml:space="preserve"> TOC \o "1-2" \h \z \u </w:instrText>
      </w:r>
      <w:r w:rsidRPr="00191445">
        <w:rPr>
          <w:bCs/>
        </w:rPr>
        <w:fldChar w:fldCharType="separate"/>
      </w:r>
      <w:hyperlink w:anchor="_Toc187401730" w:history="1">
        <w:r w:rsidR="0085394E" w:rsidRPr="002F0AB8">
          <w:rPr>
            <w:rStyle w:val="Hyperlink"/>
            <w:noProof/>
          </w:rPr>
          <w:t>I.</w:t>
        </w:r>
        <w:r w:rsidR="0085394E">
          <w:rPr>
            <w:rFonts w:asciiTheme="minorHAnsi" w:hAnsiTheme="minorHAnsi"/>
            <w:b w:val="0"/>
            <w:noProof/>
          </w:rPr>
          <w:tab/>
        </w:r>
        <w:r w:rsidR="0085394E" w:rsidRPr="002F0AB8">
          <w:rPr>
            <w:rStyle w:val="Hyperlink"/>
            <w:noProof/>
          </w:rPr>
          <w:t>Executive Summary</w:t>
        </w:r>
        <w:r w:rsidR="0085394E">
          <w:rPr>
            <w:noProof/>
            <w:webHidden/>
          </w:rPr>
          <w:tab/>
        </w:r>
        <w:r w:rsidR="0085394E">
          <w:rPr>
            <w:noProof/>
            <w:webHidden/>
          </w:rPr>
          <w:fldChar w:fldCharType="begin"/>
        </w:r>
        <w:r w:rsidR="0085394E">
          <w:rPr>
            <w:noProof/>
            <w:webHidden/>
          </w:rPr>
          <w:instrText xml:space="preserve"> PAGEREF _Toc187401730 \h </w:instrText>
        </w:r>
        <w:r w:rsidR="0085394E">
          <w:rPr>
            <w:noProof/>
            <w:webHidden/>
          </w:rPr>
        </w:r>
        <w:r w:rsidR="0085394E">
          <w:rPr>
            <w:noProof/>
            <w:webHidden/>
          </w:rPr>
          <w:fldChar w:fldCharType="separate"/>
        </w:r>
        <w:r w:rsidR="0085394E">
          <w:rPr>
            <w:noProof/>
            <w:webHidden/>
          </w:rPr>
          <w:t>6</w:t>
        </w:r>
        <w:r w:rsidR="0085394E">
          <w:rPr>
            <w:noProof/>
            <w:webHidden/>
          </w:rPr>
          <w:fldChar w:fldCharType="end"/>
        </w:r>
      </w:hyperlink>
    </w:p>
    <w:p w14:paraId="367692AF" w14:textId="6E6B807E" w:rsidR="0085394E" w:rsidRDefault="0085394E">
      <w:pPr>
        <w:pStyle w:val="TOC2"/>
        <w:rPr>
          <w:rFonts w:asciiTheme="minorHAnsi" w:hAnsiTheme="minorHAnsi"/>
          <w:noProof/>
        </w:rPr>
      </w:pPr>
      <w:hyperlink w:anchor="_Toc187401731" w:history="1">
        <w:r w:rsidRPr="002F0AB8">
          <w:rPr>
            <w:rStyle w:val="Hyperlink"/>
            <w:noProof/>
          </w:rPr>
          <w:t>A.</w:t>
        </w:r>
        <w:r>
          <w:rPr>
            <w:rFonts w:asciiTheme="minorHAnsi" w:hAnsiTheme="minorHAnsi"/>
            <w:noProof/>
          </w:rPr>
          <w:tab/>
        </w:r>
        <w:r w:rsidRPr="002F0AB8">
          <w:rPr>
            <w:rStyle w:val="Hyperlink"/>
            <w:noProof/>
          </w:rPr>
          <w:t>Overview of the ICA Report</w:t>
        </w:r>
        <w:r>
          <w:rPr>
            <w:noProof/>
            <w:webHidden/>
          </w:rPr>
          <w:tab/>
        </w:r>
        <w:r>
          <w:rPr>
            <w:noProof/>
            <w:webHidden/>
          </w:rPr>
          <w:fldChar w:fldCharType="begin"/>
        </w:r>
        <w:r>
          <w:rPr>
            <w:noProof/>
            <w:webHidden/>
          </w:rPr>
          <w:instrText xml:space="preserve"> PAGEREF _Toc187401731 \h </w:instrText>
        </w:r>
        <w:r>
          <w:rPr>
            <w:noProof/>
            <w:webHidden/>
          </w:rPr>
        </w:r>
        <w:r>
          <w:rPr>
            <w:noProof/>
            <w:webHidden/>
          </w:rPr>
          <w:fldChar w:fldCharType="separate"/>
        </w:r>
        <w:r>
          <w:rPr>
            <w:noProof/>
            <w:webHidden/>
          </w:rPr>
          <w:t>6</w:t>
        </w:r>
        <w:r>
          <w:rPr>
            <w:noProof/>
            <w:webHidden/>
          </w:rPr>
          <w:fldChar w:fldCharType="end"/>
        </w:r>
      </w:hyperlink>
    </w:p>
    <w:p w14:paraId="7DE61A30" w14:textId="55D04935" w:rsidR="0085394E" w:rsidRDefault="0085394E">
      <w:pPr>
        <w:pStyle w:val="TOC2"/>
        <w:rPr>
          <w:rFonts w:asciiTheme="minorHAnsi" w:hAnsiTheme="minorHAnsi"/>
          <w:noProof/>
        </w:rPr>
      </w:pPr>
      <w:hyperlink w:anchor="_Toc187401732" w:history="1">
        <w:r w:rsidRPr="002F0AB8">
          <w:rPr>
            <w:rStyle w:val="Hyperlink"/>
            <w:noProof/>
          </w:rPr>
          <w:t>B.</w:t>
        </w:r>
        <w:r>
          <w:rPr>
            <w:rFonts w:asciiTheme="minorHAnsi" w:hAnsiTheme="minorHAnsi"/>
            <w:noProof/>
          </w:rPr>
          <w:tab/>
        </w:r>
        <w:r w:rsidRPr="002F0AB8">
          <w:rPr>
            <w:rStyle w:val="Hyperlink"/>
            <w:noProof/>
          </w:rPr>
          <w:t>Elements of the ICA</w:t>
        </w:r>
        <w:r>
          <w:rPr>
            <w:noProof/>
            <w:webHidden/>
          </w:rPr>
          <w:tab/>
        </w:r>
        <w:r>
          <w:rPr>
            <w:noProof/>
            <w:webHidden/>
          </w:rPr>
          <w:fldChar w:fldCharType="begin"/>
        </w:r>
        <w:r>
          <w:rPr>
            <w:noProof/>
            <w:webHidden/>
          </w:rPr>
          <w:instrText xml:space="preserve"> PAGEREF _Toc187401732 \h </w:instrText>
        </w:r>
        <w:r>
          <w:rPr>
            <w:noProof/>
            <w:webHidden/>
          </w:rPr>
        </w:r>
        <w:r>
          <w:rPr>
            <w:noProof/>
            <w:webHidden/>
          </w:rPr>
          <w:fldChar w:fldCharType="separate"/>
        </w:r>
        <w:r>
          <w:rPr>
            <w:noProof/>
            <w:webHidden/>
          </w:rPr>
          <w:t>7</w:t>
        </w:r>
        <w:r>
          <w:rPr>
            <w:noProof/>
            <w:webHidden/>
          </w:rPr>
          <w:fldChar w:fldCharType="end"/>
        </w:r>
      </w:hyperlink>
    </w:p>
    <w:p w14:paraId="7F87A2BD" w14:textId="750F3CA0" w:rsidR="0085394E" w:rsidRDefault="0085394E">
      <w:pPr>
        <w:pStyle w:val="TOC1"/>
        <w:rPr>
          <w:rFonts w:asciiTheme="minorHAnsi" w:hAnsiTheme="minorHAnsi"/>
          <w:b w:val="0"/>
          <w:noProof/>
        </w:rPr>
      </w:pPr>
      <w:hyperlink w:anchor="_Toc187401733" w:history="1">
        <w:r w:rsidRPr="002F0AB8">
          <w:rPr>
            <w:rStyle w:val="Hyperlink"/>
            <w:noProof/>
          </w:rPr>
          <w:t>II.</w:t>
        </w:r>
        <w:r>
          <w:rPr>
            <w:rFonts w:asciiTheme="minorHAnsi" w:hAnsiTheme="minorHAnsi"/>
            <w:b w:val="0"/>
            <w:noProof/>
          </w:rPr>
          <w:tab/>
        </w:r>
        <w:r w:rsidRPr="002F0AB8">
          <w:rPr>
            <w:rStyle w:val="Hyperlink"/>
            <w:noProof/>
          </w:rPr>
          <w:t>Introduction</w:t>
        </w:r>
        <w:r>
          <w:rPr>
            <w:noProof/>
            <w:webHidden/>
          </w:rPr>
          <w:tab/>
        </w:r>
        <w:r>
          <w:rPr>
            <w:noProof/>
            <w:webHidden/>
          </w:rPr>
          <w:fldChar w:fldCharType="begin"/>
        </w:r>
        <w:r>
          <w:rPr>
            <w:noProof/>
            <w:webHidden/>
          </w:rPr>
          <w:instrText xml:space="preserve"> PAGEREF _Toc187401733 \h </w:instrText>
        </w:r>
        <w:r>
          <w:rPr>
            <w:noProof/>
            <w:webHidden/>
          </w:rPr>
        </w:r>
        <w:r>
          <w:rPr>
            <w:noProof/>
            <w:webHidden/>
          </w:rPr>
          <w:fldChar w:fldCharType="separate"/>
        </w:r>
        <w:r>
          <w:rPr>
            <w:noProof/>
            <w:webHidden/>
          </w:rPr>
          <w:t>9</w:t>
        </w:r>
        <w:r>
          <w:rPr>
            <w:noProof/>
            <w:webHidden/>
          </w:rPr>
          <w:fldChar w:fldCharType="end"/>
        </w:r>
      </w:hyperlink>
    </w:p>
    <w:p w14:paraId="117B1DE1" w14:textId="67DE8C0D" w:rsidR="0085394E" w:rsidRDefault="0085394E">
      <w:pPr>
        <w:pStyle w:val="TOC2"/>
        <w:rPr>
          <w:rFonts w:asciiTheme="minorHAnsi" w:hAnsiTheme="minorHAnsi"/>
          <w:noProof/>
        </w:rPr>
      </w:pPr>
      <w:hyperlink w:anchor="_Toc187401734" w:history="1">
        <w:r w:rsidRPr="002F0AB8">
          <w:rPr>
            <w:rStyle w:val="Hyperlink"/>
            <w:noProof/>
          </w:rPr>
          <w:t>A.</w:t>
        </w:r>
        <w:r>
          <w:rPr>
            <w:rFonts w:asciiTheme="minorHAnsi" w:hAnsiTheme="minorHAnsi"/>
            <w:noProof/>
          </w:rPr>
          <w:tab/>
        </w:r>
        <w:r w:rsidRPr="002F0AB8">
          <w:rPr>
            <w:rStyle w:val="Hyperlink"/>
            <w:noProof/>
          </w:rPr>
          <w:t>Overview of the Proposed Project</w:t>
        </w:r>
        <w:r>
          <w:rPr>
            <w:noProof/>
            <w:webHidden/>
          </w:rPr>
          <w:tab/>
        </w:r>
        <w:r>
          <w:rPr>
            <w:noProof/>
            <w:webHidden/>
          </w:rPr>
          <w:fldChar w:fldCharType="begin"/>
        </w:r>
        <w:r>
          <w:rPr>
            <w:noProof/>
            <w:webHidden/>
          </w:rPr>
          <w:instrText xml:space="preserve"> PAGEREF _Toc187401734 \h </w:instrText>
        </w:r>
        <w:r>
          <w:rPr>
            <w:noProof/>
            <w:webHidden/>
          </w:rPr>
        </w:r>
        <w:r>
          <w:rPr>
            <w:noProof/>
            <w:webHidden/>
          </w:rPr>
          <w:fldChar w:fldCharType="separate"/>
        </w:r>
        <w:r>
          <w:rPr>
            <w:noProof/>
            <w:webHidden/>
          </w:rPr>
          <w:t>9</w:t>
        </w:r>
        <w:r>
          <w:rPr>
            <w:noProof/>
            <w:webHidden/>
          </w:rPr>
          <w:fldChar w:fldCharType="end"/>
        </w:r>
      </w:hyperlink>
    </w:p>
    <w:p w14:paraId="3B3605E6" w14:textId="2933F25C" w:rsidR="0085394E" w:rsidRDefault="0085394E">
      <w:pPr>
        <w:pStyle w:val="TOC2"/>
        <w:rPr>
          <w:rFonts w:asciiTheme="minorHAnsi" w:hAnsiTheme="minorHAnsi"/>
          <w:noProof/>
        </w:rPr>
      </w:pPr>
      <w:hyperlink w:anchor="_Toc187401735" w:history="1">
        <w:r w:rsidRPr="002F0AB8">
          <w:rPr>
            <w:rStyle w:val="Hyperlink"/>
            <w:noProof/>
          </w:rPr>
          <w:t>B.</w:t>
        </w:r>
        <w:r>
          <w:rPr>
            <w:rFonts w:asciiTheme="minorHAnsi" w:hAnsiTheme="minorHAnsi"/>
            <w:noProof/>
          </w:rPr>
          <w:tab/>
        </w:r>
        <w:r w:rsidRPr="002F0AB8">
          <w:rPr>
            <w:rStyle w:val="Hyperlink"/>
            <w:noProof/>
          </w:rPr>
          <w:t>The Determination of Need and Independent Cost Analysis Process</w:t>
        </w:r>
        <w:r>
          <w:rPr>
            <w:noProof/>
            <w:webHidden/>
          </w:rPr>
          <w:tab/>
        </w:r>
        <w:r>
          <w:rPr>
            <w:noProof/>
            <w:webHidden/>
          </w:rPr>
          <w:fldChar w:fldCharType="begin"/>
        </w:r>
        <w:r>
          <w:rPr>
            <w:noProof/>
            <w:webHidden/>
          </w:rPr>
          <w:instrText xml:space="preserve"> PAGEREF _Toc187401735 \h </w:instrText>
        </w:r>
        <w:r>
          <w:rPr>
            <w:noProof/>
            <w:webHidden/>
          </w:rPr>
        </w:r>
        <w:r>
          <w:rPr>
            <w:noProof/>
            <w:webHidden/>
          </w:rPr>
          <w:fldChar w:fldCharType="separate"/>
        </w:r>
        <w:r>
          <w:rPr>
            <w:noProof/>
            <w:webHidden/>
          </w:rPr>
          <w:t>11</w:t>
        </w:r>
        <w:r>
          <w:rPr>
            <w:noProof/>
            <w:webHidden/>
          </w:rPr>
          <w:fldChar w:fldCharType="end"/>
        </w:r>
      </w:hyperlink>
    </w:p>
    <w:p w14:paraId="228D1522" w14:textId="6385C856" w:rsidR="0085394E" w:rsidRDefault="0085394E">
      <w:pPr>
        <w:pStyle w:val="TOC2"/>
        <w:rPr>
          <w:rFonts w:asciiTheme="minorHAnsi" w:hAnsiTheme="minorHAnsi"/>
          <w:noProof/>
        </w:rPr>
      </w:pPr>
      <w:hyperlink w:anchor="_Toc187401736" w:history="1">
        <w:r w:rsidRPr="002F0AB8">
          <w:rPr>
            <w:rStyle w:val="Hyperlink"/>
            <w:noProof/>
          </w:rPr>
          <w:t>C.</w:t>
        </w:r>
        <w:r>
          <w:rPr>
            <w:rFonts w:asciiTheme="minorHAnsi" w:hAnsiTheme="minorHAnsi"/>
            <w:noProof/>
          </w:rPr>
          <w:tab/>
        </w:r>
        <w:r w:rsidRPr="002F0AB8">
          <w:rPr>
            <w:rStyle w:val="Hyperlink"/>
            <w:noProof/>
          </w:rPr>
          <w:t>Assignment and Qualifications</w:t>
        </w:r>
        <w:r>
          <w:rPr>
            <w:noProof/>
            <w:webHidden/>
          </w:rPr>
          <w:tab/>
        </w:r>
        <w:r>
          <w:rPr>
            <w:noProof/>
            <w:webHidden/>
          </w:rPr>
          <w:fldChar w:fldCharType="begin"/>
        </w:r>
        <w:r>
          <w:rPr>
            <w:noProof/>
            <w:webHidden/>
          </w:rPr>
          <w:instrText xml:space="preserve"> PAGEREF _Toc187401736 \h </w:instrText>
        </w:r>
        <w:r>
          <w:rPr>
            <w:noProof/>
            <w:webHidden/>
          </w:rPr>
        </w:r>
        <w:r>
          <w:rPr>
            <w:noProof/>
            <w:webHidden/>
          </w:rPr>
          <w:fldChar w:fldCharType="separate"/>
        </w:r>
        <w:r>
          <w:rPr>
            <w:noProof/>
            <w:webHidden/>
          </w:rPr>
          <w:t>11</w:t>
        </w:r>
        <w:r>
          <w:rPr>
            <w:noProof/>
            <w:webHidden/>
          </w:rPr>
          <w:fldChar w:fldCharType="end"/>
        </w:r>
      </w:hyperlink>
    </w:p>
    <w:p w14:paraId="19708542" w14:textId="17907CB6" w:rsidR="0085394E" w:rsidRDefault="0085394E">
      <w:pPr>
        <w:pStyle w:val="TOC1"/>
        <w:rPr>
          <w:rFonts w:asciiTheme="minorHAnsi" w:hAnsiTheme="minorHAnsi"/>
          <w:b w:val="0"/>
          <w:noProof/>
        </w:rPr>
      </w:pPr>
      <w:hyperlink w:anchor="_Toc187401737" w:history="1">
        <w:r w:rsidRPr="002F0AB8">
          <w:rPr>
            <w:rStyle w:val="Hyperlink"/>
            <w:noProof/>
          </w:rPr>
          <w:t>III.</w:t>
        </w:r>
        <w:r>
          <w:rPr>
            <w:rFonts w:asciiTheme="minorHAnsi" w:hAnsiTheme="minorHAnsi"/>
            <w:b w:val="0"/>
            <w:noProof/>
          </w:rPr>
          <w:tab/>
        </w:r>
        <w:r w:rsidRPr="002F0AB8">
          <w:rPr>
            <w:rStyle w:val="Hyperlink"/>
            <w:noProof/>
          </w:rPr>
          <w:t>Overview of ICA Assessment Analyses and Methodology</w:t>
        </w:r>
        <w:r>
          <w:rPr>
            <w:noProof/>
            <w:webHidden/>
          </w:rPr>
          <w:tab/>
        </w:r>
        <w:r>
          <w:rPr>
            <w:noProof/>
            <w:webHidden/>
          </w:rPr>
          <w:fldChar w:fldCharType="begin"/>
        </w:r>
        <w:r>
          <w:rPr>
            <w:noProof/>
            <w:webHidden/>
          </w:rPr>
          <w:instrText xml:space="preserve"> PAGEREF _Toc187401737 \h </w:instrText>
        </w:r>
        <w:r>
          <w:rPr>
            <w:noProof/>
            <w:webHidden/>
          </w:rPr>
        </w:r>
        <w:r>
          <w:rPr>
            <w:noProof/>
            <w:webHidden/>
          </w:rPr>
          <w:fldChar w:fldCharType="separate"/>
        </w:r>
        <w:r>
          <w:rPr>
            <w:noProof/>
            <w:webHidden/>
          </w:rPr>
          <w:t>12</w:t>
        </w:r>
        <w:r>
          <w:rPr>
            <w:noProof/>
            <w:webHidden/>
          </w:rPr>
          <w:fldChar w:fldCharType="end"/>
        </w:r>
      </w:hyperlink>
    </w:p>
    <w:p w14:paraId="0CB4E888" w14:textId="3D311698" w:rsidR="0085394E" w:rsidRDefault="0085394E">
      <w:pPr>
        <w:pStyle w:val="TOC2"/>
        <w:rPr>
          <w:rFonts w:asciiTheme="minorHAnsi" w:hAnsiTheme="minorHAnsi"/>
          <w:noProof/>
        </w:rPr>
      </w:pPr>
      <w:hyperlink w:anchor="_Toc187401738" w:history="1">
        <w:r w:rsidRPr="002F0AB8">
          <w:rPr>
            <w:rStyle w:val="Hyperlink"/>
            <w:noProof/>
          </w:rPr>
          <w:t>A.</w:t>
        </w:r>
        <w:r>
          <w:rPr>
            <w:rFonts w:asciiTheme="minorHAnsi" w:hAnsiTheme="minorHAnsi"/>
            <w:noProof/>
          </w:rPr>
          <w:tab/>
        </w:r>
        <w:r w:rsidRPr="002F0AB8">
          <w:rPr>
            <w:rStyle w:val="Hyperlink"/>
            <w:noProof/>
          </w:rPr>
          <w:t>Overview of ICA Assessment Issues</w:t>
        </w:r>
        <w:r>
          <w:rPr>
            <w:noProof/>
            <w:webHidden/>
          </w:rPr>
          <w:tab/>
        </w:r>
        <w:r>
          <w:rPr>
            <w:noProof/>
            <w:webHidden/>
          </w:rPr>
          <w:fldChar w:fldCharType="begin"/>
        </w:r>
        <w:r>
          <w:rPr>
            <w:noProof/>
            <w:webHidden/>
          </w:rPr>
          <w:instrText xml:space="preserve"> PAGEREF _Toc187401738 \h </w:instrText>
        </w:r>
        <w:r>
          <w:rPr>
            <w:noProof/>
            <w:webHidden/>
          </w:rPr>
        </w:r>
        <w:r>
          <w:rPr>
            <w:noProof/>
            <w:webHidden/>
          </w:rPr>
          <w:fldChar w:fldCharType="separate"/>
        </w:r>
        <w:r>
          <w:rPr>
            <w:noProof/>
            <w:webHidden/>
          </w:rPr>
          <w:t>12</w:t>
        </w:r>
        <w:r>
          <w:rPr>
            <w:noProof/>
            <w:webHidden/>
          </w:rPr>
          <w:fldChar w:fldCharType="end"/>
        </w:r>
      </w:hyperlink>
    </w:p>
    <w:p w14:paraId="13495BB0" w14:textId="016C087B" w:rsidR="0085394E" w:rsidRDefault="0085394E">
      <w:pPr>
        <w:pStyle w:val="TOC2"/>
        <w:rPr>
          <w:rFonts w:asciiTheme="minorHAnsi" w:hAnsiTheme="minorHAnsi"/>
          <w:noProof/>
        </w:rPr>
      </w:pPr>
      <w:hyperlink w:anchor="_Toc187401739" w:history="1">
        <w:r w:rsidRPr="002F0AB8">
          <w:rPr>
            <w:rStyle w:val="Hyperlink"/>
            <w:noProof/>
          </w:rPr>
          <w:t>B.</w:t>
        </w:r>
        <w:r>
          <w:rPr>
            <w:rFonts w:asciiTheme="minorHAnsi" w:hAnsiTheme="minorHAnsi"/>
            <w:noProof/>
          </w:rPr>
          <w:tab/>
        </w:r>
        <w:r w:rsidRPr="002F0AB8">
          <w:rPr>
            <w:rStyle w:val="Hyperlink"/>
            <w:noProof/>
          </w:rPr>
          <w:t>Overview of the Commonwealth’s Cost Containment Goals</w:t>
        </w:r>
        <w:r>
          <w:rPr>
            <w:noProof/>
            <w:webHidden/>
          </w:rPr>
          <w:tab/>
        </w:r>
        <w:r>
          <w:rPr>
            <w:noProof/>
            <w:webHidden/>
          </w:rPr>
          <w:fldChar w:fldCharType="begin"/>
        </w:r>
        <w:r>
          <w:rPr>
            <w:noProof/>
            <w:webHidden/>
          </w:rPr>
          <w:instrText xml:space="preserve"> PAGEREF _Toc187401739 \h </w:instrText>
        </w:r>
        <w:r>
          <w:rPr>
            <w:noProof/>
            <w:webHidden/>
          </w:rPr>
        </w:r>
        <w:r>
          <w:rPr>
            <w:noProof/>
            <w:webHidden/>
          </w:rPr>
          <w:fldChar w:fldCharType="separate"/>
        </w:r>
        <w:r>
          <w:rPr>
            <w:noProof/>
            <w:webHidden/>
          </w:rPr>
          <w:t>13</w:t>
        </w:r>
        <w:r>
          <w:rPr>
            <w:noProof/>
            <w:webHidden/>
          </w:rPr>
          <w:fldChar w:fldCharType="end"/>
        </w:r>
      </w:hyperlink>
    </w:p>
    <w:p w14:paraId="004F1DD9" w14:textId="2F0DF373" w:rsidR="0085394E" w:rsidRDefault="0085394E">
      <w:pPr>
        <w:pStyle w:val="TOC2"/>
        <w:rPr>
          <w:rFonts w:asciiTheme="minorHAnsi" w:hAnsiTheme="minorHAnsi"/>
          <w:noProof/>
        </w:rPr>
      </w:pPr>
      <w:hyperlink w:anchor="_Toc187401740" w:history="1">
        <w:r w:rsidRPr="002F0AB8">
          <w:rPr>
            <w:rStyle w:val="Hyperlink"/>
            <w:noProof/>
          </w:rPr>
          <w:t>C.</w:t>
        </w:r>
        <w:r>
          <w:rPr>
            <w:rFonts w:asciiTheme="minorHAnsi" w:hAnsiTheme="minorHAnsi"/>
            <w:noProof/>
          </w:rPr>
          <w:tab/>
        </w:r>
        <w:r w:rsidRPr="002F0AB8">
          <w:rPr>
            <w:rStyle w:val="Hyperlink"/>
            <w:noProof/>
          </w:rPr>
          <w:t>Economic Analysis Used to Address Questions</w:t>
        </w:r>
        <w:r>
          <w:rPr>
            <w:noProof/>
            <w:webHidden/>
          </w:rPr>
          <w:tab/>
        </w:r>
        <w:r>
          <w:rPr>
            <w:noProof/>
            <w:webHidden/>
          </w:rPr>
          <w:fldChar w:fldCharType="begin"/>
        </w:r>
        <w:r>
          <w:rPr>
            <w:noProof/>
            <w:webHidden/>
          </w:rPr>
          <w:instrText xml:space="preserve"> PAGEREF _Toc187401740 \h </w:instrText>
        </w:r>
        <w:r>
          <w:rPr>
            <w:noProof/>
            <w:webHidden/>
          </w:rPr>
        </w:r>
        <w:r>
          <w:rPr>
            <w:noProof/>
            <w:webHidden/>
          </w:rPr>
          <w:fldChar w:fldCharType="separate"/>
        </w:r>
        <w:r>
          <w:rPr>
            <w:noProof/>
            <w:webHidden/>
          </w:rPr>
          <w:t>14</w:t>
        </w:r>
        <w:r>
          <w:rPr>
            <w:noProof/>
            <w:webHidden/>
          </w:rPr>
          <w:fldChar w:fldCharType="end"/>
        </w:r>
      </w:hyperlink>
    </w:p>
    <w:p w14:paraId="7638B611" w14:textId="725B45B4" w:rsidR="0085394E" w:rsidRDefault="0085394E">
      <w:pPr>
        <w:pStyle w:val="TOC1"/>
        <w:rPr>
          <w:rFonts w:asciiTheme="minorHAnsi" w:hAnsiTheme="minorHAnsi"/>
          <w:b w:val="0"/>
          <w:noProof/>
        </w:rPr>
      </w:pPr>
      <w:hyperlink w:anchor="_Toc187401741" w:history="1">
        <w:r w:rsidRPr="002F0AB8">
          <w:rPr>
            <w:rStyle w:val="Hyperlink"/>
            <w:noProof/>
          </w:rPr>
          <w:t>IV.</w:t>
        </w:r>
        <w:r>
          <w:rPr>
            <w:rFonts w:asciiTheme="minorHAnsi" w:hAnsiTheme="minorHAnsi"/>
            <w:b w:val="0"/>
            <w:noProof/>
          </w:rPr>
          <w:tab/>
        </w:r>
        <w:r w:rsidRPr="002F0AB8">
          <w:rPr>
            <w:rStyle w:val="Hyperlink"/>
            <w:noProof/>
          </w:rPr>
          <w:t>Data Sources</w:t>
        </w:r>
        <w:r>
          <w:rPr>
            <w:noProof/>
            <w:webHidden/>
          </w:rPr>
          <w:tab/>
        </w:r>
        <w:r>
          <w:rPr>
            <w:noProof/>
            <w:webHidden/>
          </w:rPr>
          <w:fldChar w:fldCharType="begin"/>
        </w:r>
        <w:r>
          <w:rPr>
            <w:noProof/>
            <w:webHidden/>
          </w:rPr>
          <w:instrText xml:space="preserve"> PAGEREF _Toc187401741 \h </w:instrText>
        </w:r>
        <w:r>
          <w:rPr>
            <w:noProof/>
            <w:webHidden/>
          </w:rPr>
        </w:r>
        <w:r>
          <w:rPr>
            <w:noProof/>
            <w:webHidden/>
          </w:rPr>
          <w:fldChar w:fldCharType="separate"/>
        </w:r>
        <w:r>
          <w:rPr>
            <w:noProof/>
            <w:webHidden/>
          </w:rPr>
          <w:t>16</w:t>
        </w:r>
        <w:r>
          <w:rPr>
            <w:noProof/>
            <w:webHidden/>
          </w:rPr>
          <w:fldChar w:fldCharType="end"/>
        </w:r>
      </w:hyperlink>
    </w:p>
    <w:p w14:paraId="78AD98C5" w14:textId="71CBD0D6" w:rsidR="0085394E" w:rsidRDefault="0085394E">
      <w:pPr>
        <w:pStyle w:val="TOC1"/>
        <w:rPr>
          <w:rFonts w:asciiTheme="minorHAnsi" w:hAnsiTheme="minorHAnsi"/>
          <w:b w:val="0"/>
          <w:noProof/>
        </w:rPr>
      </w:pPr>
      <w:hyperlink w:anchor="_Toc187401742" w:history="1">
        <w:r w:rsidRPr="002F0AB8">
          <w:rPr>
            <w:rStyle w:val="Hyperlink"/>
            <w:noProof/>
          </w:rPr>
          <w:t>V.</w:t>
        </w:r>
        <w:r>
          <w:rPr>
            <w:rFonts w:asciiTheme="minorHAnsi" w:hAnsiTheme="minorHAnsi"/>
            <w:b w:val="0"/>
            <w:noProof/>
          </w:rPr>
          <w:tab/>
        </w:r>
        <w:r w:rsidRPr="002F0AB8">
          <w:rPr>
            <w:rStyle w:val="Hyperlink"/>
            <w:noProof/>
          </w:rPr>
          <w:t>Identifying DFCI Patients</w:t>
        </w:r>
        <w:r>
          <w:rPr>
            <w:noProof/>
            <w:webHidden/>
          </w:rPr>
          <w:tab/>
        </w:r>
        <w:r>
          <w:rPr>
            <w:noProof/>
            <w:webHidden/>
          </w:rPr>
          <w:fldChar w:fldCharType="begin"/>
        </w:r>
        <w:r>
          <w:rPr>
            <w:noProof/>
            <w:webHidden/>
          </w:rPr>
          <w:instrText xml:space="preserve"> PAGEREF _Toc187401742 \h </w:instrText>
        </w:r>
        <w:r>
          <w:rPr>
            <w:noProof/>
            <w:webHidden/>
          </w:rPr>
        </w:r>
        <w:r>
          <w:rPr>
            <w:noProof/>
            <w:webHidden/>
          </w:rPr>
          <w:fldChar w:fldCharType="separate"/>
        </w:r>
        <w:r>
          <w:rPr>
            <w:noProof/>
            <w:webHidden/>
          </w:rPr>
          <w:t>16</w:t>
        </w:r>
        <w:r>
          <w:rPr>
            <w:noProof/>
            <w:webHidden/>
          </w:rPr>
          <w:fldChar w:fldCharType="end"/>
        </w:r>
      </w:hyperlink>
    </w:p>
    <w:p w14:paraId="36CAA9B0" w14:textId="5FC3A678" w:rsidR="0085394E" w:rsidRDefault="0085394E">
      <w:pPr>
        <w:pStyle w:val="TOC1"/>
        <w:rPr>
          <w:rFonts w:asciiTheme="minorHAnsi" w:hAnsiTheme="minorHAnsi"/>
          <w:b w:val="0"/>
          <w:noProof/>
        </w:rPr>
      </w:pPr>
      <w:hyperlink w:anchor="_Toc187401743" w:history="1">
        <w:r w:rsidRPr="002F0AB8">
          <w:rPr>
            <w:rStyle w:val="Hyperlink"/>
            <w:noProof/>
          </w:rPr>
          <w:t>VI.</w:t>
        </w:r>
        <w:r>
          <w:rPr>
            <w:rFonts w:asciiTheme="minorHAnsi" w:hAnsiTheme="minorHAnsi"/>
            <w:b w:val="0"/>
            <w:noProof/>
          </w:rPr>
          <w:tab/>
        </w:r>
        <w:r w:rsidRPr="002F0AB8">
          <w:rPr>
            <w:rStyle w:val="Hyperlink"/>
            <w:noProof/>
          </w:rPr>
          <w:t>Cancer Care Service Lines</w:t>
        </w:r>
        <w:r>
          <w:rPr>
            <w:noProof/>
            <w:webHidden/>
          </w:rPr>
          <w:tab/>
        </w:r>
        <w:r>
          <w:rPr>
            <w:noProof/>
            <w:webHidden/>
          </w:rPr>
          <w:fldChar w:fldCharType="begin"/>
        </w:r>
        <w:r>
          <w:rPr>
            <w:noProof/>
            <w:webHidden/>
          </w:rPr>
          <w:instrText xml:space="preserve"> PAGEREF _Toc187401743 \h </w:instrText>
        </w:r>
        <w:r>
          <w:rPr>
            <w:noProof/>
            <w:webHidden/>
          </w:rPr>
        </w:r>
        <w:r>
          <w:rPr>
            <w:noProof/>
            <w:webHidden/>
          </w:rPr>
          <w:fldChar w:fldCharType="separate"/>
        </w:r>
        <w:r>
          <w:rPr>
            <w:noProof/>
            <w:webHidden/>
          </w:rPr>
          <w:t>17</w:t>
        </w:r>
        <w:r>
          <w:rPr>
            <w:noProof/>
            <w:webHidden/>
          </w:rPr>
          <w:fldChar w:fldCharType="end"/>
        </w:r>
      </w:hyperlink>
    </w:p>
    <w:p w14:paraId="17DCA2FA" w14:textId="0C4348C2" w:rsidR="0085394E" w:rsidRDefault="0085394E">
      <w:pPr>
        <w:pStyle w:val="TOC1"/>
        <w:rPr>
          <w:rFonts w:asciiTheme="minorHAnsi" w:hAnsiTheme="minorHAnsi"/>
          <w:b w:val="0"/>
          <w:noProof/>
        </w:rPr>
      </w:pPr>
      <w:hyperlink w:anchor="_Toc187401744" w:history="1">
        <w:r w:rsidRPr="002F0AB8">
          <w:rPr>
            <w:rStyle w:val="Hyperlink"/>
            <w:noProof/>
          </w:rPr>
          <w:t>VII.</w:t>
        </w:r>
        <w:r>
          <w:rPr>
            <w:rFonts w:asciiTheme="minorHAnsi" w:hAnsiTheme="minorHAnsi"/>
            <w:b w:val="0"/>
            <w:noProof/>
          </w:rPr>
          <w:tab/>
        </w:r>
        <w:r w:rsidRPr="002F0AB8">
          <w:rPr>
            <w:rStyle w:val="Hyperlink"/>
            <w:noProof/>
          </w:rPr>
          <w:t>Defining Geographic Areas of Coverage for ICA Evaluation</w:t>
        </w:r>
        <w:r>
          <w:rPr>
            <w:noProof/>
            <w:webHidden/>
          </w:rPr>
          <w:tab/>
        </w:r>
        <w:r>
          <w:rPr>
            <w:noProof/>
            <w:webHidden/>
          </w:rPr>
          <w:fldChar w:fldCharType="begin"/>
        </w:r>
        <w:r>
          <w:rPr>
            <w:noProof/>
            <w:webHidden/>
          </w:rPr>
          <w:instrText xml:space="preserve"> PAGEREF _Toc187401744 \h </w:instrText>
        </w:r>
        <w:r>
          <w:rPr>
            <w:noProof/>
            <w:webHidden/>
          </w:rPr>
        </w:r>
        <w:r>
          <w:rPr>
            <w:noProof/>
            <w:webHidden/>
          </w:rPr>
          <w:fldChar w:fldCharType="separate"/>
        </w:r>
        <w:r>
          <w:rPr>
            <w:noProof/>
            <w:webHidden/>
          </w:rPr>
          <w:t>19</w:t>
        </w:r>
        <w:r>
          <w:rPr>
            <w:noProof/>
            <w:webHidden/>
          </w:rPr>
          <w:fldChar w:fldCharType="end"/>
        </w:r>
      </w:hyperlink>
    </w:p>
    <w:p w14:paraId="066502BA" w14:textId="483908E2" w:rsidR="0085394E" w:rsidRDefault="0085394E">
      <w:pPr>
        <w:pStyle w:val="TOC2"/>
        <w:rPr>
          <w:rFonts w:asciiTheme="minorHAnsi" w:hAnsiTheme="minorHAnsi"/>
          <w:noProof/>
        </w:rPr>
      </w:pPr>
      <w:hyperlink w:anchor="_Toc187401745" w:history="1">
        <w:r w:rsidRPr="002F0AB8">
          <w:rPr>
            <w:rStyle w:val="Hyperlink"/>
            <w:noProof/>
          </w:rPr>
          <w:t>A.</w:t>
        </w:r>
        <w:r>
          <w:rPr>
            <w:rFonts w:asciiTheme="minorHAnsi" w:hAnsiTheme="minorHAnsi"/>
            <w:noProof/>
          </w:rPr>
          <w:tab/>
        </w:r>
        <w:r w:rsidRPr="002F0AB8">
          <w:rPr>
            <w:rStyle w:val="Hyperlink"/>
            <w:noProof/>
          </w:rPr>
          <w:t>Overview of Methodology for Empirical Analysis of Service Areas</w:t>
        </w:r>
        <w:r>
          <w:rPr>
            <w:noProof/>
            <w:webHidden/>
          </w:rPr>
          <w:tab/>
        </w:r>
        <w:r>
          <w:rPr>
            <w:noProof/>
            <w:webHidden/>
          </w:rPr>
          <w:fldChar w:fldCharType="begin"/>
        </w:r>
        <w:r>
          <w:rPr>
            <w:noProof/>
            <w:webHidden/>
          </w:rPr>
          <w:instrText xml:space="preserve"> PAGEREF _Toc187401745 \h </w:instrText>
        </w:r>
        <w:r>
          <w:rPr>
            <w:noProof/>
            <w:webHidden/>
          </w:rPr>
        </w:r>
        <w:r>
          <w:rPr>
            <w:noProof/>
            <w:webHidden/>
          </w:rPr>
          <w:fldChar w:fldCharType="separate"/>
        </w:r>
        <w:r>
          <w:rPr>
            <w:noProof/>
            <w:webHidden/>
          </w:rPr>
          <w:t>19</w:t>
        </w:r>
        <w:r>
          <w:rPr>
            <w:noProof/>
            <w:webHidden/>
          </w:rPr>
          <w:fldChar w:fldCharType="end"/>
        </w:r>
      </w:hyperlink>
    </w:p>
    <w:p w14:paraId="6C264BFF" w14:textId="2E62F229" w:rsidR="0085394E" w:rsidRDefault="0085394E">
      <w:pPr>
        <w:pStyle w:val="TOC2"/>
        <w:rPr>
          <w:rFonts w:asciiTheme="minorHAnsi" w:hAnsiTheme="minorHAnsi"/>
          <w:noProof/>
        </w:rPr>
      </w:pPr>
      <w:hyperlink w:anchor="_Toc187401746" w:history="1">
        <w:r w:rsidRPr="002F0AB8">
          <w:rPr>
            <w:rStyle w:val="Hyperlink"/>
            <w:noProof/>
          </w:rPr>
          <w:t>B.</w:t>
        </w:r>
        <w:r>
          <w:rPr>
            <w:rFonts w:asciiTheme="minorHAnsi" w:hAnsiTheme="minorHAnsi"/>
            <w:noProof/>
          </w:rPr>
          <w:tab/>
        </w:r>
        <w:r w:rsidRPr="002F0AB8">
          <w:rPr>
            <w:rStyle w:val="Hyperlink"/>
            <w:noProof/>
          </w:rPr>
          <w:t>Overview of DFCI and Health Systems Offering Inpatient Cancer Care Services</w:t>
        </w:r>
        <w:r>
          <w:rPr>
            <w:noProof/>
            <w:webHidden/>
          </w:rPr>
          <w:tab/>
        </w:r>
        <w:r>
          <w:rPr>
            <w:noProof/>
            <w:webHidden/>
          </w:rPr>
          <w:fldChar w:fldCharType="begin"/>
        </w:r>
        <w:r>
          <w:rPr>
            <w:noProof/>
            <w:webHidden/>
          </w:rPr>
          <w:instrText xml:space="preserve"> PAGEREF _Toc187401746 \h </w:instrText>
        </w:r>
        <w:r>
          <w:rPr>
            <w:noProof/>
            <w:webHidden/>
          </w:rPr>
        </w:r>
        <w:r>
          <w:rPr>
            <w:noProof/>
            <w:webHidden/>
          </w:rPr>
          <w:fldChar w:fldCharType="separate"/>
        </w:r>
        <w:r>
          <w:rPr>
            <w:noProof/>
            <w:webHidden/>
          </w:rPr>
          <w:t>20</w:t>
        </w:r>
        <w:r>
          <w:rPr>
            <w:noProof/>
            <w:webHidden/>
          </w:rPr>
          <w:fldChar w:fldCharType="end"/>
        </w:r>
      </w:hyperlink>
    </w:p>
    <w:p w14:paraId="143E58D8" w14:textId="47F26BC0" w:rsidR="0085394E" w:rsidRDefault="0085394E">
      <w:pPr>
        <w:pStyle w:val="TOC1"/>
        <w:rPr>
          <w:rFonts w:asciiTheme="minorHAnsi" w:hAnsiTheme="minorHAnsi"/>
          <w:b w:val="0"/>
          <w:noProof/>
        </w:rPr>
      </w:pPr>
      <w:hyperlink w:anchor="_Toc187401747" w:history="1">
        <w:r w:rsidRPr="002F0AB8">
          <w:rPr>
            <w:rStyle w:val="Hyperlink"/>
            <w:noProof/>
          </w:rPr>
          <w:t>VIII.</w:t>
        </w:r>
        <w:r>
          <w:rPr>
            <w:rFonts w:asciiTheme="minorHAnsi" w:hAnsiTheme="minorHAnsi"/>
            <w:b w:val="0"/>
            <w:noProof/>
          </w:rPr>
          <w:tab/>
        </w:r>
        <w:r w:rsidRPr="002F0AB8">
          <w:rPr>
            <w:rStyle w:val="Hyperlink"/>
            <w:noProof/>
          </w:rPr>
          <w:t>Current Provision of Inpatient Cancer Care in Massachusetts</w:t>
        </w:r>
        <w:r>
          <w:rPr>
            <w:noProof/>
            <w:webHidden/>
          </w:rPr>
          <w:tab/>
        </w:r>
        <w:r>
          <w:rPr>
            <w:noProof/>
            <w:webHidden/>
          </w:rPr>
          <w:fldChar w:fldCharType="begin"/>
        </w:r>
        <w:r>
          <w:rPr>
            <w:noProof/>
            <w:webHidden/>
          </w:rPr>
          <w:instrText xml:space="preserve"> PAGEREF _Toc187401747 \h </w:instrText>
        </w:r>
        <w:r>
          <w:rPr>
            <w:noProof/>
            <w:webHidden/>
          </w:rPr>
        </w:r>
        <w:r>
          <w:rPr>
            <w:noProof/>
            <w:webHidden/>
          </w:rPr>
          <w:fldChar w:fldCharType="separate"/>
        </w:r>
        <w:r>
          <w:rPr>
            <w:noProof/>
            <w:webHidden/>
          </w:rPr>
          <w:t>22</w:t>
        </w:r>
        <w:r>
          <w:rPr>
            <w:noProof/>
            <w:webHidden/>
          </w:rPr>
          <w:fldChar w:fldCharType="end"/>
        </w:r>
      </w:hyperlink>
    </w:p>
    <w:p w14:paraId="36E31CD4" w14:textId="791203B6" w:rsidR="0085394E" w:rsidRDefault="0085394E">
      <w:pPr>
        <w:pStyle w:val="TOC1"/>
        <w:rPr>
          <w:rFonts w:asciiTheme="minorHAnsi" w:hAnsiTheme="minorHAnsi"/>
          <w:b w:val="0"/>
          <w:noProof/>
        </w:rPr>
      </w:pPr>
      <w:hyperlink w:anchor="_Toc187401748" w:history="1">
        <w:r w:rsidRPr="002F0AB8">
          <w:rPr>
            <w:rStyle w:val="Hyperlink"/>
            <w:noProof/>
          </w:rPr>
          <w:t>IX.</w:t>
        </w:r>
        <w:r>
          <w:rPr>
            <w:rFonts w:asciiTheme="minorHAnsi" w:hAnsiTheme="minorHAnsi"/>
            <w:b w:val="0"/>
            <w:noProof/>
          </w:rPr>
          <w:tab/>
        </w:r>
        <w:r w:rsidRPr="002F0AB8">
          <w:rPr>
            <w:rStyle w:val="Hyperlink"/>
            <w:noProof/>
          </w:rPr>
          <w:t>Forecast of Future Demand for Cancer Care</w:t>
        </w:r>
        <w:r>
          <w:rPr>
            <w:noProof/>
            <w:webHidden/>
          </w:rPr>
          <w:tab/>
        </w:r>
        <w:r>
          <w:rPr>
            <w:noProof/>
            <w:webHidden/>
          </w:rPr>
          <w:fldChar w:fldCharType="begin"/>
        </w:r>
        <w:r>
          <w:rPr>
            <w:noProof/>
            <w:webHidden/>
          </w:rPr>
          <w:instrText xml:space="preserve"> PAGEREF _Toc187401748 \h </w:instrText>
        </w:r>
        <w:r>
          <w:rPr>
            <w:noProof/>
            <w:webHidden/>
          </w:rPr>
        </w:r>
        <w:r>
          <w:rPr>
            <w:noProof/>
            <w:webHidden/>
          </w:rPr>
          <w:fldChar w:fldCharType="separate"/>
        </w:r>
        <w:r>
          <w:rPr>
            <w:noProof/>
            <w:webHidden/>
          </w:rPr>
          <w:t>29</w:t>
        </w:r>
        <w:r>
          <w:rPr>
            <w:noProof/>
            <w:webHidden/>
          </w:rPr>
          <w:fldChar w:fldCharType="end"/>
        </w:r>
      </w:hyperlink>
    </w:p>
    <w:p w14:paraId="41D5B9FF" w14:textId="6AA37D5D" w:rsidR="0085394E" w:rsidRDefault="0085394E">
      <w:pPr>
        <w:pStyle w:val="TOC2"/>
        <w:rPr>
          <w:rFonts w:asciiTheme="minorHAnsi" w:hAnsiTheme="minorHAnsi"/>
          <w:noProof/>
        </w:rPr>
      </w:pPr>
      <w:hyperlink w:anchor="_Toc187401749" w:history="1">
        <w:r w:rsidRPr="002F0AB8">
          <w:rPr>
            <w:rStyle w:val="Hyperlink"/>
            <w:noProof/>
          </w:rPr>
          <w:t>A.</w:t>
        </w:r>
        <w:r>
          <w:rPr>
            <w:rFonts w:asciiTheme="minorHAnsi" w:hAnsiTheme="minorHAnsi"/>
            <w:noProof/>
          </w:rPr>
          <w:tab/>
        </w:r>
        <w:r w:rsidRPr="002F0AB8">
          <w:rPr>
            <w:rStyle w:val="Hyperlink"/>
            <w:noProof/>
          </w:rPr>
          <w:t>Methodology for Estimating Current and Future Demand</w:t>
        </w:r>
        <w:r>
          <w:rPr>
            <w:noProof/>
            <w:webHidden/>
          </w:rPr>
          <w:tab/>
        </w:r>
        <w:r>
          <w:rPr>
            <w:noProof/>
            <w:webHidden/>
          </w:rPr>
          <w:fldChar w:fldCharType="begin"/>
        </w:r>
        <w:r>
          <w:rPr>
            <w:noProof/>
            <w:webHidden/>
          </w:rPr>
          <w:instrText xml:space="preserve"> PAGEREF _Toc187401749 \h </w:instrText>
        </w:r>
        <w:r>
          <w:rPr>
            <w:noProof/>
            <w:webHidden/>
          </w:rPr>
        </w:r>
        <w:r>
          <w:rPr>
            <w:noProof/>
            <w:webHidden/>
          </w:rPr>
          <w:fldChar w:fldCharType="separate"/>
        </w:r>
        <w:r>
          <w:rPr>
            <w:noProof/>
            <w:webHidden/>
          </w:rPr>
          <w:t>29</w:t>
        </w:r>
        <w:r>
          <w:rPr>
            <w:noProof/>
            <w:webHidden/>
          </w:rPr>
          <w:fldChar w:fldCharType="end"/>
        </w:r>
      </w:hyperlink>
    </w:p>
    <w:p w14:paraId="3F4D4254" w14:textId="4468F5BB" w:rsidR="0085394E" w:rsidRDefault="0085394E">
      <w:pPr>
        <w:pStyle w:val="TOC2"/>
        <w:rPr>
          <w:rFonts w:asciiTheme="minorHAnsi" w:hAnsiTheme="minorHAnsi"/>
          <w:noProof/>
        </w:rPr>
      </w:pPr>
      <w:hyperlink w:anchor="_Toc187401750" w:history="1">
        <w:r w:rsidRPr="002F0AB8">
          <w:rPr>
            <w:rStyle w:val="Hyperlink"/>
            <w:noProof/>
          </w:rPr>
          <w:t>B.</w:t>
        </w:r>
        <w:r>
          <w:rPr>
            <w:rFonts w:asciiTheme="minorHAnsi" w:hAnsiTheme="minorHAnsi"/>
            <w:noProof/>
          </w:rPr>
          <w:tab/>
        </w:r>
        <w:r w:rsidRPr="002F0AB8">
          <w:rPr>
            <w:rStyle w:val="Hyperlink"/>
            <w:noProof/>
          </w:rPr>
          <w:t>Projected Changes in Inpatient Cancer Care Services Utilization</w:t>
        </w:r>
        <w:r>
          <w:rPr>
            <w:noProof/>
            <w:webHidden/>
          </w:rPr>
          <w:tab/>
        </w:r>
        <w:r>
          <w:rPr>
            <w:noProof/>
            <w:webHidden/>
          </w:rPr>
          <w:fldChar w:fldCharType="begin"/>
        </w:r>
        <w:r>
          <w:rPr>
            <w:noProof/>
            <w:webHidden/>
          </w:rPr>
          <w:instrText xml:space="preserve"> PAGEREF _Toc187401750 \h </w:instrText>
        </w:r>
        <w:r>
          <w:rPr>
            <w:noProof/>
            <w:webHidden/>
          </w:rPr>
        </w:r>
        <w:r>
          <w:rPr>
            <w:noProof/>
            <w:webHidden/>
          </w:rPr>
          <w:fldChar w:fldCharType="separate"/>
        </w:r>
        <w:r>
          <w:rPr>
            <w:noProof/>
            <w:webHidden/>
          </w:rPr>
          <w:t>31</w:t>
        </w:r>
        <w:r>
          <w:rPr>
            <w:noProof/>
            <w:webHidden/>
          </w:rPr>
          <w:fldChar w:fldCharType="end"/>
        </w:r>
      </w:hyperlink>
    </w:p>
    <w:p w14:paraId="11F6706D" w14:textId="6B886F60" w:rsidR="0085394E" w:rsidRDefault="0085394E">
      <w:pPr>
        <w:pStyle w:val="TOC1"/>
        <w:rPr>
          <w:rFonts w:asciiTheme="minorHAnsi" w:hAnsiTheme="minorHAnsi"/>
          <w:b w:val="0"/>
          <w:noProof/>
        </w:rPr>
      </w:pPr>
      <w:hyperlink w:anchor="_Toc187401751" w:history="1">
        <w:r w:rsidRPr="002F0AB8">
          <w:rPr>
            <w:rStyle w:val="Hyperlink"/>
            <w:noProof/>
          </w:rPr>
          <w:t>X.</w:t>
        </w:r>
        <w:r>
          <w:rPr>
            <w:rFonts w:asciiTheme="minorHAnsi" w:hAnsiTheme="minorHAnsi"/>
            <w:b w:val="0"/>
            <w:noProof/>
          </w:rPr>
          <w:tab/>
        </w:r>
        <w:r w:rsidRPr="002F0AB8">
          <w:rPr>
            <w:rStyle w:val="Hyperlink"/>
            <w:noProof/>
          </w:rPr>
          <w:t>Predicting Shifts in Utilization for Inpatient Cancer Services</w:t>
        </w:r>
        <w:r>
          <w:rPr>
            <w:noProof/>
            <w:webHidden/>
          </w:rPr>
          <w:tab/>
        </w:r>
        <w:r>
          <w:rPr>
            <w:noProof/>
            <w:webHidden/>
          </w:rPr>
          <w:fldChar w:fldCharType="begin"/>
        </w:r>
        <w:r>
          <w:rPr>
            <w:noProof/>
            <w:webHidden/>
          </w:rPr>
          <w:instrText xml:space="preserve"> PAGEREF _Toc187401751 \h </w:instrText>
        </w:r>
        <w:r>
          <w:rPr>
            <w:noProof/>
            <w:webHidden/>
          </w:rPr>
        </w:r>
        <w:r>
          <w:rPr>
            <w:noProof/>
            <w:webHidden/>
          </w:rPr>
          <w:fldChar w:fldCharType="separate"/>
        </w:r>
        <w:r>
          <w:rPr>
            <w:noProof/>
            <w:webHidden/>
          </w:rPr>
          <w:t>33</w:t>
        </w:r>
        <w:r>
          <w:rPr>
            <w:noProof/>
            <w:webHidden/>
          </w:rPr>
          <w:fldChar w:fldCharType="end"/>
        </w:r>
      </w:hyperlink>
    </w:p>
    <w:p w14:paraId="3643CC42" w14:textId="1316EEB5" w:rsidR="0085394E" w:rsidRDefault="0085394E">
      <w:pPr>
        <w:pStyle w:val="TOC1"/>
        <w:rPr>
          <w:rFonts w:asciiTheme="minorHAnsi" w:hAnsiTheme="minorHAnsi"/>
          <w:b w:val="0"/>
          <w:noProof/>
        </w:rPr>
      </w:pPr>
      <w:hyperlink w:anchor="_Toc187401752" w:history="1">
        <w:r w:rsidRPr="002F0AB8">
          <w:rPr>
            <w:rStyle w:val="Hyperlink"/>
            <w:noProof/>
          </w:rPr>
          <w:t>XI.</w:t>
        </w:r>
        <w:r>
          <w:rPr>
            <w:rFonts w:asciiTheme="minorHAnsi" w:hAnsiTheme="minorHAnsi"/>
            <w:b w:val="0"/>
            <w:noProof/>
          </w:rPr>
          <w:tab/>
        </w:r>
        <w:r w:rsidRPr="002F0AB8">
          <w:rPr>
            <w:rStyle w:val="Hyperlink"/>
            <w:noProof/>
          </w:rPr>
          <w:t>Prices for Inpatient Cancer Care Services in Relevant Service Lines</w:t>
        </w:r>
        <w:r>
          <w:rPr>
            <w:noProof/>
            <w:webHidden/>
          </w:rPr>
          <w:tab/>
        </w:r>
        <w:r>
          <w:rPr>
            <w:noProof/>
            <w:webHidden/>
          </w:rPr>
          <w:fldChar w:fldCharType="begin"/>
        </w:r>
        <w:r>
          <w:rPr>
            <w:noProof/>
            <w:webHidden/>
          </w:rPr>
          <w:instrText xml:space="preserve"> PAGEREF _Toc187401752 \h </w:instrText>
        </w:r>
        <w:r>
          <w:rPr>
            <w:noProof/>
            <w:webHidden/>
          </w:rPr>
        </w:r>
        <w:r>
          <w:rPr>
            <w:noProof/>
            <w:webHidden/>
          </w:rPr>
          <w:fldChar w:fldCharType="separate"/>
        </w:r>
        <w:r>
          <w:rPr>
            <w:noProof/>
            <w:webHidden/>
          </w:rPr>
          <w:t>38</w:t>
        </w:r>
        <w:r>
          <w:rPr>
            <w:noProof/>
            <w:webHidden/>
          </w:rPr>
          <w:fldChar w:fldCharType="end"/>
        </w:r>
      </w:hyperlink>
    </w:p>
    <w:p w14:paraId="61FFBE77" w14:textId="20A918FB" w:rsidR="0085394E" w:rsidRDefault="0085394E">
      <w:pPr>
        <w:pStyle w:val="TOC1"/>
        <w:rPr>
          <w:rFonts w:asciiTheme="minorHAnsi" w:hAnsiTheme="minorHAnsi"/>
          <w:b w:val="0"/>
          <w:noProof/>
        </w:rPr>
      </w:pPr>
      <w:hyperlink w:anchor="_Toc187401753" w:history="1">
        <w:r w:rsidRPr="002F0AB8">
          <w:rPr>
            <w:rStyle w:val="Hyperlink"/>
            <w:noProof/>
          </w:rPr>
          <w:t>XII.</w:t>
        </w:r>
        <w:r>
          <w:rPr>
            <w:rFonts w:asciiTheme="minorHAnsi" w:hAnsiTheme="minorHAnsi"/>
            <w:b w:val="0"/>
            <w:noProof/>
          </w:rPr>
          <w:tab/>
        </w:r>
        <w:r w:rsidRPr="002F0AB8">
          <w:rPr>
            <w:rStyle w:val="Hyperlink"/>
            <w:noProof/>
          </w:rPr>
          <w:t>Forecasted Impacts of the Proposed Project on Inpatient Cancer Care Shares, Prices, and Spending</w:t>
        </w:r>
        <w:r>
          <w:rPr>
            <w:noProof/>
            <w:webHidden/>
          </w:rPr>
          <w:tab/>
        </w:r>
        <w:r>
          <w:rPr>
            <w:noProof/>
            <w:webHidden/>
          </w:rPr>
          <w:fldChar w:fldCharType="begin"/>
        </w:r>
        <w:r>
          <w:rPr>
            <w:noProof/>
            <w:webHidden/>
          </w:rPr>
          <w:instrText xml:space="preserve"> PAGEREF _Toc187401753 \h </w:instrText>
        </w:r>
        <w:r>
          <w:rPr>
            <w:noProof/>
            <w:webHidden/>
          </w:rPr>
        </w:r>
        <w:r>
          <w:rPr>
            <w:noProof/>
            <w:webHidden/>
          </w:rPr>
          <w:fldChar w:fldCharType="separate"/>
        </w:r>
        <w:r>
          <w:rPr>
            <w:noProof/>
            <w:webHidden/>
          </w:rPr>
          <w:t>40</w:t>
        </w:r>
        <w:r>
          <w:rPr>
            <w:noProof/>
            <w:webHidden/>
          </w:rPr>
          <w:fldChar w:fldCharType="end"/>
        </w:r>
      </w:hyperlink>
    </w:p>
    <w:p w14:paraId="2B3AC7CE" w14:textId="7BC59D4F" w:rsidR="0085394E" w:rsidRDefault="0085394E">
      <w:pPr>
        <w:pStyle w:val="TOC2"/>
        <w:rPr>
          <w:rFonts w:asciiTheme="minorHAnsi" w:hAnsiTheme="minorHAnsi"/>
          <w:noProof/>
        </w:rPr>
      </w:pPr>
      <w:hyperlink w:anchor="_Toc187401754" w:history="1">
        <w:r w:rsidRPr="002F0AB8">
          <w:rPr>
            <w:rStyle w:val="Hyperlink"/>
            <w:noProof/>
          </w:rPr>
          <w:t>A.</w:t>
        </w:r>
        <w:r>
          <w:rPr>
            <w:rFonts w:asciiTheme="minorHAnsi" w:hAnsiTheme="minorHAnsi"/>
            <w:noProof/>
          </w:rPr>
          <w:tab/>
        </w:r>
        <w:r w:rsidRPr="002F0AB8">
          <w:rPr>
            <w:rStyle w:val="Hyperlink"/>
            <w:noProof/>
          </w:rPr>
          <w:t>Projected Changes in Shares</w:t>
        </w:r>
        <w:r>
          <w:rPr>
            <w:noProof/>
            <w:webHidden/>
          </w:rPr>
          <w:tab/>
        </w:r>
        <w:r>
          <w:rPr>
            <w:noProof/>
            <w:webHidden/>
          </w:rPr>
          <w:fldChar w:fldCharType="begin"/>
        </w:r>
        <w:r>
          <w:rPr>
            <w:noProof/>
            <w:webHidden/>
          </w:rPr>
          <w:instrText xml:space="preserve"> PAGEREF _Toc187401754 \h </w:instrText>
        </w:r>
        <w:r>
          <w:rPr>
            <w:noProof/>
            <w:webHidden/>
          </w:rPr>
        </w:r>
        <w:r>
          <w:rPr>
            <w:noProof/>
            <w:webHidden/>
          </w:rPr>
          <w:fldChar w:fldCharType="separate"/>
        </w:r>
        <w:r>
          <w:rPr>
            <w:noProof/>
            <w:webHidden/>
          </w:rPr>
          <w:t>40</w:t>
        </w:r>
        <w:r>
          <w:rPr>
            <w:noProof/>
            <w:webHidden/>
          </w:rPr>
          <w:fldChar w:fldCharType="end"/>
        </w:r>
      </w:hyperlink>
    </w:p>
    <w:p w14:paraId="090FE4E2" w14:textId="4D78C8BE" w:rsidR="0085394E" w:rsidRDefault="0085394E">
      <w:pPr>
        <w:pStyle w:val="TOC2"/>
        <w:rPr>
          <w:rFonts w:asciiTheme="minorHAnsi" w:hAnsiTheme="minorHAnsi"/>
          <w:noProof/>
        </w:rPr>
      </w:pPr>
      <w:hyperlink w:anchor="_Toc187401755" w:history="1">
        <w:r w:rsidRPr="002F0AB8">
          <w:rPr>
            <w:rStyle w:val="Hyperlink"/>
            <w:noProof/>
          </w:rPr>
          <w:t>B.</w:t>
        </w:r>
        <w:r>
          <w:rPr>
            <w:rFonts w:asciiTheme="minorHAnsi" w:hAnsiTheme="minorHAnsi"/>
            <w:noProof/>
          </w:rPr>
          <w:tab/>
        </w:r>
        <w:r w:rsidRPr="002F0AB8">
          <w:rPr>
            <w:rStyle w:val="Hyperlink"/>
            <w:noProof/>
          </w:rPr>
          <w:t>Changes in Prices</w:t>
        </w:r>
        <w:r>
          <w:rPr>
            <w:noProof/>
            <w:webHidden/>
          </w:rPr>
          <w:tab/>
        </w:r>
        <w:r>
          <w:rPr>
            <w:noProof/>
            <w:webHidden/>
          </w:rPr>
          <w:fldChar w:fldCharType="begin"/>
        </w:r>
        <w:r>
          <w:rPr>
            <w:noProof/>
            <w:webHidden/>
          </w:rPr>
          <w:instrText xml:space="preserve"> PAGEREF _Toc187401755 \h </w:instrText>
        </w:r>
        <w:r>
          <w:rPr>
            <w:noProof/>
            <w:webHidden/>
          </w:rPr>
        </w:r>
        <w:r>
          <w:rPr>
            <w:noProof/>
            <w:webHidden/>
          </w:rPr>
          <w:fldChar w:fldCharType="separate"/>
        </w:r>
        <w:r>
          <w:rPr>
            <w:noProof/>
            <w:webHidden/>
          </w:rPr>
          <w:t>41</w:t>
        </w:r>
        <w:r>
          <w:rPr>
            <w:noProof/>
            <w:webHidden/>
          </w:rPr>
          <w:fldChar w:fldCharType="end"/>
        </w:r>
      </w:hyperlink>
    </w:p>
    <w:p w14:paraId="41CC6AAC" w14:textId="1036E781" w:rsidR="0085394E" w:rsidRDefault="0085394E">
      <w:pPr>
        <w:pStyle w:val="TOC2"/>
        <w:rPr>
          <w:rFonts w:asciiTheme="minorHAnsi" w:hAnsiTheme="minorHAnsi"/>
          <w:noProof/>
        </w:rPr>
      </w:pPr>
      <w:hyperlink w:anchor="_Toc187401756" w:history="1">
        <w:r w:rsidRPr="002F0AB8">
          <w:rPr>
            <w:rStyle w:val="Hyperlink"/>
            <w:noProof/>
          </w:rPr>
          <w:t>C.</w:t>
        </w:r>
        <w:r>
          <w:rPr>
            <w:rFonts w:asciiTheme="minorHAnsi" w:hAnsiTheme="minorHAnsi"/>
            <w:noProof/>
          </w:rPr>
          <w:tab/>
        </w:r>
        <w:r w:rsidRPr="002F0AB8">
          <w:rPr>
            <w:rStyle w:val="Hyperlink"/>
            <w:noProof/>
          </w:rPr>
          <w:t>Changes in Total Medical Spending</w:t>
        </w:r>
        <w:r>
          <w:rPr>
            <w:noProof/>
            <w:webHidden/>
          </w:rPr>
          <w:tab/>
        </w:r>
        <w:r>
          <w:rPr>
            <w:noProof/>
            <w:webHidden/>
          </w:rPr>
          <w:fldChar w:fldCharType="begin"/>
        </w:r>
        <w:r>
          <w:rPr>
            <w:noProof/>
            <w:webHidden/>
          </w:rPr>
          <w:instrText xml:space="preserve"> PAGEREF _Toc187401756 \h </w:instrText>
        </w:r>
        <w:r>
          <w:rPr>
            <w:noProof/>
            <w:webHidden/>
          </w:rPr>
        </w:r>
        <w:r>
          <w:rPr>
            <w:noProof/>
            <w:webHidden/>
          </w:rPr>
          <w:fldChar w:fldCharType="separate"/>
        </w:r>
        <w:r>
          <w:rPr>
            <w:noProof/>
            <w:webHidden/>
          </w:rPr>
          <w:t>43</w:t>
        </w:r>
        <w:r>
          <w:rPr>
            <w:noProof/>
            <w:webHidden/>
          </w:rPr>
          <w:fldChar w:fldCharType="end"/>
        </w:r>
      </w:hyperlink>
    </w:p>
    <w:p w14:paraId="5A2527A4" w14:textId="11CE849A" w:rsidR="0085394E" w:rsidRDefault="0085394E">
      <w:pPr>
        <w:pStyle w:val="TOC1"/>
        <w:rPr>
          <w:rFonts w:asciiTheme="minorHAnsi" w:hAnsiTheme="minorHAnsi"/>
          <w:b w:val="0"/>
          <w:noProof/>
        </w:rPr>
      </w:pPr>
      <w:hyperlink w:anchor="_Toc187401757" w:history="1">
        <w:r w:rsidRPr="002F0AB8">
          <w:rPr>
            <w:rStyle w:val="Hyperlink"/>
            <w:noProof/>
          </w:rPr>
          <w:t>XIII.</w:t>
        </w:r>
        <w:r>
          <w:rPr>
            <w:rFonts w:asciiTheme="minorHAnsi" w:hAnsiTheme="minorHAnsi"/>
            <w:b w:val="0"/>
            <w:noProof/>
          </w:rPr>
          <w:tab/>
        </w:r>
        <w:r w:rsidRPr="002F0AB8">
          <w:rPr>
            <w:rStyle w:val="Hyperlink"/>
            <w:noProof/>
          </w:rPr>
          <w:t>Specialized Cancer Care: CAR T and Bi-Specific Antibody Therapies</w:t>
        </w:r>
        <w:r>
          <w:rPr>
            <w:noProof/>
            <w:webHidden/>
          </w:rPr>
          <w:tab/>
        </w:r>
        <w:r>
          <w:rPr>
            <w:noProof/>
            <w:webHidden/>
          </w:rPr>
          <w:fldChar w:fldCharType="begin"/>
        </w:r>
        <w:r>
          <w:rPr>
            <w:noProof/>
            <w:webHidden/>
          </w:rPr>
          <w:instrText xml:space="preserve"> PAGEREF _Toc187401757 \h </w:instrText>
        </w:r>
        <w:r>
          <w:rPr>
            <w:noProof/>
            <w:webHidden/>
          </w:rPr>
        </w:r>
        <w:r>
          <w:rPr>
            <w:noProof/>
            <w:webHidden/>
          </w:rPr>
          <w:fldChar w:fldCharType="separate"/>
        </w:r>
        <w:r>
          <w:rPr>
            <w:noProof/>
            <w:webHidden/>
          </w:rPr>
          <w:t>46</w:t>
        </w:r>
        <w:r>
          <w:rPr>
            <w:noProof/>
            <w:webHidden/>
          </w:rPr>
          <w:fldChar w:fldCharType="end"/>
        </w:r>
      </w:hyperlink>
    </w:p>
    <w:p w14:paraId="5E6EB2A4" w14:textId="15FF46BE" w:rsidR="0085394E" w:rsidRDefault="0085394E">
      <w:pPr>
        <w:pStyle w:val="TOC1"/>
        <w:rPr>
          <w:rFonts w:asciiTheme="minorHAnsi" w:hAnsiTheme="minorHAnsi"/>
          <w:b w:val="0"/>
          <w:noProof/>
        </w:rPr>
      </w:pPr>
      <w:hyperlink w:anchor="_Toc187401758" w:history="1">
        <w:r w:rsidRPr="002F0AB8">
          <w:rPr>
            <w:rStyle w:val="Hyperlink"/>
            <w:noProof/>
          </w:rPr>
          <w:t>XIV.</w:t>
        </w:r>
        <w:r>
          <w:rPr>
            <w:rFonts w:asciiTheme="minorHAnsi" w:hAnsiTheme="minorHAnsi"/>
            <w:b w:val="0"/>
            <w:noProof/>
          </w:rPr>
          <w:tab/>
        </w:r>
        <w:r w:rsidRPr="002F0AB8">
          <w:rPr>
            <w:rStyle w:val="Hyperlink"/>
            <w:noProof/>
          </w:rPr>
          <w:t>Impacts on Diagnostic Imaging Services</w:t>
        </w:r>
        <w:r>
          <w:rPr>
            <w:noProof/>
            <w:webHidden/>
          </w:rPr>
          <w:tab/>
        </w:r>
        <w:r>
          <w:rPr>
            <w:noProof/>
            <w:webHidden/>
          </w:rPr>
          <w:fldChar w:fldCharType="begin"/>
        </w:r>
        <w:r>
          <w:rPr>
            <w:noProof/>
            <w:webHidden/>
          </w:rPr>
          <w:instrText xml:space="preserve"> PAGEREF _Toc187401758 \h </w:instrText>
        </w:r>
        <w:r>
          <w:rPr>
            <w:noProof/>
            <w:webHidden/>
          </w:rPr>
        </w:r>
        <w:r>
          <w:rPr>
            <w:noProof/>
            <w:webHidden/>
          </w:rPr>
          <w:fldChar w:fldCharType="separate"/>
        </w:r>
        <w:r>
          <w:rPr>
            <w:noProof/>
            <w:webHidden/>
          </w:rPr>
          <w:t>49</w:t>
        </w:r>
        <w:r>
          <w:rPr>
            <w:noProof/>
            <w:webHidden/>
          </w:rPr>
          <w:fldChar w:fldCharType="end"/>
        </w:r>
      </w:hyperlink>
    </w:p>
    <w:p w14:paraId="57C82547" w14:textId="3944A4B9" w:rsidR="0085394E" w:rsidRDefault="0085394E">
      <w:pPr>
        <w:pStyle w:val="TOC2"/>
        <w:rPr>
          <w:rFonts w:asciiTheme="minorHAnsi" w:hAnsiTheme="minorHAnsi"/>
          <w:noProof/>
        </w:rPr>
      </w:pPr>
      <w:hyperlink w:anchor="_Toc187401759" w:history="1">
        <w:r w:rsidRPr="002F0AB8">
          <w:rPr>
            <w:rStyle w:val="Hyperlink"/>
            <w:noProof/>
          </w:rPr>
          <w:t>A.</w:t>
        </w:r>
        <w:r>
          <w:rPr>
            <w:rFonts w:asciiTheme="minorHAnsi" w:hAnsiTheme="minorHAnsi"/>
            <w:noProof/>
          </w:rPr>
          <w:tab/>
        </w:r>
        <w:r w:rsidRPr="002F0AB8">
          <w:rPr>
            <w:rStyle w:val="Hyperlink"/>
            <w:noProof/>
          </w:rPr>
          <w:t>Defining Diagnostic Imaging Service Lines</w:t>
        </w:r>
        <w:r>
          <w:rPr>
            <w:noProof/>
            <w:webHidden/>
          </w:rPr>
          <w:tab/>
        </w:r>
        <w:r>
          <w:rPr>
            <w:noProof/>
            <w:webHidden/>
          </w:rPr>
          <w:fldChar w:fldCharType="begin"/>
        </w:r>
        <w:r>
          <w:rPr>
            <w:noProof/>
            <w:webHidden/>
          </w:rPr>
          <w:instrText xml:space="preserve"> PAGEREF _Toc187401759 \h </w:instrText>
        </w:r>
        <w:r>
          <w:rPr>
            <w:noProof/>
            <w:webHidden/>
          </w:rPr>
        </w:r>
        <w:r>
          <w:rPr>
            <w:noProof/>
            <w:webHidden/>
          </w:rPr>
          <w:fldChar w:fldCharType="separate"/>
        </w:r>
        <w:r>
          <w:rPr>
            <w:noProof/>
            <w:webHidden/>
          </w:rPr>
          <w:t>49</w:t>
        </w:r>
        <w:r>
          <w:rPr>
            <w:noProof/>
            <w:webHidden/>
          </w:rPr>
          <w:fldChar w:fldCharType="end"/>
        </w:r>
      </w:hyperlink>
    </w:p>
    <w:p w14:paraId="344AFD9E" w14:textId="33604A65" w:rsidR="0085394E" w:rsidRDefault="0085394E">
      <w:pPr>
        <w:pStyle w:val="TOC2"/>
        <w:rPr>
          <w:rFonts w:asciiTheme="minorHAnsi" w:hAnsiTheme="minorHAnsi"/>
          <w:noProof/>
        </w:rPr>
      </w:pPr>
      <w:hyperlink w:anchor="_Toc187401760" w:history="1">
        <w:r w:rsidRPr="002F0AB8">
          <w:rPr>
            <w:rStyle w:val="Hyperlink"/>
            <w:noProof/>
          </w:rPr>
          <w:t>B.</w:t>
        </w:r>
        <w:r>
          <w:rPr>
            <w:rFonts w:asciiTheme="minorHAnsi" w:hAnsiTheme="minorHAnsi"/>
            <w:noProof/>
          </w:rPr>
          <w:tab/>
        </w:r>
        <w:r w:rsidRPr="002F0AB8">
          <w:rPr>
            <w:rStyle w:val="Hyperlink"/>
            <w:noProof/>
          </w:rPr>
          <w:t>Geographic Areas of Coverage</w:t>
        </w:r>
        <w:r>
          <w:rPr>
            <w:noProof/>
            <w:webHidden/>
          </w:rPr>
          <w:tab/>
        </w:r>
        <w:r>
          <w:rPr>
            <w:noProof/>
            <w:webHidden/>
          </w:rPr>
          <w:fldChar w:fldCharType="begin"/>
        </w:r>
        <w:r>
          <w:rPr>
            <w:noProof/>
            <w:webHidden/>
          </w:rPr>
          <w:instrText xml:space="preserve"> PAGEREF _Toc187401760 \h </w:instrText>
        </w:r>
        <w:r>
          <w:rPr>
            <w:noProof/>
            <w:webHidden/>
          </w:rPr>
        </w:r>
        <w:r>
          <w:rPr>
            <w:noProof/>
            <w:webHidden/>
          </w:rPr>
          <w:fldChar w:fldCharType="separate"/>
        </w:r>
        <w:r>
          <w:rPr>
            <w:noProof/>
            <w:webHidden/>
          </w:rPr>
          <w:t>49</w:t>
        </w:r>
        <w:r>
          <w:rPr>
            <w:noProof/>
            <w:webHidden/>
          </w:rPr>
          <w:fldChar w:fldCharType="end"/>
        </w:r>
      </w:hyperlink>
    </w:p>
    <w:p w14:paraId="3BF074A9" w14:textId="14CB0626" w:rsidR="0085394E" w:rsidRDefault="0085394E">
      <w:pPr>
        <w:pStyle w:val="TOC2"/>
        <w:rPr>
          <w:rFonts w:asciiTheme="minorHAnsi" w:hAnsiTheme="minorHAnsi"/>
          <w:noProof/>
        </w:rPr>
      </w:pPr>
      <w:hyperlink w:anchor="_Toc187401761" w:history="1">
        <w:r w:rsidRPr="002F0AB8">
          <w:rPr>
            <w:rStyle w:val="Hyperlink"/>
            <w:noProof/>
          </w:rPr>
          <w:t>C.</w:t>
        </w:r>
        <w:r>
          <w:rPr>
            <w:rFonts w:asciiTheme="minorHAnsi" w:hAnsiTheme="minorHAnsi"/>
            <w:noProof/>
          </w:rPr>
          <w:tab/>
        </w:r>
        <w:r w:rsidRPr="002F0AB8">
          <w:rPr>
            <w:rStyle w:val="Hyperlink"/>
            <w:noProof/>
          </w:rPr>
          <w:t>Current Provision of Outpatient Imaging Services in Massachusetts</w:t>
        </w:r>
        <w:r>
          <w:rPr>
            <w:noProof/>
            <w:webHidden/>
          </w:rPr>
          <w:tab/>
        </w:r>
        <w:r>
          <w:rPr>
            <w:noProof/>
            <w:webHidden/>
          </w:rPr>
          <w:fldChar w:fldCharType="begin"/>
        </w:r>
        <w:r>
          <w:rPr>
            <w:noProof/>
            <w:webHidden/>
          </w:rPr>
          <w:instrText xml:space="preserve"> PAGEREF _Toc187401761 \h </w:instrText>
        </w:r>
        <w:r>
          <w:rPr>
            <w:noProof/>
            <w:webHidden/>
          </w:rPr>
        </w:r>
        <w:r>
          <w:rPr>
            <w:noProof/>
            <w:webHidden/>
          </w:rPr>
          <w:fldChar w:fldCharType="separate"/>
        </w:r>
        <w:r>
          <w:rPr>
            <w:noProof/>
            <w:webHidden/>
          </w:rPr>
          <w:t>50</w:t>
        </w:r>
        <w:r>
          <w:rPr>
            <w:noProof/>
            <w:webHidden/>
          </w:rPr>
          <w:fldChar w:fldCharType="end"/>
        </w:r>
      </w:hyperlink>
    </w:p>
    <w:p w14:paraId="12B83E34" w14:textId="09354DDF" w:rsidR="0085394E" w:rsidRDefault="0085394E">
      <w:pPr>
        <w:pStyle w:val="TOC2"/>
        <w:rPr>
          <w:rFonts w:asciiTheme="minorHAnsi" w:hAnsiTheme="minorHAnsi"/>
          <w:noProof/>
        </w:rPr>
      </w:pPr>
      <w:hyperlink w:anchor="_Toc187401762" w:history="1">
        <w:r w:rsidRPr="002F0AB8">
          <w:rPr>
            <w:rStyle w:val="Hyperlink"/>
            <w:noProof/>
          </w:rPr>
          <w:t>D.</w:t>
        </w:r>
        <w:r>
          <w:rPr>
            <w:rFonts w:asciiTheme="minorHAnsi" w:hAnsiTheme="minorHAnsi"/>
            <w:noProof/>
          </w:rPr>
          <w:tab/>
        </w:r>
        <w:r w:rsidRPr="002F0AB8">
          <w:rPr>
            <w:rStyle w:val="Hyperlink"/>
            <w:noProof/>
          </w:rPr>
          <w:t>Forecast of Future Demand for Outpatient Imaging Services</w:t>
        </w:r>
        <w:r>
          <w:rPr>
            <w:noProof/>
            <w:webHidden/>
          </w:rPr>
          <w:tab/>
        </w:r>
        <w:r>
          <w:rPr>
            <w:noProof/>
            <w:webHidden/>
          </w:rPr>
          <w:fldChar w:fldCharType="begin"/>
        </w:r>
        <w:r>
          <w:rPr>
            <w:noProof/>
            <w:webHidden/>
          </w:rPr>
          <w:instrText xml:space="preserve"> PAGEREF _Toc187401762 \h </w:instrText>
        </w:r>
        <w:r>
          <w:rPr>
            <w:noProof/>
            <w:webHidden/>
          </w:rPr>
        </w:r>
        <w:r>
          <w:rPr>
            <w:noProof/>
            <w:webHidden/>
          </w:rPr>
          <w:fldChar w:fldCharType="separate"/>
        </w:r>
        <w:r>
          <w:rPr>
            <w:noProof/>
            <w:webHidden/>
          </w:rPr>
          <w:t>53</w:t>
        </w:r>
        <w:r>
          <w:rPr>
            <w:noProof/>
            <w:webHidden/>
          </w:rPr>
          <w:fldChar w:fldCharType="end"/>
        </w:r>
      </w:hyperlink>
    </w:p>
    <w:p w14:paraId="41371D51" w14:textId="79AA653D" w:rsidR="0085394E" w:rsidRDefault="0085394E">
      <w:pPr>
        <w:pStyle w:val="TOC2"/>
        <w:rPr>
          <w:rFonts w:asciiTheme="minorHAnsi" w:hAnsiTheme="minorHAnsi"/>
          <w:noProof/>
        </w:rPr>
      </w:pPr>
      <w:hyperlink w:anchor="_Toc187401763" w:history="1">
        <w:r w:rsidRPr="002F0AB8">
          <w:rPr>
            <w:rStyle w:val="Hyperlink"/>
            <w:noProof/>
          </w:rPr>
          <w:t>E.</w:t>
        </w:r>
        <w:r>
          <w:rPr>
            <w:rFonts w:asciiTheme="minorHAnsi" w:hAnsiTheme="minorHAnsi"/>
            <w:noProof/>
          </w:rPr>
          <w:tab/>
        </w:r>
        <w:r w:rsidRPr="002F0AB8">
          <w:rPr>
            <w:rStyle w:val="Hyperlink"/>
            <w:noProof/>
          </w:rPr>
          <w:t>Evaluation of DFCI Need for Imaging Equipment</w:t>
        </w:r>
        <w:r>
          <w:rPr>
            <w:noProof/>
            <w:webHidden/>
          </w:rPr>
          <w:tab/>
        </w:r>
        <w:r>
          <w:rPr>
            <w:noProof/>
            <w:webHidden/>
          </w:rPr>
          <w:fldChar w:fldCharType="begin"/>
        </w:r>
        <w:r>
          <w:rPr>
            <w:noProof/>
            <w:webHidden/>
          </w:rPr>
          <w:instrText xml:space="preserve"> PAGEREF _Toc187401763 \h </w:instrText>
        </w:r>
        <w:r>
          <w:rPr>
            <w:noProof/>
            <w:webHidden/>
          </w:rPr>
        </w:r>
        <w:r>
          <w:rPr>
            <w:noProof/>
            <w:webHidden/>
          </w:rPr>
          <w:fldChar w:fldCharType="separate"/>
        </w:r>
        <w:r>
          <w:rPr>
            <w:noProof/>
            <w:webHidden/>
          </w:rPr>
          <w:t>53</w:t>
        </w:r>
        <w:r>
          <w:rPr>
            <w:noProof/>
            <w:webHidden/>
          </w:rPr>
          <w:fldChar w:fldCharType="end"/>
        </w:r>
      </w:hyperlink>
    </w:p>
    <w:p w14:paraId="7A6C90C0" w14:textId="33872DAE" w:rsidR="0085394E" w:rsidRDefault="0085394E">
      <w:pPr>
        <w:pStyle w:val="TOC2"/>
        <w:rPr>
          <w:rFonts w:asciiTheme="minorHAnsi" w:hAnsiTheme="minorHAnsi"/>
          <w:noProof/>
        </w:rPr>
      </w:pPr>
      <w:hyperlink w:anchor="_Toc187401764" w:history="1">
        <w:r w:rsidRPr="002F0AB8">
          <w:rPr>
            <w:rStyle w:val="Hyperlink"/>
            <w:noProof/>
          </w:rPr>
          <w:t>F.</w:t>
        </w:r>
        <w:r>
          <w:rPr>
            <w:rFonts w:asciiTheme="minorHAnsi" w:hAnsiTheme="minorHAnsi"/>
            <w:noProof/>
          </w:rPr>
          <w:tab/>
        </w:r>
        <w:r w:rsidRPr="002F0AB8">
          <w:rPr>
            <w:rStyle w:val="Hyperlink"/>
            <w:noProof/>
          </w:rPr>
          <w:t>Prices for Outpatient Diagnostic Imaging</w:t>
        </w:r>
        <w:r>
          <w:rPr>
            <w:noProof/>
            <w:webHidden/>
          </w:rPr>
          <w:tab/>
        </w:r>
        <w:r>
          <w:rPr>
            <w:noProof/>
            <w:webHidden/>
          </w:rPr>
          <w:fldChar w:fldCharType="begin"/>
        </w:r>
        <w:r>
          <w:rPr>
            <w:noProof/>
            <w:webHidden/>
          </w:rPr>
          <w:instrText xml:space="preserve"> PAGEREF _Toc187401764 \h </w:instrText>
        </w:r>
        <w:r>
          <w:rPr>
            <w:noProof/>
            <w:webHidden/>
          </w:rPr>
        </w:r>
        <w:r>
          <w:rPr>
            <w:noProof/>
            <w:webHidden/>
          </w:rPr>
          <w:fldChar w:fldCharType="separate"/>
        </w:r>
        <w:r>
          <w:rPr>
            <w:noProof/>
            <w:webHidden/>
          </w:rPr>
          <w:t>57</w:t>
        </w:r>
        <w:r>
          <w:rPr>
            <w:noProof/>
            <w:webHidden/>
          </w:rPr>
          <w:fldChar w:fldCharType="end"/>
        </w:r>
      </w:hyperlink>
    </w:p>
    <w:p w14:paraId="31FA1E45" w14:textId="6AF3CB4D" w:rsidR="0085394E" w:rsidRDefault="0085394E">
      <w:pPr>
        <w:pStyle w:val="TOC2"/>
        <w:rPr>
          <w:rFonts w:asciiTheme="minorHAnsi" w:hAnsiTheme="minorHAnsi"/>
          <w:noProof/>
        </w:rPr>
      </w:pPr>
      <w:hyperlink w:anchor="_Toc187401765" w:history="1">
        <w:r w:rsidRPr="002F0AB8">
          <w:rPr>
            <w:rStyle w:val="Hyperlink"/>
            <w:noProof/>
          </w:rPr>
          <w:t>G.</w:t>
        </w:r>
        <w:r>
          <w:rPr>
            <w:rFonts w:asciiTheme="minorHAnsi" w:hAnsiTheme="minorHAnsi"/>
            <w:noProof/>
          </w:rPr>
          <w:tab/>
        </w:r>
        <w:r w:rsidRPr="002F0AB8">
          <w:rPr>
            <w:rStyle w:val="Hyperlink"/>
            <w:noProof/>
          </w:rPr>
          <w:t>Forecasted Impacts of the Proposed Project on Outpatient Diagnostic Imaging Shares, Prices, and Spending</w:t>
        </w:r>
        <w:r>
          <w:rPr>
            <w:noProof/>
            <w:webHidden/>
          </w:rPr>
          <w:tab/>
        </w:r>
        <w:r>
          <w:rPr>
            <w:noProof/>
            <w:webHidden/>
          </w:rPr>
          <w:fldChar w:fldCharType="begin"/>
        </w:r>
        <w:r>
          <w:rPr>
            <w:noProof/>
            <w:webHidden/>
          </w:rPr>
          <w:instrText xml:space="preserve"> PAGEREF _Toc187401765 \h </w:instrText>
        </w:r>
        <w:r>
          <w:rPr>
            <w:noProof/>
            <w:webHidden/>
          </w:rPr>
        </w:r>
        <w:r>
          <w:rPr>
            <w:noProof/>
            <w:webHidden/>
          </w:rPr>
          <w:fldChar w:fldCharType="separate"/>
        </w:r>
        <w:r>
          <w:rPr>
            <w:noProof/>
            <w:webHidden/>
          </w:rPr>
          <w:t>58</w:t>
        </w:r>
        <w:r>
          <w:rPr>
            <w:noProof/>
            <w:webHidden/>
          </w:rPr>
          <w:fldChar w:fldCharType="end"/>
        </w:r>
      </w:hyperlink>
    </w:p>
    <w:p w14:paraId="6368151B" w14:textId="48DE4EFB" w:rsidR="0085394E" w:rsidRDefault="0085394E">
      <w:pPr>
        <w:pStyle w:val="TOC1"/>
        <w:rPr>
          <w:rFonts w:asciiTheme="minorHAnsi" w:hAnsiTheme="minorHAnsi"/>
          <w:b w:val="0"/>
          <w:noProof/>
        </w:rPr>
      </w:pPr>
      <w:hyperlink w:anchor="_Toc187401766" w:history="1">
        <w:r w:rsidRPr="002F0AB8">
          <w:rPr>
            <w:rStyle w:val="Hyperlink"/>
            <w:noProof/>
          </w:rPr>
          <w:t>XV.</w:t>
        </w:r>
        <w:r>
          <w:rPr>
            <w:rFonts w:asciiTheme="minorHAnsi" w:hAnsiTheme="minorHAnsi"/>
            <w:b w:val="0"/>
            <w:noProof/>
          </w:rPr>
          <w:tab/>
        </w:r>
        <w:r w:rsidRPr="002F0AB8">
          <w:rPr>
            <w:rStyle w:val="Hyperlink"/>
            <w:noProof/>
          </w:rPr>
          <w:t>Impacts on Radiation Therapy Services</w:t>
        </w:r>
        <w:r>
          <w:rPr>
            <w:noProof/>
            <w:webHidden/>
          </w:rPr>
          <w:tab/>
        </w:r>
        <w:r>
          <w:rPr>
            <w:noProof/>
            <w:webHidden/>
          </w:rPr>
          <w:fldChar w:fldCharType="begin"/>
        </w:r>
        <w:r>
          <w:rPr>
            <w:noProof/>
            <w:webHidden/>
          </w:rPr>
          <w:instrText xml:space="preserve"> PAGEREF _Toc187401766 \h </w:instrText>
        </w:r>
        <w:r>
          <w:rPr>
            <w:noProof/>
            <w:webHidden/>
          </w:rPr>
        </w:r>
        <w:r>
          <w:rPr>
            <w:noProof/>
            <w:webHidden/>
          </w:rPr>
          <w:fldChar w:fldCharType="separate"/>
        </w:r>
        <w:r>
          <w:rPr>
            <w:noProof/>
            <w:webHidden/>
          </w:rPr>
          <w:t>59</w:t>
        </w:r>
        <w:r>
          <w:rPr>
            <w:noProof/>
            <w:webHidden/>
          </w:rPr>
          <w:fldChar w:fldCharType="end"/>
        </w:r>
      </w:hyperlink>
    </w:p>
    <w:p w14:paraId="2AFE970F" w14:textId="4114F496" w:rsidR="0085394E" w:rsidRDefault="0085394E">
      <w:pPr>
        <w:pStyle w:val="TOC2"/>
        <w:rPr>
          <w:rFonts w:asciiTheme="minorHAnsi" w:hAnsiTheme="minorHAnsi"/>
          <w:noProof/>
        </w:rPr>
      </w:pPr>
      <w:hyperlink w:anchor="_Toc187401767" w:history="1">
        <w:r w:rsidRPr="002F0AB8">
          <w:rPr>
            <w:rStyle w:val="Hyperlink"/>
            <w:noProof/>
          </w:rPr>
          <w:t>A.</w:t>
        </w:r>
        <w:r>
          <w:rPr>
            <w:rFonts w:asciiTheme="minorHAnsi" w:hAnsiTheme="minorHAnsi"/>
            <w:noProof/>
          </w:rPr>
          <w:tab/>
        </w:r>
        <w:r w:rsidRPr="002F0AB8">
          <w:rPr>
            <w:rStyle w:val="Hyperlink"/>
            <w:noProof/>
          </w:rPr>
          <w:t>Defining Radiation Therapy Service Lines</w:t>
        </w:r>
        <w:r>
          <w:rPr>
            <w:noProof/>
            <w:webHidden/>
          </w:rPr>
          <w:tab/>
        </w:r>
        <w:r>
          <w:rPr>
            <w:noProof/>
            <w:webHidden/>
          </w:rPr>
          <w:fldChar w:fldCharType="begin"/>
        </w:r>
        <w:r>
          <w:rPr>
            <w:noProof/>
            <w:webHidden/>
          </w:rPr>
          <w:instrText xml:space="preserve"> PAGEREF _Toc187401767 \h </w:instrText>
        </w:r>
        <w:r>
          <w:rPr>
            <w:noProof/>
            <w:webHidden/>
          </w:rPr>
        </w:r>
        <w:r>
          <w:rPr>
            <w:noProof/>
            <w:webHidden/>
          </w:rPr>
          <w:fldChar w:fldCharType="separate"/>
        </w:r>
        <w:r>
          <w:rPr>
            <w:noProof/>
            <w:webHidden/>
          </w:rPr>
          <w:t>59</w:t>
        </w:r>
        <w:r>
          <w:rPr>
            <w:noProof/>
            <w:webHidden/>
          </w:rPr>
          <w:fldChar w:fldCharType="end"/>
        </w:r>
      </w:hyperlink>
    </w:p>
    <w:p w14:paraId="03F5E3A8" w14:textId="4D18A3DB" w:rsidR="0085394E" w:rsidRDefault="0085394E">
      <w:pPr>
        <w:pStyle w:val="TOC2"/>
        <w:rPr>
          <w:rFonts w:asciiTheme="minorHAnsi" w:hAnsiTheme="minorHAnsi"/>
          <w:noProof/>
        </w:rPr>
      </w:pPr>
      <w:hyperlink w:anchor="_Toc187401768" w:history="1">
        <w:r w:rsidRPr="002F0AB8">
          <w:rPr>
            <w:rStyle w:val="Hyperlink"/>
            <w:noProof/>
          </w:rPr>
          <w:t>B.</w:t>
        </w:r>
        <w:r>
          <w:rPr>
            <w:rFonts w:asciiTheme="minorHAnsi" w:hAnsiTheme="minorHAnsi"/>
            <w:noProof/>
          </w:rPr>
          <w:tab/>
        </w:r>
        <w:r w:rsidRPr="002F0AB8">
          <w:rPr>
            <w:rStyle w:val="Hyperlink"/>
            <w:noProof/>
          </w:rPr>
          <w:t>Geographic Areas of Coverage</w:t>
        </w:r>
        <w:r>
          <w:rPr>
            <w:noProof/>
            <w:webHidden/>
          </w:rPr>
          <w:tab/>
        </w:r>
        <w:r>
          <w:rPr>
            <w:noProof/>
            <w:webHidden/>
          </w:rPr>
          <w:fldChar w:fldCharType="begin"/>
        </w:r>
        <w:r>
          <w:rPr>
            <w:noProof/>
            <w:webHidden/>
          </w:rPr>
          <w:instrText xml:space="preserve"> PAGEREF _Toc187401768 \h </w:instrText>
        </w:r>
        <w:r>
          <w:rPr>
            <w:noProof/>
            <w:webHidden/>
          </w:rPr>
        </w:r>
        <w:r>
          <w:rPr>
            <w:noProof/>
            <w:webHidden/>
          </w:rPr>
          <w:fldChar w:fldCharType="separate"/>
        </w:r>
        <w:r>
          <w:rPr>
            <w:noProof/>
            <w:webHidden/>
          </w:rPr>
          <w:t>60</w:t>
        </w:r>
        <w:r>
          <w:rPr>
            <w:noProof/>
            <w:webHidden/>
          </w:rPr>
          <w:fldChar w:fldCharType="end"/>
        </w:r>
      </w:hyperlink>
    </w:p>
    <w:p w14:paraId="0B2B6945" w14:textId="18090B7B" w:rsidR="0085394E" w:rsidRDefault="0085394E">
      <w:pPr>
        <w:pStyle w:val="TOC2"/>
        <w:rPr>
          <w:rFonts w:asciiTheme="minorHAnsi" w:hAnsiTheme="minorHAnsi"/>
          <w:noProof/>
        </w:rPr>
      </w:pPr>
      <w:hyperlink w:anchor="_Toc187401769" w:history="1">
        <w:r w:rsidRPr="002F0AB8">
          <w:rPr>
            <w:rStyle w:val="Hyperlink"/>
            <w:noProof/>
          </w:rPr>
          <w:t>C.</w:t>
        </w:r>
        <w:r>
          <w:rPr>
            <w:rFonts w:asciiTheme="minorHAnsi" w:hAnsiTheme="minorHAnsi"/>
            <w:noProof/>
          </w:rPr>
          <w:tab/>
        </w:r>
        <w:r w:rsidRPr="002F0AB8">
          <w:rPr>
            <w:rStyle w:val="Hyperlink"/>
            <w:noProof/>
          </w:rPr>
          <w:t>Current Provision of Radiation Therapy Services in Massachusetts</w:t>
        </w:r>
        <w:r>
          <w:rPr>
            <w:noProof/>
            <w:webHidden/>
          </w:rPr>
          <w:tab/>
        </w:r>
        <w:r>
          <w:rPr>
            <w:noProof/>
            <w:webHidden/>
          </w:rPr>
          <w:fldChar w:fldCharType="begin"/>
        </w:r>
        <w:r>
          <w:rPr>
            <w:noProof/>
            <w:webHidden/>
          </w:rPr>
          <w:instrText xml:space="preserve"> PAGEREF _Toc187401769 \h </w:instrText>
        </w:r>
        <w:r>
          <w:rPr>
            <w:noProof/>
            <w:webHidden/>
          </w:rPr>
        </w:r>
        <w:r>
          <w:rPr>
            <w:noProof/>
            <w:webHidden/>
          </w:rPr>
          <w:fldChar w:fldCharType="separate"/>
        </w:r>
        <w:r>
          <w:rPr>
            <w:noProof/>
            <w:webHidden/>
          </w:rPr>
          <w:t>61</w:t>
        </w:r>
        <w:r>
          <w:rPr>
            <w:noProof/>
            <w:webHidden/>
          </w:rPr>
          <w:fldChar w:fldCharType="end"/>
        </w:r>
      </w:hyperlink>
    </w:p>
    <w:p w14:paraId="1B722940" w14:textId="629FE69C" w:rsidR="0085394E" w:rsidRDefault="0085394E">
      <w:pPr>
        <w:pStyle w:val="TOC2"/>
        <w:rPr>
          <w:rFonts w:asciiTheme="minorHAnsi" w:hAnsiTheme="minorHAnsi"/>
          <w:noProof/>
        </w:rPr>
      </w:pPr>
      <w:hyperlink w:anchor="_Toc187401770" w:history="1">
        <w:r w:rsidRPr="002F0AB8">
          <w:rPr>
            <w:rStyle w:val="Hyperlink"/>
            <w:noProof/>
          </w:rPr>
          <w:t>D.</w:t>
        </w:r>
        <w:r>
          <w:rPr>
            <w:rFonts w:asciiTheme="minorHAnsi" w:hAnsiTheme="minorHAnsi"/>
            <w:noProof/>
          </w:rPr>
          <w:tab/>
        </w:r>
        <w:r w:rsidRPr="002F0AB8">
          <w:rPr>
            <w:rStyle w:val="Hyperlink"/>
            <w:noProof/>
          </w:rPr>
          <w:t>Forecast of Future Demand for Radiation Therapy Services</w:t>
        </w:r>
        <w:r>
          <w:rPr>
            <w:noProof/>
            <w:webHidden/>
          </w:rPr>
          <w:tab/>
        </w:r>
        <w:r>
          <w:rPr>
            <w:noProof/>
            <w:webHidden/>
          </w:rPr>
          <w:fldChar w:fldCharType="begin"/>
        </w:r>
        <w:r>
          <w:rPr>
            <w:noProof/>
            <w:webHidden/>
          </w:rPr>
          <w:instrText xml:space="preserve"> PAGEREF _Toc187401770 \h </w:instrText>
        </w:r>
        <w:r>
          <w:rPr>
            <w:noProof/>
            <w:webHidden/>
          </w:rPr>
        </w:r>
        <w:r>
          <w:rPr>
            <w:noProof/>
            <w:webHidden/>
          </w:rPr>
          <w:fldChar w:fldCharType="separate"/>
        </w:r>
        <w:r>
          <w:rPr>
            <w:noProof/>
            <w:webHidden/>
          </w:rPr>
          <w:t>62</w:t>
        </w:r>
        <w:r>
          <w:rPr>
            <w:noProof/>
            <w:webHidden/>
          </w:rPr>
          <w:fldChar w:fldCharType="end"/>
        </w:r>
      </w:hyperlink>
    </w:p>
    <w:p w14:paraId="05A54409" w14:textId="03C17759" w:rsidR="0085394E" w:rsidRDefault="0085394E">
      <w:pPr>
        <w:pStyle w:val="TOC2"/>
        <w:rPr>
          <w:rFonts w:asciiTheme="minorHAnsi" w:hAnsiTheme="minorHAnsi"/>
          <w:noProof/>
        </w:rPr>
      </w:pPr>
      <w:hyperlink w:anchor="_Toc187401771" w:history="1">
        <w:r w:rsidRPr="002F0AB8">
          <w:rPr>
            <w:rStyle w:val="Hyperlink"/>
            <w:noProof/>
          </w:rPr>
          <w:t>E.</w:t>
        </w:r>
        <w:r>
          <w:rPr>
            <w:rFonts w:asciiTheme="minorHAnsi" w:hAnsiTheme="minorHAnsi"/>
            <w:noProof/>
          </w:rPr>
          <w:tab/>
        </w:r>
        <w:r w:rsidRPr="002F0AB8">
          <w:rPr>
            <w:rStyle w:val="Hyperlink"/>
            <w:noProof/>
          </w:rPr>
          <w:t>Evaluation of DFCI Need for Radiation Therapy Equipment</w:t>
        </w:r>
        <w:r>
          <w:rPr>
            <w:noProof/>
            <w:webHidden/>
          </w:rPr>
          <w:tab/>
        </w:r>
        <w:r>
          <w:rPr>
            <w:noProof/>
            <w:webHidden/>
          </w:rPr>
          <w:fldChar w:fldCharType="begin"/>
        </w:r>
        <w:r>
          <w:rPr>
            <w:noProof/>
            <w:webHidden/>
          </w:rPr>
          <w:instrText xml:space="preserve"> PAGEREF _Toc187401771 \h </w:instrText>
        </w:r>
        <w:r>
          <w:rPr>
            <w:noProof/>
            <w:webHidden/>
          </w:rPr>
        </w:r>
        <w:r>
          <w:rPr>
            <w:noProof/>
            <w:webHidden/>
          </w:rPr>
          <w:fldChar w:fldCharType="separate"/>
        </w:r>
        <w:r>
          <w:rPr>
            <w:noProof/>
            <w:webHidden/>
          </w:rPr>
          <w:t>63</w:t>
        </w:r>
        <w:r>
          <w:rPr>
            <w:noProof/>
            <w:webHidden/>
          </w:rPr>
          <w:fldChar w:fldCharType="end"/>
        </w:r>
      </w:hyperlink>
    </w:p>
    <w:p w14:paraId="302FC132" w14:textId="22E95868" w:rsidR="0085394E" w:rsidRDefault="0085394E">
      <w:pPr>
        <w:pStyle w:val="TOC2"/>
        <w:rPr>
          <w:rFonts w:asciiTheme="minorHAnsi" w:hAnsiTheme="minorHAnsi"/>
          <w:noProof/>
        </w:rPr>
      </w:pPr>
      <w:hyperlink w:anchor="_Toc187401772" w:history="1">
        <w:r w:rsidRPr="002F0AB8">
          <w:rPr>
            <w:rStyle w:val="Hyperlink"/>
            <w:noProof/>
          </w:rPr>
          <w:t>F.</w:t>
        </w:r>
        <w:r>
          <w:rPr>
            <w:rFonts w:asciiTheme="minorHAnsi" w:hAnsiTheme="minorHAnsi"/>
            <w:noProof/>
          </w:rPr>
          <w:tab/>
        </w:r>
        <w:r w:rsidRPr="002F0AB8">
          <w:rPr>
            <w:rStyle w:val="Hyperlink"/>
            <w:noProof/>
          </w:rPr>
          <w:t>Prices for Radiation Therapy Services</w:t>
        </w:r>
        <w:r>
          <w:rPr>
            <w:noProof/>
            <w:webHidden/>
          </w:rPr>
          <w:tab/>
        </w:r>
        <w:r>
          <w:rPr>
            <w:noProof/>
            <w:webHidden/>
          </w:rPr>
          <w:fldChar w:fldCharType="begin"/>
        </w:r>
        <w:r>
          <w:rPr>
            <w:noProof/>
            <w:webHidden/>
          </w:rPr>
          <w:instrText xml:space="preserve"> PAGEREF _Toc187401772 \h </w:instrText>
        </w:r>
        <w:r>
          <w:rPr>
            <w:noProof/>
            <w:webHidden/>
          </w:rPr>
        </w:r>
        <w:r>
          <w:rPr>
            <w:noProof/>
            <w:webHidden/>
          </w:rPr>
          <w:fldChar w:fldCharType="separate"/>
        </w:r>
        <w:r>
          <w:rPr>
            <w:noProof/>
            <w:webHidden/>
          </w:rPr>
          <w:t>67</w:t>
        </w:r>
        <w:r>
          <w:rPr>
            <w:noProof/>
            <w:webHidden/>
          </w:rPr>
          <w:fldChar w:fldCharType="end"/>
        </w:r>
      </w:hyperlink>
    </w:p>
    <w:p w14:paraId="33137049" w14:textId="621320BD" w:rsidR="0085394E" w:rsidRDefault="0085394E">
      <w:pPr>
        <w:pStyle w:val="TOC2"/>
        <w:rPr>
          <w:rFonts w:asciiTheme="minorHAnsi" w:hAnsiTheme="minorHAnsi"/>
          <w:noProof/>
        </w:rPr>
      </w:pPr>
      <w:hyperlink w:anchor="_Toc187401773" w:history="1">
        <w:r w:rsidRPr="002F0AB8">
          <w:rPr>
            <w:rStyle w:val="Hyperlink"/>
            <w:noProof/>
          </w:rPr>
          <w:t>G.</w:t>
        </w:r>
        <w:r>
          <w:rPr>
            <w:rFonts w:asciiTheme="minorHAnsi" w:hAnsiTheme="minorHAnsi"/>
            <w:noProof/>
          </w:rPr>
          <w:tab/>
        </w:r>
        <w:r w:rsidRPr="002F0AB8">
          <w:rPr>
            <w:rStyle w:val="Hyperlink"/>
            <w:noProof/>
          </w:rPr>
          <w:t>Forecasted Impacts of the Proposed Project on Radiation Therapy Services Shares, Prices, and Spending</w:t>
        </w:r>
        <w:r>
          <w:rPr>
            <w:noProof/>
            <w:webHidden/>
          </w:rPr>
          <w:tab/>
        </w:r>
        <w:r>
          <w:rPr>
            <w:noProof/>
            <w:webHidden/>
          </w:rPr>
          <w:fldChar w:fldCharType="begin"/>
        </w:r>
        <w:r>
          <w:rPr>
            <w:noProof/>
            <w:webHidden/>
          </w:rPr>
          <w:instrText xml:space="preserve"> PAGEREF _Toc187401773 \h </w:instrText>
        </w:r>
        <w:r>
          <w:rPr>
            <w:noProof/>
            <w:webHidden/>
          </w:rPr>
        </w:r>
        <w:r>
          <w:rPr>
            <w:noProof/>
            <w:webHidden/>
          </w:rPr>
          <w:fldChar w:fldCharType="separate"/>
        </w:r>
        <w:r>
          <w:rPr>
            <w:noProof/>
            <w:webHidden/>
          </w:rPr>
          <w:t>68</w:t>
        </w:r>
        <w:r>
          <w:rPr>
            <w:noProof/>
            <w:webHidden/>
          </w:rPr>
          <w:fldChar w:fldCharType="end"/>
        </w:r>
      </w:hyperlink>
    </w:p>
    <w:p w14:paraId="7E2E8E41" w14:textId="0BC76130" w:rsidR="00D828A9" w:rsidRPr="00762734" w:rsidRDefault="0023426D">
      <w:r w:rsidRPr="00191445">
        <w:rPr>
          <w:b/>
          <w:bCs/>
        </w:rPr>
        <w:fldChar w:fldCharType="end"/>
      </w:r>
      <w:r w:rsidR="00D828A9" w:rsidRPr="00762734">
        <w:br w:type="page"/>
      </w:r>
    </w:p>
    <w:p w14:paraId="53A7C653" w14:textId="6BA71341" w:rsidR="00D828A9" w:rsidRPr="00762734" w:rsidRDefault="00D828A9" w:rsidP="00D828A9">
      <w:pPr>
        <w:rPr>
          <w:b/>
          <w:bCs/>
          <w:u w:val="single"/>
        </w:rPr>
      </w:pPr>
      <w:r w:rsidRPr="00762734">
        <w:rPr>
          <w:b/>
          <w:bCs/>
          <w:u w:val="single"/>
        </w:rPr>
        <w:lastRenderedPageBreak/>
        <w:t>Table of Tables</w:t>
      </w:r>
    </w:p>
    <w:p w14:paraId="790EDE0D" w14:textId="4E0208C6" w:rsidR="0085394E" w:rsidRDefault="00F93CB5">
      <w:pPr>
        <w:pStyle w:val="TableofFigures"/>
        <w:tabs>
          <w:tab w:val="right" w:leader="dot" w:pos="9350"/>
        </w:tabs>
        <w:rPr>
          <w:rFonts w:asciiTheme="minorHAnsi" w:hAnsiTheme="minorHAnsi"/>
          <w:noProof/>
        </w:rPr>
      </w:pPr>
      <w:r>
        <w:fldChar w:fldCharType="begin"/>
      </w:r>
      <w:r>
        <w:instrText xml:space="preserve"> TOC \h \z \c "Table" </w:instrText>
      </w:r>
      <w:r>
        <w:fldChar w:fldCharType="separate"/>
      </w:r>
      <w:hyperlink w:anchor="_Toc187401774" w:history="1">
        <w:r w:rsidR="0085394E" w:rsidRPr="008608A2">
          <w:rPr>
            <w:rStyle w:val="Hyperlink"/>
            <w:noProof/>
          </w:rPr>
          <w:t>Table 1: ICD-10 Cancer Care Diagnosis Codes</w:t>
        </w:r>
        <w:r w:rsidR="0085394E">
          <w:rPr>
            <w:noProof/>
            <w:webHidden/>
          </w:rPr>
          <w:tab/>
        </w:r>
        <w:r w:rsidR="0085394E">
          <w:rPr>
            <w:noProof/>
            <w:webHidden/>
          </w:rPr>
          <w:fldChar w:fldCharType="begin"/>
        </w:r>
        <w:r w:rsidR="0085394E">
          <w:rPr>
            <w:noProof/>
            <w:webHidden/>
          </w:rPr>
          <w:instrText xml:space="preserve"> PAGEREF _Toc187401774 \h </w:instrText>
        </w:r>
        <w:r w:rsidR="0085394E">
          <w:rPr>
            <w:noProof/>
            <w:webHidden/>
          </w:rPr>
        </w:r>
        <w:r w:rsidR="0085394E">
          <w:rPr>
            <w:noProof/>
            <w:webHidden/>
          </w:rPr>
          <w:fldChar w:fldCharType="separate"/>
        </w:r>
        <w:r w:rsidR="0085394E">
          <w:rPr>
            <w:noProof/>
            <w:webHidden/>
          </w:rPr>
          <w:t>18</w:t>
        </w:r>
        <w:r w:rsidR="0085394E">
          <w:rPr>
            <w:noProof/>
            <w:webHidden/>
          </w:rPr>
          <w:fldChar w:fldCharType="end"/>
        </w:r>
      </w:hyperlink>
    </w:p>
    <w:p w14:paraId="4A6998A0" w14:textId="52B1CE24" w:rsidR="0085394E" w:rsidRDefault="0085394E">
      <w:pPr>
        <w:pStyle w:val="TableofFigures"/>
        <w:tabs>
          <w:tab w:val="right" w:leader="dot" w:pos="9350"/>
        </w:tabs>
        <w:rPr>
          <w:rFonts w:asciiTheme="minorHAnsi" w:hAnsiTheme="minorHAnsi"/>
          <w:noProof/>
        </w:rPr>
      </w:pPr>
      <w:hyperlink w:anchor="_Toc187401775" w:history="1">
        <w:r w:rsidRPr="008608A2">
          <w:rPr>
            <w:rStyle w:val="Hyperlink"/>
            <w:noProof/>
          </w:rPr>
          <w:t>Table 2: Demographic Characteristics of Massachusetts Inpatient Cancer Care Patient Panel</w:t>
        </w:r>
        <w:r>
          <w:rPr>
            <w:noProof/>
            <w:webHidden/>
          </w:rPr>
          <w:tab/>
        </w:r>
        <w:r>
          <w:rPr>
            <w:noProof/>
            <w:webHidden/>
          </w:rPr>
          <w:fldChar w:fldCharType="begin"/>
        </w:r>
        <w:r>
          <w:rPr>
            <w:noProof/>
            <w:webHidden/>
          </w:rPr>
          <w:instrText xml:space="preserve"> PAGEREF _Toc187401775 \h </w:instrText>
        </w:r>
        <w:r>
          <w:rPr>
            <w:noProof/>
            <w:webHidden/>
          </w:rPr>
        </w:r>
        <w:r>
          <w:rPr>
            <w:noProof/>
            <w:webHidden/>
          </w:rPr>
          <w:fldChar w:fldCharType="separate"/>
        </w:r>
        <w:r>
          <w:rPr>
            <w:noProof/>
            <w:webHidden/>
          </w:rPr>
          <w:t>23</w:t>
        </w:r>
        <w:r>
          <w:rPr>
            <w:noProof/>
            <w:webHidden/>
          </w:rPr>
          <w:fldChar w:fldCharType="end"/>
        </w:r>
      </w:hyperlink>
    </w:p>
    <w:p w14:paraId="50110E5C" w14:textId="3CF02D7C" w:rsidR="0085394E" w:rsidRDefault="0085394E">
      <w:pPr>
        <w:pStyle w:val="TableofFigures"/>
        <w:tabs>
          <w:tab w:val="right" w:leader="dot" w:pos="9350"/>
        </w:tabs>
        <w:rPr>
          <w:rFonts w:asciiTheme="minorHAnsi" w:hAnsiTheme="minorHAnsi"/>
          <w:noProof/>
        </w:rPr>
      </w:pPr>
      <w:hyperlink w:anchor="_Toc187401776" w:history="1">
        <w:r w:rsidRPr="008608A2">
          <w:rPr>
            <w:rStyle w:val="Hyperlink"/>
            <w:noProof/>
          </w:rPr>
          <w:t>Table 3: Inpatient Cancer Care Discharges by Patient Origin and Service Line</w:t>
        </w:r>
        <w:r>
          <w:rPr>
            <w:noProof/>
            <w:webHidden/>
          </w:rPr>
          <w:tab/>
        </w:r>
        <w:r>
          <w:rPr>
            <w:noProof/>
            <w:webHidden/>
          </w:rPr>
          <w:fldChar w:fldCharType="begin"/>
        </w:r>
        <w:r>
          <w:rPr>
            <w:noProof/>
            <w:webHidden/>
          </w:rPr>
          <w:instrText xml:space="preserve"> PAGEREF _Toc187401776 \h </w:instrText>
        </w:r>
        <w:r>
          <w:rPr>
            <w:noProof/>
            <w:webHidden/>
          </w:rPr>
        </w:r>
        <w:r>
          <w:rPr>
            <w:noProof/>
            <w:webHidden/>
          </w:rPr>
          <w:fldChar w:fldCharType="separate"/>
        </w:r>
        <w:r>
          <w:rPr>
            <w:noProof/>
            <w:webHidden/>
          </w:rPr>
          <w:t>24</w:t>
        </w:r>
        <w:r>
          <w:rPr>
            <w:noProof/>
            <w:webHidden/>
          </w:rPr>
          <w:fldChar w:fldCharType="end"/>
        </w:r>
      </w:hyperlink>
    </w:p>
    <w:p w14:paraId="3960D044" w14:textId="5E45D8A8" w:rsidR="0085394E" w:rsidRDefault="0085394E">
      <w:pPr>
        <w:pStyle w:val="TableofFigures"/>
        <w:tabs>
          <w:tab w:val="right" w:leader="dot" w:pos="9350"/>
        </w:tabs>
        <w:rPr>
          <w:rFonts w:asciiTheme="minorHAnsi" w:hAnsiTheme="minorHAnsi"/>
          <w:noProof/>
        </w:rPr>
      </w:pPr>
      <w:hyperlink w:anchor="_Toc187401777" w:history="1">
        <w:r w:rsidRPr="008608A2">
          <w:rPr>
            <w:rStyle w:val="Hyperlink"/>
            <w:noProof/>
          </w:rPr>
          <w:t>Table 4: Massachusetts Inpatient Cancer Care Discharges by Hospital, 2022</w:t>
        </w:r>
        <w:r>
          <w:rPr>
            <w:noProof/>
            <w:webHidden/>
          </w:rPr>
          <w:tab/>
        </w:r>
        <w:r>
          <w:rPr>
            <w:noProof/>
            <w:webHidden/>
          </w:rPr>
          <w:fldChar w:fldCharType="begin"/>
        </w:r>
        <w:r>
          <w:rPr>
            <w:noProof/>
            <w:webHidden/>
          </w:rPr>
          <w:instrText xml:space="preserve"> PAGEREF _Toc187401777 \h </w:instrText>
        </w:r>
        <w:r>
          <w:rPr>
            <w:noProof/>
            <w:webHidden/>
          </w:rPr>
        </w:r>
        <w:r>
          <w:rPr>
            <w:noProof/>
            <w:webHidden/>
          </w:rPr>
          <w:fldChar w:fldCharType="separate"/>
        </w:r>
        <w:r>
          <w:rPr>
            <w:noProof/>
            <w:webHidden/>
          </w:rPr>
          <w:t>26</w:t>
        </w:r>
        <w:r>
          <w:rPr>
            <w:noProof/>
            <w:webHidden/>
          </w:rPr>
          <w:fldChar w:fldCharType="end"/>
        </w:r>
      </w:hyperlink>
    </w:p>
    <w:p w14:paraId="5222894F" w14:textId="4488D9BC" w:rsidR="0085394E" w:rsidRDefault="0085394E">
      <w:pPr>
        <w:pStyle w:val="TableofFigures"/>
        <w:tabs>
          <w:tab w:val="right" w:leader="dot" w:pos="9350"/>
        </w:tabs>
        <w:rPr>
          <w:rFonts w:asciiTheme="minorHAnsi" w:hAnsiTheme="minorHAnsi"/>
          <w:noProof/>
        </w:rPr>
      </w:pPr>
      <w:hyperlink w:anchor="_Toc187401778" w:history="1">
        <w:r w:rsidRPr="008608A2">
          <w:rPr>
            <w:rStyle w:val="Hyperlink"/>
            <w:noProof/>
          </w:rPr>
          <w:t>Table 5: Inpatient Cancer Care Patients Treated at BWH Location by Bed License Holder and Attending Physician Affiliation, 2022</w:t>
        </w:r>
        <w:r>
          <w:rPr>
            <w:noProof/>
            <w:webHidden/>
          </w:rPr>
          <w:tab/>
        </w:r>
        <w:r>
          <w:rPr>
            <w:noProof/>
            <w:webHidden/>
          </w:rPr>
          <w:fldChar w:fldCharType="begin"/>
        </w:r>
        <w:r>
          <w:rPr>
            <w:noProof/>
            <w:webHidden/>
          </w:rPr>
          <w:instrText xml:space="preserve"> PAGEREF _Toc187401778 \h </w:instrText>
        </w:r>
        <w:r>
          <w:rPr>
            <w:noProof/>
            <w:webHidden/>
          </w:rPr>
        </w:r>
        <w:r>
          <w:rPr>
            <w:noProof/>
            <w:webHidden/>
          </w:rPr>
          <w:fldChar w:fldCharType="separate"/>
        </w:r>
        <w:r>
          <w:rPr>
            <w:noProof/>
            <w:webHidden/>
          </w:rPr>
          <w:t>27</w:t>
        </w:r>
        <w:r>
          <w:rPr>
            <w:noProof/>
            <w:webHidden/>
          </w:rPr>
          <w:fldChar w:fldCharType="end"/>
        </w:r>
      </w:hyperlink>
    </w:p>
    <w:p w14:paraId="11FA75EB" w14:textId="1BD5CD23" w:rsidR="0085394E" w:rsidRDefault="0085394E">
      <w:pPr>
        <w:pStyle w:val="TableofFigures"/>
        <w:tabs>
          <w:tab w:val="right" w:leader="dot" w:pos="9350"/>
        </w:tabs>
        <w:rPr>
          <w:rFonts w:asciiTheme="minorHAnsi" w:hAnsiTheme="minorHAnsi"/>
          <w:noProof/>
        </w:rPr>
      </w:pPr>
      <w:hyperlink w:anchor="_Toc187401779" w:history="1">
        <w:r w:rsidRPr="008608A2">
          <w:rPr>
            <w:rStyle w:val="Hyperlink"/>
            <w:noProof/>
          </w:rPr>
          <w:t>Table 6: Inpatient Cancer Care Discharges by Patient Origin</w:t>
        </w:r>
        <w:r>
          <w:rPr>
            <w:noProof/>
            <w:webHidden/>
          </w:rPr>
          <w:tab/>
        </w:r>
        <w:r>
          <w:rPr>
            <w:noProof/>
            <w:webHidden/>
          </w:rPr>
          <w:fldChar w:fldCharType="begin"/>
        </w:r>
        <w:r>
          <w:rPr>
            <w:noProof/>
            <w:webHidden/>
          </w:rPr>
          <w:instrText xml:space="preserve"> PAGEREF _Toc187401779 \h </w:instrText>
        </w:r>
        <w:r>
          <w:rPr>
            <w:noProof/>
            <w:webHidden/>
          </w:rPr>
        </w:r>
        <w:r>
          <w:rPr>
            <w:noProof/>
            <w:webHidden/>
          </w:rPr>
          <w:fldChar w:fldCharType="separate"/>
        </w:r>
        <w:r>
          <w:rPr>
            <w:noProof/>
            <w:webHidden/>
          </w:rPr>
          <w:t>27</w:t>
        </w:r>
        <w:r>
          <w:rPr>
            <w:noProof/>
            <w:webHidden/>
          </w:rPr>
          <w:fldChar w:fldCharType="end"/>
        </w:r>
      </w:hyperlink>
    </w:p>
    <w:p w14:paraId="508A6028" w14:textId="478B5448" w:rsidR="0085394E" w:rsidRDefault="0085394E">
      <w:pPr>
        <w:pStyle w:val="TableofFigures"/>
        <w:tabs>
          <w:tab w:val="right" w:leader="dot" w:pos="9350"/>
        </w:tabs>
        <w:rPr>
          <w:rFonts w:asciiTheme="minorHAnsi" w:hAnsiTheme="minorHAnsi"/>
          <w:noProof/>
        </w:rPr>
      </w:pPr>
      <w:hyperlink w:anchor="_Toc187401780" w:history="1">
        <w:r w:rsidRPr="008608A2">
          <w:rPr>
            <w:rStyle w:val="Hyperlink"/>
            <w:noProof/>
          </w:rPr>
          <w:t>Table 7: Demographic Characteristics of Inpatient Cancer Care Patients by Health System</w:t>
        </w:r>
        <w:r>
          <w:rPr>
            <w:noProof/>
            <w:webHidden/>
          </w:rPr>
          <w:tab/>
        </w:r>
        <w:r>
          <w:rPr>
            <w:noProof/>
            <w:webHidden/>
          </w:rPr>
          <w:fldChar w:fldCharType="begin"/>
        </w:r>
        <w:r>
          <w:rPr>
            <w:noProof/>
            <w:webHidden/>
          </w:rPr>
          <w:instrText xml:space="preserve"> PAGEREF _Toc187401780 \h </w:instrText>
        </w:r>
        <w:r>
          <w:rPr>
            <w:noProof/>
            <w:webHidden/>
          </w:rPr>
        </w:r>
        <w:r>
          <w:rPr>
            <w:noProof/>
            <w:webHidden/>
          </w:rPr>
          <w:fldChar w:fldCharType="separate"/>
        </w:r>
        <w:r>
          <w:rPr>
            <w:noProof/>
            <w:webHidden/>
          </w:rPr>
          <w:t>28</w:t>
        </w:r>
        <w:r>
          <w:rPr>
            <w:noProof/>
            <w:webHidden/>
          </w:rPr>
          <w:fldChar w:fldCharType="end"/>
        </w:r>
      </w:hyperlink>
    </w:p>
    <w:p w14:paraId="6797C9AD" w14:textId="66A6C62C" w:rsidR="0085394E" w:rsidRDefault="0085394E">
      <w:pPr>
        <w:pStyle w:val="TableofFigures"/>
        <w:tabs>
          <w:tab w:val="right" w:leader="dot" w:pos="9350"/>
        </w:tabs>
        <w:rPr>
          <w:rFonts w:asciiTheme="minorHAnsi" w:hAnsiTheme="minorHAnsi"/>
          <w:noProof/>
        </w:rPr>
      </w:pPr>
      <w:hyperlink w:anchor="_Toc187401781" w:history="1">
        <w:r w:rsidRPr="008608A2">
          <w:rPr>
            <w:rStyle w:val="Hyperlink"/>
            <w:noProof/>
          </w:rPr>
          <w:t>Table 8: Massachusetts Inpatient Cancer Care Discharges, Shares, and Payor Mix by System and Select Hospitals</w:t>
        </w:r>
        <w:r>
          <w:rPr>
            <w:noProof/>
            <w:webHidden/>
          </w:rPr>
          <w:tab/>
        </w:r>
        <w:r>
          <w:rPr>
            <w:noProof/>
            <w:webHidden/>
          </w:rPr>
          <w:fldChar w:fldCharType="begin"/>
        </w:r>
        <w:r>
          <w:rPr>
            <w:noProof/>
            <w:webHidden/>
          </w:rPr>
          <w:instrText xml:space="preserve"> PAGEREF _Toc187401781 \h </w:instrText>
        </w:r>
        <w:r>
          <w:rPr>
            <w:noProof/>
            <w:webHidden/>
          </w:rPr>
        </w:r>
        <w:r>
          <w:rPr>
            <w:noProof/>
            <w:webHidden/>
          </w:rPr>
          <w:fldChar w:fldCharType="separate"/>
        </w:r>
        <w:r>
          <w:rPr>
            <w:noProof/>
            <w:webHidden/>
          </w:rPr>
          <w:t>29</w:t>
        </w:r>
        <w:r>
          <w:rPr>
            <w:noProof/>
            <w:webHidden/>
          </w:rPr>
          <w:fldChar w:fldCharType="end"/>
        </w:r>
      </w:hyperlink>
    </w:p>
    <w:p w14:paraId="4520E84F" w14:textId="46F676E5" w:rsidR="0085394E" w:rsidRDefault="0085394E">
      <w:pPr>
        <w:pStyle w:val="TableofFigures"/>
        <w:tabs>
          <w:tab w:val="right" w:leader="dot" w:pos="9350"/>
        </w:tabs>
        <w:rPr>
          <w:rFonts w:asciiTheme="minorHAnsi" w:hAnsiTheme="minorHAnsi"/>
          <w:noProof/>
        </w:rPr>
      </w:pPr>
      <w:hyperlink w:anchor="_Toc187401782" w:history="1">
        <w:r w:rsidRPr="008608A2">
          <w:rPr>
            <w:rStyle w:val="Hyperlink"/>
            <w:noProof/>
          </w:rPr>
          <w:t>Table 9: Total Massachusetts Population Projections and Growth Rates by Age Range</w:t>
        </w:r>
        <w:r>
          <w:rPr>
            <w:noProof/>
            <w:webHidden/>
          </w:rPr>
          <w:tab/>
        </w:r>
        <w:r>
          <w:rPr>
            <w:noProof/>
            <w:webHidden/>
          </w:rPr>
          <w:fldChar w:fldCharType="begin"/>
        </w:r>
        <w:r>
          <w:rPr>
            <w:noProof/>
            <w:webHidden/>
          </w:rPr>
          <w:instrText xml:space="preserve"> PAGEREF _Toc187401782 \h </w:instrText>
        </w:r>
        <w:r>
          <w:rPr>
            <w:noProof/>
            <w:webHidden/>
          </w:rPr>
        </w:r>
        <w:r>
          <w:rPr>
            <w:noProof/>
            <w:webHidden/>
          </w:rPr>
          <w:fldChar w:fldCharType="separate"/>
        </w:r>
        <w:r>
          <w:rPr>
            <w:noProof/>
            <w:webHidden/>
          </w:rPr>
          <w:t>30</w:t>
        </w:r>
        <w:r>
          <w:rPr>
            <w:noProof/>
            <w:webHidden/>
          </w:rPr>
          <w:fldChar w:fldCharType="end"/>
        </w:r>
      </w:hyperlink>
    </w:p>
    <w:p w14:paraId="1A7CFF36" w14:textId="0A9E5EE6" w:rsidR="0085394E" w:rsidRDefault="0085394E">
      <w:pPr>
        <w:pStyle w:val="TableofFigures"/>
        <w:tabs>
          <w:tab w:val="right" w:leader="dot" w:pos="9350"/>
        </w:tabs>
        <w:rPr>
          <w:rFonts w:asciiTheme="minorHAnsi" w:hAnsiTheme="minorHAnsi"/>
          <w:noProof/>
        </w:rPr>
      </w:pPr>
      <w:hyperlink w:anchor="_Toc187401783" w:history="1">
        <w:r w:rsidRPr="008608A2">
          <w:rPr>
            <w:rStyle w:val="Hyperlink"/>
            <w:noProof/>
          </w:rPr>
          <w:t>Table 10: Projected Demand for Inpatient Cancer Care by Patient HSA, 2025-2040</w:t>
        </w:r>
        <w:r>
          <w:rPr>
            <w:noProof/>
            <w:webHidden/>
          </w:rPr>
          <w:tab/>
        </w:r>
        <w:r>
          <w:rPr>
            <w:noProof/>
            <w:webHidden/>
          </w:rPr>
          <w:fldChar w:fldCharType="begin"/>
        </w:r>
        <w:r>
          <w:rPr>
            <w:noProof/>
            <w:webHidden/>
          </w:rPr>
          <w:instrText xml:space="preserve"> PAGEREF _Toc187401783 \h </w:instrText>
        </w:r>
        <w:r>
          <w:rPr>
            <w:noProof/>
            <w:webHidden/>
          </w:rPr>
        </w:r>
        <w:r>
          <w:rPr>
            <w:noProof/>
            <w:webHidden/>
          </w:rPr>
          <w:fldChar w:fldCharType="separate"/>
        </w:r>
        <w:r>
          <w:rPr>
            <w:noProof/>
            <w:webHidden/>
          </w:rPr>
          <w:t>32</w:t>
        </w:r>
        <w:r>
          <w:rPr>
            <w:noProof/>
            <w:webHidden/>
          </w:rPr>
          <w:fldChar w:fldCharType="end"/>
        </w:r>
      </w:hyperlink>
    </w:p>
    <w:p w14:paraId="48576C4B" w14:textId="7ECF1C5E" w:rsidR="0085394E" w:rsidRDefault="0085394E">
      <w:pPr>
        <w:pStyle w:val="TableofFigures"/>
        <w:tabs>
          <w:tab w:val="right" w:leader="dot" w:pos="9350"/>
        </w:tabs>
        <w:rPr>
          <w:rFonts w:asciiTheme="minorHAnsi" w:hAnsiTheme="minorHAnsi"/>
          <w:noProof/>
        </w:rPr>
      </w:pPr>
      <w:hyperlink w:anchor="_Toc187401784" w:history="1">
        <w:r w:rsidRPr="008608A2">
          <w:rPr>
            <w:rStyle w:val="Hyperlink"/>
            <w:noProof/>
          </w:rPr>
          <w:t>Table 11: Projected Demand for Inpatient Cancer Care by Payor Type, 2025-2040</w:t>
        </w:r>
        <w:r>
          <w:rPr>
            <w:noProof/>
            <w:webHidden/>
          </w:rPr>
          <w:tab/>
        </w:r>
        <w:r>
          <w:rPr>
            <w:noProof/>
            <w:webHidden/>
          </w:rPr>
          <w:fldChar w:fldCharType="begin"/>
        </w:r>
        <w:r>
          <w:rPr>
            <w:noProof/>
            <w:webHidden/>
          </w:rPr>
          <w:instrText xml:space="preserve"> PAGEREF _Toc187401784 \h </w:instrText>
        </w:r>
        <w:r>
          <w:rPr>
            <w:noProof/>
            <w:webHidden/>
          </w:rPr>
        </w:r>
        <w:r>
          <w:rPr>
            <w:noProof/>
            <w:webHidden/>
          </w:rPr>
          <w:fldChar w:fldCharType="separate"/>
        </w:r>
        <w:r>
          <w:rPr>
            <w:noProof/>
            <w:webHidden/>
          </w:rPr>
          <w:t>33</w:t>
        </w:r>
        <w:r>
          <w:rPr>
            <w:noProof/>
            <w:webHidden/>
          </w:rPr>
          <w:fldChar w:fldCharType="end"/>
        </w:r>
      </w:hyperlink>
    </w:p>
    <w:p w14:paraId="5CE2637E" w14:textId="51045AC4" w:rsidR="0085394E" w:rsidRDefault="0085394E">
      <w:pPr>
        <w:pStyle w:val="TableofFigures"/>
        <w:tabs>
          <w:tab w:val="right" w:leader="dot" w:pos="9350"/>
        </w:tabs>
        <w:rPr>
          <w:rFonts w:asciiTheme="minorHAnsi" w:hAnsiTheme="minorHAnsi"/>
          <w:noProof/>
        </w:rPr>
      </w:pPr>
      <w:hyperlink w:anchor="_Toc187401785" w:history="1">
        <w:r w:rsidRPr="008608A2">
          <w:rPr>
            <w:rStyle w:val="Hyperlink"/>
            <w:noProof/>
          </w:rPr>
          <w:t>Table 12: Projected Demand for Inpatient Cancer Care by Patient Race, 2025-2040</w:t>
        </w:r>
        <w:r>
          <w:rPr>
            <w:noProof/>
            <w:webHidden/>
          </w:rPr>
          <w:tab/>
        </w:r>
        <w:r>
          <w:rPr>
            <w:noProof/>
            <w:webHidden/>
          </w:rPr>
          <w:fldChar w:fldCharType="begin"/>
        </w:r>
        <w:r>
          <w:rPr>
            <w:noProof/>
            <w:webHidden/>
          </w:rPr>
          <w:instrText xml:space="preserve"> PAGEREF _Toc187401785 \h </w:instrText>
        </w:r>
        <w:r>
          <w:rPr>
            <w:noProof/>
            <w:webHidden/>
          </w:rPr>
        </w:r>
        <w:r>
          <w:rPr>
            <w:noProof/>
            <w:webHidden/>
          </w:rPr>
          <w:fldChar w:fldCharType="separate"/>
        </w:r>
        <w:r>
          <w:rPr>
            <w:noProof/>
            <w:webHidden/>
          </w:rPr>
          <w:t>33</w:t>
        </w:r>
        <w:r>
          <w:rPr>
            <w:noProof/>
            <w:webHidden/>
          </w:rPr>
          <w:fldChar w:fldCharType="end"/>
        </w:r>
      </w:hyperlink>
    </w:p>
    <w:p w14:paraId="740FC857" w14:textId="28712BEA" w:rsidR="0085394E" w:rsidRDefault="0085394E">
      <w:pPr>
        <w:pStyle w:val="TableofFigures"/>
        <w:tabs>
          <w:tab w:val="right" w:leader="dot" w:pos="9350"/>
        </w:tabs>
        <w:rPr>
          <w:rFonts w:asciiTheme="minorHAnsi" w:hAnsiTheme="minorHAnsi"/>
          <w:noProof/>
        </w:rPr>
      </w:pPr>
      <w:hyperlink w:anchor="_Toc187401786" w:history="1">
        <w:r w:rsidRPr="008608A2">
          <w:rPr>
            <w:rStyle w:val="Hyperlink"/>
            <w:noProof/>
          </w:rPr>
          <w:t>Table 13: Projected Demand for Inpatient Cancer Care by Acuity Level, 2025-2040</w:t>
        </w:r>
        <w:r>
          <w:rPr>
            <w:noProof/>
            <w:webHidden/>
          </w:rPr>
          <w:tab/>
        </w:r>
        <w:r>
          <w:rPr>
            <w:noProof/>
            <w:webHidden/>
          </w:rPr>
          <w:fldChar w:fldCharType="begin"/>
        </w:r>
        <w:r>
          <w:rPr>
            <w:noProof/>
            <w:webHidden/>
          </w:rPr>
          <w:instrText xml:space="preserve"> PAGEREF _Toc187401786 \h </w:instrText>
        </w:r>
        <w:r>
          <w:rPr>
            <w:noProof/>
            <w:webHidden/>
          </w:rPr>
        </w:r>
        <w:r>
          <w:rPr>
            <w:noProof/>
            <w:webHidden/>
          </w:rPr>
          <w:fldChar w:fldCharType="separate"/>
        </w:r>
        <w:r>
          <w:rPr>
            <w:noProof/>
            <w:webHidden/>
          </w:rPr>
          <w:t>33</w:t>
        </w:r>
        <w:r>
          <w:rPr>
            <w:noProof/>
            <w:webHidden/>
          </w:rPr>
          <w:fldChar w:fldCharType="end"/>
        </w:r>
      </w:hyperlink>
    </w:p>
    <w:p w14:paraId="1C859D34" w14:textId="5E726E38" w:rsidR="0085394E" w:rsidRDefault="0085394E">
      <w:pPr>
        <w:pStyle w:val="TableofFigures"/>
        <w:tabs>
          <w:tab w:val="right" w:leader="dot" w:pos="9350"/>
        </w:tabs>
        <w:rPr>
          <w:rFonts w:asciiTheme="minorHAnsi" w:hAnsiTheme="minorHAnsi"/>
          <w:noProof/>
        </w:rPr>
      </w:pPr>
      <w:hyperlink w:anchor="_Toc187401787" w:history="1">
        <w:r w:rsidRPr="008608A2">
          <w:rPr>
            <w:rStyle w:val="Hyperlink"/>
            <w:noProof/>
          </w:rPr>
          <w:t>Table 14: Projected Inpatient Cancer Care Shifts from Proposed Project</w:t>
        </w:r>
        <w:r>
          <w:rPr>
            <w:noProof/>
            <w:webHidden/>
          </w:rPr>
          <w:tab/>
        </w:r>
        <w:r>
          <w:rPr>
            <w:noProof/>
            <w:webHidden/>
          </w:rPr>
          <w:fldChar w:fldCharType="begin"/>
        </w:r>
        <w:r>
          <w:rPr>
            <w:noProof/>
            <w:webHidden/>
          </w:rPr>
          <w:instrText xml:space="preserve"> PAGEREF _Toc187401787 \h </w:instrText>
        </w:r>
        <w:r>
          <w:rPr>
            <w:noProof/>
            <w:webHidden/>
          </w:rPr>
        </w:r>
        <w:r>
          <w:rPr>
            <w:noProof/>
            <w:webHidden/>
          </w:rPr>
          <w:fldChar w:fldCharType="separate"/>
        </w:r>
        <w:r>
          <w:rPr>
            <w:noProof/>
            <w:webHidden/>
          </w:rPr>
          <w:t>36</w:t>
        </w:r>
        <w:r>
          <w:rPr>
            <w:noProof/>
            <w:webHidden/>
          </w:rPr>
          <w:fldChar w:fldCharType="end"/>
        </w:r>
      </w:hyperlink>
    </w:p>
    <w:p w14:paraId="4CECA76F" w14:textId="09AE38AC" w:rsidR="0085394E" w:rsidRDefault="0085394E">
      <w:pPr>
        <w:pStyle w:val="TableofFigures"/>
        <w:tabs>
          <w:tab w:val="right" w:leader="dot" w:pos="9350"/>
        </w:tabs>
        <w:rPr>
          <w:rFonts w:asciiTheme="minorHAnsi" w:hAnsiTheme="minorHAnsi"/>
          <w:noProof/>
        </w:rPr>
      </w:pPr>
      <w:hyperlink w:anchor="_Toc187401788" w:history="1">
        <w:r w:rsidRPr="008608A2">
          <w:rPr>
            <w:rStyle w:val="Hyperlink"/>
            <w:noProof/>
          </w:rPr>
          <w:t>Table 15: Estimated Relative Prices by Hospital and Payor, 2021</w:t>
        </w:r>
        <w:r>
          <w:rPr>
            <w:noProof/>
            <w:webHidden/>
          </w:rPr>
          <w:tab/>
        </w:r>
        <w:r>
          <w:rPr>
            <w:noProof/>
            <w:webHidden/>
          </w:rPr>
          <w:fldChar w:fldCharType="begin"/>
        </w:r>
        <w:r>
          <w:rPr>
            <w:noProof/>
            <w:webHidden/>
          </w:rPr>
          <w:instrText xml:space="preserve"> PAGEREF _Toc187401788 \h </w:instrText>
        </w:r>
        <w:r>
          <w:rPr>
            <w:noProof/>
            <w:webHidden/>
          </w:rPr>
        </w:r>
        <w:r>
          <w:rPr>
            <w:noProof/>
            <w:webHidden/>
          </w:rPr>
          <w:fldChar w:fldCharType="separate"/>
        </w:r>
        <w:r>
          <w:rPr>
            <w:noProof/>
            <w:webHidden/>
          </w:rPr>
          <w:t>39</w:t>
        </w:r>
        <w:r>
          <w:rPr>
            <w:noProof/>
            <w:webHidden/>
          </w:rPr>
          <w:fldChar w:fldCharType="end"/>
        </w:r>
      </w:hyperlink>
    </w:p>
    <w:p w14:paraId="2DE03B78" w14:textId="04F2C76E" w:rsidR="0085394E" w:rsidRDefault="0085394E">
      <w:pPr>
        <w:pStyle w:val="TableofFigures"/>
        <w:tabs>
          <w:tab w:val="right" w:leader="dot" w:pos="9350"/>
        </w:tabs>
        <w:rPr>
          <w:rFonts w:asciiTheme="minorHAnsi" w:hAnsiTheme="minorHAnsi"/>
          <w:noProof/>
        </w:rPr>
      </w:pPr>
      <w:hyperlink w:anchor="_Toc187401789" w:history="1">
        <w:r w:rsidRPr="008608A2">
          <w:rPr>
            <w:rStyle w:val="Hyperlink"/>
            <w:noProof/>
          </w:rPr>
          <w:t>Table 16: Projected Statewide Inpatient Cancer Care Commercial Shares by Hospital</w:t>
        </w:r>
        <w:r>
          <w:rPr>
            <w:noProof/>
            <w:webHidden/>
          </w:rPr>
          <w:tab/>
        </w:r>
        <w:r>
          <w:rPr>
            <w:noProof/>
            <w:webHidden/>
          </w:rPr>
          <w:fldChar w:fldCharType="begin"/>
        </w:r>
        <w:r>
          <w:rPr>
            <w:noProof/>
            <w:webHidden/>
          </w:rPr>
          <w:instrText xml:space="preserve"> PAGEREF _Toc187401789 \h </w:instrText>
        </w:r>
        <w:r>
          <w:rPr>
            <w:noProof/>
            <w:webHidden/>
          </w:rPr>
        </w:r>
        <w:r>
          <w:rPr>
            <w:noProof/>
            <w:webHidden/>
          </w:rPr>
          <w:fldChar w:fldCharType="separate"/>
        </w:r>
        <w:r>
          <w:rPr>
            <w:noProof/>
            <w:webHidden/>
          </w:rPr>
          <w:t>41</w:t>
        </w:r>
        <w:r>
          <w:rPr>
            <w:noProof/>
            <w:webHidden/>
          </w:rPr>
          <w:fldChar w:fldCharType="end"/>
        </w:r>
      </w:hyperlink>
    </w:p>
    <w:p w14:paraId="0E5644E3" w14:textId="5E5C854E" w:rsidR="0085394E" w:rsidRDefault="0085394E">
      <w:pPr>
        <w:pStyle w:val="TableofFigures"/>
        <w:tabs>
          <w:tab w:val="right" w:leader="dot" w:pos="9350"/>
        </w:tabs>
        <w:rPr>
          <w:rFonts w:asciiTheme="minorHAnsi" w:hAnsiTheme="minorHAnsi"/>
          <w:noProof/>
        </w:rPr>
      </w:pPr>
      <w:hyperlink w:anchor="_Toc187401790" w:history="1">
        <w:r w:rsidRPr="008608A2">
          <w:rPr>
            <w:rStyle w:val="Hyperlink"/>
            <w:noProof/>
          </w:rPr>
          <w:t>Table 17: Projected Inpatient Cancer Care Shares for DFCI by Payor Type, 2025-2040</w:t>
        </w:r>
        <w:r>
          <w:rPr>
            <w:noProof/>
            <w:webHidden/>
          </w:rPr>
          <w:tab/>
        </w:r>
        <w:r>
          <w:rPr>
            <w:noProof/>
            <w:webHidden/>
          </w:rPr>
          <w:fldChar w:fldCharType="begin"/>
        </w:r>
        <w:r>
          <w:rPr>
            <w:noProof/>
            <w:webHidden/>
          </w:rPr>
          <w:instrText xml:space="preserve"> PAGEREF _Toc187401790 \h </w:instrText>
        </w:r>
        <w:r>
          <w:rPr>
            <w:noProof/>
            <w:webHidden/>
          </w:rPr>
        </w:r>
        <w:r>
          <w:rPr>
            <w:noProof/>
            <w:webHidden/>
          </w:rPr>
          <w:fldChar w:fldCharType="separate"/>
        </w:r>
        <w:r>
          <w:rPr>
            <w:noProof/>
            <w:webHidden/>
          </w:rPr>
          <w:t>41</w:t>
        </w:r>
        <w:r>
          <w:rPr>
            <w:noProof/>
            <w:webHidden/>
          </w:rPr>
          <w:fldChar w:fldCharType="end"/>
        </w:r>
      </w:hyperlink>
    </w:p>
    <w:p w14:paraId="1E9D6739" w14:textId="7146BF19" w:rsidR="0085394E" w:rsidRDefault="0085394E">
      <w:pPr>
        <w:pStyle w:val="TableofFigures"/>
        <w:tabs>
          <w:tab w:val="right" w:leader="dot" w:pos="9350"/>
        </w:tabs>
        <w:rPr>
          <w:rFonts w:asciiTheme="minorHAnsi" w:hAnsiTheme="minorHAnsi"/>
          <w:noProof/>
        </w:rPr>
      </w:pPr>
      <w:hyperlink w:anchor="_Toc187401791" w:history="1">
        <w:r w:rsidRPr="008608A2">
          <w:rPr>
            <w:rStyle w:val="Hyperlink"/>
            <w:noProof/>
          </w:rPr>
          <w:t>Table 18: Alternative Projected DFCI Pricing Scenarios</w:t>
        </w:r>
        <w:r>
          <w:rPr>
            <w:noProof/>
            <w:webHidden/>
          </w:rPr>
          <w:tab/>
        </w:r>
        <w:r>
          <w:rPr>
            <w:noProof/>
            <w:webHidden/>
          </w:rPr>
          <w:fldChar w:fldCharType="begin"/>
        </w:r>
        <w:r>
          <w:rPr>
            <w:noProof/>
            <w:webHidden/>
          </w:rPr>
          <w:instrText xml:space="preserve"> PAGEREF _Toc187401791 \h </w:instrText>
        </w:r>
        <w:r>
          <w:rPr>
            <w:noProof/>
            <w:webHidden/>
          </w:rPr>
        </w:r>
        <w:r>
          <w:rPr>
            <w:noProof/>
            <w:webHidden/>
          </w:rPr>
          <w:fldChar w:fldCharType="separate"/>
        </w:r>
        <w:r>
          <w:rPr>
            <w:noProof/>
            <w:webHidden/>
          </w:rPr>
          <w:t>42</w:t>
        </w:r>
        <w:r>
          <w:rPr>
            <w:noProof/>
            <w:webHidden/>
          </w:rPr>
          <w:fldChar w:fldCharType="end"/>
        </w:r>
      </w:hyperlink>
    </w:p>
    <w:p w14:paraId="178DB65F" w14:textId="2E35C675" w:rsidR="0085394E" w:rsidRDefault="0085394E">
      <w:pPr>
        <w:pStyle w:val="TableofFigures"/>
        <w:tabs>
          <w:tab w:val="right" w:leader="dot" w:pos="9350"/>
        </w:tabs>
        <w:rPr>
          <w:rFonts w:asciiTheme="minorHAnsi" w:hAnsiTheme="minorHAnsi"/>
          <w:noProof/>
        </w:rPr>
      </w:pPr>
      <w:hyperlink w:anchor="_Toc187401792" w:history="1">
        <w:r w:rsidRPr="008608A2">
          <w:rPr>
            <w:rStyle w:val="Hyperlink"/>
            <w:noProof/>
          </w:rPr>
          <w:t>Table 19: Estimated Changes in Inpatient Cancer Care Costs</w:t>
        </w:r>
        <w:r>
          <w:rPr>
            <w:noProof/>
            <w:webHidden/>
          </w:rPr>
          <w:tab/>
        </w:r>
        <w:r>
          <w:rPr>
            <w:noProof/>
            <w:webHidden/>
          </w:rPr>
          <w:fldChar w:fldCharType="begin"/>
        </w:r>
        <w:r>
          <w:rPr>
            <w:noProof/>
            <w:webHidden/>
          </w:rPr>
          <w:instrText xml:space="preserve"> PAGEREF _Toc187401792 \h </w:instrText>
        </w:r>
        <w:r>
          <w:rPr>
            <w:noProof/>
            <w:webHidden/>
          </w:rPr>
        </w:r>
        <w:r>
          <w:rPr>
            <w:noProof/>
            <w:webHidden/>
          </w:rPr>
          <w:fldChar w:fldCharType="separate"/>
        </w:r>
        <w:r>
          <w:rPr>
            <w:noProof/>
            <w:webHidden/>
          </w:rPr>
          <w:t>44</w:t>
        </w:r>
        <w:r>
          <w:rPr>
            <w:noProof/>
            <w:webHidden/>
          </w:rPr>
          <w:fldChar w:fldCharType="end"/>
        </w:r>
      </w:hyperlink>
    </w:p>
    <w:p w14:paraId="329A2AFC" w14:textId="5910C3F4" w:rsidR="0085394E" w:rsidRDefault="0085394E">
      <w:pPr>
        <w:pStyle w:val="TableofFigures"/>
        <w:tabs>
          <w:tab w:val="right" w:leader="dot" w:pos="9350"/>
        </w:tabs>
        <w:rPr>
          <w:rFonts w:asciiTheme="minorHAnsi" w:hAnsiTheme="minorHAnsi"/>
          <w:noProof/>
        </w:rPr>
      </w:pPr>
      <w:hyperlink w:anchor="_Toc187401793" w:history="1">
        <w:r w:rsidRPr="008608A2">
          <w:rPr>
            <w:rStyle w:val="Hyperlink"/>
            <w:noProof/>
          </w:rPr>
          <w:t>Table 20: Estimated Changes in Inpatient Care Costs with Supply-Induced Demand, GAC Backfill</w:t>
        </w:r>
        <w:r>
          <w:rPr>
            <w:noProof/>
            <w:webHidden/>
          </w:rPr>
          <w:tab/>
        </w:r>
        <w:r>
          <w:rPr>
            <w:noProof/>
            <w:webHidden/>
          </w:rPr>
          <w:fldChar w:fldCharType="begin"/>
        </w:r>
        <w:r>
          <w:rPr>
            <w:noProof/>
            <w:webHidden/>
          </w:rPr>
          <w:instrText xml:space="preserve"> PAGEREF _Toc187401793 \h </w:instrText>
        </w:r>
        <w:r>
          <w:rPr>
            <w:noProof/>
            <w:webHidden/>
          </w:rPr>
        </w:r>
        <w:r>
          <w:rPr>
            <w:noProof/>
            <w:webHidden/>
          </w:rPr>
          <w:fldChar w:fldCharType="separate"/>
        </w:r>
        <w:r>
          <w:rPr>
            <w:noProof/>
            <w:webHidden/>
          </w:rPr>
          <w:t>45</w:t>
        </w:r>
        <w:r>
          <w:rPr>
            <w:noProof/>
            <w:webHidden/>
          </w:rPr>
          <w:fldChar w:fldCharType="end"/>
        </w:r>
      </w:hyperlink>
    </w:p>
    <w:p w14:paraId="5F6FE288" w14:textId="71419A79" w:rsidR="0085394E" w:rsidRDefault="0085394E">
      <w:pPr>
        <w:pStyle w:val="TableofFigures"/>
        <w:tabs>
          <w:tab w:val="right" w:leader="dot" w:pos="9350"/>
        </w:tabs>
        <w:rPr>
          <w:rFonts w:asciiTheme="minorHAnsi" w:hAnsiTheme="minorHAnsi"/>
          <w:noProof/>
        </w:rPr>
      </w:pPr>
      <w:hyperlink w:anchor="_Toc187401794" w:history="1">
        <w:r w:rsidRPr="008608A2">
          <w:rPr>
            <w:rStyle w:val="Hyperlink"/>
            <w:noProof/>
          </w:rPr>
          <w:t>Table 21: Estimated Changes in Inpatient Care Costs with Supply-Induced Demand, Cancer Care Backfill</w:t>
        </w:r>
        <w:r>
          <w:rPr>
            <w:noProof/>
            <w:webHidden/>
          </w:rPr>
          <w:tab/>
        </w:r>
        <w:r>
          <w:rPr>
            <w:noProof/>
            <w:webHidden/>
          </w:rPr>
          <w:fldChar w:fldCharType="begin"/>
        </w:r>
        <w:r>
          <w:rPr>
            <w:noProof/>
            <w:webHidden/>
          </w:rPr>
          <w:instrText xml:space="preserve"> PAGEREF _Toc187401794 \h </w:instrText>
        </w:r>
        <w:r>
          <w:rPr>
            <w:noProof/>
            <w:webHidden/>
          </w:rPr>
        </w:r>
        <w:r>
          <w:rPr>
            <w:noProof/>
            <w:webHidden/>
          </w:rPr>
          <w:fldChar w:fldCharType="separate"/>
        </w:r>
        <w:r>
          <w:rPr>
            <w:noProof/>
            <w:webHidden/>
          </w:rPr>
          <w:t>45</w:t>
        </w:r>
        <w:r>
          <w:rPr>
            <w:noProof/>
            <w:webHidden/>
          </w:rPr>
          <w:fldChar w:fldCharType="end"/>
        </w:r>
      </w:hyperlink>
    </w:p>
    <w:p w14:paraId="62526534" w14:textId="6F83E96B" w:rsidR="0085394E" w:rsidRDefault="0085394E">
      <w:pPr>
        <w:pStyle w:val="TableofFigures"/>
        <w:tabs>
          <w:tab w:val="right" w:leader="dot" w:pos="9350"/>
        </w:tabs>
        <w:rPr>
          <w:rFonts w:asciiTheme="minorHAnsi" w:hAnsiTheme="minorHAnsi"/>
          <w:noProof/>
        </w:rPr>
      </w:pPr>
      <w:hyperlink w:anchor="_Toc187401795" w:history="1">
        <w:r w:rsidRPr="008608A2">
          <w:rPr>
            <w:rStyle w:val="Hyperlink"/>
            <w:noProof/>
          </w:rPr>
          <w:t>Table 22: Demographic Characteristics of DFCI Outpatient Imaging Patient Panel, 2021</w:t>
        </w:r>
        <w:r>
          <w:rPr>
            <w:noProof/>
            <w:webHidden/>
          </w:rPr>
          <w:tab/>
        </w:r>
        <w:r>
          <w:rPr>
            <w:noProof/>
            <w:webHidden/>
          </w:rPr>
          <w:fldChar w:fldCharType="begin"/>
        </w:r>
        <w:r>
          <w:rPr>
            <w:noProof/>
            <w:webHidden/>
          </w:rPr>
          <w:instrText xml:space="preserve"> PAGEREF _Toc187401795 \h </w:instrText>
        </w:r>
        <w:r>
          <w:rPr>
            <w:noProof/>
            <w:webHidden/>
          </w:rPr>
        </w:r>
        <w:r>
          <w:rPr>
            <w:noProof/>
            <w:webHidden/>
          </w:rPr>
          <w:fldChar w:fldCharType="separate"/>
        </w:r>
        <w:r>
          <w:rPr>
            <w:noProof/>
            <w:webHidden/>
          </w:rPr>
          <w:t>51</w:t>
        </w:r>
        <w:r>
          <w:rPr>
            <w:noProof/>
            <w:webHidden/>
          </w:rPr>
          <w:fldChar w:fldCharType="end"/>
        </w:r>
      </w:hyperlink>
    </w:p>
    <w:p w14:paraId="0E016804" w14:textId="2F8CFD14" w:rsidR="0085394E" w:rsidRDefault="0085394E">
      <w:pPr>
        <w:pStyle w:val="TableofFigures"/>
        <w:tabs>
          <w:tab w:val="right" w:leader="dot" w:pos="9350"/>
        </w:tabs>
        <w:rPr>
          <w:rFonts w:asciiTheme="minorHAnsi" w:hAnsiTheme="minorHAnsi"/>
          <w:noProof/>
        </w:rPr>
      </w:pPr>
      <w:hyperlink w:anchor="_Toc187401796" w:history="1">
        <w:r w:rsidRPr="008608A2">
          <w:rPr>
            <w:rStyle w:val="Hyperlink"/>
            <w:noProof/>
          </w:rPr>
          <w:t>Table 23: Massachusetts Outpatient Diagnostic Imaging Procedures by Provider, 2021</w:t>
        </w:r>
        <w:r>
          <w:rPr>
            <w:noProof/>
            <w:webHidden/>
          </w:rPr>
          <w:tab/>
        </w:r>
        <w:r>
          <w:rPr>
            <w:noProof/>
            <w:webHidden/>
          </w:rPr>
          <w:fldChar w:fldCharType="begin"/>
        </w:r>
        <w:r>
          <w:rPr>
            <w:noProof/>
            <w:webHidden/>
          </w:rPr>
          <w:instrText xml:space="preserve"> PAGEREF _Toc187401796 \h </w:instrText>
        </w:r>
        <w:r>
          <w:rPr>
            <w:noProof/>
            <w:webHidden/>
          </w:rPr>
        </w:r>
        <w:r>
          <w:rPr>
            <w:noProof/>
            <w:webHidden/>
          </w:rPr>
          <w:fldChar w:fldCharType="separate"/>
        </w:r>
        <w:r>
          <w:rPr>
            <w:noProof/>
            <w:webHidden/>
          </w:rPr>
          <w:t>52</w:t>
        </w:r>
        <w:r>
          <w:rPr>
            <w:noProof/>
            <w:webHidden/>
          </w:rPr>
          <w:fldChar w:fldCharType="end"/>
        </w:r>
      </w:hyperlink>
    </w:p>
    <w:p w14:paraId="6700190C" w14:textId="5623FCC6" w:rsidR="0085394E" w:rsidRDefault="0085394E">
      <w:pPr>
        <w:pStyle w:val="TableofFigures"/>
        <w:tabs>
          <w:tab w:val="right" w:leader="dot" w:pos="9350"/>
        </w:tabs>
        <w:rPr>
          <w:rFonts w:asciiTheme="minorHAnsi" w:hAnsiTheme="minorHAnsi"/>
          <w:noProof/>
        </w:rPr>
      </w:pPr>
      <w:hyperlink w:anchor="_Toc187401797" w:history="1">
        <w:r w:rsidRPr="008608A2">
          <w:rPr>
            <w:rStyle w:val="Hyperlink"/>
            <w:noProof/>
          </w:rPr>
          <w:t>Table 24: Projected Demand for CT Procedures by Payor Type, 2025-2040</w:t>
        </w:r>
        <w:r>
          <w:rPr>
            <w:noProof/>
            <w:webHidden/>
          </w:rPr>
          <w:tab/>
        </w:r>
        <w:r>
          <w:rPr>
            <w:noProof/>
            <w:webHidden/>
          </w:rPr>
          <w:fldChar w:fldCharType="begin"/>
        </w:r>
        <w:r>
          <w:rPr>
            <w:noProof/>
            <w:webHidden/>
          </w:rPr>
          <w:instrText xml:space="preserve"> PAGEREF _Toc187401797 \h </w:instrText>
        </w:r>
        <w:r>
          <w:rPr>
            <w:noProof/>
            <w:webHidden/>
          </w:rPr>
        </w:r>
        <w:r>
          <w:rPr>
            <w:noProof/>
            <w:webHidden/>
          </w:rPr>
          <w:fldChar w:fldCharType="separate"/>
        </w:r>
        <w:r>
          <w:rPr>
            <w:noProof/>
            <w:webHidden/>
          </w:rPr>
          <w:t>53</w:t>
        </w:r>
        <w:r>
          <w:rPr>
            <w:noProof/>
            <w:webHidden/>
          </w:rPr>
          <w:fldChar w:fldCharType="end"/>
        </w:r>
      </w:hyperlink>
    </w:p>
    <w:p w14:paraId="09CDD906" w14:textId="5473A700" w:rsidR="0085394E" w:rsidRDefault="0085394E">
      <w:pPr>
        <w:pStyle w:val="TableofFigures"/>
        <w:tabs>
          <w:tab w:val="right" w:leader="dot" w:pos="9350"/>
        </w:tabs>
        <w:rPr>
          <w:rFonts w:asciiTheme="minorHAnsi" w:hAnsiTheme="minorHAnsi"/>
          <w:noProof/>
        </w:rPr>
      </w:pPr>
      <w:hyperlink w:anchor="_Toc187401798" w:history="1">
        <w:r w:rsidRPr="008608A2">
          <w:rPr>
            <w:rStyle w:val="Hyperlink"/>
            <w:noProof/>
          </w:rPr>
          <w:t>Table 25: Projected Demand for PET-CT Procedures by Payor Type, 2025-2040</w:t>
        </w:r>
        <w:r>
          <w:rPr>
            <w:noProof/>
            <w:webHidden/>
          </w:rPr>
          <w:tab/>
        </w:r>
        <w:r>
          <w:rPr>
            <w:noProof/>
            <w:webHidden/>
          </w:rPr>
          <w:fldChar w:fldCharType="begin"/>
        </w:r>
        <w:r>
          <w:rPr>
            <w:noProof/>
            <w:webHidden/>
          </w:rPr>
          <w:instrText xml:space="preserve"> PAGEREF _Toc187401798 \h </w:instrText>
        </w:r>
        <w:r>
          <w:rPr>
            <w:noProof/>
            <w:webHidden/>
          </w:rPr>
        </w:r>
        <w:r>
          <w:rPr>
            <w:noProof/>
            <w:webHidden/>
          </w:rPr>
          <w:fldChar w:fldCharType="separate"/>
        </w:r>
        <w:r>
          <w:rPr>
            <w:noProof/>
            <w:webHidden/>
          </w:rPr>
          <w:t>53</w:t>
        </w:r>
        <w:r>
          <w:rPr>
            <w:noProof/>
            <w:webHidden/>
          </w:rPr>
          <w:fldChar w:fldCharType="end"/>
        </w:r>
      </w:hyperlink>
    </w:p>
    <w:p w14:paraId="390B71BA" w14:textId="1F5AAAE5" w:rsidR="0085394E" w:rsidRDefault="0085394E">
      <w:pPr>
        <w:pStyle w:val="TableofFigures"/>
        <w:tabs>
          <w:tab w:val="right" w:leader="dot" w:pos="9350"/>
        </w:tabs>
        <w:rPr>
          <w:rFonts w:asciiTheme="minorHAnsi" w:hAnsiTheme="minorHAnsi"/>
          <w:noProof/>
        </w:rPr>
      </w:pPr>
      <w:hyperlink w:anchor="_Toc187401799" w:history="1">
        <w:r w:rsidRPr="008608A2">
          <w:rPr>
            <w:rStyle w:val="Hyperlink"/>
            <w:noProof/>
          </w:rPr>
          <w:t>Table 26: Projected CT Scanner Demand, 2025</w:t>
        </w:r>
        <w:r>
          <w:rPr>
            <w:noProof/>
            <w:webHidden/>
          </w:rPr>
          <w:tab/>
        </w:r>
        <w:r>
          <w:rPr>
            <w:noProof/>
            <w:webHidden/>
          </w:rPr>
          <w:fldChar w:fldCharType="begin"/>
        </w:r>
        <w:r>
          <w:rPr>
            <w:noProof/>
            <w:webHidden/>
          </w:rPr>
          <w:instrText xml:space="preserve"> PAGEREF _Toc187401799 \h </w:instrText>
        </w:r>
        <w:r>
          <w:rPr>
            <w:noProof/>
            <w:webHidden/>
          </w:rPr>
        </w:r>
        <w:r>
          <w:rPr>
            <w:noProof/>
            <w:webHidden/>
          </w:rPr>
          <w:fldChar w:fldCharType="separate"/>
        </w:r>
        <w:r>
          <w:rPr>
            <w:noProof/>
            <w:webHidden/>
          </w:rPr>
          <w:t>55</w:t>
        </w:r>
        <w:r>
          <w:rPr>
            <w:noProof/>
            <w:webHidden/>
          </w:rPr>
          <w:fldChar w:fldCharType="end"/>
        </w:r>
      </w:hyperlink>
    </w:p>
    <w:p w14:paraId="0716CF68" w14:textId="184E21B7" w:rsidR="0085394E" w:rsidRDefault="0085394E">
      <w:pPr>
        <w:pStyle w:val="TableofFigures"/>
        <w:tabs>
          <w:tab w:val="right" w:leader="dot" w:pos="9350"/>
        </w:tabs>
        <w:rPr>
          <w:rFonts w:asciiTheme="minorHAnsi" w:hAnsiTheme="minorHAnsi"/>
          <w:noProof/>
        </w:rPr>
      </w:pPr>
      <w:hyperlink w:anchor="_Toc187401800" w:history="1">
        <w:r w:rsidRPr="008608A2">
          <w:rPr>
            <w:rStyle w:val="Hyperlink"/>
            <w:noProof/>
          </w:rPr>
          <w:t>Table 27: Projected MRI Scanner Demand, 2025</w:t>
        </w:r>
        <w:r>
          <w:rPr>
            <w:noProof/>
            <w:webHidden/>
          </w:rPr>
          <w:tab/>
        </w:r>
        <w:r>
          <w:rPr>
            <w:noProof/>
            <w:webHidden/>
          </w:rPr>
          <w:fldChar w:fldCharType="begin"/>
        </w:r>
        <w:r>
          <w:rPr>
            <w:noProof/>
            <w:webHidden/>
          </w:rPr>
          <w:instrText xml:space="preserve"> PAGEREF _Toc187401800 \h </w:instrText>
        </w:r>
        <w:r>
          <w:rPr>
            <w:noProof/>
            <w:webHidden/>
          </w:rPr>
        </w:r>
        <w:r>
          <w:rPr>
            <w:noProof/>
            <w:webHidden/>
          </w:rPr>
          <w:fldChar w:fldCharType="separate"/>
        </w:r>
        <w:r>
          <w:rPr>
            <w:noProof/>
            <w:webHidden/>
          </w:rPr>
          <w:t>56</w:t>
        </w:r>
        <w:r>
          <w:rPr>
            <w:noProof/>
            <w:webHidden/>
          </w:rPr>
          <w:fldChar w:fldCharType="end"/>
        </w:r>
      </w:hyperlink>
    </w:p>
    <w:p w14:paraId="111F6C4D" w14:textId="50662470" w:rsidR="0085394E" w:rsidRDefault="0085394E">
      <w:pPr>
        <w:pStyle w:val="TableofFigures"/>
        <w:tabs>
          <w:tab w:val="right" w:leader="dot" w:pos="9350"/>
        </w:tabs>
        <w:rPr>
          <w:rFonts w:asciiTheme="minorHAnsi" w:hAnsiTheme="minorHAnsi"/>
          <w:noProof/>
        </w:rPr>
      </w:pPr>
      <w:hyperlink w:anchor="_Toc187401801" w:history="1">
        <w:r w:rsidRPr="008608A2">
          <w:rPr>
            <w:rStyle w:val="Hyperlink"/>
            <w:noProof/>
          </w:rPr>
          <w:t>Table 28: Projected PET-CT Scanner Demand, 2025</w:t>
        </w:r>
        <w:r>
          <w:rPr>
            <w:noProof/>
            <w:webHidden/>
          </w:rPr>
          <w:tab/>
        </w:r>
        <w:r>
          <w:rPr>
            <w:noProof/>
            <w:webHidden/>
          </w:rPr>
          <w:fldChar w:fldCharType="begin"/>
        </w:r>
        <w:r>
          <w:rPr>
            <w:noProof/>
            <w:webHidden/>
          </w:rPr>
          <w:instrText xml:space="preserve"> PAGEREF _Toc187401801 \h </w:instrText>
        </w:r>
        <w:r>
          <w:rPr>
            <w:noProof/>
            <w:webHidden/>
          </w:rPr>
        </w:r>
        <w:r>
          <w:rPr>
            <w:noProof/>
            <w:webHidden/>
          </w:rPr>
          <w:fldChar w:fldCharType="separate"/>
        </w:r>
        <w:r>
          <w:rPr>
            <w:noProof/>
            <w:webHidden/>
          </w:rPr>
          <w:t>56</w:t>
        </w:r>
        <w:r>
          <w:rPr>
            <w:noProof/>
            <w:webHidden/>
          </w:rPr>
          <w:fldChar w:fldCharType="end"/>
        </w:r>
      </w:hyperlink>
    </w:p>
    <w:p w14:paraId="7D8A7D31" w14:textId="2FFB15D7" w:rsidR="0085394E" w:rsidRDefault="0085394E">
      <w:pPr>
        <w:pStyle w:val="TableofFigures"/>
        <w:tabs>
          <w:tab w:val="right" w:leader="dot" w:pos="9350"/>
        </w:tabs>
        <w:rPr>
          <w:rFonts w:asciiTheme="minorHAnsi" w:hAnsiTheme="minorHAnsi"/>
          <w:noProof/>
        </w:rPr>
      </w:pPr>
      <w:hyperlink w:anchor="_Toc187401802" w:history="1">
        <w:r w:rsidRPr="008608A2">
          <w:rPr>
            <w:rStyle w:val="Hyperlink"/>
            <w:noProof/>
          </w:rPr>
          <w:t>Table 29: Estimated Relative Outpatient CT and PET-CT Prices by Hospital and Payor, 2021</w:t>
        </w:r>
        <w:r>
          <w:rPr>
            <w:noProof/>
            <w:webHidden/>
          </w:rPr>
          <w:tab/>
        </w:r>
        <w:r>
          <w:rPr>
            <w:noProof/>
            <w:webHidden/>
          </w:rPr>
          <w:fldChar w:fldCharType="begin"/>
        </w:r>
        <w:r>
          <w:rPr>
            <w:noProof/>
            <w:webHidden/>
          </w:rPr>
          <w:instrText xml:space="preserve"> PAGEREF _Toc187401802 \h </w:instrText>
        </w:r>
        <w:r>
          <w:rPr>
            <w:noProof/>
            <w:webHidden/>
          </w:rPr>
        </w:r>
        <w:r>
          <w:rPr>
            <w:noProof/>
            <w:webHidden/>
          </w:rPr>
          <w:fldChar w:fldCharType="separate"/>
        </w:r>
        <w:r>
          <w:rPr>
            <w:noProof/>
            <w:webHidden/>
          </w:rPr>
          <w:t>57</w:t>
        </w:r>
        <w:r>
          <w:rPr>
            <w:noProof/>
            <w:webHidden/>
          </w:rPr>
          <w:fldChar w:fldCharType="end"/>
        </w:r>
      </w:hyperlink>
    </w:p>
    <w:p w14:paraId="44F1BBFC" w14:textId="6DF15FAB" w:rsidR="0085394E" w:rsidRDefault="0085394E">
      <w:pPr>
        <w:pStyle w:val="TableofFigures"/>
        <w:tabs>
          <w:tab w:val="right" w:leader="dot" w:pos="9350"/>
        </w:tabs>
        <w:rPr>
          <w:rFonts w:asciiTheme="minorHAnsi" w:hAnsiTheme="minorHAnsi"/>
          <w:noProof/>
        </w:rPr>
      </w:pPr>
      <w:hyperlink w:anchor="_Toc187401803" w:history="1">
        <w:r w:rsidRPr="008608A2">
          <w:rPr>
            <w:rStyle w:val="Hyperlink"/>
            <w:noProof/>
          </w:rPr>
          <w:t>Table 30: Estimated Changes in Outpatient Imaging Costs, 2025-2040</w:t>
        </w:r>
        <w:r>
          <w:rPr>
            <w:noProof/>
            <w:webHidden/>
          </w:rPr>
          <w:tab/>
        </w:r>
        <w:r>
          <w:rPr>
            <w:noProof/>
            <w:webHidden/>
          </w:rPr>
          <w:fldChar w:fldCharType="begin"/>
        </w:r>
        <w:r>
          <w:rPr>
            <w:noProof/>
            <w:webHidden/>
          </w:rPr>
          <w:instrText xml:space="preserve"> PAGEREF _Toc187401803 \h </w:instrText>
        </w:r>
        <w:r>
          <w:rPr>
            <w:noProof/>
            <w:webHidden/>
          </w:rPr>
        </w:r>
        <w:r>
          <w:rPr>
            <w:noProof/>
            <w:webHidden/>
          </w:rPr>
          <w:fldChar w:fldCharType="separate"/>
        </w:r>
        <w:r>
          <w:rPr>
            <w:noProof/>
            <w:webHidden/>
          </w:rPr>
          <w:t>59</w:t>
        </w:r>
        <w:r>
          <w:rPr>
            <w:noProof/>
            <w:webHidden/>
          </w:rPr>
          <w:fldChar w:fldCharType="end"/>
        </w:r>
      </w:hyperlink>
    </w:p>
    <w:p w14:paraId="08C57DB4" w14:textId="13792ED7" w:rsidR="0085394E" w:rsidRDefault="0085394E">
      <w:pPr>
        <w:pStyle w:val="TableofFigures"/>
        <w:tabs>
          <w:tab w:val="right" w:leader="dot" w:pos="9350"/>
        </w:tabs>
        <w:rPr>
          <w:rFonts w:asciiTheme="minorHAnsi" w:hAnsiTheme="minorHAnsi"/>
          <w:noProof/>
        </w:rPr>
      </w:pPr>
      <w:hyperlink w:anchor="_Toc187401804" w:history="1">
        <w:r w:rsidRPr="008608A2">
          <w:rPr>
            <w:rStyle w:val="Hyperlink"/>
            <w:noProof/>
          </w:rPr>
          <w:t>Table 31: Demographic Characteristics of DFCI Radiation Therapy Patient Panel, 2021</w:t>
        </w:r>
        <w:r>
          <w:rPr>
            <w:noProof/>
            <w:webHidden/>
          </w:rPr>
          <w:tab/>
        </w:r>
        <w:r>
          <w:rPr>
            <w:noProof/>
            <w:webHidden/>
          </w:rPr>
          <w:fldChar w:fldCharType="begin"/>
        </w:r>
        <w:r>
          <w:rPr>
            <w:noProof/>
            <w:webHidden/>
          </w:rPr>
          <w:instrText xml:space="preserve"> PAGEREF _Toc187401804 \h </w:instrText>
        </w:r>
        <w:r>
          <w:rPr>
            <w:noProof/>
            <w:webHidden/>
          </w:rPr>
        </w:r>
        <w:r>
          <w:rPr>
            <w:noProof/>
            <w:webHidden/>
          </w:rPr>
          <w:fldChar w:fldCharType="separate"/>
        </w:r>
        <w:r>
          <w:rPr>
            <w:noProof/>
            <w:webHidden/>
          </w:rPr>
          <w:t>61</w:t>
        </w:r>
        <w:r>
          <w:rPr>
            <w:noProof/>
            <w:webHidden/>
          </w:rPr>
          <w:fldChar w:fldCharType="end"/>
        </w:r>
      </w:hyperlink>
    </w:p>
    <w:p w14:paraId="1B741CFD" w14:textId="76736984" w:rsidR="0085394E" w:rsidRDefault="0085394E">
      <w:pPr>
        <w:pStyle w:val="TableofFigures"/>
        <w:tabs>
          <w:tab w:val="right" w:leader="dot" w:pos="9350"/>
        </w:tabs>
        <w:rPr>
          <w:rFonts w:asciiTheme="minorHAnsi" w:hAnsiTheme="minorHAnsi"/>
          <w:noProof/>
        </w:rPr>
      </w:pPr>
      <w:hyperlink w:anchor="_Toc187401805" w:history="1">
        <w:r w:rsidRPr="008608A2">
          <w:rPr>
            <w:rStyle w:val="Hyperlink"/>
            <w:noProof/>
          </w:rPr>
          <w:t>Table 32: Massachusetts Radiation Therapy Procedures by Provider, 2021</w:t>
        </w:r>
        <w:r>
          <w:rPr>
            <w:noProof/>
            <w:webHidden/>
          </w:rPr>
          <w:tab/>
        </w:r>
        <w:r>
          <w:rPr>
            <w:noProof/>
            <w:webHidden/>
          </w:rPr>
          <w:fldChar w:fldCharType="begin"/>
        </w:r>
        <w:r>
          <w:rPr>
            <w:noProof/>
            <w:webHidden/>
          </w:rPr>
          <w:instrText xml:space="preserve"> PAGEREF _Toc187401805 \h </w:instrText>
        </w:r>
        <w:r>
          <w:rPr>
            <w:noProof/>
            <w:webHidden/>
          </w:rPr>
        </w:r>
        <w:r>
          <w:rPr>
            <w:noProof/>
            <w:webHidden/>
          </w:rPr>
          <w:fldChar w:fldCharType="separate"/>
        </w:r>
        <w:r>
          <w:rPr>
            <w:noProof/>
            <w:webHidden/>
          </w:rPr>
          <w:t>62</w:t>
        </w:r>
        <w:r>
          <w:rPr>
            <w:noProof/>
            <w:webHidden/>
          </w:rPr>
          <w:fldChar w:fldCharType="end"/>
        </w:r>
      </w:hyperlink>
    </w:p>
    <w:p w14:paraId="5088CB09" w14:textId="209FE043" w:rsidR="0085394E" w:rsidRDefault="0085394E">
      <w:pPr>
        <w:pStyle w:val="TableofFigures"/>
        <w:tabs>
          <w:tab w:val="right" w:leader="dot" w:pos="9350"/>
        </w:tabs>
        <w:rPr>
          <w:rFonts w:asciiTheme="minorHAnsi" w:hAnsiTheme="minorHAnsi"/>
          <w:noProof/>
        </w:rPr>
      </w:pPr>
      <w:hyperlink w:anchor="_Toc187401806" w:history="1">
        <w:r w:rsidRPr="008608A2">
          <w:rPr>
            <w:rStyle w:val="Hyperlink"/>
            <w:noProof/>
          </w:rPr>
          <w:t>Table 33: Projected Demand for LINAC Procedures by Payor Type, 2025-2040</w:t>
        </w:r>
        <w:r>
          <w:rPr>
            <w:noProof/>
            <w:webHidden/>
          </w:rPr>
          <w:tab/>
        </w:r>
        <w:r>
          <w:rPr>
            <w:noProof/>
            <w:webHidden/>
          </w:rPr>
          <w:fldChar w:fldCharType="begin"/>
        </w:r>
        <w:r>
          <w:rPr>
            <w:noProof/>
            <w:webHidden/>
          </w:rPr>
          <w:instrText xml:space="preserve"> PAGEREF _Toc187401806 \h </w:instrText>
        </w:r>
        <w:r>
          <w:rPr>
            <w:noProof/>
            <w:webHidden/>
          </w:rPr>
        </w:r>
        <w:r>
          <w:rPr>
            <w:noProof/>
            <w:webHidden/>
          </w:rPr>
          <w:fldChar w:fldCharType="separate"/>
        </w:r>
        <w:r>
          <w:rPr>
            <w:noProof/>
            <w:webHidden/>
          </w:rPr>
          <w:t>63</w:t>
        </w:r>
        <w:r>
          <w:rPr>
            <w:noProof/>
            <w:webHidden/>
          </w:rPr>
          <w:fldChar w:fldCharType="end"/>
        </w:r>
      </w:hyperlink>
    </w:p>
    <w:p w14:paraId="2AE1E9CB" w14:textId="5FA6DA24" w:rsidR="0085394E" w:rsidRDefault="0085394E">
      <w:pPr>
        <w:pStyle w:val="TableofFigures"/>
        <w:tabs>
          <w:tab w:val="right" w:leader="dot" w:pos="9350"/>
        </w:tabs>
        <w:rPr>
          <w:rFonts w:asciiTheme="minorHAnsi" w:hAnsiTheme="minorHAnsi"/>
          <w:noProof/>
        </w:rPr>
      </w:pPr>
      <w:hyperlink w:anchor="_Toc187401807" w:history="1">
        <w:r w:rsidRPr="008608A2">
          <w:rPr>
            <w:rStyle w:val="Hyperlink"/>
            <w:noProof/>
          </w:rPr>
          <w:t>Table 34: Projected Demand for CT Simulator Procedures by Payor Type, 2025-2040</w:t>
        </w:r>
        <w:r>
          <w:rPr>
            <w:noProof/>
            <w:webHidden/>
          </w:rPr>
          <w:tab/>
        </w:r>
        <w:r>
          <w:rPr>
            <w:noProof/>
            <w:webHidden/>
          </w:rPr>
          <w:fldChar w:fldCharType="begin"/>
        </w:r>
        <w:r>
          <w:rPr>
            <w:noProof/>
            <w:webHidden/>
          </w:rPr>
          <w:instrText xml:space="preserve"> PAGEREF _Toc187401807 \h </w:instrText>
        </w:r>
        <w:r>
          <w:rPr>
            <w:noProof/>
            <w:webHidden/>
          </w:rPr>
        </w:r>
        <w:r>
          <w:rPr>
            <w:noProof/>
            <w:webHidden/>
          </w:rPr>
          <w:fldChar w:fldCharType="separate"/>
        </w:r>
        <w:r>
          <w:rPr>
            <w:noProof/>
            <w:webHidden/>
          </w:rPr>
          <w:t>63</w:t>
        </w:r>
        <w:r>
          <w:rPr>
            <w:noProof/>
            <w:webHidden/>
          </w:rPr>
          <w:fldChar w:fldCharType="end"/>
        </w:r>
      </w:hyperlink>
    </w:p>
    <w:p w14:paraId="37D2DC33" w14:textId="23413323" w:rsidR="0085394E" w:rsidRDefault="0085394E">
      <w:pPr>
        <w:pStyle w:val="TableofFigures"/>
        <w:tabs>
          <w:tab w:val="right" w:leader="dot" w:pos="9350"/>
        </w:tabs>
        <w:rPr>
          <w:rFonts w:asciiTheme="minorHAnsi" w:hAnsiTheme="minorHAnsi"/>
          <w:noProof/>
        </w:rPr>
      </w:pPr>
      <w:hyperlink w:anchor="_Toc187401808" w:history="1">
        <w:r w:rsidRPr="008608A2">
          <w:rPr>
            <w:rStyle w:val="Hyperlink"/>
            <w:noProof/>
          </w:rPr>
          <w:t>Table 35: Projected LINAC Demand, 2025</w:t>
        </w:r>
        <w:r>
          <w:rPr>
            <w:noProof/>
            <w:webHidden/>
          </w:rPr>
          <w:tab/>
        </w:r>
        <w:r>
          <w:rPr>
            <w:noProof/>
            <w:webHidden/>
          </w:rPr>
          <w:fldChar w:fldCharType="begin"/>
        </w:r>
        <w:r>
          <w:rPr>
            <w:noProof/>
            <w:webHidden/>
          </w:rPr>
          <w:instrText xml:space="preserve"> PAGEREF _Toc187401808 \h </w:instrText>
        </w:r>
        <w:r>
          <w:rPr>
            <w:noProof/>
            <w:webHidden/>
          </w:rPr>
        </w:r>
        <w:r>
          <w:rPr>
            <w:noProof/>
            <w:webHidden/>
          </w:rPr>
          <w:fldChar w:fldCharType="separate"/>
        </w:r>
        <w:r>
          <w:rPr>
            <w:noProof/>
            <w:webHidden/>
          </w:rPr>
          <w:t>65</w:t>
        </w:r>
        <w:r>
          <w:rPr>
            <w:noProof/>
            <w:webHidden/>
          </w:rPr>
          <w:fldChar w:fldCharType="end"/>
        </w:r>
      </w:hyperlink>
    </w:p>
    <w:p w14:paraId="2F5666FF" w14:textId="7401E5F9" w:rsidR="0085394E" w:rsidRDefault="0085394E">
      <w:pPr>
        <w:pStyle w:val="TableofFigures"/>
        <w:tabs>
          <w:tab w:val="right" w:leader="dot" w:pos="9350"/>
        </w:tabs>
        <w:rPr>
          <w:rFonts w:asciiTheme="minorHAnsi" w:hAnsiTheme="minorHAnsi"/>
          <w:noProof/>
        </w:rPr>
      </w:pPr>
      <w:hyperlink w:anchor="_Toc187401809" w:history="1">
        <w:r w:rsidRPr="008608A2">
          <w:rPr>
            <w:rStyle w:val="Hyperlink"/>
            <w:noProof/>
          </w:rPr>
          <w:t>Table 36: Projected CT Simulator Demand, 2025</w:t>
        </w:r>
        <w:r>
          <w:rPr>
            <w:noProof/>
            <w:webHidden/>
          </w:rPr>
          <w:tab/>
        </w:r>
        <w:r>
          <w:rPr>
            <w:noProof/>
            <w:webHidden/>
          </w:rPr>
          <w:fldChar w:fldCharType="begin"/>
        </w:r>
        <w:r>
          <w:rPr>
            <w:noProof/>
            <w:webHidden/>
          </w:rPr>
          <w:instrText xml:space="preserve"> PAGEREF _Toc187401809 \h </w:instrText>
        </w:r>
        <w:r>
          <w:rPr>
            <w:noProof/>
            <w:webHidden/>
          </w:rPr>
        </w:r>
        <w:r>
          <w:rPr>
            <w:noProof/>
            <w:webHidden/>
          </w:rPr>
          <w:fldChar w:fldCharType="separate"/>
        </w:r>
        <w:r>
          <w:rPr>
            <w:noProof/>
            <w:webHidden/>
          </w:rPr>
          <w:t>66</w:t>
        </w:r>
        <w:r>
          <w:rPr>
            <w:noProof/>
            <w:webHidden/>
          </w:rPr>
          <w:fldChar w:fldCharType="end"/>
        </w:r>
      </w:hyperlink>
    </w:p>
    <w:p w14:paraId="20BA0FA4" w14:textId="6AC59B66" w:rsidR="0085394E" w:rsidRDefault="0085394E">
      <w:pPr>
        <w:pStyle w:val="TableofFigures"/>
        <w:tabs>
          <w:tab w:val="right" w:leader="dot" w:pos="9350"/>
        </w:tabs>
        <w:rPr>
          <w:rFonts w:asciiTheme="minorHAnsi" w:hAnsiTheme="minorHAnsi"/>
          <w:noProof/>
        </w:rPr>
      </w:pPr>
      <w:hyperlink w:anchor="_Toc187401810" w:history="1">
        <w:r w:rsidRPr="008608A2">
          <w:rPr>
            <w:rStyle w:val="Hyperlink"/>
            <w:noProof/>
          </w:rPr>
          <w:t>Table 37: Projected CT Simulator Demand Based on Forecasted LINAC Demand, 202</w:t>
        </w:r>
        <w:r>
          <w:rPr>
            <w:noProof/>
            <w:webHidden/>
          </w:rPr>
          <w:tab/>
        </w:r>
        <w:r>
          <w:rPr>
            <w:noProof/>
            <w:webHidden/>
          </w:rPr>
          <w:fldChar w:fldCharType="begin"/>
        </w:r>
        <w:r>
          <w:rPr>
            <w:noProof/>
            <w:webHidden/>
          </w:rPr>
          <w:instrText xml:space="preserve"> PAGEREF _Toc187401810 \h </w:instrText>
        </w:r>
        <w:r>
          <w:rPr>
            <w:noProof/>
            <w:webHidden/>
          </w:rPr>
        </w:r>
        <w:r>
          <w:rPr>
            <w:noProof/>
            <w:webHidden/>
          </w:rPr>
          <w:fldChar w:fldCharType="separate"/>
        </w:r>
        <w:r>
          <w:rPr>
            <w:noProof/>
            <w:webHidden/>
          </w:rPr>
          <w:t>66</w:t>
        </w:r>
        <w:r>
          <w:rPr>
            <w:noProof/>
            <w:webHidden/>
          </w:rPr>
          <w:fldChar w:fldCharType="end"/>
        </w:r>
      </w:hyperlink>
    </w:p>
    <w:p w14:paraId="1CF6D99A" w14:textId="4D9BA95C" w:rsidR="0085394E" w:rsidRDefault="0085394E">
      <w:pPr>
        <w:pStyle w:val="TableofFigures"/>
        <w:tabs>
          <w:tab w:val="right" w:leader="dot" w:pos="9350"/>
        </w:tabs>
        <w:rPr>
          <w:rFonts w:asciiTheme="minorHAnsi" w:hAnsiTheme="minorHAnsi"/>
          <w:noProof/>
        </w:rPr>
      </w:pPr>
      <w:hyperlink w:anchor="_Toc187401811" w:history="1">
        <w:r w:rsidRPr="008608A2">
          <w:rPr>
            <w:rStyle w:val="Hyperlink"/>
            <w:noProof/>
          </w:rPr>
          <w:t>Table 38: Estimated Relative LINAC and CT Simulator Prices by Hospital and Payor, 2021</w:t>
        </w:r>
        <w:r>
          <w:rPr>
            <w:noProof/>
            <w:webHidden/>
          </w:rPr>
          <w:tab/>
        </w:r>
        <w:r>
          <w:rPr>
            <w:noProof/>
            <w:webHidden/>
          </w:rPr>
          <w:fldChar w:fldCharType="begin"/>
        </w:r>
        <w:r>
          <w:rPr>
            <w:noProof/>
            <w:webHidden/>
          </w:rPr>
          <w:instrText xml:space="preserve"> PAGEREF _Toc187401811 \h </w:instrText>
        </w:r>
        <w:r>
          <w:rPr>
            <w:noProof/>
            <w:webHidden/>
          </w:rPr>
        </w:r>
        <w:r>
          <w:rPr>
            <w:noProof/>
            <w:webHidden/>
          </w:rPr>
          <w:fldChar w:fldCharType="separate"/>
        </w:r>
        <w:r>
          <w:rPr>
            <w:noProof/>
            <w:webHidden/>
          </w:rPr>
          <w:t>68</w:t>
        </w:r>
        <w:r>
          <w:rPr>
            <w:noProof/>
            <w:webHidden/>
          </w:rPr>
          <w:fldChar w:fldCharType="end"/>
        </w:r>
      </w:hyperlink>
    </w:p>
    <w:p w14:paraId="4506A650" w14:textId="23A6314D" w:rsidR="0085394E" w:rsidRDefault="0085394E">
      <w:pPr>
        <w:pStyle w:val="TableofFigures"/>
        <w:tabs>
          <w:tab w:val="right" w:leader="dot" w:pos="9350"/>
        </w:tabs>
        <w:rPr>
          <w:rFonts w:asciiTheme="minorHAnsi" w:hAnsiTheme="minorHAnsi"/>
          <w:noProof/>
        </w:rPr>
      </w:pPr>
      <w:hyperlink w:anchor="_Toc187401812" w:history="1">
        <w:r w:rsidRPr="008608A2">
          <w:rPr>
            <w:rStyle w:val="Hyperlink"/>
            <w:noProof/>
          </w:rPr>
          <w:t>Table 39: Estimated Changes in Radiation Therapy Services Costs, 2025-2040</w:t>
        </w:r>
        <w:r>
          <w:rPr>
            <w:noProof/>
            <w:webHidden/>
          </w:rPr>
          <w:tab/>
        </w:r>
        <w:r>
          <w:rPr>
            <w:noProof/>
            <w:webHidden/>
          </w:rPr>
          <w:fldChar w:fldCharType="begin"/>
        </w:r>
        <w:r>
          <w:rPr>
            <w:noProof/>
            <w:webHidden/>
          </w:rPr>
          <w:instrText xml:space="preserve"> PAGEREF _Toc187401812 \h </w:instrText>
        </w:r>
        <w:r>
          <w:rPr>
            <w:noProof/>
            <w:webHidden/>
          </w:rPr>
        </w:r>
        <w:r>
          <w:rPr>
            <w:noProof/>
            <w:webHidden/>
          </w:rPr>
          <w:fldChar w:fldCharType="separate"/>
        </w:r>
        <w:r>
          <w:rPr>
            <w:noProof/>
            <w:webHidden/>
          </w:rPr>
          <w:t>69</w:t>
        </w:r>
        <w:r>
          <w:rPr>
            <w:noProof/>
            <w:webHidden/>
          </w:rPr>
          <w:fldChar w:fldCharType="end"/>
        </w:r>
      </w:hyperlink>
    </w:p>
    <w:p w14:paraId="02191034" w14:textId="2B271BD6" w:rsidR="00F93CB5" w:rsidRDefault="00F93CB5" w:rsidP="00D828A9">
      <w:r>
        <w:fldChar w:fldCharType="end"/>
      </w:r>
    </w:p>
    <w:p w14:paraId="1B3CC293" w14:textId="77777777" w:rsidR="00AA7D20" w:rsidRDefault="00AA7D20">
      <w:pPr>
        <w:rPr>
          <w:b/>
          <w:bCs/>
          <w:u w:val="single"/>
        </w:rPr>
      </w:pPr>
      <w:r>
        <w:rPr>
          <w:b/>
          <w:bCs/>
          <w:u w:val="single"/>
        </w:rPr>
        <w:br w:type="page"/>
      </w:r>
    </w:p>
    <w:p w14:paraId="1A4F70BD" w14:textId="1520828B" w:rsidR="00D828A9" w:rsidRPr="00762734" w:rsidRDefault="00D828A9" w:rsidP="00D828A9">
      <w:pPr>
        <w:rPr>
          <w:b/>
          <w:bCs/>
          <w:u w:val="single"/>
        </w:rPr>
      </w:pPr>
      <w:r w:rsidRPr="00762734">
        <w:rPr>
          <w:b/>
          <w:bCs/>
          <w:u w:val="single"/>
        </w:rPr>
        <w:lastRenderedPageBreak/>
        <w:t>Table of Figures</w:t>
      </w:r>
    </w:p>
    <w:p w14:paraId="088ED6B2" w14:textId="3CA9E491" w:rsidR="0085394E" w:rsidRDefault="00F93CB5">
      <w:pPr>
        <w:pStyle w:val="TableofFigures"/>
        <w:tabs>
          <w:tab w:val="right" w:leader="dot" w:pos="9350"/>
        </w:tabs>
        <w:rPr>
          <w:rFonts w:asciiTheme="minorHAnsi" w:hAnsiTheme="minorHAnsi"/>
          <w:noProof/>
        </w:rPr>
      </w:pPr>
      <w:r>
        <w:fldChar w:fldCharType="begin"/>
      </w:r>
      <w:r>
        <w:instrText xml:space="preserve"> TOC \h \z \c "Figure" </w:instrText>
      </w:r>
      <w:r>
        <w:fldChar w:fldCharType="separate"/>
      </w:r>
      <w:hyperlink w:anchor="_Toc187401813" w:history="1">
        <w:r w:rsidR="0085394E" w:rsidRPr="00A67FFC">
          <w:rPr>
            <w:rStyle w:val="Hyperlink"/>
            <w:noProof/>
          </w:rPr>
          <w:t>Figure 1: Overview of Massachusetts Health Systems Providing Inpatient Cancer Care</w:t>
        </w:r>
        <w:r w:rsidR="0085394E">
          <w:rPr>
            <w:noProof/>
            <w:webHidden/>
          </w:rPr>
          <w:tab/>
        </w:r>
        <w:r w:rsidR="0085394E">
          <w:rPr>
            <w:noProof/>
            <w:webHidden/>
          </w:rPr>
          <w:fldChar w:fldCharType="begin"/>
        </w:r>
        <w:r w:rsidR="0085394E">
          <w:rPr>
            <w:noProof/>
            <w:webHidden/>
          </w:rPr>
          <w:instrText xml:space="preserve"> PAGEREF _Toc187401813 \h </w:instrText>
        </w:r>
        <w:r w:rsidR="0085394E">
          <w:rPr>
            <w:noProof/>
            <w:webHidden/>
          </w:rPr>
        </w:r>
        <w:r w:rsidR="0085394E">
          <w:rPr>
            <w:noProof/>
            <w:webHidden/>
          </w:rPr>
          <w:fldChar w:fldCharType="separate"/>
        </w:r>
        <w:r w:rsidR="0085394E">
          <w:rPr>
            <w:noProof/>
            <w:webHidden/>
          </w:rPr>
          <w:t>21</w:t>
        </w:r>
        <w:r w:rsidR="0085394E">
          <w:rPr>
            <w:noProof/>
            <w:webHidden/>
          </w:rPr>
          <w:fldChar w:fldCharType="end"/>
        </w:r>
      </w:hyperlink>
    </w:p>
    <w:p w14:paraId="6ACF2DB9" w14:textId="69DE4E3D" w:rsidR="0085394E" w:rsidRDefault="0085394E">
      <w:pPr>
        <w:pStyle w:val="TableofFigures"/>
        <w:tabs>
          <w:tab w:val="right" w:leader="dot" w:pos="9350"/>
        </w:tabs>
        <w:rPr>
          <w:rFonts w:asciiTheme="minorHAnsi" w:hAnsiTheme="minorHAnsi"/>
          <w:noProof/>
        </w:rPr>
      </w:pPr>
      <w:hyperlink w:anchor="_Toc187401814" w:history="1">
        <w:r w:rsidRPr="00A67FFC">
          <w:rPr>
            <w:rStyle w:val="Hyperlink"/>
            <w:noProof/>
          </w:rPr>
          <w:t>Figure 2: Overview of Boston Area Health Systems Providing Inpatient Cancer Care</w:t>
        </w:r>
        <w:r>
          <w:rPr>
            <w:noProof/>
            <w:webHidden/>
          </w:rPr>
          <w:tab/>
        </w:r>
        <w:r>
          <w:rPr>
            <w:noProof/>
            <w:webHidden/>
          </w:rPr>
          <w:fldChar w:fldCharType="begin"/>
        </w:r>
        <w:r>
          <w:rPr>
            <w:noProof/>
            <w:webHidden/>
          </w:rPr>
          <w:instrText xml:space="preserve"> PAGEREF _Toc187401814 \h </w:instrText>
        </w:r>
        <w:r>
          <w:rPr>
            <w:noProof/>
            <w:webHidden/>
          </w:rPr>
        </w:r>
        <w:r>
          <w:rPr>
            <w:noProof/>
            <w:webHidden/>
          </w:rPr>
          <w:fldChar w:fldCharType="separate"/>
        </w:r>
        <w:r>
          <w:rPr>
            <w:noProof/>
            <w:webHidden/>
          </w:rPr>
          <w:t>22</w:t>
        </w:r>
        <w:r>
          <w:rPr>
            <w:noProof/>
            <w:webHidden/>
          </w:rPr>
          <w:fldChar w:fldCharType="end"/>
        </w:r>
      </w:hyperlink>
    </w:p>
    <w:p w14:paraId="291A01DA" w14:textId="6250F082" w:rsidR="0085394E" w:rsidRDefault="0085394E">
      <w:pPr>
        <w:pStyle w:val="TableofFigures"/>
        <w:tabs>
          <w:tab w:val="right" w:leader="dot" w:pos="9350"/>
        </w:tabs>
        <w:rPr>
          <w:rFonts w:asciiTheme="minorHAnsi" w:hAnsiTheme="minorHAnsi"/>
          <w:noProof/>
        </w:rPr>
      </w:pPr>
      <w:hyperlink w:anchor="_Toc187401815" w:history="1">
        <w:r w:rsidRPr="00A67FFC">
          <w:rPr>
            <w:rStyle w:val="Hyperlink"/>
            <w:noProof/>
          </w:rPr>
          <w:t>Figure 3: Current and Potential CAR T Providers in and around Massachusetts</w:t>
        </w:r>
        <w:r>
          <w:rPr>
            <w:noProof/>
            <w:webHidden/>
          </w:rPr>
          <w:tab/>
        </w:r>
        <w:r>
          <w:rPr>
            <w:noProof/>
            <w:webHidden/>
          </w:rPr>
          <w:fldChar w:fldCharType="begin"/>
        </w:r>
        <w:r>
          <w:rPr>
            <w:noProof/>
            <w:webHidden/>
          </w:rPr>
          <w:instrText xml:space="preserve"> PAGEREF _Toc187401815 \h </w:instrText>
        </w:r>
        <w:r>
          <w:rPr>
            <w:noProof/>
            <w:webHidden/>
          </w:rPr>
        </w:r>
        <w:r>
          <w:rPr>
            <w:noProof/>
            <w:webHidden/>
          </w:rPr>
          <w:fldChar w:fldCharType="separate"/>
        </w:r>
        <w:r>
          <w:rPr>
            <w:noProof/>
            <w:webHidden/>
          </w:rPr>
          <w:t>48</w:t>
        </w:r>
        <w:r>
          <w:rPr>
            <w:noProof/>
            <w:webHidden/>
          </w:rPr>
          <w:fldChar w:fldCharType="end"/>
        </w:r>
      </w:hyperlink>
    </w:p>
    <w:p w14:paraId="65C5D48C" w14:textId="6D93154F" w:rsidR="0085394E" w:rsidRDefault="0085394E">
      <w:pPr>
        <w:pStyle w:val="TableofFigures"/>
        <w:tabs>
          <w:tab w:val="right" w:leader="dot" w:pos="9350"/>
        </w:tabs>
        <w:rPr>
          <w:rFonts w:asciiTheme="minorHAnsi" w:hAnsiTheme="minorHAnsi"/>
          <w:noProof/>
        </w:rPr>
      </w:pPr>
      <w:hyperlink w:anchor="_Toc187401816" w:history="1">
        <w:r w:rsidRPr="00A67FFC">
          <w:rPr>
            <w:rStyle w:val="Hyperlink"/>
            <w:noProof/>
          </w:rPr>
          <w:t>Figure 4: DFCI Outpatient Diagnostic Imaging Primary Service Area (90%), 2021</w:t>
        </w:r>
        <w:r>
          <w:rPr>
            <w:noProof/>
            <w:webHidden/>
          </w:rPr>
          <w:tab/>
        </w:r>
        <w:r>
          <w:rPr>
            <w:noProof/>
            <w:webHidden/>
          </w:rPr>
          <w:fldChar w:fldCharType="begin"/>
        </w:r>
        <w:r>
          <w:rPr>
            <w:noProof/>
            <w:webHidden/>
          </w:rPr>
          <w:instrText xml:space="preserve"> PAGEREF _Toc187401816 \h </w:instrText>
        </w:r>
        <w:r>
          <w:rPr>
            <w:noProof/>
            <w:webHidden/>
          </w:rPr>
        </w:r>
        <w:r>
          <w:rPr>
            <w:noProof/>
            <w:webHidden/>
          </w:rPr>
          <w:fldChar w:fldCharType="separate"/>
        </w:r>
        <w:r>
          <w:rPr>
            <w:noProof/>
            <w:webHidden/>
          </w:rPr>
          <w:t>50</w:t>
        </w:r>
        <w:r>
          <w:rPr>
            <w:noProof/>
            <w:webHidden/>
          </w:rPr>
          <w:fldChar w:fldCharType="end"/>
        </w:r>
      </w:hyperlink>
    </w:p>
    <w:p w14:paraId="7177DC38" w14:textId="08782C75" w:rsidR="0085394E" w:rsidRDefault="0085394E">
      <w:pPr>
        <w:pStyle w:val="TableofFigures"/>
        <w:tabs>
          <w:tab w:val="right" w:leader="dot" w:pos="9350"/>
        </w:tabs>
        <w:rPr>
          <w:rFonts w:asciiTheme="minorHAnsi" w:hAnsiTheme="minorHAnsi"/>
          <w:noProof/>
        </w:rPr>
      </w:pPr>
      <w:hyperlink w:anchor="_Toc187401817" w:history="1">
        <w:r w:rsidRPr="00A67FFC">
          <w:rPr>
            <w:rStyle w:val="Hyperlink"/>
            <w:noProof/>
          </w:rPr>
          <w:t>Figure 5: DFCI Radiation Therapy Services Primary Service Area (90%), 2021</w:t>
        </w:r>
        <w:r>
          <w:rPr>
            <w:noProof/>
            <w:webHidden/>
          </w:rPr>
          <w:tab/>
        </w:r>
        <w:r>
          <w:rPr>
            <w:noProof/>
            <w:webHidden/>
          </w:rPr>
          <w:fldChar w:fldCharType="begin"/>
        </w:r>
        <w:r>
          <w:rPr>
            <w:noProof/>
            <w:webHidden/>
          </w:rPr>
          <w:instrText xml:space="preserve"> PAGEREF _Toc187401817 \h </w:instrText>
        </w:r>
        <w:r>
          <w:rPr>
            <w:noProof/>
            <w:webHidden/>
          </w:rPr>
        </w:r>
        <w:r>
          <w:rPr>
            <w:noProof/>
            <w:webHidden/>
          </w:rPr>
          <w:fldChar w:fldCharType="separate"/>
        </w:r>
        <w:r>
          <w:rPr>
            <w:noProof/>
            <w:webHidden/>
          </w:rPr>
          <w:t>61</w:t>
        </w:r>
        <w:r>
          <w:rPr>
            <w:noProof/>
            <w:webHidden/>
          </w:rPr>
          <w:fldChar w:fldCharType="end"/>
        </w:r>
      </w:hyperlink>
    </w:p>
    <w:p w14:paraId="62EAAA21" w14:textId="1E4836A0" w:rsidR="00AA7D20" w:rsidRDefault="00F93CB5" w:rsidP="00AA7D20">
      <w:r>
        <w:fldChar w:fldCharType="end"/>
      </w:r>
    </w:p>
    <w:p w14:paraId="5860BB86" w14:textId="77777777" w:rsidR="00AA7D20" w:rsidRDefault="00AA7D20">
      <w:pPr>
        <w:rPr>
          <w:rFonts w:ascii="Times New Roman Bold" w:hAnsi="Times New Roman Bold" w:hint="eastAsia"/>
          <w:b/>
          <w:bCs/>
          <w:caps/>
        </w:rPr>
      </w:pPr>
      <w:r>
        <w:rPr>
          <w:rFonts w:hint="eastAsia"/>
        </w:rPr>
        <w:br w:type="page"/>
      </w:r>
    </w:p>
    <w:p w14:paraId="4D280388" w14:textId="478F638B" w:rsidR="00A76F0F" w:rsidRDefault="00A76F0F" w:rsidP="00017609">
      <w:pPr>
        <w:pStyle w:val="Heading1"/>
        <w:rPr>
          <w:rFonts w:hint="eastAsia"/>
        </w:rPr>
      </w:pPr>
      <w:bookmarkStart w:id="0" w:name="_Toc187401730"/>
      <w:r w:rsidRPr="00762734">
        <w:lastRenderedPageBreak/>
        <w:t>Executive Summary</w:t>
      </w:r>
      <w:bookmarkEnd w:id="0"/>
    </w:p>
    <w:p w14:paraId="3E3710FD" w14:textId="517B5B72" w:rsidR="006B00EC" w:rsidRPr="00762734" w:rsidRDefault="009B2094" w:rsidP="008C4EE0">
      <w:pPr>
        <w:pStyle w:val="Heading2"/>
      </w:pPr>
      <w:bookmarkStart w:id="1" w:name="_Toc187401731"/>
      <w:r>
        <w:t>Overview of the ICA Report</w:t>
      </w:r>
      <w:bookmarkEnd w:id="1"/>
    </w:p>
    <w:p w14:paraId="0D0A85AE" w14:textId="6330CD62" w:rsidR="006B00EC" w:rsidRDefault="006B00EC" w:rsidP="006B00EC">
      <w:pPr>
        <w:numPr>
          <w:ilvl w:val="0"/>
          <w:numId w:val="4"/>
        </w:numPr>
        <w:spacing w:before="120" w:after="120" w:line="360" w:lineRule="auto"/>
        <w:ind w:hanging="547"/>
        <w:jc w:val="both"/>
      </w:pPr>
      <w:r w:rsidRPr="00762734">
        <w:t xml:space="preserve">Dana-Farber Cancer Institute, Inc. (DFCI or Applicant) </w:t>
      </w:r>
      <w:r>
        <w:t xml:space="preserve">filed a Determination of Need (DoN) Application for project number DFCI-23040915-HE on </w:t>
      </w:r>
      <w:r w:rsidR="009F32CC">
        <w:t>October 24, 2023</w:t>
      </w:r>
      <w:r>
        <w:t>.</w:t>
      </w:r>
      <w:r w:rsidR="009F32CC">
        <w:rPr>
          <w:rStyle w:val="FootnoteReference"/>
        </w:rPr>
        <w:footnoteReference w:id="1"/>
      </w:r>
      <w:r>
        <w:t xml:space="preserve"> The DoN Application covers </w:t>
      </w:r>
      <w:r w:rsidRPr="00762734">
        <w:t>develop</w:t>
      </w:r>
      <w:r>
        <w:t>ment of</w:t>
      </w:r>
      <w:r w:rsidRPr="00762734">
        <w:t xml:space="preserve"> a freestanding, dedicated inpatient cancer hospital with imaging and radiation oncology capabilities</w:t>
      </w:r>
      <w:r>
        <w:t xml:space="preserve"> (the Proposed Project)</w:t>
      </w:r>
      <w:r w:rsidRPr="00762734">
        <w:t>.</w:t>
      </w:r>
      <w:r w:rsidR="009F32CC">
        <w:rPr>
          <w:rStyle w:val="FootnoteReference"/>
        </w:rPr>
        <w:footnoteReference w:id="2"/>
      </w:r>
      <w:r w:rsidRPr="00762734">
        <w:t xml:space="preserve"> </w:t>
      </w:r>
    </w:p>
    <w:p w14:paraId="0D8E111B" w14:textId="5C4EBF45" w:rsidR="009F32CC" w:rsidRDefault="009F32CC" w:rsidP="006B00EC">
      <w:pPr>
        <w:numPr>
          <w:ilvl w:val="0"/>
          <w:numId w:val="4"/>
        </w:numPr>
        <w:spacing w:before="120" w:after="120" w:line="360" w:lineRule="auto"/>
        <w:ind w:hanging="547"/>
        <w:jc w:val="both"/>
      </w:pPr>
      <w:r>
        <w:t xml:space="preserve">As part of the DoN application process, </w:t>
      </w:r>
      <w:r w:rsidR="00014576">
        <w:t>the Massachusetts Department of Public Health (</w:t>
      </w:r>
      <w:r>
        <w:t>DPH</w:t>
      </w:r>
      <w:r w:rsidR="00014576">
        <w:t>)</w:t>
      </w:r>
      <w:r>
        <w:t xml:space="preserve"> has requested an Independent Cost Analysis (ICA) of the Proposed Project.</w:t>
      </w:r>
      <w:r>
        <w:rPr>
          <w:rStyle w:val="FootnoteReference"/>
        </w:rPr>
        <w:footnoteReference w:id="3"/>
      </w:r>
      <w:r>
        <w:t xml:space="preserve"> FTI Consulting (FTI) was asked to provide an independent and objective analysis of the Proposed Project and the DoN Application at the direction of the DoN program. While DFCI has contracted and finances work conducted by FTI’s Center for Healthcare Economics and Policy, </w:t>
      </w:r>
      <w:r w:rsidR="00495C95">
        <w:t>FTI’s</w:t>
      </w:r>
      <w:r>
        <w:t xml:space="preserve"> operations and analysis are independent of DFCI, and DFCI has no input into decision</w:t>
      </w:r>
      <w:r w:rsidR="00495C95">
        <w:t>s</w:t>
      </w:r>
      <w:r>
        <w:t xml:space="preserve"> made in this analysis with relation to methods, data, or conclusions. FTI has also conducted the ICA analyses independently of the staff of the DoN program at the Massachusetts DPH. This independent analysis and the ICA </w:t>
      </w:r>
      <w:r w:rsidR="00191445">
        <w:t>r</w:t>
      </w:r>
      <w:r>
        <w:t>eport include assessment and analysis of specific questions and issues about the Proposed Project using and applying relevant standards to data and information.</w:t>
      </w:r>
      <w:r>
        <w:rPr>
          <w:rStyle w:val="FootnoteReference"/>
        </w:rPr>
        <w:footnoteReference w:id="4"/>
      </w:r>
    </w:p>
    <w:p w14:paraId="48CCC4F9" w14:textId="2B54017D" w:rsidR="009B2094" w:rsidRDefault="00B47CE8" w:rsidP="00017609">
      <w:pPr>
        <w:numPr>
          <w:ilvl w:val="0"/>
          <w:numId w:val="4"/>
        </w:numPr>
        <w:spacing w:before="120" w:after="120" w:line="360" w:lineRule="auto"/>
        <w:ind w:hanging="547"/>
        <w:jc w:val="both"/>
      </w:pPr>
      <w:r>
        <w:t xml:space="preserve">FTI was asked by DPH to provide analysis on the impact of the Proposed Project on </w:t>
      </w:r>
      <w:r w:rsidR="009B2094">
        <w:t>utilization</w:t>
      </w:r>
      <w:r>
        <w:t xml:space="preserve">, </w:t>
      </w:r>
      <w:r w:rsidR="009B2094">
        <w:t>capacity</w:t>
      </w:r>
      <w:r>
        <w:t xml:space="preserve">, prices, competition, equitable access, and healthcare costs of the services implicated by the Proposed Project and to assess </w:t>
      </w:r>
      <w:r w:rsidR="009B2094">
        <w:t xml:space="preserve">the bearers of any cost impacts. </w:t>
      </w:r>
      <w:r>
        <w:t xml:space="preserve">The </w:t>
      </w:r>
      <w:r w:rsidR="00AB4D0F">
        <w:t>q</w:t>
      </w:r>
      <w:r>
        <w:t xml:space="preserve">uestions posed by DPH </w:t>
      </w:r>
      <w:r w:rsidR="009B2094">
        <w:t>cover both current and future time frames.</w:t>
      </w:r>
      <w:r>
        <w:t xml:space="preserve"> </w:t>
      </w:r>
      <w:r w:rsidR="009B2094">
        <w:t>FTI was also asked to evaluate specific findings and conclusions in the DFCI submissions and to present these assessments with the major elements in an ICA report along with relevant supporting data and analyses.</w:t>
      </w:r>
      <w:r w:rsidR="009B2094">
        <w:rPr>
          <w:rStyle w:val="FootnoteReference"/>
        </w:rPr>
        <w:footnoteReference w:id="5"/>
      </w:r>
    </w:p>
    <w:p w14:paraId="417E1037" w14:textId="7DA9C3C7" w:rsidR="009B2094" w:rsidRDefault="009B2094" w:rsidP="006B00EC">
      <w:pPr>
        <w:numPr>
          <w:ilvl w:val="0"/>
          <w:numId w:val="4"/>
        </w:numPr>
        <w:spacing w:before="120" w:after="120" w:line="360" w:lineRule="auto"/>
        <w:ind w:hanging="547"/>
        <w:jc w:val="both"/>
      </w:pPr>
      <w:r>
        <w:t xml:space="preserve">In conducting its analyses, FTI had access to and made use of extensive data and information, which are summarized throughout this </w:t>
      </w:r>
      <w:r w:rsidR="00191445">
        <w:t>r</w:t>
      </w:r>
      <w:r>
        <w:t xml:space="preserve">eport and </w:t>
      </w:r>
      <w:r w:rsidR="00191445">
        <w:t>its a</w:t>
      </w:r>
      <w:r>
        <w:t xml:space="preserve">ppendix. The </w:t>
      </w:r>
      <w:r w:rsidR="00191445">
        <w:t>r</w:t>
      </w:r>
      <w:r>
        <w:t xml:space="preserve">eport makes use of FTI economist and professional staff experience in healthcare, including in evaluating price, competition, capacity, </w:t>
      </w:r>
      <w:r>
        <w:lastRenderedPageBreak/>
        <w:t xml:space="preserve">service areas, demand and utilization forecasts, </w:t>
      </w:r>
      <w:r w:rsidR="008B56A9">
        <w:t xml:space="preserve">and economically appropriate modeling of inpatient and outpatient healthcare services. The </w:t>
      </w:r>
      <w:r w:rsidR="00191445">
        <w:t>r</w:t>
      </w:r>
      <w:r w:rsidR="008B56A9">
        <w:t>eport’s analysis applies these capabilities to address the specific questions</w:t>
      </w:r>
      <w:r w:rsidR="00CE7454">
        <w:t xml:space="preserve"> (see </w:t>
      </w:r>
      <w:r w:rsidR="00BF35CD">
        <w:t>S</w:t>
      </w:r>
      <w:r w:rsidR="00CE7454">
        <w:t>ection I.B)</w:t>
      </w:r>
      <w:r w:rsidR="008B56A9">
        <w:t xml:space="preserve"> of the impact of the Proposed Project on price and competition, utilization and capacity, cost impacts, equitable access, and consistency with Massachusetts cost containment goals. Empirical work supporting the assessment is presented in th</w:t>
      </w:r>
      <w:r w:rsidR="00191445">
        <w:t>is</w:t>
      </w:r>
      <w:r w:rsidR="008B56A9">
        <w:t xml:space="preserve"> </w:t>
      </w:r>
      <w:r w:rsidR="00191445">
        <w:t>r</w:t>
      </w:r>
      <w:r w:rsidR="008B56A9">
        <w:t>eport and</w:t>
      </w:r>
      <w:r w:rsidR="00191445">
        <w:t xml:space="preserve"> its a</w:t>
      </w:r>
      <w:r w:rsidR="008B56A9">
        <w:t>ppendix along with relevant assumptions and methodologies.</w:t>
      </w:r>
    </w:p>
    <w:p w14:paraId="7192735E" w14:textId="2AC606B6" w:rsidR="008B56A9" w:rsidRDefault="008B56A9" w:rsidP="006B00EC">
      <w:pPr>
        <w:numPr>
          <w:ilvl w:val="0"/>
          <w:numId w:val="4"/>
        </w:numPr>
        <w:spacing w:before="120" w:after="120" w:line="360" w:lineRule="auto"/>
        <w:ind w:hanging="547"/>
        <w:jc w:val="both"/>
      </w:pPr>
      <w:r>
        <w:t xml:space="preserve">After applying standard principles of economic analyses to the specific requirements of the questions set out in the ICA to relevant data and information, FTI reached the conclusions and findings set out </w:t>
      </w:r>
      <w:r w:rsidR="00B47CE8">
        <w:t>below</w:t>
      </w:r>
      <w:r>
        <w:t>.</w:t>
      </w:r>
    </w:p>
    <w:p w14:paraId="5CAA53C7" w14:textId="5C679186" w:rsidR="008B56A9" w:rsidRDefault="0080247D" w:rsidP="008C4EE0">
      <w:pPr>
        <w:pStyle w:val="Heading2"/>
      </w:pPr>
      <w:bookmarkStart w:id="2" w:name="_Toc187401732"/>
      <w:r>
        <w:t>Elements of the ICA</w:t>
      </w:r>
      <w:bookmarkEnd w:id="2"/>
    </w:p>
    <w:p w14:paraId="523F6C0D" w14:textId="50C9F240" w:rsidR="00B871B0" w:rsidRDefault="00F71CD9" w:rsidP="00017609">
      <w:pPr>
        <w:numPr>
          <w:ilvl w:val="0"/>
          <w:numId w:val="4"/>
        </w:numPr>
        <w:spacing w:before="120" w:after="120" w:line="360" w:lineRule="auto"/>
        <w:ind w:hanging="547"/>
        <w:jc w:val="both"/>
      </w:pPr>
      <w:r>
        <w:t xml:space="preserve">This section </w:t>
      </w:r>
      <w:r w:rsidR="00B871B0">
        <w:t xml:space="preserve">outlines </w:t>
      </w:r>
      <w:r w:rsidR="00191445">
        <w:t xml:space="preserve">the </w:t>
      </w:r>
      <w:r>
        <w:t>q</w:t>
      </w:r>
      <w:r w:rsidR="00C23FFD">
        <w:t xml:space="preserve">uestions </w:t>
      </w:r>
      <w:r>
        <w:t xml:space="preserve">posed by DPH to FTI in connection with this ICA </w:t>
      </w:r>
      <w:r w:rsidR="000B00E1">
        <w:t>(the “ICA Questions”)</w:t>
      </w:r>
      <w:r w:rsidR="0080247D">
        <w:t>.</w:t>
      </w:r>
      <w:r w:rsidR="00B871B0">
        <w:rPr>
          <w:rStyle w:val="FootnoteReference"/>
        </w:rPr>
        <w:footnoteReference w:id="6"/>
      </w:r>
      <w:r w:rsidR="0080247D">
        <w:t xml:space="preserve"> </w:t>
      </w:r>
      <w:r w:rsidR="00CD487E">
        <w:t xml:space="preserve">DPH asked FTI to assess three specific areas of inquiry: (i) the effects of the Proposed Project on prices and competition for healthcare services in Massachusetts, (ii) the effects of the Proposed Project on utilization of services and the capacity of providers to provide relevant healthcare services, and (iii) the Proposed Project’s potential to increase equitable access to cancer care. DPH also posed additional questions beyond these specific areas. </w:t>
      </w:r>
    </w:p>
    <w:p w14:paraId="43D5857D" w14:textId="417B6C4F" w:rsidR="00CD487E" w:rsidRDefault="00CD487E" w:rsidP="006B00EC">
      <w:pPr>
        <w:numPr>
          <w:ilvl w:val="0"/>
          <w:numId w:val="4"/>
        </w:numPr>
        <w:spacing w:before="120" w:after="120" w:line="360" w:lineRule="auto"/>
        <w:ind w:hanging="547"/>
        <w:jc w:val="both"/>
      </w:pPr>
      <w:r>
        <w:t>Regarding questions related to prices and competition, DPH asked FTI to address the following questions:</w:t>
      </w:r>
    </w:p>
    <w:p w14:paraId="37B554A3" w14:textId="394CD5D5" w:rsidR="00CD487E" w:rsidRDefault="00CD487E" w:rsidP="00CD487E">
      <w:pPr>
        <w:pStyle w:val="ListParagraph"/>
        <w:numPr>
          <w:ilvl w:val="0"/>
          <w:numId w:val="30"/>
        </w:numPr>
        <w:spacing w:before="120" w:after="120" w:line="360" w:lineRule="auto"/>
        <w:ind w:left="1080"/>
        <w:jc w:val="both"/>
      </w:pPr>
      <w:r>
        <w:t>H</w:t>
      </w:r>
      <w:r w:rsidRPr="00CD487E">
        <w:t>ow will the Project change utilization at higher versus lower priced providers, and what will be the subsequent impact on health care prices/spending for commercial and public payors?</w:t>
      </w:r>
    </w:p>
    <w:p w14:paraId="40CF0827" w14:textId="5D43D3EB" w:rsidR="00CD487E" w:rsidRDefault="00CD487E" w:rsidP="00CD487E">
      <w:pPr>
        <w:pStyle w:val="ListParagraph"/>
        <w:numPr>
          <w:ilvl w:val="0"/>
          <w:numId w:val="30"/>
        </w:numPr>
        <w:spacing w:before="120" w:after="120" w:line="360" w:lineRule="auto"/>
        <w:ind w:left="1080"/>
        <w:jc w:val="both"/>
      </w:pPr>
      <w:r w:rsidRPr="00CD487E">
        <w:t>How will the Project change price levels for the Applicant’s relevant services, and what will be the subsequent impact on health care prices/spending for commercial and public payors?</w:t>
      </w:r>
    </w:p>
    <w:p w14:paraId="388922DF" w14:textId="199F3649" w:rsidR="00CD487E" w:rsidRPr="00B871B0" w:rsidRDefault="00CD487E" w:rsidP="00CD487E">
      <w:pPr>
        <w:pStyle w:val="ListParagraph"/>
        <w:numPr>
          <w:ilvl w:val="0"/>
          <w:numId w:val="30"/>
        </w:numPr>
        <w:spacing w:before="120" w:after="120" w:line="360" w:lineRule="auto"/>
        <w:ind w:left="1080"/>
        <w:jc w:val="both"/>
      </w:pPr>
      <w:r w:rsidRPr="00CD487E">
        <w:t>How will the Project impact the Applicant’s relevant market share for services and its negotiating leverage, and what will be the subsequent impact on health care prices/spending for commercial and public payors?</w:t>
      </w:r>
    </w:p>
    <w:p w14:paraId="39D75CBC" w14:textId="124F1530" w:rsidR="00CD487E" w:rsidRDefault="00CD487E" w:rsidP="00CD487E">
      <w:pPr>
        <w:numPr>
          <w:ilvl w:val="0"/>
          <w:numId w:val="4"/>
        </w:numPr>
        <w:spacing w:before="120" w:after="120" w:line="360" w:lineRule="auto"/>
        <w:ind w:hanging="547"/>
        <w:jc w:val="both"/>
      </w:pPr>
      <w:r>
        <w:t>Regarding questions related to utilization and capacity, DPH asked FTI to address the following questions:</w:t>
      </w:r>
    </w:p>
    <w:p w14:paraId="018CE3EC" w14:textId="151074E2" w:rsidR="00CD487E" w:rsidRDefault="00CD487E" w:rsidP="00CD487E">
      <w:pPr>
        <w:pStyle w:val="ListParagraph"/>
        <w:numPr>
          <w:ilvl w:val="0"/>
          <w:numId w:val="31"/>
        </w:numPr>
        <w:spacing w:before="120" w:after="120" w:line="360" w:lineRule="auto"/>
        <w:ind w:left="1080"/>
        <w:jc w:val="both"/>
      </w:pPr>
      <w:r w:rsidRPr="00CD487E">
        <w:t xml:space="preserve">Evaluate the Applicant’s calculation of need for the proposed project. The ICA should document current service availability throughout the state, the current population served (including payor mix) and patient demographics of the state (including by cancer providers in </w:t>
      </w:r>
      <w:r w:rsidRPr="00CD487E">
        <w:lastRenderedPageBreak/>
        <w:t>the state) and expected changes in the population and demographics in the state over the next ten years.  The ICA should also analyze current and potential utilization of the services and shifts from existing providers and the subsequent impact on cost and health equity outcomes, including assessing DFCI and competitors’ patient profiles (e.g., demographics, insurance coverage, and acuity levels).</w:t>
      </w:r>
    </w:p>
    <w:p w14:paraId="0AD18ED4" w14:textId="0167AE0D" w:rsidR="00CD487E" w:rsidRDefault="00CD487E" w:rsidP="00CD487E">
      <w:pPr>
        <w:pStyle w:val="ListParagraph"/>
        <w:numPr>
          <w:ilvl w:val="0"/>
          <w:numId w:val="31"/>
        </w:numPr>
        <w:spacing w:before="120" w:after="120" w:line="360" w:lineRule="auto"/>
        <w:ind w:left="1080"/>
        <w:jc w:val="both"/>
      </w:pPr>
      <w:r w:rsidRPr="00CD487E">
        <w:t>What conditions have to/need to be met for Dana-Farber to achieve their volume projections?</w:t>
      </w:r>
    </w:p>
    <w:p w14:paraId="328A843B" w14:textId="672D356C" w:rsidR="00CD487E" w:rsidRDefault="00CD487E" w:rsidP="00017609">
      <w:pPr>
        <w:pStyle w:val="ListParagraph"/>
        <w:numPr>
          <w:ilvl w:val="0"/>
          <w:numId w:val="31"/>
        </w:numPr>
        <w:spacing w:before="120" w:after="120" w:line="360" w:lineRule="auto"/>
        <w:ind w:left="1080"/>
        <w:jc w:val="both"/>
      </w:pPr>
      <w:r w:rsidRPr="00CD487E">
        <w:t>Where will DFCI’s projected inpatient volume originate once the proposed hospital is in operation? How does the source of projected inpatient volume compare to the current sources of inpatient volume? What assumptions are implicit in the Applicant’s calculation/estimation of historical and projected inpatient volume?</w:t>
      </w:r>
    </w:p>
    <w:p w14:paraId="6CBEC86F" w14:textId="3D79F839" w:rsidR="00CD487E" w:rsidRDefault="00CD487E" w:rsidP="00CD487E">
      <w:pPr>
        <w:pStyle w:val="ListParagraph"/>
        <w:numPr>
          <w:ilvl w:val="0"/>
          <w:numId w:val="31"/>
        </w:numPr>
        <w:spacing w:before="120" w:after="120" w:line="360" w:lineRule="auto"/>
        <w:ind w:left="1080"/>
        <w:jc w:val="both"/>
      </w:pPr>
      <w:r w:rsidRPr="00CD487E">
        <w:t>How much, if any, of the Applicant’s projected need for highly specialized inpatient oncology care (CAR T Cell Therapy and Bispecific Antibodies) can be met by other providers within the Commonwealth? (And by which providers?) How much of the projected need can only be addressed by the advanced care that the Applicant will provide at the proposed Facility?</w:t>
      </w:r>
    </w:p>
    <w:p w14:paraId="216BCAA1" w14:textId="2EE7FCD0" w:rsidR="00CD487E" w:rsidRDefault="00CD487E" w:rsidP="00CD487E">
      <w:pPr>
        <w:pStyle w:val="ListParagraph"/>
        <w:numPr>
          <w:ilvl w:val="0"/>
          <w:numId w:val="31"/>
        </w:numPr>
        <w:spacing w:before="120" w:after="120" w:line="360" w:lineRule="auto"/>
        <w:ind w:left="1080"/>
        <w:jc w:val="both"/>
      </w:pPr>
      <w:r w:rsidRPr="00CD487E">
        <w:t xml:space="preserve">Analyze the Applicant’s projected need by bed type: ICU versus </w:t>
      </w:r>
      <w:r>
        <w:t>medical/surgical.</w:t>
      </w:r>
    </w:p>
    <w:p w14:paraId="551A2E30" w14:textId="1DD6DFEC" w:rsidR="00CD487E" w:rsidRDefault="00CD487E" w:rsidP="00CD487E">
      <w:pPr>
        <w:pStyle w:val="ListParagraph"/>
        <w:numPr>
          <w:ilvl w:val="0"/>
          <w:numId w:val="31"/>
        </w:numPr>
        <w:spacing w:before="120" w:after="120" w:line="360" w:lineRule="auto"/>
        <w:ind w:left="1080"/>
        <w:jc w:val="both"/>
      </w:pPr>
      <w:r w:rsidRPr="00CD487E">
        <w:t>Evaluate potential shifts in utilization of services by inpatient cancer patients, including assessing changes from lower-cost to higher-cost services, settings or health care providers, and the subsequent impact on the payer mix and financial stability of health care providers, including lower-cost and safety net providers who serve a disproportionate number of publicly insured (e.g. MassHealth) and uninsured people The assessment should include the Applicant’s and competitor’s patient profiles (e.g. demographics (race, ethnicity, language, disability status, etc.)</w:t>
      </w:r>
    </w:p>
    <w:p w14:paraId="13881DD4" w14:textId="3125DE95" w:rsidR="00CD487E" w:rsidRDefault="00CD487E" w:rsidP="00CD487E">
      <w:pPr>
        <w:pStyle w:val="ListParagraph"/>
        <w:numPr>
          <w:ilvl w:val="0"/>
          <w:numId w:val="31"/>
        </w:numPr>
        <w:spacing w:before="120" w:after="120" w:line="360" w:lineRule="auto"/>
        <w:ind w:left="1080"/>
        <w:jc w:val="both"/>
      </w:pPr>
      <w:r w:rsidRPr="00CD487E">
        <w:t>Evaluate access to the project services by individuals enrolled in MassHealth (e.g. MassHealth Accountable Care Organization participants), individuals in subsidized insurance products through the Health Connector Authority (i.e., ConnectorCare health plans), and safety net programs (e.g. MassHealth Limited, Health Safety Net)</w:t>
      </w:r>
    </w:p>
    <w:p w14:paraId="5B7CCE76" w14:textId="0A42BED3" w:rsidR="00CD487E" w:rsidRPr="00CD487E" w:rsidRDefault="00CD487E" w:rsidP="00CD487E">
      <w:pPr>
        <w:pStyle w:val="ListParagraph"/>
        <w:numPr>
          <w:ilvl w:val="0"/>
          <w:numId w:val="31"/>
        </w:numPr>
        <w:spacing w:before="120" w:after="120" w:line="360" w:lineRule="auto"/>
        <w:ind w:left="1080"/>
        <w:jc w:val="both"/>
      </w:pPr>
      <w:r w:rsidRPr="00CD487E">
        <w:t>Evaluate the potential for the project to lead to “supply-induced demand” for health care services.</w:t>
      </w:r>
    </w:p>
    <w:p w14:paraId="0168DABF" w14:textId="6D9BEFE5" w:rsidR="00CD487E" w:rsidRDefault="008B1E99" w:rsidP="006B00EC">
      <w:pPr>
        <w:numPr>
          <w:ilvl w:val="0"/>
          <w:numId w:val="4"/>
        </w:numPr>
        <w:spacing w:before="120" w:after="120" w:line="360" w:lineRule="auto"/>
        <w:ind w:hanging="547"/>
        <w:jc w:val="both"/>
      </w:pPr>
      <w:r>
        <w:t>Regarding questions related to equitable access to cancer care, DPH asked FTI to address the following questions:</w:t>
      </w:r>
    </w:p>
    <w:p w14:paraId="525BB95F" w14:textId="0BE823D4" w:rsidR="008B1E99" w:rsidRDefault="008B1E99" w:rsidP="008B1E99">
      <w:pPr>
        <w:pStyle w:val="ListParagraph"/>
        <w:numPr>
          <w:ilvl w:val="0"/>
          <w:numId w:val="32"/>
        </w:numPr>
        <w:spacing w:before="120" w:after="120" w:line="360" w:lineRule="auto"/>
        <w:ind w:left="1080"/>
        <w:jc w:val="both"/>
      </w:pPr>
      <w:r w:rsidRPr="008B1E99">
        <w:t>Evaluate the current and projected makeup of the Applicant’s Patient Panel by Race/Ethnicity, Payer Mix, and Patient Origin.</w:t>
      </w:r>
    </w:p>
    <w:p w14:paraId="6E372F2A" w14:textId="1614DBDD" w:rsidR="008B1E99" w:rsidRPr="00CD487E" w:rsidRDefault="008B1E99" w:rsidP="008B1E99">
      <w:pPr>
        <w:pStyle w:val="ListParagraph"/>
        <w:numPr>
          <w:ilvl w:val="0"/>
          <w:numId w:val="32"/>
        </w:numPr>
        <w:spacing w:before="120" w:after="120" w:line="360" w:lineRule="auto"/>
        <w:ind w:left="1080"/>
        <w:jc w:val="both"/>
      </w:pPr>
      <w:r w:rsidRPr="008B1E99">
        <w:lastRenderedPageBreak/>
        <w:t>Evaluate current and projected Patient Panel utilization of the Applicant’s services (inpatient and outpatient services that would expand through the Proposed Project) by race/ethnicity, payer mix, and/or patient origin.</w:t>
      </w:r>
    </w:p>
    <w:p w14:paraId="1B93808A" w14:textId="5FBDE24B" w:rsidR="008B1E99" w:rsidRDefault="008B1E99" w:rsidP="006B00EC">
      <w:pPr>
        <w:numPr>
          <w:ilvl w:val="0"/>
          <w:numId w:val="4"/>
        </w:numPr>
        <w:spacing w:before="120" w:after="120" w:line="360" w:lineRule="auto"/>
        <w:ind w:hanging="547"/>
        <w:jc w:val="both"/>
      </w:pPr>
      <w:r>
        <w:t>DPH also asked FTI to address three overarching questions regarding healthcare costs:</w:t>
      </w:r>
    </w:p>
    <w:p w14:paraId="04413B98" w14:textId="0BDEA26D" w:rsidR="008B1E99" w:rsidRDefault="008B1E99" w:rsidP="008B1E99">
      <w:pPr>
        <w:pStyle w:val="ListParagraph"/>
        <w:numPr>
          <w:ilvl w:val="0"/>
          <w:numId w:val="33"/>
        </w:numPr>
        <w:spacing w:before="120" w:after="120" w:line="360" w:lineRule="auto"/>
        <w:ind w:left="1080"/>
        <w:jc w:val="both"/>
      </w:pPr>
      <w:r w:rsidRPr="008B1E99">
        <w:t>Based on this analysis, is the Proposed Project consistent with the Commonwealth's efforts to meet the health care cost-containment goals, including scope and size of any impact?</w:t>
      </w:r>
    </w:p>
    <w:p w14:paraId="15CE2939" w14:textId="26773F75" w:rsidR="008B1E99" w:rsidRDefault="008B1E99" w:rsidP="008B1E99">
      <w:pPr>
        <w:pStyle w:val="ListParagraph"/>
        <w:numPr>
          <w:ilvl w:val="0"/>
          <w:numId w:val="33"/>
        </w:numPr>
        <w:spacing w:before="120" w:after="120" w:line="360" w:lineRule="auto"/>
        <w:ind w:left="1080"/>
        <w:jc w:val="both"/>
      </w:pPr>
      <w:r w:rsidRPr="008B1E99">
        <w:t>If costs increase under the project, who bears the consequences of that increase in costs: third-party payors, patients, or health plan sponsors (e.g., employers)?</w:t>
      </w:r>
    </w:p>
    <w:p w14:paraId="311BC8F5" w14:textId="4BF82F66" w:rsidR="008B1E99" w:rsidRPr="008B1E99" w:rsidRDefault="008B1E99" w:rsidP="008B1E99">
      <w:pPr>
        <w:pStyle w:val="ListParagraph"/>
        <w:numPr>
          <w:ilvl w:val="0"/>
          <w:numId w:val="33"/>
        </w:numPr>
        <w:spacing w:before="120" w:after="120" w:line="360" w:lineRule="auto"/>
        <w:ind w:left="1080"/>
        <w:jc w:val="both"/>
      </w:pPr>
      <w:r w:rsidRPr="008B1E99">
        <w:t>If savings are realized under the project, who benefits from those savings?</w:t>
      </w:r>
    </w:p>
    <w:p w14:paraId="477B49B7" w14:textId="700CC935" w:rsidR="00F71CD9" w:rsidRPr="006B00EC" w:rsidRDefault="0080247D" w:rsidP="0080247D">
      <w:pPr>
        <w:numPr>
          <w:ilvl w:val="0"/>
          <w:numId w:val="4"/>
        </w:numPr>
        <w:spacing w:before="120" w:after="120" w:line="360" w:lineRule="auto"/>
        <w:ind w:hanging="547"/>
        <w:jc w:val="both"/>
      </w:pPr>
      <w:r>
        <w:t>This report and its accompanying appendix answer the ICA Questions and provide the analysis and data used to support FTI’s conclusions. Section III.C below outlines these analyses with references to relevant sections of the report.</w:t>
      </w:r>
    </w:p>
    <w:p w14:paraId="6D71D82C" w14:textId="77777777" w:rsidR="000224C4" w:rsidRPr="00762734" w:rsidRDefault="000224C4" w:rsidP="00D828A9">
      <w:pPr>
        <w:pStyle w:val="Heading1"/>
        <w:rPr>
          <w:rFonts w:hint="eastAsia"/>
        </w:rPr>
      </w:pPr>
      <w:bookmarkStart w:id="3" w:name="_Toc187401733"/>
      <w:r w:rsidRPr="00762734">
        <w:t>Introduction</w:t>
      </w:r>
      <w:bookmarkEnd w:id="3"/>
      <w:r w:rsidRPr="00762734">
        <w:t xml:space="preserve"> </w:t>
      </w:r>
    </w:p>
    <w:p w14:paraId="1840B734" w14:textId="27DE554D" w:rsidR="000224C4" w:rsidRPr="00762734" w:rsidRDefault="00C23FFD" w:rsidP="008C4EE0">
      <w:pPr>
        <w:pStyle w:val="Heading2"/>
        <w:numPr>
          <w:ilvl w:val="0"/>
          <w:numId w:val="18"/>
        </w:numPr>
      </w:pPr>
      <w:bookmarkStart w:id="4" w:name="_Toc187401734"/>
      <w:r>
        <w:t>Overview of the Proposed Project</w:t>
      </w:r>
      <w:bookmarkEnd w:id="4"/>
    </w:p>
    <w:p w14:paraId="3286B0A3" w14:textId="4915693B" w:rsidR="00342E01" w:rsidRPr="00762734" w:rsidRDefault="00BF5F54" w:rsidP="00342E01">
      <w:pPr>
        <w:numPr>
          <w:ilvl w:val="0"/>
          <w:numId w:val="4"/>
        </w:numPr>
        <w:spacing w:before="120" w:after="120" w:line="360" w:lineRule="auto"/>
        <w:ind w:hanging="547"/>
        <w:jc w:val="both"/>
      </w:pPr>
      <w:r w:rsidRPr="00762734">
        <w:t>DFCI proposes to develop a freestanding, dedicated inpatient cancer hospital in Boston with imaging and radiation oncology capabilities</w:t>
      </w:r>
      <w:r w:rsidR="00DB4D9B" w:rsidRPr="00762734">
        <w:t xml:space="preserve"> to ensure that it is able to meet the growing need for sophisticated cancer care</w:t>
      </w:r>
      <w:r w:rsidRPr="00762734">
        <w:t>.</w:t>
      </w:r>
      <w:r w:rsidR="00A27A52" w:rsidRPr="00762734">
        <w:rPr>
          <w:rStyle w:val="FootnoteReference"/>
        </w:rPr>
        <w:footnoteReference w:id="7"/>
      </w:r>
      <w:r w:rsidRPr="00762734">
        <w:t xml:space="preserve"> </w:t>
      </w:r>
      <w:r w:rsidR="00DB4D9B" w:rsidRPr="00762734">
        <w:t xml:space="preserve">To provide the Applicant’s patients with access to a full continuum of services, the new facility will be located adjacent to Beth Israel Deaconess Medical Center (BIDMC), and the two facilities will be connected via a </w:t>
      </w:r>
      <w:r w:rsidR="00E34B92">
        <w:t xml:space="preserve">tunnel and </w:t>
      </w:r>
      <w:r w:rsidR="00DB4D9B" w:rsidRPr="00762734">
        <w:t>bridge.</w:t>
      </w:r>
      <w:r w:rsidR="00A27A52">
        <w:rPr>
          <w:rStyle w:val="FootnoteReference"/>
        </w:rPr>
        <w:footnoteReference w:id="8"/>
      </w:r>
      <w:r w:rsidR="00AD08A8">
        <w:t xml:space="preserve"> </w:t>
      </w:r>
    </w:p>
    <w:p w14:paraId="5BED56E2" w14:textId="26E298F7" w:rsidR="00BF5F54" w:rsidRPr="00762734" w:rsidRDefault="00BF5F54" w:rsidP="00342E01">
      <w:pPr>
        <w:numPr>
          <w:ilvl w:val="0"/>
          <w:numId w:val="4"/>
        </w:numPr>
        <w:spacing w:before="120" w:after="120" w:line="360" w:lineRule="auto"/>
        <w:ind w:hanging="547"/>
        <w:jc w:val="both"/>
      </w:pPr>
      <w:r w:rsidRPr="00762734">
        <w:t xml:space="preserve">The </w:t>
      </w:r>
      <w:r w:rsidR="00DB4D9B" w:rsidRPr="00762734">
        <w:t>P</w:t>
      </w:r>
      <w:r w:rsidRPr="00762734">
        <w:t xml:space="preserve">roposed </w:t>
      </w:r>
      <w:r w:rsidR="00DB4D9B" w:rsidRPr="00762734">
        <w:t>P</w:t>
      </w:r>
      <w:r w:rsidRPr="00762734">
        <w:t xml:space="preserve">roject </w:t>
      </w:r>
      <w:r w:rsidR="00762734" w:rsidRPr="00762734">
        <w:t xml:space="preserve">would </w:t>
      </w:r>
      <w:r w:rsidR="00DB4D9B" w:rsidRPr="00762734">
        <w:t xml:space="preserve">include the construction of a new, approximately 688,100 square-foot inpatient hospital facility </w:t>
      </w:r>
      <w:r w:rsidRPr="00762734">
        <w:t>to be located at 1 Joslin Place, Boston, Massachusetts 02215</w:t>
      </w:r>
      <w:r w:rsidR="00DB4D9B" w:rsidRPr="00762734">
        <w:t xml:space="preserve">. The facility </w:t>
      </w:r>
      <w:r w:rsidR="00762734" w:rsidRPr="00762734">
        <w:t xml:space="preserve">would </w:t>
      </w:r>
      <w:r w:rsidR="00DB4D9B" w:rsidRPr="00762734">
        <w:t xml:space="preserve">include </w:t>
      </w:r>
      <w:r w:rsidRPr="00762734">
        <w:t>300 adult inpatient beds</w:t>
      </w:r>
      <w:r w:rsidR="00DB4D9B" w:rsidRPr="00762734">
        <w:t xml:space="preserve"> and </w:t>
      </w:r>
      <w:r w:rsidR="00DB4D9B" w:rsidRPr="00F263FE">
        <w:t>20 observation beds</w:t>
      </w:r>
      <w:r w:rsidR="00DB4D9B" w:rsidRPr="00762734">
        <w:t xml:space="preserve">. Thirty of the 300 inpatient beds </w:t>
      </w:r>
      <w:r w:rsidR="00762734" w:rsidRPr="00762734">
        <w:t xml:space="preserve">would </w:t>
      </w:r>
      <w:r w:rsidR="00DB4D9B" w:rsidRPr="00762734">
        <w:t xml:space="preserve">be transferred from </w:t>
      </w:r>
      <w:r w:rsidR="00762734" w:rsidRPr="00762734">
        <w:t xml:space="preserve">DFCI’s current licensed beds, and the remaining 270 would be new licensed beds. The Proposed Project would also include the addition of </w:t>
      </w:r>
      <w:r w:rsidRPr="00762734">
        <w:t xml:space="preserve">two magnetic resonance imaging (MRI) machines, two </w:t>
      </w:r>
      <w:r w:rsidR="00191445">
        <w:t>computed</w:t>
      </w:r>
      <w:r w:rsidRPr="00762734">
        <w:t xml:space="preserve"> tomography (CT) machines, one positron emission tomography machine (PET-CT), </w:t>
      </w:r>
      <w:r w:rsidR="00191445" w:rsidRPr="00762734">
        <w:t>three linear accelerators (LINACs)</w:t>
      </w:r>
      <w:r w:rsidRPr="00762734">
        <w:t>, and</w:t>
      </w:r>
      <w:r w:rsidR="00191445" w:rsidRPr="00191445">
        <w:t xml:space="preserve"> </w:t>
      </w:r>
      <w:r w:rsidR="00191445" w:rsidRPr="00762734">
        <w:t>two CT simulator machines</w:t>
      </w:r>
      <w:r w:rsidRPr="00762734">
        <w:t>.</w:t>
      </w:r>
    </w:p>
    <w:p w14:paraId="4B162E70" w14:textId="559EFBB7" w:rsidR="00BF5F54" w:rsidRPr="00762734" w:rsidRDefault="00BF5F54" w:rsidP="00342E01">
      <w:pPr>
        <w:numPr>
          <w:ilvl w:val="0"/>
          <w:numId w:val="4"/>
        </w:numPr>
        <w:spacing w:before="120" w:after="120" w:line="360" w:lineRule="auto"/>
        <w:ind w:hanging="547"/>
        <w:jc w:val="both"/>
      </w:pPr>
      <w:r w:rsidRPr="00762734">
        <w:rPr>
          <w:b/>
          <w:bCs/>
        </w:rPr>
        <w:t xml:space="preserve">Inpatient </w:t>
      </w:r>
      <w:r w:rsidR="0034295E">
        <w:rPr>
          <w:b/>
          <w:bCs/>
        </w:rPr>
        <w:t xml:space="preserve">Cancer Care </w:t>
      </w:r>
      <w:r w:rsidR="0034295E">
        <w:t xml:space="preserve">– DFCI </w:t>
      </w:r>
      <w:r w:rsidRPr="00762734">
        <w:t xml:space="preserve">currently employs physicians that provide inpatient </w:t>
      </w:r>
      <w:r w:rsidR="0034295E">
        <w:t xml:space="preserve">oncology services (cancer care) to patients in its </w:t>
      </w:r>
      <w:r w:rsidRPr="00762734">
        <w:t xml:space="preserve">30 </w:t>
      </w:r>
      <w:r w:rsidR="0034295E">
        <w:t xml:space="preserve">medical/surgical licensed </w:t>
      </w:r>
      <w:r w:rsidRPr="00762734">
        <w:t>beds</w:t>
      </w:r>
      <w:r w:rsidR="0034295E">
        <w:t xml:space="preserve"> </w:t>
      </w:r>
      <w:r w:rsidR="00495C95">
        <w:t xml:space="preserve">located </w:t>
      </w:r>
      <w:r w:rsidR="0034295E">
        <w:t xml:space="preserve">at Brigham and </w:t>
      </w:r>
      <w:r w:rsidR="0034295E">
        <w:lastRenderedPageBreak/>
        <w:t xml:space="preserve">Women’s Hospital (BWH). Additionally, DFCI physicians provide inpatient cancer care to patients in BWH-licensed beds located throughout BWH. The DoN Application envisions that a significant percentage of patients currently receiving medical oncology services </w:t>
      </w:r>
      <w:r w:rsidR="00A27A52">
        <w:t xml:space="preserve">at BWH from DFCI physicians will shift to receiving care in the new DFCI facility. The Application also envisions patients receiving medical oncology services at BIDMC will </w:t>
      </w:r>
      <w:r w:rsidR="00AF6DE8">
        <w:t>shift to the new DFCI facility. Similarly, the Application envisions patients receiving surgical oncology services at BWH will shift to BIDMC.</w:t>
      </w:r>
      <w:r w:rsidR="00AF6DE8">
        <w:rPr>
          <w:rStyle w:val="FootnoteReference"/>
        </w:rPr>
        <w:footnoteReference w:id="9"/>
      </w:r>
    </w:p>
    <w:p w14:paraId="340B4C3A" w14:textId="539B58C7" w:rsidR="00BF5F54" w:rsidRPr="00762734" w:rsidRDefault="00BF5F54" w:rsidP="00342E01">
      <w:pPr>
        <w:numPr>
          <w:ilvl w:val="0"/>
          <w:numId w:val="4"/>
        </w:numPr>
        <w:spacing w:before="120" w:after="120" w:line="360" w:lineRule="auto"/>
        <w:ind w:hanging="547"/>
        <w:jc w:val="both"/>
      </w:pPr>
      <w:r w:rsidRPr="00762734">
        <w:rPr>
          <w:b/>
          <w:bCs/>
        </w:rPr>
        <w:t xml:space="preserve">Emergency </w:t>
      </w:r>
      <w:r w:rsidR="00AF6DE8">
        <w:rPr>
          <w:b/>
          <w:bCs/>
        </w:rPr>
        <w:t>D</w:t>
      </w:r>
      <w:r w:rsidRPr="00762734">
        <w:rPr>
          <w:b/>
          <w:bCs/>
        </w:rPr>
        <w:t>epartments</w:t>
      </w:r>
      <w:r w:rsidRPr="00762734">
        <w:t xml:space="preserve"> – </w:t>
      </w:r>
      <w:r w:rsidR="00AF6DE8">
        <w:t>Emergency departments (</w:t>
      </w:r>
      <w:r w:rsidRPr="00762734">
        <w:t>E</w:t>
      </w:r>
      <w:r w:rsidR="00AF6DE8">
        <w:t>D</w:t>
      </w:r>
      <w:r w:rsidRPr="00762734">
        <w:t>s</w:t>
      </w:r>
      <w:r w:rsidR="00AF6DE8">
        <w:t>)</w:t>
      </w:r>
      <w:r w:rsidRPr="00762734">
        <w:t xml:space="preserve"> are an important entry point for </w:t>
      </w:r>
      <w:r w:rsidR="00AF6DE8">
        <w:t xml:space="preserve">inpatient </w:t>
      </w:r>
      <w:r w:rsidRPr="00762734">
        <w:t xml:space="preserve">cancer care admissions. </w:t>
      </w:r>
      <w:r w:rsidR="00AF6DE8">
        <w:t>Cancer p</w:t>
      </w:r>
      <w:r w:rsidRPr="00762734">
        <w:t>atients often manage multiple symptoms and complications related</w:t>
      </w:r>
      <w:r w:rsidR="00B94787">
        <w:t xml:space="preserve"> to</w:t>
      </w:r>
      <w:r w:rsidRPr="00762734">
        <w:t xml:space="preserve"> </w:t>
      </w:r>
      <w:r w:rsidR="00AF6DE8">
        <w:t xml:space="preserve">the disease </w:t>
      </w:r>
      <w:r w:rsidRPr="00762734">
        <w:t>and ongoing treatment. These can often be addressed in an outpatient setting, but patients sometimes seek care in the ED (and are sometimes subsequently hospitalized). According to a recent study</w:t>
      </w:r>
      <w:r w:rsidR="00AF6DE8">
        <w:t>,</w:t>
      </w:r>
      <w:r w:rsidRPr="00762734">
        <w:t xml:space="preserve"> ED visits </w:t>
      </w:r>
      <w:r w:rsidR="00AF6DE8">
        <w:t xml:space="preserve">by cancer patients in the United States </w:t>
      </w:r>
      <w:r w:rsidRPr="00762734">
        <w:t>increased over 67% from 3.7</w:t>
      </w:r>
      <w:r w:rsidR="00AF6DE8">
        <w:t xml:space="preserve"> million</w:t>
      </w:r>
      <w:r w:rsidRPr="00762734">
        <w:t xml:space="preserve"> visits in 2012 to 6.2</w:t>
      </w:r>
      <w:r w:rsidR="00AF6DE8">
        <w:t xml:space="preserve"> million</w:t>
      </w:r>
      <w:r w:rsidRPr="00762734">
        <w:t xml:space="preserve"> visits in 2019 (5.4% of all ED visits that year)</w:t>
      </w:r>
      <w:r w:rsidR="00AF6DE8">
        <w:t>,</w:t>
      </w:r>
      <w:r w:rsidRPr="00762734">
        <w:t xml:space="preserve"> and more than half of these visits were potentially preventable.</w:t>
      </w:r>
      <w:r w:rsidRPr="00762734">
        <w:rPr>
          <w:rStyle w:val="FootnoteReference"/>
        </w:rPr>
        <w:footnoteReference w:id="10"/>
      </w:r>
      <w:r w:rsidRPr="00762734">
        <w:t xml:space="preserve"> DFCI has piloted a cancer-specific acute care clinic to serve urgent medical needs of cancer patients</w:t>
      </w:r>
      <w:r w:rsidR="002B2D03">
        <w:t xml:space="preserve"> which reduced emergency department visits and subsequent hospitalizations</w:t>
      </w:r>
      <w:r w:rsidRPr="00762734">
        <w:t>.</w:t>
      </w:r>
      <w:r w:rsidR="000A3E80">
        <w:rPr>
          <w:rStyle w:val="FootnoteReference"/>
        </w:rPr>
        <w:footnoteReference w:id="11"/>
      </w:r>
      <w:r w:rsidRPr="00762734">
        <w:t xml:space="preserve"> </w:t>
      </w:r>
      <w:r w:rsidR="00AF6DE8">
        <w:t xml:space="preserve">An emergency department is not planned to be included in the new DFCI hospital. However, the new DFCI facility would be physically connected to BIDMC which does have an emergency department. </w:t>
      </w:r>
    </w:p>
    <w:p w14:paraId="3FBE72D2" w14:textId="3C83EEA2" w:rsidR="004A39F1" w:rsidRDefault="000A3E80" w:rsidP="00342E01">
      <w:pPr>
        <w:numPr>
          <w:ilvl w:val="0"/>
          <w:numId w:val="4"/>
        </w:numPr>
        <w:spacing w:before="120" w:after="120" w:line="360" w:lineRule="auto"/>
        <w:ind w:hanging="547"/>
        <w:jc w:val="both"/>
      </w:pPr>
      <w:r w:rsidRPr="00D6223C">
        <w:rPr>
          <w:b/>
          <w:bCs/>
        </w:rPr>
        <w:t xml:space="preserve">Imaging Equipment </w:t>
      </w:r>
      <w:r>
        <w:t xml:space="preserve">– Imaging is </w:t>
      </w:r>
      <w:r w:rsidR="00FC23AC" w:rsidRPr="00762734">
        <w:t xml:space="preserve">a key component </w:t>
      </w:r>
      <w:r>
        <w:t xml:space="preserve">of </w:t>
      </w:r>
      <w:r w:rsidR="00FC23AC" w:rsidRPr="00762734">
        <w:t xml:space="preserve">cancer care and is utilized throughout the </w:t>
      </w:r>
      <w:r w:rsidR="00D6223C">
        <w:t xml:space="preserve">diagnosis and </w:t>
      </w:r>
      <w:r w:rsidR="00FC23AC" w:rsidRPr="00762734">
        <w:t>treatment process</w:t>
      </w:r>
      <w:r w:rsidR="00D6223C">
        <w:t xml:space="preserve">, including for detection of cancers, determination of spread of cancers, inpatient diagnoses and treatments, assessing efficacy of treatments, and outpatient care. </w:t>
      </w:r>
      <w:r w:rsidR="00FC23AC" w:rsidRPr="00762734">
        <w:t xml:space="preserve">According to the Application, </w:t>
      </w:r>
      <w:r w:rsidR="00D6223C">
        <w:t xml:space="preserve">DFCI’s </w:t>
      </w:r>
      <w:r w:rsidR="00FC23AC" w:rsidRPr="00762734">
        <w:t xml:space="preserve">utilization </w:t>
      </w:r>
      <w:r w:rsidR="00D6223C">
        <w:t xml:space="preserve">of inpatient </w:t>
      </w:r>
      <w:r w:rsidR="00FC23AC" w:rsidRPr="00762734">
        <w:t>imaging services increased</w:t>
      </w:r>
      <w:r w:rsidR="00D6223C">
        <w:t xml:space="preserve"> between 2020 and 2022 by</w:t>
      </w:r>
      <w:r w:rsidR="00FC23AC" w:rsidRPr="00762734">
        <w:t xml:space="preserve"> over 40% for MRI</w:t>
      </w:r>
      <w:r w:rsidR="00D6223C">
        <w:t xml:space="preserve"> scans</w:t>
      </w:r>
      <w:r w:rsidR="00FC23AC" w:rsidRPr="00762734">
        <w:t>, 25% for CT</w:t>
      </w:r>
      <w:r w:rsidR="00D6223C">
        <w:t xml:space="preserve"> scans,</w:t>
      </w:r>
      <w:r w:rsidR="00FC23AC" w:rsidRPr="00762734">
        <w:t xml:space="preserve"> and 43% for PET-CT scans.</w:t>
      </w:r>
      <w:r w:rsidR="00014576">
        <w:rPr>
          <w:rStyle w:val="FootnoteReference"/>
        </w:rPr>
        <w:footnoteReference w:id="12"/>
      </w:r>
      <w:r w:rsidR="00D6223C">
        <w:t xml:space="preserve"> Similarly, the Application reports an increase in outpatient imaging utilization—approximately a </w:t>
      </w:r>
      <w:r w:rsidR="004A39F1" w:rsidRPr="00D6223C">
        <w:rPr>
          <w:sz w:val="23"/>
          <w:szCs w:val="23"/>
        </w:rPr>
        <w:t>81% increase in MRI scans, 38% increase in CT scans, and 22% increase in PET-CT scans.</w:t>
      </w:r>
      <w:r w:rsidR="00D6223C">
        <w:rPr>
          <w:rStyle w:val="FootnoteReference"/>
          <w:sz w:val="23"/>
          <w:szCs w:val="23"/>
        </w:rPr>
        <w:footnoteReference w:id="13"/>
      </w:r>
      <w:r w:rsidR="00D6223C">
        <w:rPr>
          <w:sz w:val="23"/>
          <w:szCs w:val="23"/>
        </w:rPr>
        <w:t xml:space="preserve"> Based on calculations by the Applicant, the anticipated demand from the Proposed Project will require two CT scanners, two MRI scanners, and one PET-CT scanner.</w:t>
      </w:r>
      <w:r w:rsidR="00D6223C">
        <w:rPr>
          <w:rStyle w:val="FootnoteReference"/>
          <w:sz w:val="23"/>
          <w:szCs w:val="23"/>
        </w:rPr>
        <w:footnoteReference w:id="14"/>
      </w:r>
      <w:r w:rsidR="00D6223C">
        <w:rPr>
          <w:sz w:val="23"/>
          <w:szCs w:val="23"/>
        </w:rPr>
        <w:t xml:space="preserve"> These calculations are assessed in greater detail in Section </w:t>
      </w:r>
      <w:r w:rsidR="00C228C7">
        <w:rPr>
          <w:sz w:val="23"/>
          <w:szCs w:val="23"/>
        </w:rPr>
        <w:t>XIV</w:t>
      </w:r>
      <w:r w:rsidR="00D6223C">
        <w:rPr>
          <w:sz w:val="23"/>
          <w:szCs w:val="23"/>
        </w:rPr>
        <w:t xml:space="preserve"> below.</w:t>
      </w:r>
    </w:p>
    <w:p w14:paraId="58797BBB" w14:textId="38BFD2F3" w:rsidR="003929D7" w:rsidRDefault="00FC23AC" w:rsidP="00AB7BF4">
      <w:pPr>
        <w:numPr>
          <w:ilvl w:val="0"/>
          <w:numId w:val="4"/>
        </w:numPr>
        <w:spacing w:before="120" w:after="120" w:line="360" w:lineRule="auto"/>
        <w:jc w:val="both"/>
      </w:pPr>
      <w:r w:rsidRPr="00AB7BF4">
        <w:rPr>
          <w:b/>
          <w:bCs/>
        </w:rPr>
        <w:lastRenderedPageBreak/>
        <w:t xml:space="preserve">Radiation </w:t>
      </w:r>
      <w:r w:rsidR="003929D7" w:rsidRPr="00AB7BF4">
        <w:rPr>
          <w:b/>
          <w:bCs/>
        </w:rPr>
        <w:t>T</w:t>
      </w:r>
      <w:r w:rsidRPr="00AB7BF4">
        <w:rPr>
          <w:b/>
          <w:bCs/>
        </w:rPr>
        <w:t>herapy</w:t>
      </w:r>
      <w:r w:rsidR="003929D7" w:rsidRPr="00AB7BF4">
        <w:rPr>
          <w:b/>
          <w:bCs/>
        </w:rPr>
        <w:t xml:space="preserve"> </w:t>
      </w:r>
      <w:r w:rsidR="003929D7">
        <w:t xml:space="preserve">– Radiation therapy is used in curing and mitigating nearly every type of cancer. It can be used as a standalone treatment or in concert with other cancer treatments (e.g., chemotherapy, surgery, </w:t>
      </w:r>
      <w:r w:rsidR="00014576">
        <w:t xml:space="preserve">and </w:t>
      </w:r>
      <w:r w:rsidR="003929D7">
        <w:t xml:space="preserve">immunotherapy). LINAC machines are commonly used to delivery radiation treatments, and CT simulator machines are often used to prepare for radiation treatment. The DoN Application calculates that the Proposed Project will generate demand requiring </w:t>
      </w:r>
      <w:r w:rsidR="00CD0E2C">
        <w:t xml:space="preserve">ten </w:t>
      </w:r>
      <w:r w:rsidR="003929D7">
        <w:t xml:space="preserve">LINACs and </w:t>
      </w:r>
      <w:r w:rsidR="00CD0E2C">
        <w:t xml:space="preserve">three </w:t>
      </w:r>
      <w:r w:rsidR="003929D7">
        <w:t>CT simulators.</w:t>
      </w:r>
      <w:r w:rsidR="00CD0E2C">
        <w:rPr>
          <w:rStyle w:val="FootnoteReference"/>
        </w:rPr>
        <w:footnoteReference w:id="15"/>
      </w:r>
      <w:r w:rsidR="003929D7">
        <w:t xml:space="preserve"> </w:t>
      </w:r>
      <w:r w:rsidR="00CD0E2C">
        <w:t xml:space="preserve">The Application proposes </w:t>
      </w:r>
      <w:r w:rsidR="003929D7">
        <w:t>adding three LINAC</w:t>
      </w:r>
      <w:r w:rsidR="00014576">
        <w:t>s</w:t>
      </w:r>
      <w:r w:rsidR="003929D7">
        <w:t xml:space="preserve"> and two CT simulators</w:t>
      </w:r>
      <w:r w:rsidR="00CD0E2C">
        <w:t xml:space="preserve"> to the three existing DFCI LINACs, three existing BIDMC LINAC</w:t>
      </w:r>
      <w:r w:rsidR="00014576">
        <w:t>s</w:t>
      </w:r>
      <w:r w:rsidR="00CD0E2C">
        <w:t>, and one BIDMC CT simulator</w:t>
      </w:r>
      <w:r w:rsidR="003929D7">
        <w:t>.</w:t>
      </w:r>
      <w:r w:rsidR="00CD0E2C">
        <w:rPr>
          <w:rStyle w:val="FootnoteReference"/>
        </w:rPr>
        <w:footnoteReference w:id="16"/>
      </w:r>
      <w:r w:rsidR="003929D7">
        <w:t xml:space="preserve"> </w:t>
      </w:r>
      <w:r w:rsidR="003929D7" w:rsidRPr="00AB7BF4">
        <w:rPr>
          <w:sz w:val="23"/>
          <w:szCs w:val="23"/>
        </w:rPr>
        <w:t xml:space="preserve">These </w:t>
      </w:r>
      <w:r w:rsidR="00AB7BF4">
        <w:rPr>
          <w:sz w:val="23"/>
          <w:szCs w:val="23"/>
        </w:rPr>
        <w:t xml:space="preserve">projected demand </w:t>
      </w:r>
      <w:r w:rsidR="003929D7" w:rsidRPr="00AB7BF4">
        <w:rPr>
          <w:sz w:val="23"/>
          <w:szCs w:val="23"/>
        </w:rPr>
        <w:t xml:space="preserve">calculations are assessed in greater detail in Section </w:t>
      </w:r>
      <w:r w:rsidR="00F263FE">
        <w:rPr>
          <w:sz w:val="23"/>
          <w:szCs w:val="23"/>
        </w:rPr>
        <w:t>X</w:t>
      </w:r>
      <w:r w:rsidR="00C228C7">
        <w:rPr>
          <w:sz w:val="23"/>
          <w:szCs w:val="23"/>
        </w:rPr>
        <w:t>V</w:t>
      </w:r>
      <w:r w:rsidR="003929D7" w:rsidRPr="00AB7BF4">
        <w:rPr>
          <w:sz w:val="23"/>
          <w:szCs w:val="23"/>
        </w:rPr>
        <w:t xml:space="preserve"> below.</w:t>
      </w:r>
    </w:p>
    <w:p w14:paraId="6C6A20A8" w14:textId="55BC06B5" w:rsidR="004879AF" w:rsidRPr="00762734" w:rsidRDefault="004879AF" w:rsidP="00342E01">
      <w:pPr>
        <w:numPr>
          <w:ilvl w:val="0"/>
          <w:numId w:val="4"/>
        </w:numPr>
        <w:spacing w:before="120" w:after="120" w:line="360" w:lineRule="auto"/>
        <w:ind w:hanging="547"/>
        <w:jc w:val="both"/>
      </w:pPr>
      <w:r w:rsidRPr="00762734">
        <w:t xml:space="preserve">As detailed below, FTI conducted an independent review and evaluation of DFCI’s analyses of current and projected demand, demographics, utilization, and estimated need for the facilities and equipment set out in its Application, supporting documents, and responses to DPH questions. </w:t>
      </w:r>
    </w:p>
    <w:p w14:paraId="39CEFB00" w14:textId="3ECBD7E2" w:rsidR="00122E54" w:rsidRPr="00762734" w:rsidRDefault="00122E54" w:rsidP="008C4EE0">
      <w:pPr>
        <w:pStyle w:val="Heading2"/>
      </w:pPr>
      <w:bookmarkStart w:id="5" w:name="_Toc187401735"/>
      <w:r w:rsidRPr="00762734">
        <w:t>The D</w:t>
      </w:r>
      <w:r w:rsidR="004879AF" w:rsidRPr="00762734">
        <w:t xml:space="preserve">etermination of Need and Independent Cost Analysis </w:t>
      </w:r>
      <w:r w:rsidRPr="00762734">
        <w:t>Process</w:t>
      </w:r>
      <w:bookmarkEnd w:id="5"/>
    </w:p>
    <w:p w14:paraId="2D4CE283" w14:textId="525AAE53" w:rsidR="00122E54" w:rsidRPr="00762734" w:rsidRDefault="00122E54" w:rsidP="00122E54">
      <w:pPr>
        <w:numPr>
          <w:ilvl w:val="0"/>
          <w:numId w:val="4"/>
        </w:numPr>
        <w:spacing w:before="120" w:after="120" w:line="360" w:lineRule="auto"/>
        <w:jc w:val="both"/>
      </w:pPr>
      <w:r w:rsidRPr="00762734">
        <w:t xml:space="preserve">This Independent Cost Analysis </w:t>
      </w:r>
      <w:r w:rsidR="00014576">
        <w:t xml:space="preserve">was </w:t>
      </w:r>
      <w:r w:rsidR="004879AF" w:rsidRPr="00762734">
        <w:t xml:space="preserve">conducted </w:t>
      </w:r>
      <w:r w:rsidR="006020D7">
        <w:t>“</w:t>
      </w:r>
      <w:r w:rsidRPr="00762734">
        <w:t>[P]ursuant to M.G.L. c. 111, § 25C(h), the Department of Public Health (Department) will require Dana Farber Cancer Institute, Inc., to commission an Independent Cost Analysis (ICA) for Determination of Need (DoN) Application # DFCI-23040915-HE.</w:t>
      </w:r>
      <w:r w:rsidR="006020D7">
        <w:t>”</w:t>
      </w:r>
      <w:r w:rsidRPr="00762734">
        <w:rPr>
          <w:rStyle w:val="FootnoteReference"/>
        </w:rPr>
        <w:footnoteReference w:id="17"/>
      </w:r>
      <w:r w:rsidR="00AD08A8">
        <w:t xml:space="preserve"> </w:t>
      </w:r>
    </w:p>
    <w:p w14:paraId="799A79B4" w14:textId="36011F23" w:rsidR="00122E54" w:rsidRPr="00762734" w:rsidRDefault="00122E54" w:rsidP="00122E54">
      <w:pPr>
        <w:numPr>
          <w:ilvl w:val="0"/>
          <w:numId w:val="4"/>
        </w:numPr>
        <w:spacing w:before="120" w:after="120" w:line="360" w:lineRule="auto"/>
        <w:jc w:val="both"/>
      </w:pPr>
      <w:r w:rsidRPr="00762734">
        <w:t>As part of the DoN process</w:t>
      </w:r>
      <w:r w:rsidR="004879AF" w:rsidRPr="00762734">
        <w:t>,</w:t>
      </w:r>
      <w:r w:rsidRPr="00762734">
        <w:t xml:space="preserve"> </w:t>
      </w:r>
      <w:r w:rsidR="006020D7">
        <w:t>“</w:t>
      </w:r>
      <w:r w:rsidR="004879AF" w:rsidRPr="00762734">
        <w:t>t</w:t>
      </w:r>
      <w:r w:rsidRPr="00762734">
        <w:t>he department may also require the applicant to provide an independent cost-analysis, conducted at the expense of the applicant, to demonstrate that the application is consistent with the commonwealth's efforts to meet the health care cost-containment goals established by the commission.</w:t>
      </w:r>
      <w:r w:rsidR="006020D7">
        <w:t>”</w:t>
      </w:r>
      <w:r w:rsidR="00FA457D" w:rsidRPr="00762734">
        <w:rPr>
          <w:rStyle w:val="FootnoteReference"/>
        </w:rPr>
        <w:footnoteReference w:id="18"/>
      </w:r>
      <w:r w:rsidRPr="00762734">
        <w:t xml:space="preserve"> As detailed below, this </w:t>
      </w:r>
      <w:r w:rsidR="00FA457D" w:rsidRPr="00762734">
        <w:t>r</w:t>
      </w:r>
      <w:r w:rsidRPr="00762734">
        <w:t xml:space="preserve">eport includes a review of </w:t>
      </w:r>
      <w:r w:rsidR="004879AF" w:rsidRPr="00762734">
        <w:t xml:space="preserve">these </w:t>
      </w:r>
      <w:r w:rsidRPr="00762734">
        <w:t>cost</w:t>
      </w:r>
      <w:r w:rsidR="004879AF" w:rsidRPr="00762734">
        <w:t>-</w:t>
      </w:r>
      <w:r w:rsidRPr="00762734">
        <w:t>containment goals.</w:t>
      </w:r>
    </w:p>
    <w:p w14:paraId="4D05745D" w14:textId="212B216E" w:rsidR="00122E54" w:rsidRPr="00762734" w:rsidRDefault="00122E54" w:rsidP="00122E54">
      <w:pPr>
        <w:numPr>
          <w:ilvl w:val="0"/>
          <w:numId w:val="4"/>
        </w:numPr>
        <w:spacing w:before="120" w:after="120" w:line="360" w:lineRule="auto"/>
        <w:jc w:val="both"/>
      </w:pPr>
      <w:r w:rsidRPr="00762734">
        <w:t>DPH</w:t>
      </w:r>
      <w:r w:rsidR="004879AF" w:rsidRPr="00762734">
        <w:t>’s</w:t>
      </w:r>
      <w:r w:rsidRPr="00762734">
        <w:t xml:space="preserve"> request letter </w:t>
      </w:r>
      <w:r w:rsidR="004879AF" w:rsidRPr="00762734">
        <w:t xml:space="preserve">to FTI </w:t>
      </w:r>
      <w:r w:rsidRPr="00762734">
        <w:t>identified the key areas of analys</w:t>
      </w:r>
      <w:r w:rsidR="004879AF" w:rsidRPr="00762734">
        <w:t xml:space="preserve">is to be covered by </w:t>
      </w:r>
      <w:r w:rsidRPr="00762734">
        <w:t xml:space="preserve">this </w:t>
      </w:r>
      <w:r w:rsidR="00FA457D" w:rsidRPr="00762734">
        <w:t>r</w:t>
      </w:r>
      <w:r w:rsidRPr="00762734">
        <w:t xml:space="preserve">eport, including specific questions which are set out below in </w:t>
      </w:r>
      <w:r w:rsidR="00FA457D" w:rsidRPr="00762734">
        <w:t>Section III.A.</w:t>
      </w:r>
    </w:p>
    <w:p w14:paraId="527971F5" w14:textId="411E1316" w:rsidR="000224C4" w:rsidRPr="00762734" w:rsidRDefault="00A76F0F" w:rsidP="008C4EE0">
      <w:pPr>
        <w:pStyle w:val="Heading2"/>
      </w:pPr>
      <w:bookmarkStart w:id="6" w:name="_Toc187401736"/>
      <w:r w:rsidRPr="00762734">
        <w:t>Assignment</w:t>
      </w:r>
      <w:r w:rsidR="00122E54" w:rsidRPr="00762734">
        <w:t xml:space="preserve"> and Qualifications</w:t>
      </w:r>
      <w:bookmarkEnd w:id="6"/>
    </w:p>
    <w:p w14:paraId="2B56914C" w14:textId="704DFF8C" w:rsidR="00342E01" w:rsidRPr="00762734" w:rsidRDefault="00342E01" w:rsidP="00342E01">
      <w:pPr>
        <w:numPr>
          <w:ilvl w:val="0"/>
          <w:numId w:val="4"/>
        </w:numPr>
        <w:spacing w:before="120" w:after="120" w:line="360" w:lineRule="auto"/>
        <w:jc w:val="both"/>
      </w:pPr>
      <w:r w:rsidRPr="00762734">
        <w:t xml:space="preserve">FTI was tasked to provide an independent analysis of specific questions and issues set out in the ICA </w:t>
      </w:r>
      <w:r w:rsidR="00A92CD7" w:rsidRPr="00762734">
        <w:t xml:space="preserve">Questions on the DFCI Application. </w:t>
      </w:r>
      <w:r w:rsidR="00344C5A">
        <w:t xml:space="preserve">FTI was </w:t>
      </w:r>
      <w:r w:rsidR="00A92CD7" w:rsidRPr="00762734">
        <w:t xml:space="preserve">also asked </w:t>
      </w:r>
      <w:r w:rsidRPr="00762734">
        <w:t xml:space="preserve">to evaluate </w:t>
      </w:r>
      <w:r w:rsidR="00A92CD7" w:rsidRPr="00762734">
        <w:t>specific calculations in the DFCI</w:t>
      </w:r>
      <w:r w:rsidRPr="00762734">
        <w:t xml:space="preserve"> </w:t>
      </w:r>
      <w:r w:rsidRPr="00762734">
        <w:lastRenderedPageBreak/>
        <w:t xml:space="preserve">Application. </w:t>
      </w:r>
      <w:r w:rsidR="00344C5A">
        <w:t xml:space="preserve">FTI was </w:t>
      </w:r>
      <w:r w:rsidRPr="00762734">
        <w:t>asked to prepare this report and provide supporting data</w:t>
      </w:r>
      <w:r w:rsidR="00A92CD7" w:rsidRPr="00762734">
        <w:t>,</w:t>
      </w:r>
      <w:r w:rsidRPr="00762734">
        <w:t xml:space="preserve"> information</w:t>
      </w:r>
      <w:r w:rsidR="00A92CD7" w:rsidRPr="00762734">
        <w:t>,</w:t>
      </w:r>
      <w:r w:rsidRPr="00762734">
        <w:t xml:space="preserve"> and analyses. These data sources are included in the text of the report and </w:t>
      </w:r>
      <w:r w:rsidR="00A92CD7" w:rsidRPr="00762734">
        <w:t>accompanying appendix.</w:t>
      </w:r>
    </w:p>
    <w:p w14:paraId="7380EE21" w14:textId="010AD85A" w:rsidR="00342E01" w:rsidRPr="00762734" w:rsidRDefault="00342E01" w:rsidP="00342E01">
      <w:pPr>
        <w:numPr>
          <w:ilvl w:val="0"/>
          <w:numId w:val="4"/>
        </w:numPr>
        <w:spacing w:before="120" w:after="120" w:line="360" w:lineRule="auto"/>
        <w:jc w:val="both"/>
      </w:pPr>
      <w:r w:rsidRPr="00762734">
        <w:t xml:space="preserve">This report was prepared by </w:t>
      </w:r>
      <w:r w:rsidR="00122E54" w:rsidRPr="00762734">
        <w:t>Bryan J. Perry, Ph.D.</w:t>
      </w:r>
      <w:r w:rsidR="00843476">
        <w:t>,</w:t>
      </w:r>
      <w:r w:rsidR="00122E54" w:rsidRPr="00762734">
        <w:t xml:space="preserve"> </w:t>
      </w:r>
      <w:r w:rsidR="00843476">
        <w:t xml:space="preserve">a </w:t>
      </w:r>
      <w:r w:rsidR="00A92CD7" w:rsidRPr="00762734">
        <w:t>Senior Managing Director</w:t>
      </w:r>
      <w:r w:rsidRPr="00762734">
        <w:t xml:space="preserve"> </w:t>
      </w:r>
      <w:r w:rsidR="00843476">
        <w:t xml:space="preserve">in </w:t>
      </w:r>
      <w:r w:rsidRPr="00762734">
        <w:t xml:space="preserve">FTI’s Center for Healthcare Economics and Policy, a business unit that specializes in healthcare economics and applied microeconomics. </w:t>
      </w:r>
      <w:r w:rsidR="00843476">
        <w:t xml:space="preserve">He was </w:t>
      </w:r>
      <w:r w:rsidRPr="00762734">
        <w:t xml:space="preserve">supported by staff experienced in healthcare analyses, including assessment of service areas, pricing and competition, capacity and utilization, and predictive modeling of changes in healthcare markets. </w:t>
      </w:r>
      <w:r w:rsidR="00A92CD7" w:rsidRPr="00762734">
        <w:t xml:space="preserve">Dr. Perry </w:t>
      </w:r>
      <w:r w:rsidR="0077332D">
        <w:t xml:space="preserve">has </w:t>
      </w:r>
      <w:r w:rsidRPr="00762734">
        <w:t xml:space="preserve">extensive experience in healthcare and competition research, economic modeling, </w:t>
      </w:r>
      <w:r w:rsidR="0099208D">
        <w:t xml:space="preserve">healthcare </w:t>
      </w:r>
      <w:r w:rsidR="00A92CD7" w:rsidRPr="00762734">
        <w:t xml:space="preserve">data, </w:t>
      </w:r>
      <w:r w:rsidRPr="00762734">
        <w:t xml:space="preserve">and </w:t>
      </w:r>
      <w:r w:rsidR="0099208D">
        <w:t xml:space="preserve">the </w:t>
      </w:r>
      <w:r w:rsidRPr="00762734">
        <w:t xml:space="preserve">analytics applied in this </w:t>
      </w:r>
      <w:r w:rsidR="00A92CD7" w:rsidRPr="00762734">
        <w:t>r</w:t>
      </w:r>
      <w:r w:rsidRPr="00762734">
        <w:t>eport</w:t>
      </w:r>
      <w:r w:rsidR="0099208D">
        <w:t xml:space="preserve">, and he </w:t>
      </w:r>
      <w:r w:rsidR="0077332D">
        <w:t>has</w:t>
      </w:r>
      <w:r w:rsidR="00A92CD7" w:rsidRPr="00762734">
        <w:t xml:space="preserve"> authored </w:t>
      </w:r>
      <w:r w:rsidRPr="00762734">
        <w:t>expert reports</w:t>
      </w:r>
      <w:r w:rsidR="00A92CD7" w:rsidRPr="00762734">
        <w:t xml:space="preserve"> in </w:t>
      </w:r>
      <w:r w:rsidRPr="00762734">
        <w:t xml:space="preserve">matters before </w:t>
      </w:r>
      <w:r w:rsidR="0099208D">
        <w:t xml:space="preserve">federal and </w:t>
      </w:r>
      <w:r w:rsidRPr="00762734">
        <w:t>state agencies.</w:t>
      </w:r>
    </w:p>
    <w:p w14:paraId="3F486427" w14:textId="651D6C3B" w:rsidR="00A76F0F" w:rsidRPr="00762734" w:rsidRDefault="00327A4B" w:rsidP="00A76F0F">
      <w:pPr>
        <w:pStyle w:val="Heading1"/>
        <w:rPr>
          <w:rFonts w:hint="eastAsia"/>
        </w:rPr>
      </w:pPr>
      <w:bookmarkStart w:id="7" w:name="_Toc187401737"/>
      <w:r>
        <w:t>Overview of ICA Assessment Analyses and Methodology</w:t>
      </w:r>
      <w:bookmarkEnd w:id="7"/>
      <w:r>
        <w:t xml:space="preserve"> </w:t>
      </w:r>
    </w:p>
    <w:p w14:paraId="2A2B24CD" w14:textId="2022247F" w:rsidR="00A92CD7" w:rsidRPr="00762734" w:rsidRDefault="003D3FF9" w:rsidP="008C4EE0">
      <w:pPr>
        <w:pStyle w:val="Heading2"/>
        <w:numPr>
          <w:ilvl w:val="0"/>
          <w:numId w:val="14"/>
        </w:numPr>
      </w:pPr>
      <w:bookmarkStart w:id="8" w:name="_Toc187401738"/>
      <w:r w:rsidRPr="00762734">
        <w:t>Overview of ICA Assessment Issues</w:t>
      </w:r>
      <w:bookmarkEnd w:id="8"/>
    </w:p>
    <w:p w14:paraId="69C129FC" w14:textId="181AB463" w:rsidR="003D3FF9" w:rsidRPr="00762734" w:rsidRDefault="003D3FF9" w:rsidP="003D3FF9">
      <w:pPr>
        <w:numPr>
          <w:ilvl w:val="0"/>
          <w:numId w:val="4"/>
        </w:numPr>
        <w:spacing w:before="120" w:after="120" w:line="360" w:lineRule="auto"/>
        <w:jc w:val="both"/>
      </w:pPr>
      <w:r w:rsidRPr="00762734">
        <w:t xml:space="preserve">DFCI filed a DoN Application </w:t>
      </w:r>
      <w:r w:rsidR="00DD6BAC" w:rsidRPr="00762734">
        <w:t>with</w:t>
      </w:r>
      <w:r w:rsidRPr="00762734">
        <w:t xml:space="preserve"> DPH for Project DFCI-23040915-HE in which DFCI proposes to build a new 688,100 square-foot inpatient hospital </w:t>
      </w:r>
      <w:r w:rsidR="00DD6BAC" w:rsidRPr="00762734">
        <w:t xml:space="preserve">facility </w:t>
      </w:r>
      <w:r w:rsidRPr="00762734">
        <w:t xml:space="preserve">with 300 </w:t>
      </w:r>
      <w:r w:rsidR="00DD6BAC" w:rsidRPr="00762734">
        <w:t xml:space="preserve">adult inpatient </w:t>
      </w:r>
      <w:r w:rsidRPr="00762734">
        <w:t>beds</w:t>
      </w:r>
      <w:r w:rsidR="00DD6BAC" w:rsidRPr="00762734">
        <w:t xml:space="preserve"> and adding </w:t>
      </w:r>
      <w:r w:rsidRPr="00762734">
        <w:t xml:space="preserve">two </w:t>
      </w:r>
      <w:r w:rsidR="00DD6BAC" w:rsidRPr="00762734">
        <w:t xml:space="preserve">MRI machines, two </w:t>
      </w:r>
      <w:r w:rsidRPr="00762734">
        <w:t>CT machines, one PET-CT</w:t>
      </w:r>
      <w:r w:rsidR="00DD6BAC" w:rsidRPr="00762734">
        <w:t xml:space="preserve"> machine</w:t>
      </w:r>
      <w:r w:rsidRPr="00762734">
        <w:t>, two CT simulator machines, and three LINACs. DFCI currently has 30 inpatient licensed beds</w:t>
      </w:r>
      <w:r w:rsidR="00DD6BAC" w:rsidRPr="00762734">
        <w:t xml:space="preserve"> that</w:t>
      </w:r>
      <w:r w:rsidRPr="00762734">
        <w:t xml:space="preserve"> would be transferred to the new facility</w:t>
      </w:r>
      <w:r w:rsidR="00DD6BAC" w:rsidRPr="00762734">
        <w:t xml:space="preserve"> as part of the 300 planned beds</w:t>
      </w:r>
      <w:r w:rsidRPr="00762734">
        <w:t xml:space="preserve">. The </w:t>
      </w:r>
      <w:r w:rsidR="00DD6BAC" w:rsidRPr="00762734">
        <w:t xml:space="preserve">maximum capital expenditure for </w:t>
      </w:r>
      <w:r w:rsidRPr="00762734">
        <w:t xml:space="preserve">the </w:t>
      </w:r>
      <w:r w:rsidR="00DD6BAC" w:rsidRPr="00762734">
        <w:t xml:space="preserve">project </w:t>
      </w:r>
      <w:r w:rsidRPr="00762734">
        <w:t>is $1</w:t>
      </w:r>
      <w:r w:rsidR="00D90F1A" w:rsidRPr="00762734">
        <w:t>,</w:t>
      </w:r>
      <w:r w:rsidRPr="00762734">
        <w:t>67</w:t>
      </w:r>
      <w:r w:rsidR="00D90F1A" w:rsidRPr="00762734">
        <w:t>5,700,000</w:t>
      </w:r>
      <w:r w:rsidRPr="00762734">
        <w:t>.</w:t>
      </w:r>
      <w:r w:rsidRPr="00762734">
        <w:rPr>
          <w:rStyle w:val="FootnoteReference"/>
        </w:rPr>
        <w:footnoteReference w:id="19"/>
      </w:r>
    </w:p>
    <w:p w14:paraId="74043D5B" w14:textId="3DF08E59" w:rsidR="00345692" w:rsidRPr="00762734" w:rsidRDefault="00345692" w:rsidP="003D3FF9">
      <w:pPr>
        <w:numPr>
          <w:ilvl w:val="0"/>
          <w:numId w:val="4"/>
        </w:numPr>
        <w:spacing w:before="120" w:after="120" w:line="360" w:lineRule="auto"/>
        <w:jc w:val="both"/>
      </w:pPr>
      <w:r w:rsidRPr="00762734">
        <w:t>The DPH has required that DFCI hire an outside group to conduct an ICA to assess several aspects of the proposed project and ensure the project is consistent with state cost</w:t>
      </w:r>
      <w:r w:rsidR="0021310B">
        <w:t>-</w:t>
      </w:r>
      <w:r w:rsidRPr="00762734">
        <w:t>containment goals. DFCI, in consultation with DPH, has contracted the Center for Healthcare Economics and Policy, a segment within FTI Consulting</w:t>
      </w:r>
      <w:r w:rsidR="0021310B">
        <w:t>,</w:t>
      </w:r>
      <w:r w:rsidRPr="00762734">
        <w:t xml:space="preserve"> to conduct the ICA. While DFCI financed the analysis conducted by FTI, FTI's analysis and operations are independent of DFCI</w:t>
      </w:r>
      <w:r w:rsidR="00DD6BAC" w:rsidRPr="00762734">
        <w:t>,</w:t>
      </w:r>
      <w:r w:rsidRPr="00762734">
        <w:t xml:space="preserve"> and DFCI had no input into decisions FTI made in this analysis with relation to methods, data, or conclusions.</w:t>
      </w:r>
    </w:p>
    <w:p w14:paraId="253238AC" w14:textId="40A3BFA8" w:rsidR="00345692" w:rsidRPr="00762734" w:rsidRDefault="00345692" w:rsidP="00345692">
      <w:pPr>
        <w:numPr>
          <w:ilvl w:val="0"/>
          <w:numId w:val="4"/>
        </w:numPr>
        <w:spacing w:before="120" w:after="120" w:line="360" w:lineRule="auto"/>
        <w:jc w:val="both"/>
      </w:pPr>
      <w:r w:rsidRPr="00762734">
        <w:t xml:space="preserve">The questions set out by DPH are organized around </w:t>
      </w:r>
      <w:r w:rsidR="00AB4D0F">
        <w:t xml:space="preserve">three </w:t>
      </w:r>
      <w:r w:rsidRPr="00762734">
        <w:t>major headings</w:t>
      </w:r>
      <w:r w:rsidR="00AB4D0F">
        <w:t xml:space="preserve"> and additional questions</w:t>
      </w:r>
      <w:r w:rsidRPr="00762734">
        <w:t xml:space="preserve">. The first question </w:t>
      </w:r>
      <w:r w:rsidR="00B9643B" w:rsidRPr="00762734">
        <w:t xml:space="preserve">posed by the DPH </w:t>
      </w:r>
      <w:r w:rsidRPr="00762734">
        <w:t xml:space="preserve">is, </w:t>
      </w:r>
      <w:r w:rsidR="006020D7">
        <w:t>“</w:t>
      </w:r>
      <w:r w:rsidRPr="00762734">
        <w:t>Based on this analysis, is the Proposed Project consistent with the Commonwealth’s efforts to meet the health care cost-containment goals, including scope and size of any impact?</w:t>
      </w:r>
      <w:r w:rsidR="006020D7">
        <w:t>”</w:t>
      </w:r>
      <w:r w:rsidRPr="00762734">
        <w:t xml:space="preserve"> The </w:t>
      </w:r>
      <w:r w:rsidR="007B7550" w:rsidRPr="00762734">
        <w:t>remaining categories</w:t>
      </w:r>
      <w:r w:rsidRPr="00762734">
        <w:t xml:space="preserve"> group several questions.</w:t>
      </w:r>
    </w:p>
    <w:p w14:paraId="308D5456" w14:textId="7B7562C2" w:rsidR="00345692" w:rsidRPr="00762734" w:rsidRDefault="00B9643B" w:rsidP="003D3FF9">
      <w:pPr>
        <w:numPr>
          <w:ilvl w:val="0"/>
          <w:numId w:val="4"/>
        </w:numPr>
        <w:spacing w:before="120" w:after="120" w:line="360" w:lineRule="auto"/>
        <w:jc w:val="both"/>
      </w:pPr>
      <w:r w:rsidRPr="00762734">
        <w:t xml:space="preserve">Questions on the </w:t>
      </w:r>
      <w:r w:rsidR="00AB4D0F">
        <w:t>i</w:t>
      </w:r>
      <w:r w:rsidR="00345692" w:rsidRPr="00AB4D0F">
        <w:t xml:space="preserve">mpact on </w:t>
      </w:r>
      <w:r w:rsidR="00AB4D0F">
        <w:t>p</w:t>
      </w:r>
      <w:r w:rsidR="00345692" w:rsidRPr="00AB4D0F">
        <w:t xml:space="preserve">rices and </w:t>
      </w:r>
      <w:r w:rsidR="00AB4D0F">
        <w:t>c</w:t>
      </w:r>
      <w:r w:rsidR="00345692" w:rsidRPr="00AB4D0F">
        <w:t>ompetition</w:t>
      </w:r>
      <w:r w:rsidR="00345692" w:rsidRPr="00762734">
        <w:t xml:space="preserve"> </w:t>
      </w:r>
      <w:r w:rsidRPr="00762734">
        <w:t xml:space="preserve">seek to assess how the Proposed Project may change prices paid and total spending by commercial and public payors. Specifically, these questions ask for analysis of price changes arising from changes in DFCI’s market share and negotiating </w:t>
      </w:r>
      <w:r w:rsidRPr="00762734">
        <w:lastRenderedPageBreak/>
        <w:t>leverage, changes in prices for cancer services, or shifts in utilization between higher and lower</w:t>
      </w:r>
      <w:r w:rsidR="00014576">
        <w:t>-</w:t>
      </w:r>
      <w:r w:rsidRPr="00762734">
        <w:t xml:space="preserve">priced providers. </w:t>
      </w:r>
    </w:p>
    <w:p w14:paraId="5657F401" w14:textId="44B08DAB" w:rsidR="00C07100" w:rsidRPr="00762734" w:rsidRDefault="00B9643B" w:rsidP="00C07100">
      <w:pPr>
        <w:numPr>
          <w:ilvl w:val="0"/>
          <w:numId w:val="4"/>
        </w:numPr>
        <w:spacing w:before="120" w:after="120" w:line="360" w:lineRule="auto"/>
        <w:jc w:val="both"/>
      </w:pPr>
      <w:r w:rsidRPr="00762734">
        <w:t xml:space="preserve">Questions on the </w:t>
      </w:r>
      <w:r w:rsidR="00AB4D0F">
        <w:t>i</w:t>
      </w:r>
      <w:r w:rsidRPr="00AB4D0F">
        <w:t xml:space="preserve">mpact on </w:t>
      </w:r>
      <w:r w:rsidR="00AB4D0F">
        <w:t>u</w:t>
      </w:r>
      <w:r w:rsidRPr="00AB4D0F">
        <w:t xml:space="preserve">tilization and </w:t>
      </w:r>
      <w:r w:rsidR="00AB4D0F">
        <w:t>c</w:t>
      </w:r>
      <w:r w:rsidRPr="00AB4D0F">
        <w:t>apacity</w:t>
      </w:r>
      <w:r w:rsidRPr="00762734">
        <w:rPr>
          <w:b/>
          <w:bCs/>
        </w:rPr>
        <w:t xml:space="preserve"> </w:t>
      </w:r>
      <w:r w:rsidRPr="00762734">
        <w:t>seek to confirm that DFCI’s projections of demand are reasonable</w:t>
      </w:r>
      <w:r w:rsidR="00C07100" w:rsidRPr="00762734">
        <w:t>;</w:t>
      </w:r>
      <w:r w:rsidRPr="00762734">
        <w:t xml:space="preserve"> </w:t>
      </w:r>
      <w:r w:rsidR="00C07100" w:rsidRPr="00762734">
        <w:t xml:space="preserve">to describe the demographic characteristics of that demand; to assess the potential for shifts in utilization across services, settings, or providers; </w:t>
      </w:r>
      <w:r w:rsidR="007B7550" w:rsidRPr="00762734">
        <w:t>to evaluate access to project services for individuals across payors; and to evaluate the potential for the project to lead to supply-induced demand.</w:t>
      </w:r>
    </w:p>
    <w:p w14:paraId="28FFD21A" w14:textId="57E4E261" w:rsidR="00AB4D0F" w:rsidRPr="00762734" w:rsidRDefault="00AB4D0F" w:rsidP="00AB4D0F">
      <w:pPr>
        <w:numPr>
          <w:ilvl w:val="0"/>
          <w:numId w:val="4"/>
        </w:numPr>
        <w:spacing w:before="120" w:after="120" w:line="360" w:lineRule="auto"/>
        <w:jc w:val="both"/>
      </w:pPr>
      <w:r>
        <w:t>Q</w:t>
      </w:r>
      <w:r w:rsidRPr="00762734">
        <w:t xml:space="preserve">uestions regarding </w:t>
      </w:r>
      <w:r>
        <w:t>e</w:t>
      </w:r>
      <w:r w:rsidRPr="00AB4D0F">
        <w:t xml:space="preserve">quitable </w:t>
      </w:r>
      <w:r>
        <w:t>a</w:t>
      </w:r>
      <w:r w:rsidRPr="00AB4D0F">
        <w:t>ccess</w:t>
      </w:r>
      <w:r w:rsidRPr="00762734">
        <w:rPr>
          <w:b/>
          <w:bCs/>
        </w:rPr>
        <w:t xml:space="preserve"> </w:t>
      </w:r>
      <w:r w:rsidRPr="00762734">
        <w:t>to cancer care are ones that may be answered in the course of answering the other questions yet include requests for specific outputs so that DPH can make comparisons and verifications.</w:t>
      </w:r>
    </w:p>
    <w:p w14:paraId="4F1516DB" w14:textId="1413F696" w:rsidR="007B7550" w:rsidRPr="00762734" w:rsidRDefault="007B7550" w:rsidP="00C07100">
      <w:pPr>
        <w:numPr>
          <w:ilvl w:val="0"/>
          <w:numId w:val="4"/>
        </w:numPr>
        <w:spacing w:before="120" w:after="120" w:line="360" w:lineRule="auto"/>
        <w:jc w:val="both"/>
      </w:pPr>
      <w:r w:rsidRPr="00762734">
        <w:t>Tw</w:t>
      </w:r>
      <w:r w:rsidR="00AB4D0F">
        <w:t xml:space="preserve">o additional questions </w:t>
      </w:r>
      <w:r w:rsidRPr="00762734">
        <w:t>ask which group or groups (i.e., third-party payors, patients, or health plan sponsors) will bear the estimated additional costs or realize the estimated incremental savings.</w:t>
      </w:r>
    </w:p>
    <w:p w14:paraId="48D44351" w14:textId="4EDF2865" w:rsidR="007F4AEC" w:rsidRPr="00762734" w:rsidRDefault="007F4AEC" w:rsidP="008C4EE0">
      <w:pPr>
        <w:pStyle w:val="Heading2"/>
      </w:pPr>
      <w:bookmarkStart w:id="9" w:name="_Toc187401739"/>
      <w:r w:rsidRPr="00762734">
        <w:t>Overview of the Commonwealth’s Cost Containment Goals</w:t>
      </w:r>
      <w:bookmarkEnd w:id="9"/>
    </w:p>
    <w:p w14:paraId="783FCF92" w14:textId="3C20F04D" w:rsidR="007F4AEC" w:rsidRPr="00762734" w:rsidRDefault="007F4AEC" w:rsidP="007F4AEC">
      <w:pPr>
        <w:numPr>
          <w:ilvl w:val="0"/>
          <w:numId w:val="4"/>
        </w:numPr>
        <w:spacing w:before="120" w:after="120" w:line="360" w:lineRule="auto"/>
        <w:jc w:val="both"/>
      </w:pPr>
      <w:r w:rsidRPr="00762734">
        <w:t xml:space="preserve">DPH </w:t>
      </w:r>
      <w:r w:rsidR="0049060F" w:rsidRPr="00762734">
        <w:t xml:space="preserve">has instructed that </w:t>
      </w:r>
      <w:r w:rsidR="00014576">
        <w:t xml:space="preserve">FTI </w:t>
      </w:r>
      <w:r w:rsidR="0049060F" w:rsidRPr="00762734">
        <w:t xml:space="preserve">determine </w:t>
      </w:r>
      <w:r w:rsidRPr="00762734">
        <w:t xml:space="preserve">whether the Proposed Project is consistent with the Commonwealth’s efforts to meet the healthcare cost-containment goals established by the Health Policy Commission (HPC). Sections </w:t>
      </w:r>
      <w:r w:rsidR="00C228C7">
        <w:t>V-XV</w:t>
      </w:r>
      <w:r w:rsidRPr="00762734">
        <w:t xml:space="preserve"> of this report present the analytical framework and empirical results assess</w:t>
      </w:r>
      <w:r w:rsidR="0019227F" w:rsidRPr="00762734">
        <w:t>ing</w:t>
      </w:r>
      <w:r w:rsidRPr="00762734">
        <w:t xml:space="preserve"> the Proposed Projects in the context of the HPC’s cost-containment goals. </w:t>
      </w:r>
    </w:p>
    <w:p w14:paraId="0405B5AB" w14:textId="4813BA3F" w:rsidR="002F67E9" w:rsidRDefault="00327A4B" w:rsidP="007F4AEC">
      <w:pPr>
        <w:numPr>
          <w:ilvl w:val="0"/>
          <w:numId w:val="4"/>
        </w:numPr>
        <w:spacing w:before="120" w:after="120" w:line="360" w:lineRule="auto"/>
        <w:jc w:val="both"/>
      </w:pPr>
      <w:r>
        <w:t xml:space="preserve">The starting point for FTI’s independent analysis is examination of HPC’s current statewide target benchmark for growth in total healthcare expenditures (THCE), which is 3.6%. Change in TCHE per state resident is calculated </w:t>
      </w:r>
      <w:r w:rsidR="00C21E5E" w:rsidRPr="00762734">
        <w:t>based on the change in expenditures per capita using data from state, federal, and commercial payors.</w:t>
      </w:r>
      <w:r w:rsidR="007F4AEC" w:rsidRPr="00762734">
        <w:rPr>
          <w:rStyle w:val="FootnoteReference"/>
        </w:rPr>
        <w:footnoteReference w:id="20"/>
      </w:r>
      <w:r w:rsidR="002F67E9">
        <w:t xml:space="preserve"> At the state level, since THCE is tracked on a per capita basis but unadjusted for health status, changes in population health, but not size, could drive changes in THCE. </w:t>
      </w:r>
    </w:p>
    <w:p w14:paraId="0B8F9A9D" w14:textId="474A4C85" w:rsidR="002F67E9" w:rsidRDefault="007F4AEC" w:rsidP="007F4AEC">
      <w:pPr>
        <w:numPr>
          <w:ilvl w:val="0"/>
          <w:numId w:val="4"/>
        </w:numPr>
        <w:spacing w:before="120" w:after="120" w:line="360" w:lineRule="auto"/>
        <w:jc w:val="both"/>
      </w:pPr>
      <w:r w:rsidRPr="00762734">
        <w:t xml:space="preserve">While FTI conducted its own independent analysis, we examined </w:t>
      </w:r>
      <w:r w:rsidR="002F67E9">
        <w:t xml:space="preserve">recent reports from HPC on cost growth </w:t>
      </w:r>
      <w:r w:rsidRPr="00762734">
        <w:t xml:space="preserve">to </w:t>
      </w:r>
      <w:r w:rsidR="002F67E9">
        <w:t xml:space="preserve">consider factors that HPC has identified as influencing actual </w:t>
      </w:r>
      <w:r w:rsidR="00014576">
        <w:t xml:space="preserve">cost </w:t>
      </w:r>
      <w:r w:rsidR="002F67E9">
        <w:t>trends and modes of conducting empirical analysis of cost trends.</w:t>
      </w:r>
      <w:r w:rsidR="00A520D0">
        <w:rPr>
          <w:rStyle w:val="FootnoteReference"/>
        </w:rPr>
        <w:footnoteReference w:id="21"/>
      </w:r>
      <w:r w:rsidR="002F67E9">
        <w:t xml:space="preserve"> </w:t>
      </w:r>
      <w:r w:rsidR="002F67E9" w:rsidRPr="00661250">
        <w:t xml:space="preserve">The HPC indicates in </w:t>
      </w:r>
      <w:r w:rsidR="00D155D1">
        <w:t>its</w:t>
      </w:r>
      <w:r w:rsidR="002F67E9" w:rsidRPr="00661250">
        <w:t xml:space="preserve"> 202</w:t>
      </w:r>
      <w:r w:rsidR="002765FB" w:rsidRPr="00661250">
        <w:t>3</w:t>
      </w:r>
      <w:r w:rsidR="002F67E9" w:rsidRPr="00661250">
        <w:t xml:space="preserve"> report that</w:t>
      </w:r>
      <w:r w:rsidR="00495C95">
        <w:t>,</w:t>
      </w:r>
      <w:r w:rsidR="002F67E9" w:rsidRPr="00661250">
        <w:t xml:space="preserve"> </w:t>
      </w:r>
      <w:r w:rsidR="00495C95">
        <w:t xml:space="preserve">according to its assessment, </w:t>
      </w:r>
      <w:r w:rsidR="002F67E9" w:rsidRPr="00661250">
        <w:t xml:space="preserve">recent healthcare spending growth has been driven primarily by an increase in prices. In addition to price, </w:t>
      </w:r>
      <w:r w:rsidR="002765FB" w:rsidRPr="00661250">
        <w:t xml:space="preserve">the report identifies excessive or unnecessary utilization </w:t>
      </w:r>
      <w:r w:rsidR="00661250" w:rsidRPr="00661250">
        <w:t>(both use of high-cost sites of care and overprovision of services) as another driver of healthcare spending growth.</w:t>
      </w:r>
      <w:r w:rsidR="00661250" w:rsidRPr="00762734">
        <w:rPr>
          <w:rStyle w:val="FootnoteReference"/>
        </w:rPr>
        <w:footnoteReference w:id="22"/>
      </w:r>
      <w:r w:rsidR="00661250" w:rsidRPr="00661250">
        <w:t xml:space="preserve"> </w:t>
      </w:r>
      <w:r w:rsidR="002B2D03">
        <w:lastRenderedPageBreak/>
        <w:t xml:space="preserve">Total healthcare expenditures per capita </w:t>
      </w:r>
      <w:r w:rsidR="002F67E9" w:rsidRPr="00661250">
        <w:t xml:space="preserve">increased </w:t>
      </w:r>
      <w:r w:rsidR="00661250" w:rsidRPr="00661250">
        <w:t>an average of 3.2</w:t>
      </w:r>
      <w:r w:rsidR="002F67E9" w:rsidRPr="00661250">
        <w:t xml:space="preserve">% </w:t>
      </w:r>
      <w:r w:rsidR="00661250" w:rsidRPr="00661250">
        <w:t xml:space="preserve">per year between </w:t>
      </w:r>
      <w:r w:rsidR="002F67E9" w:rsidRPr="00661250">
        <w:t xml:space="preserve">2019 </w:t>
      </w:r>
      <w:r w:rsidR="00661250" w:rsidRPr="00661250">
        <w:t>and 2021</w:t>
      </w:r>
      <w:r w:rsidR="002F67E9" w:rsidRPr="00661250">
        <w:t>.</w:t>
      </w:r>
      <w:r w:rsidR="00014576">
        <w:rPr>
          <w:rStyle w:val="FootnoteReference"/>
        </w:rPr>
        <w:footnoteReference w:id="23"/>
      </w:r>
      <w:r w:rsidR="00AD08A8">
        <w:t xml:space="preserve"> </w:t>
      </w:r>
    </w:p>
    <w:p w14:paraId="1310395F" w14:textId="2FDFF16F" w:rsidR="007F4AEC" w:rsidRPr="00762734" w:rsidRDefault="00344C5A" w:rsidP="007F4AEC">
      <w:pPr>
        <w:numPr>
          <w:ilvl w:val="0"/>
          <w:numId w:val="4"/>
        </w:numPr>
        <w:spacing w:before="120" w:after="120" w:line="360" w:lineRule="auto"/>
        <w:jc w:val="both"/>
      </w:pPr>
      <w:r>
        <w:t>FTI</w:t>
      </w:r>
      <w:r w:rsidR="007F4AEC" w:rsidRPr="00762734">
        <w:t xml:space="preserve"> also considered some of the underlying trends in the Commonwealth that are related to</w:t>
      </w:r>
      <w:r w:rsidR="00C21E5E" w:rsidRPr="00762734">
        <w:t>,</w:t>
      </w:r>
      <w:r w:rsidR="007F4AEC" w:rsidRPr="00762734">
        <w:t xml:space="preserve"> but independent of</w:t>
      </w:r>
      <w:r w:rsidR="00C21E5E" w:rsidRPr="00762734">
        <w:t>,</w:t>
      </w:r>
      <w:r w:rsidR="007F4AEC" w:rsidRPr="00762734">
        <w:t xml:space="preserve"> the Proposed Project. For example, </w:t>
      </w:r>
      <w:r w:rsidR="00495C95">
        <w:t xml:space="preserve">the </w:t>
      </w:r>
      <w:r w:rsidR="007F4AEC" w:rsidRPr="00762734">
        <w:t xml:space="preserve">HPC </w:t>
      </w:r>
      <w:r w:rsidR="00495C95">
        <w:t xml:space="preserve">report identifies </w:t>
      </w:r>
      <w:r w:rsidR="007F4AEC" w:rsidRPr="00762734">
        <w:t xml:space="preserve">high prices </w:t>
      </w:r>
      <w:r w:rsidR="00495C95">
        <w:t xml:space="preserve">as </w:t>
      </w:r>
      <w:r w:rsidR="007F4AEC" w:rsidRPr="00762734">
        <w:t xml:space="preserve">a primary driver of commercial spending and growth. The report </w:t>
      </w:r>
      <w:r w:rsidR="00495C95">
        <w:t xml:space="preserve">further states </w:t>
      </w:r>
      <w:r w:rsidR="007F4AEC" w:rsidRPr="00762734">
        <w:t xml:space="preserve">that these high prices </w:t>
      </w:r>
      <w:r w:rsidR="006020D7">
        <w:t>“</w:t>
      </w:r>
      <w:r w:rsidR="007F4AEC" w:rsidRPr="00762734">
        <w:t>incentiviz</w:t>
      </w:r>
      <w:r w:rsidR="00C21E5E" w:rsidRPr="00762734">
        <w:t>[</w:t>
      </w:r>
      <w:r w:rsidR="007F4AEC" w:rsidRPr="00762734">
        <w:t>e</w:t>
      </w:r>
      <w:r w:rsidR="00C21E5E" w:rsidRPr="00762734">
        <w:t>]</w:t>
      </w:r>
      <w:r w:rsidR="007F4AEC" w:rsidRPr="00762734">
        <w:t xml:space="preserve"> </w:t>
      </w:r>
      <w:r w:rsidR="00C21E5E" w:rsidRPr="00762734">
        <w:t xml:space="preserve">the </w:t>
      </w:r>
      <w:r w:rsidR="007F4AEC" w:rsidRPr="00762734">
        <w:t>expansion and overprovision of high-priced, high-margin services</w:t>
      </w:r>
      <w:r w:rsidR="00C21E5E" w:rsidRPr="00762734">
        <w:t xml:space="preserve"> (e.g., </w:t>
      </w:r>
      <w:r w:rsidR="007F4AEC" w:rsidRPr="00762734">
        <w:t>imaging</w:t>
      </w:r>
      <w:r w:rsidR="00C21E5E" w:rsidRPr="00762734">
        <w:t>,</w:t>
      </w:r>
      <w:r w:rsidR="007F4AEC" w:rsidRPr="00762734">
        <w:t xml:space="preserve"> cancer treatments</w:t>
      </w:r>
      <w:r w:rsidR="00C21E5E" w:rsidRPr="00762734">
        <w:t>, orthopedic centers)</w:t>
      </w:r>
      <w:r w:rsidR="007F4AEC" w:rsidRPr="00762734">
        <w:t xml:space="preserve"> at the expense of lower</w:t>
      </w:r>
      <w:r w:rsidR="00C21E5E" w:rsidRPr="00762734">
        <w:t>-</w:t>
      </w:r>
      <w:r w:rsidR="007F4AEC" w:rsidRPr="00762734">
        <w:t xml:space="preserve">paid services such as primary care </w:t>
      </w:r>
      <w:r w:rsidR="002B2D03">
        <w:t>or</w:t>
      </w:r>
      <w:r w:rsidR="007F4AEC" w:rsidRPr="00762734">
        <w:t xml:space="preserve"> behavioral health care.</w:t>
      </w:r>
      <w:r w:rsidR="006020D7">
        <w:t>”</w:t>
      </w:r>
      <w:r w:rsidR="00C21E5E" w:rsidRPr="00762734">
        <w:rPr>
          <w:rStyle w:val="FootnoteReference"/>
        </w:rPr>
        <w:footnoteReference w:id="24"/>
      </w:r>
    </w:p>
    <w:p w14:paraId="76FD7A0F" w14:textId="77777777" w:rsidR="00395DA9" w:rsidRPr="004D1E35" w:rsidRDefault="00395DA9" w:rsidP="008C4EE0">
      <w:pPr>
        <w:pStyle w:val="Heading2"/>
      </w:pPr>
      <w:bookmarkStart w:id="10" w:name="_Toc187401740"/>
      <w:r w:rsidRPr="004D1E35">
        <w:t>Economic Analysis Used to Address Questions</w:t>
      </w:r>
      <w:bookmarkEnd w:id="10"/>
    </w:p>
    <w:p w14:paraId="1963D3F9" w14:textId="2F76075F" w:rsidR="001E2E8E" w:rsidRDefault="001E2E8E" w:rsidP="00395DA9">
      <w:pPr>
        <w:numPr>
          <w:ilvl w:val="0"/>
          <w:numId w:val="4"/>
        </w:numPr>
        <w:spacing w:before="120" w:after="120" w:line="360" w:lineRule="auto"/>
        <w:jc w:val="both"/>
      </w:pPr>
      <w:r w:rsidRPr="00762734">
        <w:t xml:space="preserve">The ICA </w:t>
      </w:r>
      <w:r w:rsidR="00014576">
        <w:t>Q</w:t>
      </w:r>
      <w:r w:rsidRPr="00762734">
        <w:t>uestions require an assessment of current utilization, volumes</w:t>
      </w:r>
      <w:r w:rsidR="00014576">
        <w:t>,</w:t>
      </w:r>
      <w:r w:rsidRPr="00762734">
        <w:t xml:space="preserve"> and prices for cancer care services. DFCI is proposing to expand capacity for cancer care in Massachusetts, which necessitates an analysis of how the capacity expansions will </w:t>
      </w:r>
      <w:r w:rsidR="00495C95">
        <w:t>affect</w:t>
      </w:r>
      <w:r w:rsidRPr="00762734">
        <w:t xml:space="preserve"> other providers of cancer care.</w:t>
      </w:r>
      <w:r>
        <w:t xml:space="preserve"> </w:t>
      </w:r>
      <w:r w:rsidRPr="00EE5ECC">
        <w:t xml:space="preserve">Projecting healthcare costs into the future is a challenging exercise even without </w:t>
      </w:r>
      <w:r>
        <w:t>incorporating</w:t>
      </w:r>
      <w:r w:rsidRPr="00EE5ECC">
        <w:t xml:space="preserve"> proposed changes in the supply of those services. Many factors are necessary to incorporate into any such analysis as many factors interact with each other simultaneously to produce prices and volumes and their consequent costs.</w:t>
      </w:r>
      <w:r w:rsidRPr="00EE5ECC">
        <w:rPr>
          <w:vertAlign w:val="superscript"/>
        </w:rPr>
        <w:footnoteReference w:id="25"/>
      </w:r>
    </w:p>
    <w:p w14:paraId="3993AF9D" w14:textId="66286EA1" w:rsidR="001E2E8E" w:rsidRDefault="001E2E8E" w:rsidP="00395DA9">
      <w:pPr>
        <w:numPr>
          <w:ilvl w:val="0"/>
          <w:numId w:val="4"/>
        </w:numPr>
        <w:spacing w:before="120" w:after="120" w:line="360" w:lineRule="auto"/>
        <w:jc w:val="both"/>
      </w:pPr>
      <w:r w:rsidRPr="001E2E8E">
        <w:t xml:space="preserve">Healthcare cost (or medical spending) projections can be decomposed into two core </w:t>
      </w:r>
      <w:r>
        <w:t>elements</w:t>
      </w:r>
      <w:r w:rsidRPr="001E2E8E">
        <w:t xml:space="preserve">: prices and volumes. </w:t>
      </w:r>
      <w:r>
        <w:t>T</w:t>
      </w:r>
      <w:r w:rsidRPr="001E2E8E">
        <w:t xml:space="preserve">his </w:t>
      </w:r>
      <w:r>
        <w:t>r</w:t>
      </w:r>
      <w:r w:rsidRPr="001E2E8E">
        <w:t>eport consider</w:t>
      </w:r>
      <w:r>
        <w:t>s</w:t>
      </w:r>
      <w:r w:rsidRPr="001E2E8E">
        <w:t xml:space="preserve"> each element of price and volume (e.g., visits, encounters, patients) separately, beginning by characterizing each using current data and then </w:t>
      </w:r>
      <w:r>
        <w:t xml:space="preserve">making projections </w:t>
      </w:r>
      <w:r w:rsidRPr="001E2E8E">
        <w:t xml:space="preserve">forward in a status quo environment. Then, for both prices and utilization, </w:t>
      </w:r>
      <w:r>
        <w:t xml:space="preserve">it </w:t>
      </w:r>
      <w:r w:rsidRPr="001E2E8E">
        <w:t xml:space="preserve">uses standard economic and quantitative methods to predict how each would be affected by the specific changes in supply that have been proposed by </w:t>
      </w:r>
      <w:r>
        <w:t xml:space="preserve">DFCI </w:t>
      </w:r>
      <w:r w:rsidRPr="001E2E8E">
        <w:t>in the Proposed Project.</w:t>
      </w:r>
    </w:p>
    <w:p w14:paraId="44CC854B" w14:textId="762ACADB" w:rsidR="00395DA9" w:rsidRPr="00762734" w:rsidRDefault="00395DA9" w:rsidP="00395DA9">
      <w:pPr>
        <w:numPr>
          <w:ilvl w:val="0"/>
          <w:numId w:val="4"/>
        </w:numPr>
        <w:spacing w:before="120" w:after="120" w:line="360" w:lineRule="auto"/>
        <w:jc w:val="both"/>
      </w:pPr>
      <w:r w:rsidRPr="00762734">
        <w:t xml:space="preserve">DFCI provides cancer care for patients across its own licensed beds as well as beds </w:t>
      </w:r>
      <w:r w:rsidR="001E2E8E">
        <w:t xml:space="preserve">leased from </w:t>
      </w:r>
      <w:r w:rsidRPr="00762734">
        <w:t>BWH. Th</w:t>
      </w:r>
      <w:r w:rsidR="00014576">
        <w:t>is</w:t>
      </w:r>
      <w:r w:rsidRPr="00762734">
        <w:t xml:space="preserve"> </w:t>
      </w:r>
      <w:r w:rsidR="001E2E8E">
        <w:t xml:space="preserve">ICA </w:t>
      </w:r>
      <w:r w:rsidRPr="00762734">
        <w:t>analysis first identifie</w:t>
      </w:r>
      <w:r w:rsidR="00014576">
        <w:t>d</w:t>
      </w:r>
      <w:r w:rsidRPr="00762734">
        <w:t xml:space="preserve"> DFCI-associated cancer care across both facilities. </w:t>
      </w:r>
      <w:r w:rsidR="00014576">
        <w:t xml:space="preserve">FTI </w:t>
      </w:r>
      <w:r w:rsidRPr="00762734">
        <w:t>then estimate</w:t>
      </w:r>
      <w:r w:rsidR="00014576">
        <w:t>d</w:t>
      </w:r>
      <w:r w:rsidRPr="00762734">
        <w:t xml:space="preserve"> the shift </w:t>
      </w:r>
      <w:r w:rsidR="00014576">
        <w:t xml:space="preserve">in </w:t>
      </w:r>
      <w:r w:rsidRPr="00762734">
        <w:t xml:space="preserve">volumes as a result of the Proposed Project. According to the </w:t>
      </w:r>
      <w:r w:rsidR="00014576">
        <w:t>A</w:t>
      </w:r>
      <w:r w:rsidRPr="00762734">
        <w:t>pplication, DFCI anticipates that a significant volume of cancer care will shift from higher-priced health sites of care to relatively lower-priced ones. A significant percentage of patients currently receiving medical oncology services at BIDMC or BWH will begin receiving such services from the Applicant.</w:t>
      </w:r>
    </w:p>
    <w:p w14:paraId="367E11D9" w14:textId="57575A36" w:rsidR="001E131D" w:rsidRDefault="001E131D" w:rsidP="00395DA9">
      <w:pPr>
        <w:numPr>
          <w:ilvl w:val="0"/>
          <w:numId w:val="4"/>
        </w:numPr>
        <w:spacing w:before="120" w:after="120" w:line="360" w:lineRule="auto"/>
        <w:jc w:val="both"/>
      </w:pPr>
      <w:r>
        <w:lastRenderedPageBreak/>
        <w:t xml:space="preserve">Because DFCI physicians treat patients in both DFCI and BWH beds, these patients cannot be directly observed in available claims data by reference to the </w:t>
      </w:r>
      <w:r w:rsidR="00014576">
        <w:t xml:space="preserve">listed </w:t>
      </w:r>
      <w:r>
        <w:t xml:space="preserve">facility. Section V sets out the methodology employed to identify DFCI patients using </w:t>
      </w:r>
      <w:r w:rsidR="00395DA9" w:rsidRPr="00762734">
        <w:t xml:space="preserve">a physician roster for DFCI as a starting point for identifying DFCI-related care. </w:t>
      </w:r>
    </w:p>
    <w:p w14:paraId="32D0BB39" w14:textId="02782EC3" w:rsidR="001E131D" w:rsidRPr="001E131D" w:rsidRDefault="001E131D" w:rsidP="00395DA9">
      <w:pPr>
        <w:numPr>
          <w:ilvl w:val="0"/>
          <w:numId w:val="4"/>
        </w:numPr>
        <w:spacing w:before="120" w:after="120" w:line="360" w:lineRule="auto"/>
        <w:jc w:val="both"/>
      </w:pPr>
      <w:r>
        <w:t xml:space="preserve">To analyze the cost impacts of the Proposed Project, relevant healthcare </w:t>
      </w:r>
      <w:r w:rsidRPr="00EE5ECC">
        <w:t xml:space="preserve">service lines </w:t>
      </w:r>
      <w:r>
        <w:t>were identified</w:t>
      </w:r>
      <w:r w:rsidR="00E42D84">
        <w:t>, including inpatient cancer care services</w:t>
      </w:r>
      <w:r>
        <w:t xml:space="preserve">. Section VI defines these service lines for the purpose of </w:t>
      </w:r>
      <w:r w:rsidRPr="00EE5ECC">
        <w:t xml:space="preserve">the </w:t>
      </w:r>
      <w:r>
        <w:t xml:space="preserve">economic and </w:t>
      </w:r>
      <w:r w:rsidRPr="00EE5ECC">
        <w:t>quantitative analys</w:t>
      </w:r>
      <w:r>
        <w:t>e</w:t>
      </w:r>
      <w:r w:rsidRPr="00EE5ECC">
        <w:t xml:space="preserve">s. </w:t>
      </w:r>
      <w:r>
        <w:t xml:space="preserve">These service lines are defined using standard approaches applied in the evaluation of healthcare markets and consumer choice for inpatient and outpatient services. </w:t>
      </w:r>
      <w:r w:rsidR="00E42D84">
        <w:t>The geographic scope of DFCI’s provision of care is assessed and analyzed in Section VII. Using inpatient and outpatient claims data, this section also identifies relevant providers within each service line.</w:t>
      </w:r>
    </w:p>
    <w:p w14:paraId="71CF74ED" w14:textId="77777777" w:rsidR="00E42D84" w:rsidRDefault="00E42D84" w:rsidP="00E42D84">
      <w:pPr>
        <w:numPr>
          <w:ilvl w:val="0"/>
          <w:numId w:val="4"/>
        </w:numPr>
        <w:spacing w:before="120" w:after="120" w:line="360" w:lineRule="auto"/>
        <w:jc w:val="both"/>
      </w:pPr>
      <w:r>
        <w:t>Section VIII provides detailed analysis of the patients, providers, and payors for each of the relevant service lines. These apply standard methodologies and a standard basis for estimating shares based on volumes in a geography and by provider.</w:t>
      </w:r>
    </w:p>
    <w:p w14:paraId="1A37FE74" w14:textId="763298BA" w:rsidR="00395DA9" w:rsidRPr="00762734" w:rsidRDefault="00395DA9" w:rsidP="00017609">
      <w:pPr>
        <w:numPr>
          <w:ilvl w:val="0"/>
          <w:numId w:val="4"/>
        </w:numPr>
        <w:spacing w:before="120" w:after="120" w:line="360" w:lineRule="auto"/>
        <w:jc w:val="both"/>
      </w:pPr>
      <w:r w:rsidRPr="00762734">
        <w:t xml:space="preserve">The ICA </w:t>
      </w:r>
      <w:r w:rsidR="00014576">
        <w:t>Q</w:t>
      </w:r>
      <w:r w:rsidRPr="00762734">
        <w:t xml:space="preserve">uestions involve economic evaluation of current demand, as well as demand and utilization in the future, after the expansion of DFCI’s bed capacity. Section </w:t>
      </w:r>
      <w:r w:rsidR="00E42D84">
        <w:t>IX</w:t>
      </w:r>
      <w:r w:rsidRPr="00762734">
        <w:t xml:space="preserve"> uses population projections </w:t>
      </w:r>
      <w:r w:rsidR="00E42D84">
        <w:t xml:space="preserve">and trends in inpatient cancer care incidence </w:t>
      </w:r>
      <w:r w:rsidRPr="00762734">
        <w:t xml:space="preserve">to project forward </w:t>
      </w:r>
      <w:r w:rsidR="00E42D84">
        <w:t xml:space="preserve">the evolution of inpatient </w:t>
      </w:r>
      <w:r w:rsidRPr="00762734">
        <w:t>cancer care services</w:t>
      </w:r>
      <w:r w:rsidR="00E42D84">
        <w:t xml:space="preserve"> utilization</w:t>
      </w:r>
      <w:r w:rsidRPr="00762734">
        <w:t>, both overall and by pay</w:t>
      </w:r>
      <w:r w:rsidR="00014576">
        <w:t>o</w:t>
      </w:r>
      <w:r w:rsidRPr="00762734">
        <w:t xml:space="preserve">r category from current levels. Projections were conducted for both </w:t>
      </w:r>
      <w:r w:rsidR="00014576">
        <w:t xml:space="preserve">the </w:t>
      </w:r>
      <w:r w:rsidRPr="00762734">
        <w:t xml:space="preserve">short term </w:t>
      </w:r>
      <w:r w:rsidR="00E42D84">
        <w:t xml:space="preserve">(for 2025) </w:t>
      </w:r>
      <w:r w:rsidRPr="00762734">
        <w:t>and long term (</w:t>
      </w:r>
      <w:r w:rsidR="00E42D84">
        <w:t>through 2040</w:t>
      </w:r>
      <w:r w:rsidRPr="00762734">
        <w:t>). The time frames for projections will use as their starting point the most recent utilization data available (2022).</w:t>
      </w:r>
    </w:p>
    <w:p w14:paraId="47ED2700" w14:textId="45823EE5" w:rsidR="00923BFB" w:rsidRDefault="00923BFB" w:rsidP="00017609">
      <w:pPr>
        <w:numPr>
          <w:ilvl w:val="0"/>
          <w:numId w:val="4"/>
        </w:numPr>
        <w:spacing w:before="120" w:after="120" w:line="360" w:lineRule="auto"/>
        <w:jc w:val="both"/>
      </w:pPr>
      <w:r>
        <w:t>Section X details the modeling of shift in utilization of inpatient cancer care services across facilities due to the Proposed Project</w:t>
      </w:r>
      <w:r w:rsidR="0064490C">
        <w:t xml:space="preserve"> and DFCI’s methodology for calculating need for inpatient beds</w:t>
      </w:r>
      <w:r>
        <w:t>.</w:t>
      </w:r>
      <w:r w:rsidR="0064490C">
        <w:t xml:space="preserve"> </w:t>
      </w:r>
      <w:r w:rsidR="0064490C" w:rsidRPr="00B20B0B">
        <w:t xml:space="preserve">Section </w:t>
      </w:r>
      <w:r w:rsidR="0064490C">
        <w:t xml:space="preserve">XI sets out the detailed analyses of current prices for relevant service lines </w:t>
      </w:r>
      <w:r w:rsidR="0064490C" w:rsidRPr="006F64AF">
        <w:t xml:space="preserve">at </w:t>
      </w:r>
      <w:r w:rsidR="00014576">
        <w:t xml:space="preserve">the </w:t>
      </w:r>
      <w:r w:rsidR="0064490C" w:rsidRPr="006F64AF">
        <w:t>provider level</w:t>
      </w:r>
      <w:r w:rsidR="0064490C">
        <w:t xml:space="preserve">, including commercial, Medicare, and Medicaid prices. </w:t>
      </w:r>
      <w:r>
        <w:t xml:space="preserve">Section XII combines the </w:t>
      </w:r>
      <w:r w:rsidR="0064490C">
        <w:t xml:space="preserve">projected shifts in utilization with the analyses of current providers and prices within each service line, and evaluates </w:t>
      </w:r>
      <w:r>
        <w:t>the Proposed Project’s impact on inpatient cancer care shares, prices, and total medical spending.</w:t>
      </w:r>
      <w:r w:rsidR="0064490C">
        <w:t xml:space="preserve"> </w:t>
      </w:r>
      <w:r>
        <w:t>Section XIII analyzes the role of novel, specialized cancer care in this analysis.</w:t>
      </w:r>
    </w:p>
    <w:p w14:paraId="38A0F4AD" w14:textId="081F623C" w:rsidR="00923BFB" w:rsidRDefault="00923BFB" w:rsidP="00395DA9">
      <w:pPr>
        <w:numPr>
          <w:ilvl w:val="0"/>
          <w:numId w:val="4"/>
        </w:numPr>
        <w:spacing w:before="120" w:after="120" w:line="360" w:lineRule="auto"/>
        <w:jc w:val="both"/>
      </w:pPr>
      <w:r>
        <w:t xml:space="preserve">Section XIV and Section XV provide analysis of the Proposed Project’s impact </w:t>
      </w:r>
      <w:r w:rsidR="0064490C">
        <w:t>in</w:t>
      </w:r>
      <w:r w:rsidR="00014576">
        <w:t xml:space="preserve"> the</w:t>
      </w:r>
      <w:r w:rsidR="0064490C">
        <w:t xml:space="preserve"> </w:t>
      </w:r>
      <w:r>
        <w:t xml:space="preserve">diagnostic imaging services and radiation therapy services </w:t>
      </w:r>
      <w:r w:rsidR="0064490C">
        <w:t xml:space="preserve">service lines </w:t>
      </w:r>
      <w:r>
        <w:t xml:space="preserve">respectively. </w:t>
      </w:r>
      <w:r w:rsidR="0064490C">
        <w:t xml:space="preserve">Each section discusses relevant services and geographies; current providers and prices; forecasted future demand; DFCI’s forecasted need for additional equipment to support forecasted demand; and the impacts of the Proposed Project on shares, prices, and total medical spending in the service lines. </w:t>
      </w:r>
    </w:p>
    <w:p w14:paraId="1F661C67" w14:textId="13AB24A6" w:rsidR="006C2FF2" w:rsidRDefault="006C2FF2" w:rsidP="006C2FF2">
      <w:pPr>
        <w:numPr>
          <w:ilvl w:val="0"/>
          <w:numId w:val="4"/>
        </w:numPr>
        <w:spacing w:before="120" w:after="120" w:line="360" w:lineRule="auto"/>
        <w:jc w:val="both"/>
      </w:pPr>
      <w:r>
        <w:lastRenderedPageBreak/>
        <w:t>For each component of the Proposed Project and across all assessed time horizons, this report finds that the baseline projected impacts</w:t>
      </w:r>
      <w:r w:rsidR="0037586C">
        <w:t xml:space="preserve"> of the project</w:t>
      </w:r>
      <w:r>
        <w:t xml:space="preserve"> on healthcare expenditures </w:t>
      </w:r>
      <w:r w:rsidR="0037586C">
        <w:t>fall</w:t>
      </w:r>
      <w:r>
        <w:t xml:space="preserve"> below the Commonwealth’s established </w:t>
      </w:r>
      <w:r w:rsidR="0037586C">
        <w:t>benchmark</w:t>
      </w:r>
      <w:r>
        <w:t xml:space="preserve"> growth rate.</w:t>
      </w:r>
    </w:p>
    <w:p w14:paraId="7C864C8C" w14:textId="771E5C7D" w:rsidR="00A76F0F" w:rsidRPr="00762734" w:rsidRDefault="00A76F0F" w:rsidP="00A76F0F">
      <w:pPr>
        <w:pStyle w:val="Heading1"/>
        <w:rPr>
          <w:rFonts w:hint="eastAsia"/>
        </w:rPr>
      </w:pPr>
      <w:bookmarkStart w:id="11" w:name="_Toc187401741"/>
      <w:r w:rsidRPr="00762734">
        <w:t>Data Sources</w:t>
      </w:r>
      <w:bookmarkEnd w:id="11"/>
    </w:p>
    <w:p w14:paraId="0DEEDE75" w14:textId="2A2DA94D" w:rsidR="00DA2DB5" w:rsidRPr="00762734" w:rsidRDefault="00DA2DB5" w:rsidP="00DA2DB5">
      <w:pPr>
        <w:numPr>
          <w:ilvl w:val="0"/>
          <w:numId w:val="4"/>
        </w:numPr>
        <w:spacing w:before="120" w:after="120" w:line="360" w:lineRule="auto"/>
        <w:jc w:val="both"/>
      </w:pPr>
      <w:r w:rsidRPr="00762734">
        <w:t xml:space="preserve">In order to perform the analyses required by the ICA questions, </w:t>
      </w:r>
      <w:r w:rsidR="00014576">
        <w:t>FTI</w:t>
      </w:r>
      <w:r w:rsidRPr="00762734">
        <w:t xml:space="preserve"> made use of several datasets and data sources for empirical analysis, including healthcare claims data, demographic data, health data, healthcare facility capacity data, and population projections data. For convenience, the key data sources and information used with accompanying citations </w:t>
      </w:r>
      <w:r w:rsidR="00344C5A">
        <w:t xml:space="preserve">are summarized </w:t>
      </w:r>
      <w:r w:rsidRPr="00762734">
        <w:t>in the sections below. A complete summary is provided in the appendix to this report.</w:t>
      </w:r>
    </w:p>
    <w:p w14:paraId="26D47659" w14:textId="77777777" w:rsidR="00470899" w:rsidRDefault="00470899" w:rsidP="00470899">
      <w:pPr>
        <w:pStyle w:val="Heading1"/>
        <w:rPr>
          <w:rFonts w:hint="eastAsia"/>
        </w:rPr>
      </w:pPr>
      <w:bookmarkStart w:id="12" w:name="_Toc187401742"/>
      <w:r>
        <w:t>Identifying DFCI Patients</w:t>
      </w:r>
      <w:bookmarkEnd w:id="12"/>
    </w:p>
    <w:p w14:paraId="0FF2382A" w14:textId="6D47B957" w:rsidR="00256B5C" w:rsidRDefault="00256B5C" w:rsidP="00470899">
      <w:pPr>
        <w:numPr>
          <w:ilvl w:val="0"/>
          <w:numId w:val="4"/>
        </w:numPr>
        <w:spacing w:before="120" w:after="120" w:line="360" w:lineRule="auto"/>
        <w:jc w:val="both"/>
      </w:pPr>
      <w:r>
        <w:t xml:space="preserve">Because DFCI provides </w:t>
      </w:r>
      <w:r w:rsidR="00014576">
        <w:t xml:space="preserve">care </w:t>
      </w:r>
      <w:r>
        <w:t xml:space="preserve">in both its licensed beds and in beds leased from BWH, inpatient cancer care by DFCI physicians </w:t>
      </w:r>
      <w:r w:rsidR="00E82681">
        <w:t>can</w:t>
      </w:r>
      <w:r>
        <w:t xml:space="preserve">not be readily identified by reference to facility information in discharge or claims data. </w:t>
      </w:r>
      <w:r w:rsidR="0076134A">
        <w:t>FTI ascribed all patients admitted to DFCI</w:t>
      </w:r>
      <w:r w:rsidR="00014576">
        <w:t>-</w:t>
      </w:r>
      <w:r w:rsidR="0076134A">
        <w:t>licensed beds as DFCI patients. FTI identified DFCI patients admitted to beds leased by DFCI from BWH through their attending physician. DFCI provided a roster of 1,764 physicians with privileges at DFCI.</w:t>
      </w:r>
      <w:r w:rsidR="0076134A">
        <w:rPr>
          <w:rStyle w:val="FootnoteReference"/>
        </w:rPr>
        <w:footnoteReference w:id="26"/>
      </w:r>
      <w:r w:rsidR="00377EA4">
        <w:t xml:space="preserve"> Using the 2022 </w:t>
      </w:r>
      <w:r w:rsidR="00BF35CD">
        <w:t>Massachusetts Center for Health Information and Analysis (</w:t>
      </w:r>
      <w:r w:rsidR="00014576">
        <w:t>CHIA</w:t>
      </w:r>
      <w:r w:rsidR="00BF35CD">
        <w:t>)</w:t>
      </w:r>
      <w:r w:rsidR="00014576">
        <w:t xml:space="preserve"> </w:t>
      </w:r>
      <w:r w:rsidR="00377EA4">
        <w:t>Case</w:t>
      </w:r>
      <w:r w:rsidR="00BF35CD">
        <w:t xml:space="preserve"> </w:t>
      </w:r>
      <w:r w:rsidR="00377EA4">
        <w:t xml:space="preserve">Mix </w:t>
      </w:r>
      <w:r w:rsidR="00BF35CD">
        <w:t>D</w:t>
      </w:r>
      <w:r w:rsidR="00377EA4">
        <w:t>ata,</w:t>
      </w:r>
      <w:r w:rsidR="00BF35CD">
        <w:rPr>
          <w:rStyle w:val="FootnoteReference"/>
        </w:rPr>
        <w:footnoteReference w:id="27"/>
      </w:r>
      <w:r w:rsidR="00377EA4">
        <w:t xml:space="preserve"> FTI compiled a profile for each physician, including the number of inpatient discharges at DFCI or BWH</w:t>
      </w:r>
      <w:r w:rsidR="00377EA4">
        <w:rPr>
          <w:rStyle w:val="FootnoteReference"/>
        </w:rPr>
        <w:footnoteReference w:id="28"/>
      </w:r>
      <w:r w:rsidR="00377EA4">
        <w:t xml:space="preserve"> for which they were listed as the attending physician and the proportion of which were patients with a neoplasm.</w:t>
      </w:r>
      <w:r w:rsidR="00377EA4">
        <w:rPr>
          <w:rStyle w:val="FootnoteReference"/>
        </w:rPr>
        <w:footnoteReference w:id="29"/>
      </w:r>
      <w:r w:rsidR="00377EA4">
        <w:t xml:space="preserve"> </w:t>
      </w:r>
      <w:r w:rsidR="00AA7973">
        <w:t xml:space="preserve">The 254 </w:t>
      </w:r>
      <w:r w:rsidR="00377EA4">
        <w:t xml:space="preserve">DFCI physicians with </w:t>
      </w:r>
      <w:r w:rsidR="00EA5981">
        <w:t xml:space="preserve">a minimum of five BWH discharges and </w:t>
      </w:r>
      <w:r w:rsidR="00377EA4">
        <w:t xml:space="preserve">at least 25% of </w:t>
      </w:r>
      <w:r w:rsidR="00AA7973">
        <w:t>their inpatient discharges being for neoplasm patients were included in the set used to identify DFCI inpatient cancer patients.</w:t>
      </w:r>
      <w:r w:rsidR="00AA7973">
        <w:rPr>
          <w:rStyle w:val="FootnoteReference"/>
        </w:rPr>
        <w:footnoteReference w:id="30"/>
      </w:r>
      <w:r w:rsidR="00AA7973">
        <w:t xml:space="preserve"> All BWH discharges with a neoplasm diagnosis and a DFCI physician from this set were allocated to the DFCI patient count.</w:t>
      </w:r>
    </w:p>
    <w:p w14:paraId="1D9D1A68" w14:textId="73561ECF" w:rsidR="00843476" w:rsidRDefault="00AA7973" w:rsidP="00017609">
      <w:pPr>
        <w:numPr>
          <w:ilvl w:val="0"/>
          <w:numId w:val="4"/>
        </w:numPr>
        <w:spacing w:before="120" w:after="120" w:line="360" w:lineRule="auto"/>
        <w:jc w:val="both"/>
      </w:pPr>
      <w:r>
        <w:t xml:space="preserve">This physician-based methodology for patient identification has several advantages. First, </w:t>
      </w:r>
      <w:bookmarkStart w:id="13" w:name="_Hlk180271770"/>
      <w:r w:rsidR="000147B3">
        <w:t xml:space="preserve">academic research demonstrates that a cancer patient’s physician is an important factor in </w:t>
      </w:r>
      <w:r w:rsidR="00014576">
        <w:t xml:space="preserve">their </w:t>
      </w:r>
      <w:r w:rsidR="000147B3">
        <w:t>choice of hospital.</w:t>
      </w:r>
      <w:bookmarkEnd w:id="13"/>
      <w:r w:rsidR="000147B3">
        <w:rPr>
          <w:rStyle w:val="FootnoteReference"/>
        </w:rPr>
        <w:footnoteReference w:id="31"/>
      </w:r>
      <w:r w:rsidR="000147B3">
        <w:t xml:space="preserve"> Patients tend to follow their physician when choosing a facility for inpatient care.</w:t>
      </w:r>
      <w:r w:rsidR="00264389">
        <w:rPr>
          <w:rStyle w:val="FootnoteReference"/>
        </w:rPr>
        <w:footnoteReference w:id="32"/>
      </w:r>
      <w:r w:rsidR="000147B3">
        <w:t xml:space="preserve"> </w:t>
      </w:r>
      <w:r w:rsidR="000147B3">
        <w:lastRenderedPageBreak/>
        <w:t xml:space="preserve">Consistent with this, even for DFCI patients admitted through the BWH emergency department, 90% had a previous </w:t>
      </w:r>
      <w:r w:rsidR="0050791F">
        <w:t xml:space="preserve">inpatient or </w:t>
      </w:r>
      <w:r w:rsidR="000147B3">
        <w:t xml:space="preserve">outpatient encounter with </w:t>
      </w:r>
      <w:r w:rsidR="00264389">
        <w:t>DFCI</w:t>
      </w:r>
      <w:r w:rsidR="0050791F">
        <w:t xml:space="preserve"> in the prior year</w:t>
      </w:r>
      <w:r w:rsidR="00264389">
        <w:t xml:space="preserve">. Second, though the FTI methodology differs in key ways from the approach taken by DFCI in its </w:t>
      </w:r>
      <w:r w:rsidR="00014576">
        <w:t>A</w:t>
      </w:r>
      <w:r w:rsidR="00264389">
        <w:t>pplication, as shown below, each methodology identifies a similar number of DFCI patients. Finally, modeling of the facility-level market dynamic following the implementation of the Proposed Project requires separating the facility shares (where many DFCI patients are treated in the BWH facility) from the physician roles. A physician-based approach allows for distinguishing between facility-</w:t>
      </w:r>
      <w:r w:rsidR="000C701A">
        <w:t>based</w:t>
      </w:r>
      <w:r w:rsidR="00264389">
        <w:t xml:space="preserve"> and physician-based factors in </w:t>
      </w:r>
      <w:r w:rsidR="00495C95">
        <w:t xml:space="preserve">economic evaluation of </w:t>
      </w:r>
      <w:r w:rsidR="00264389">
        <w:t xml:space="preserve">payment, pricing, and bargaining leverage. </w:t>
      </w:r>
    </w:p>
    <w:p w14:paraId="77F3941B" w14:textId="66533B55" w:rsidR="00A76F0F" w:rsidRDefault="000224C4" w:rsidP="00A76F0F">
      <w:pPr>
        <w:pStyle w:val="Heading1"/>
        <w:rPr>
          <w:rFonts w:hint="eastAsia"/>
        </w:rPr>
      </w:pPr>
      <w:bookmarkStart w:id="14" w:name="_Toc187401743"/>
      <w:r w:rsidRPr="00762734">
        <w:t xml:space="preserve">Cancer </w:t>
      </w:r>
      <w:r w:rsidR="00395DA9">
        <w:t xml:space="preserve">Care </w:t>
      </w:r>
      <w:r w:rsidRPr="00762734">
        <w:t>Service Lines</w:t>
      </w:r>
      <w:bookmarkEnd w:id="14"/>
    </w:p>
    <w:p w14:paraId="7664B98A" w14:textId="791588F5" w:rsidR="00ED3FE3" w:rsidRDefault="00395DA9" w:rsidP="00395DA9">
      <w:pPr>
        <w:numPr>
          <w:ilvl w:val="0"/>
          <w:numId w:val="4"/>
        </w:numPr>
        <w:spacing w:before="120" w:after="120" w:line="360" w:lineRule="auto"/>
        <w:jc w:val="both"/>
      </w:pPr>
      <w:r>
        <w:t>In order to evaluate the impact of the Proposed Project on healthcare costs, this report examines the specific services that are currently provided by DFCI and that would be provided through the Proposed Project. Service line definitions are used to reference the overall type or category of service provided.</w:t>
      </w:r>
      <w:r w:rsidR="00ED3FE3">
        <w:t xml:space="preserve"> Though service lines typically encompass differentiated services, grouping these services allows for consistent measurement of utilization across providers, within and across health systems and over time. Service line definitions for empirical research in healthcare tend to use defined sets of </w:t>
      </w:r>
      <w:r w:rsidR="00B65DD7">
        <w:t xml:space="preserve">diagnoses or procedures, defined by particular codes or groupers (e.g., ICD, CPT, or DRG codes). </w:t>
      </w:r>
    </w:p>
    <w:p w14:paraId="1EAAE0BD" w14:textId="26621FC8" w:rsidR="00395DA9" w:rsidRDefault="00B65DD7" w:rsidP="00395DA9">
      <w:pPr>
        <w:numPr>
          <w:ilvl w:val="0"/>
          <w:numId w:val="4"/>
        </w:numPr>
        <w:spacing w:before="120" w:after="120" w:line="360" w:lineRule="auto"/>
        <w:jc w:val="both"/>
      </w:pPr>
      <w:r>
        <w:t xml:space="preserve">Because the new DFCI facility will provide exclusively adult cancer care, </w:t>
      </w:r>
      <w:r w:rsidR="000A14A9">
        <w:t xml:space="preserve">this analysis </w:t>
      </w:r>
      <w:r>
        <w:t>restrict</w:t>
      </w:r>
      <w:r w:rsidR="000A14A9">
        <w:t>s</w:t>
      </w:r>
      <w:r>
        <w:t xml:space="preserve"> attention for all service lines to adult patients (age eighteen and above) with a non-benign neoplasm diagnosis. This approach is consistent with the nature of the Proposed Project, the typical services observe</w:t>
      </w:r>
      <w:r w:rsidR="000A14A9">
        <w:t>d</w:t>
      </w:r>
      <w:r>
        <w:t xml:space="preserve"> </w:t>
      </w:r>
      <w:r w:rsidR="000A14A9">
        <w:t xml:space="preserve">in the claims data for </w:t>
      </w:r>
      <w:r>
        <w:t>DFCI physicians, and DFCI’s own approach for characterizing its services.</w:t>
      </w:r>
      <w:r>
        <w:rPr>
          <w:rStyle w:val="FootnoteReference"/>
        </w:rPr>
        <w:footnoteReference w:id="33"/>
      </w:r>
      <w:r w:rsidR="00D86009">
        <w:t xml:space="preserve"> Specifically, cancer care diagnoses were identified in inpatient and outpatient claims data using the ICD-10 </w:t>
      </w:r>
      <w:r w:rsidR="000C701A">
        <w:t xml:space="preserve">diagnosis </w:t>
      </w:r>
      <w:r w:rsidR="00D86009">
        <w:t>codes</w:t>
      </w:r>
      <w:r w:rsidR="000C701A">
        <w:t xml:space="preserve"> listed below in Table </w:t>
      </w:r>
      <w:r w:rsidR="00C228C7">
        <w:t>1</w:t>
      </w:r>
      <w:r w:rsidR="000C701A">
        <w:t>.</w:t>
      </w:r>
    </w:p>
    <w:p w14:paraId="3AF64931" w14:textId="77777777" w:rsidR="006256A8" w:rsidRDefault="006256A8" w:rsidP="006256A8">
      <w:pPr>
        <w:spacing w:before="120" w:after="120" w:line="360" w:lineRule="auto"/>
        <w:jc w:val="both"/>
      </w:pPr>
    </w:p>
    <w:p w14:paraId="08AEF01D" w14:textId="77777777" w:rsidR="006256A8" w:rsidRDefault="006256A8" w:rsidP="006256A8">
      <w:pPr>
        <w:spacing w:before="120" w:after="120" w:line="360" w:lineRule="auto"/>
        <w:jc w:val="both"/>
      </w:pPr>
    </w:p>
    <w:p w14:paraId="47402AD2" w14:textId="77777777" w:rsidR="006256A8" w:rsidRDefault="006256A8" w:rsidP="006256A8">
      <w:pPr>
        <w:spacing w:before="120" w:after="120" w:line="360" w:lineRule="auto"/>
        <w:jc w:val="both"/>
      </w:pPr>
    </w:p>
    <w:p w14:paraId="3C91A589" w14:textId="77777777" w:rsidR="006256A8" w:rsidRDefault="006256A8" w:rsidP="006256A8">
      <w:pPr>
        <w:spacing w:before="120" w:after="120" w:line="360" w:lineRule="auto"/>
        <w:jc w:val="both"/>
      </w:pPr>
    </w:p>
    <w:p w14:paraId="11AC1B26" w14:textId="77777777" w:rsidR="006256A8" w:rsidRDefault="006256A8" w:rsidP="006256A8">
      <w:pPr>
        <w:spacing w:before="120" w:after="120" w:line="360" w:lineRule="auto"/>
        <w:jc w:val="both"/>
      </w:pPr>
    </w:p>
    <w:p w14:paraId="594B873F" w14:textId="77777777" w:rsidR="006256A8" w:rsidRDefault="006256A8" w:rsidP="006256A8">
      <w:pPr>
        <w:spacing w:before="120" w:after="120" w:line="360" w:lineRule="auto"/>
        <w:jc w:val="both"/>
      </w:pPr>
    </w:p>
    <w:p w14:paraId="7648FC7D" w14:textId="75BD13FB" w:rsidR="00D86009" w:rsidRDefault="000C701A" w:rsidP="00C95B3F">
      <w:pPr>
        <w:pStyle w:val="Caption"/>
        <w:keepNext/>
        <w:jc w:val="center"/>
      </w:pPr>
      <w:bookmarkStart w:id="15" w:name="_Toc187401774"/>
      <w:r w:rsidRPr="00C95B3F">
        <w:lastRenderedPageBreak/>
        <w:t>Table</w:t>
      </w:r>
      <w:r>
        <w:t xml:space="preserve"> </w:t>
      </w:r>
      <w:fldSimple w:instr=" SEQ Table \* ARABIC ">
        <w:r w:rsidR="0085394E">
          <w:rPr>
            <w:noProof/>
          </w:rPr>
          <w:t>1</w:t>
        </w:r>
      </w:fldSimple>
      <w:r>
        <w:t>: ICD-10 Cancer Care Diagnosis Codes</w:t>
      </w:r>
      <w:r w:rsidR="00281F49">
        <w:rPr>
          <w:rStyle w:val="FootnoteReference"/>
        </w:rPr>
        <w:footnoteReference w:id="34"/>
      </w:r>
      <w:bookmarkEnd w:id="15"/>
    </w:p>
    <w:tbl>
      <w:tblPr>
        <w:tblW w:w="7620" w:type="dxa"/>
        <w:jc w:val="center"/>
        <w:tblLook w:val="04A0" w:firstRow="1" w:lastRow="0" w:firstColumn="1" w:lastColumn="0" w:noHBand="0" w:noVBand="1"/>
      </w:tblPr>
      <w:tblGrid>
        <w:gridCol w:w="1340"/>
        <w:gridCol w:w="6280"/>
      </w:tblGrid>
      <w:tr w:rsidR="00C95B3F" w:rsidRPr="00C95B3F" w14:paraId="3510A5F9" w14:textId="77777777" w:rsidTr="008A1B5D">
        <w:trPr>
          <w:cantSplit/>
          <w:trHeight w:val="290"/>
          <w:tblHeader/>
          <w:jc w:val="center"/>
        </w:trPr>
        <w:tc>
          <w:tcPr>
            <w:tcW w:w="1340" w:type="dxa"/>
            <w:tcBorders>
              <w:top w:val="single" w:sz="8" w:space="0" w:color="auto"/>
              <w:left w:val="single" w:sz="8" w:space="0" w:color="auto"/>
              <w:bottom w:val="nil"/>
              <w:right w:val="single" w:sz="8" w:space="0" w:color="auto"/>
            </w:tcBorders>
            <w:shd w:val="clear" w:color="000000" w:fill="002060"/>
            <w:noWrap/>
            <w:vAlign w:val="bottom"/>
            <w:hideMark/>
          </w:tcPr>
          <w:p w14:paraId="0B3F5A75" w14:textId="77777777" w:rsidR="00C95B3F" w:rsidRPr="00C95B3F" w:rsidRDefault="00C95B3F" w:rsidP="00C95B3F">
            <w:pPr>
              <w:spacing w:after="0" w:line="240" w:lineRule="auto"/>
              <w:rPr>
                <w:rFonts w:ascii="Calibri" w:eastAsia="Times New Roman" w:hAnsi="Calibri" w:cs="Calibri"/>
                <w:b/>
                <w:bCs/>
                <w:color w:val="FFFFFF"/>
                <w:kern w:val="0"/>
                <w14:ligatures w14:val="none"/>
              </w:rPr>
            </w:pPr>
            <w:r w:rsidRPr="00C95B3F">
              <w:rPr>
                <w:rFonts w:ascii="Calibri" w:eastAsia="Times New Roman" w:hAnsi="Calibri" w:cs="Calibri"/>
                <w:b/>
                <w:bCs/>
                <w:color w:val="FFFFFF"/>
                <w:kern w:val="0"/>
                <w14:ligatures w14:val="none"/>
              </w:rPr>
              <w:t>ICD-10 Code</w:t>
            </w:r>
          </w:p>
        </w:tc>
        <w:tc>
          <w:tcPr>
            <w:tcW w:w="6280" w:type="dxa"/>
            <w:tcBorders>
              <w:top w:val="single" w:sz="8" w:space="0" w:color="auto"/>
              <w:left w:val="single" w:sz="8" w:space="0" w:color="auto"/>
              <w:right w:val="single" w:sz="8" w:space="0" w:color="auto"/>
            </w:tcBorders>
            <w:shd w:val="clear" w:color="000000" w:fill="002060"/>
            <w:noWrap/>
            <w:vAlign w:val="bottom"/>
            <w:hideMark/>
          </w:tcPr>
          <w:p w14:paraId="187E019D" w14:textId="77777777" w:rsidR="00C95B3F" w:rsidRPr="00C95B3F" w:rsidRDefault="00C95B3F" w:rsidP="00C95B3F">
            <w:pPr>
              <w:spacing w:after="0" w:line="240" w:lineRule="auto"/>
              <w:jc w:val="center"/>
              <w:rPr>
                <w:rFonts w:ascii="Calibri" w:eastAsia="Times New Roman" w:hAnsi="Calibri" w:cs="Calibri"/>
                <w:b/>
                <w:bCs/>
                <w:color w:val="FFFFFF"/>
                <w:kern w:val="0"/>
                <w14:ligatures w14:val="none"/>
              </w:rPr>
            </w:pPr>
            <w:r w:rsidRPr="00C95B3F">
              <w:rPr>
                <w:rFonts w:ascii="Calibri" w:eastAsia="Times New Roman" w:hAnsi="Calibri" w:cs="Calibri"/>
                <w:b/>
                <w:bCs/>
                <w:color w:val="FFFFFF"/>
                <w:kern w:val="0"/>
                <w14:ligatures w14:val="none"/>
              </w:rPr>
              <w:t>Description</w:t>
            </w:r>
          </w:p>
        </w:tc>
      </w:tr>
      <w:tr w:rsidR="00C95B3F" w:rsidRPr="00C95B3F" w14:paraId="5760004B" w14:textId="77777777" w:rsidTr="008A1B5D">
        <w:trPr>
          <w:cantSplit/>
          <w:trHeight w:val="145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5ABC154D"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C00-C96</w:t>
            </w:r>
          </w:p>
        </w:tc>
        <w:tc>
          <w:tcPr>
            <w:tcW w:w="6280" w:type="dxa"/>
            <w:tcBorders>
              <w:top w:val="nil"/>
              <w:left w:val="single" w:sz="8" w:space="0" w:color="auto"/>
              <w:bottom w:val="dotted" w:sz="4" w:space="0" w:color="auto"/>
              <w:right w:val="single" w:sz="8" w:space="0" w:color="auto"/>
            </w:tcBorders>
            <w:shd w:val="clear" w:color="auto" w:fill="auto"/>
            <w:vAlign w:val="bottom"/>
            <w:hideMark/>
          </w:tcPr>
          <w:p w14:paraId="7C8A0EA0" w14:textId="3610884D"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malignant neoplasm, malignant melanoma, lymphoma, leukemia, basal and squamous cell carcinoma, mesothelioma, Kaposi's sarcoma, gastrointestinal stromal tumor, Merkel cell carcinoma, malignant carcinoid tumor, mycosis fungoides, Sezary Disease</w:t>
            </w:r>
          </w:p>
        </w:tc>
      </w:tr>
      <w:tr w:rsidR="00C95B3F" w:rsidRPr="00C95B3F" w14:paraId="29868BBE" w14:textId="77777777" w:rsidTr="008A1B5D">
        <w:trPr>
          <w:cantSplit/>
          <w:trHeight w:val="29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18F813F1"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D00-D09</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0021BE1A"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carcinoma in situ and melanoma in situ</w:t>
            </w:r>
          </w:p>
        </w:tc>
      </w:tr>
      <w:tr w:rsidR="00C95B3F" w:rsidRPr="00C95B3F" w14:paraId="14526979" w14:textId="77777777" w:rsidTr="008A1B5D">
        <w:trPr>
          <w:cantSplit/>
          <w:trHeight w:val="58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29ABB684"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D37-D49</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3B85BA8C"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neoplasm of uncertain behavior, benign carcinoid tumors, refractory anemia, desmoid tumor</w:t>
            </w:r>
          </w:p>
        </w:tc>
      </w:tr>
      <w:tr w:rsidR="00C95B3F" w:rsidRPr="00C95B3F" w14:paraId="1F95AC9A" w14:textId="77777777" w:rsidTr="008A1B5D">
        <w:trPr>
          <w:cantSplit/>
          <w:trHeight w:val="29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38A50DEA"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Z19</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2F13A45F"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hormone sensitivity malignancy status</w:t>
            </w:r>
          </w:p>
        </w:tc>
      </w:tr>
      <w:tr w:rsidR="00C95B3F" w:rsidRPr="00C95B3F" w14:paraId="644F4570" w14:textId="77777777" w:rsidTr="008A1B5D">
        <w:trPr>
          <w:cantSplit/>
          <w:trHeight w:val="29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4C0B4C7D"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 xml:space="preserve">Z51.0 </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68822841"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antineoplastic radiation therapy</w:t>
            </w:r>
          </w:p>
        </w:tc>
      </w:tr>
      <w:tr w:rsidR="00C95B3F" w:rsidRPr="00C95B3F" w14:paraId="010A4FAC" w14:textId="77777777" w:rsidTr="008A1B5D">
        <w:trPr>
          <w:cantSplit/>
          <w:trHeight w:val="29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5027D53E"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Z51.1</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232C9985"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chemotherapy for neoplasm</w:t>
            </w:r>
          </w:p>
        </w:tc>
      </w:tr>
      <w:tr w:rsidR="00C95B3F" w:rsidRPr="00C95B3F" w14:paraId="4A77F461" w14:textId="77777777" w:rsidTr="008A1B5D">
        <w:trPr>
          <w:cantSplit/>
          <w:trHeight w:val="290"/>
          <w:jc w:val="center"/>
        </w:trPr>
        <w:tc>
          <w:tcPr>
            <w:tcW w:w="1340" w:type="dxa"/>
            <w:tcBorders>
              <w:top w:val="nil"/>
              <w:left w:val="single" w:sz="8" w:space="0" w:color="auto"/>
              <w:bottom w:val="dotted" w:sz="4" w:space="0" w:color="auto"/>
              <w:right w:val="single" w:sz="8" w:space="0" w:color="auto"/>
            </w:tcBorders>
            <w:shd w:val="clear" w:color="auto" w:fill="auto"/>
            <w:noWrap/>
            <w:vAlign w:val="center"/>
            <w:hideMark/>
          </w:tcPr>
          <w:p w14:paraId="039F307C"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Z51.11</w:t>
            </w:r>
          </w:p>
        </w:tc>
        <w:tc>
          <w:tcPr>
            <w:tcW w:w="6280" w:type="dxa"/>
            <w:tcBorders>
              <w:top w:val="dotted" w:sz="4" w:space="0" w:color="auto"/>
              <w:left w:val="single" w:sz="8" w:space="0" w:color="auto"/>
              <w:bottom w:val="dotted" w:sz="4" w:space="0" w:color="auto"/>
              <w:right w:val="single" w:sz="8" w:space="0" w:color="auto"/>
            </w:tcBorders>
            <w:shd w:val="clear" w:color="auto" w:fill="auto"/>
            <w:vAlign w:val="bottom"/>
            <w:hideMark/>
          </w:tcPr>
          <w:p w14:paraId="0D13C4F7"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antineoplastic chemotherapy</w:t>
            </w:r>
          </w:p>
        </w:tc>
      </w:tr>
      <w:tr w:rsidR="00C95B3F" w:rsidRPr="00C95B3F" w14:paraId="45A9F61F" w14:textId="77777777" w:rsidTr="008A1B5D">
        <w:trPr>
          <w:cantSplit/>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6E71418"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Z51.12</w:t>
            </w:r>
          </w:p>
        </w:tc>
        <w:tc>
          <w:tcPr>
            <w:tcW w:w="6280" w:type="dxa"/>
            <w:tcBorders>
              <w:top w:val="dotted" w:sz="4" w:space="0" w:color="auto"/>
              <w:left w:val="single" w:sz="8" w:space="0" w:color="auto"/>
              <w:bottom w:val="single" w:sz="8" w:space="0" w:color="auto"/>
              <w:right w:val="single" w:sz="8" w:space="0" w:color="auto"/>
            </w:tcBorders>
            <w:shd w:val="clear" w:color="auto" w:fill="auto"/>
            <w:vAlign w:val="bottom"/>
            <w:hideMark/>
          </w:tcPr>
          <w:p w14:paraId="19FACD7D" w14:textId="77777777" w:rsidR="00C95B3F" w:rsidRPr="00C95B3F" w:rsidRDefault="00C95B3F" w:rsidP="00C95B3F">
            <w:pPr>
              <w:spacing w:after="0" w:line="240" w:lineRule="auto"/>
              <w:rPr>
                <w:rFonts w:ascii="Calibri" w:eastAsia="Times New Roman" w:hAnsi="Calibri" w:cs="Calibri"/>
                <w:kern w:val="0"/>
                <w14:ligatures w14:val="none"/>
              </w:rPr>
            </w:pPr>
            <w:r w:rsidRPr="00C95B3F">
              <w:rPr>
                <w:rFonts w:ascii="Calibri" w:eastAsia="Times New Roman" w:hAnsi="Calibri" w:cs="Calibri"/>
                <w:kern w:val="0"/>
                <w14:ligatures w14:val="none"/>
              </w:rPr>
              <w:t>Includes antineoplastic immunotherapy</w:t>
            </w:r>
          </w:p>
        </w:tc>
      </w:tr>
    </w:tbl>
    <w:p w14:paraId="32BDA98C" w14:textId="77777777" w:rsidR="00C95B3F" w:rsidRDefault="00C95B3F" w:rsidP="006256A8">
      <w:pPr>
        <w:spacing w:line="360" w:lineRule="auto"/>
      </w:pPr>
    </w:p>
    <w:p w14:paraId="785EB189" w14:textId="65ECEE37" w:rsidR="00D86009" w:rsidRDefault="00D86009" w:rsidP="00D86009">
      <w:pPr>
        <w:numPr>
          <w:ilvl w:val="0"/>
          <w:numId w:val="4"/>
        </w:numPr>
        <w:spacing w:before="120" w:after="120" w:line="360" w:lineRule="auto"/>
        <w:jc w:val="both"/>
      </w:pPr>
      <w:r>
        <w:t>This analysis uses five service lines: (1) i</w:t>
      </w:r>
      <w:r w:rsidR="00505B49">
        <w:t>npatient cancer care</w:t>
      </w:r>
      <w:r>
        <w:t>, (2) i</w:t>
      </w:r>
      <w:r w:rsidR="00505B49">
        <w:t>npatient medical cancer care</w:t>
      </w:r>
      <w:r>
        <w:t>, (3) i</w:t>
      </w:r>
      <w:r w:rsidR="00505B49">
        <w:t>npatient surgical cancer care</w:t>
      </w:r>
      <w:r>
        <w:t>, (4) o</w:t>
      </w:r>
      <w:r w:rsidR="00505B49">
        <w:t>utpatient cancer imaging</w:t>
      </w:r>
      <w:r w:rsidR="009C68F5">
        <w:t xml:space="preserve"> (with CT, MRI, and PET-CT scans analyzed independently)</w:t>
      </w:r>
      <w:r>
        <w:t>, and (5) r</w:t>
      </w:r>
      <w:r w:rsidR="00505B49">
        <w:t>adiation therapy</w:t>
      </w:r>
      <w:r>
        <w:t xml:space="preserve"> for cancer</w:t>
      </w:r>
      <w:r w:rsidR="009C68F5">
        <w:t xml:space="preserve"> (with use of LINACs and CT simulators analyzed independently)</w:t>
      </w:r>
      <w:r>
        <w:t xml:space="preserve">. These service lines cover the proposed new or expanded services, facility, and equipment in the Proposed Project and are thus used for economic analyses of existing and projected supply and demand. </w:t>
      </w:r>
    </w:p>
    <w:p w14:paraId="1050750D" w14:textId="7D0198B4" w:rsidR="00C40BE3" w:rsidRDefault="00C40BE3" w:rsidP="00D86009">
      <w:pPr>
        <w:numPr>
          <w:ilvl w:val="0"/>
          <w:numId w:val="4"/>
        </w:numPr>
        <w:spacing w:before="120" w:after="120" w:line="360" w:lineRule="auto"/>
        <w:jc w:val="both"/>
      </w:pPr>
      <w:r>
        <w:t xml:space="preserve">Inpatient cancer care </w:t>
      </w:r>
      <w:r w:rsidR="000A14A9">
        <w:t>is</w:t>
      </w:r>
      <w:r>
        <w:t xml:space="preserve"> defined as all inpatient admissions with a cancer care diagnosis, as described above. Because the new DFCI facility </w:t>
      </w:r>
      <w:r w:rsidR="000A14A9">
        <w:t xml:space="preserve">would </w:t>
      </w:r>
      <w:r>
        <w:t xml:space="preserve">not provide surgical care, this service line </w:t>
      </w:r>
      <w:r w:rsidR="000A14A9">
        <w:t xml:space="preserve">is </w:t>
      </w:r>
      <w:r>
        <w:t xml:space="preserve">split further into medical cancer care and surgical cancer care. Any inpatient discharge with a surgical procedure </w:t>
      </w:r>
      <w:r w:rsidRPr="00F263FE">
        <w:t xml:space="preserve">that would typically </w:t>
      </w:r>
      <w:r w:rsidR="00F263FE" w:rsidRPr="00F263FE">
        <w:t xml:space="preserve">be performed in an </w:t>
      </w:r>
      <w:r w:rsidRPr="00F263FE">
        <w:t>operating room</w:t>
      </w:r>
      <w:r w:rsidR="00F263FE">
        <w:t xml:space="preserve"> setting </w:t>
      </w:r>
      <w:r w:rsidR="000A14A9">
        <w:t xml:space="preserve">is </w:t>
      </w:r>
      <w:r>
        <w:t>allocated to the surgical cancer care service line.</w:t>
      </w:r>
      <w:r>
        <w:rPr>
          <w:rStyle w:val="FootnoteReference"/>
        </w:rPr>
        <w:footnoteReference w:id="35"/>
      </w:r>
      <w:r>
        <w:t xml:space="preserve"> The remaining inpatient cancer care discharges </w:t>
      </w:r>
      <w:r w:rsidR="000A14A9">
        <w:t xml:space="preserve">are </w:t>
      </w:r>
      <w:r>
        <w:t xml:space="preserve">assigned to the medical cancer care service line. This approach to inpatient service line definition is similar but not identical to the approach used by DFCI in its Application. The diagnosis codes used for identifying cancer care are identical to DFCI’s approach, but the Application indicates that </w:t>
      </w:r>
      <w:r w:rsidR="006020D7">
        <w:t>“</w:t>
      </w:r>
      <w:r>
        <w:t>the Applicant’s clinical leadership team assessed</w:t>
      </w:r>
      <w:r w:rsidR="003C7113">
        <w:t xml:space="preserve"> [the claims]…on a discharge-by-discharge basis</w:t>
      </w:r>
      <w:r w:rsidR="006020D7">
        <w:t>”</w:t>
      </w:r>
      <w:r w:rsidR="003C7113">
        <w:t xml:space="preserve"> and excluded </w:t>
      </w:r>
      <w:r w:rsidR="006020D7">
        <w:t>“</w:t>
      </w:r>
      <w:r w:rsidR="003C7113">
        <w:t>patients with an admission unrelated to cancer.</w:t>
      </w:r>
      <w:r w:rsidR="006020D7">
        <w:t>”</w:t>
      </w:r>
      <w:r w:rsidR="003C7113">
        <w:rPr>
          <w:rStyle w:val="FootnoteReference"/>
        </w:rPr>
        <w:footnoteReference w:id="36"/>
      </w:r>
      <w:r w:rsidR="003C7113">
        <w:t xml:space="preserve"> DFCI did not provide details as to which specific discharges, </w:t>
      </w:r>
      <w:r w:rsidR="003C7113">
        <w:lastRenderedPageBreak/>
        <w:t xml:space="preserve">procedures, or DRGs it excluded, so </w:t>
      </w:r>
      <w:r w:rsidR="000A14A9">
        <w:t xml:space="preserve">FTI </w:t>
      </w:r>
      <w:r w:rsidR="003C7113">
        <w:t xml:space="preserve">could not independently evaluate </w:t>
      </w:r>
      <w:r w:rsidR="000A14A9">
        <w:t xml:space="preserve">DFCI’s </w:t>
      </w:r>
      <w:r w:rsidR="003C7113">
        <w:t xml:space="preserve">approach nor could </w:t>
      </w:r>
      <w:r w:rsidR="000A14A9">
        <w:t xml:space="preserve">it </w:t>
      </w:r>
      <w:r w:rsidR="003C7113">
        <w:t xml:space="preserve">replicate </w:t>
      </w:r>
      <w:r w:rsidR="000A14A9">
        <w:t xml:space="preserve">the </w:t>
      </w:r>
      <w:r w:rsidR="003C7113">
        <w:t xml:space="preserve">discharge-by-discharge review. In this regard, </w:t>
      </w:r>
      <w:r w:rsidR="000A14A9">
        <w:t xml:space="preserve">the </w:t>
      </w:r>
      <w:r w:rsidR="003C7113">
        <w:t xml:space="preserve">service line definition </w:t>
      </w:r>
      <w:r w:rsidR="000A14A9">
        <w:t xml:space="preserve">in this analysis </w:t>
      </w:r>
      <w:r w:rsidR="003C7113">
        <w:t xml:space="preserve">may be more inclusive than the definition used in DFCI’s </w:t>
      </w:r>
      <w:r w:rsidR="000C701A">
        <w:t>A</w:t>
      </w:r>
      <w:r w:rsidR="003C7113">
        <w:t xml:space="preserve">pplication. Conversely, </w:t>
      </w:r>
      <w:r w:rsidR="000A14A9">
        <w:t xml:space="preserve">this report’s </w:t>
      </w:r>
      <w:r w:rsidR="003C7113">
        <w:t xml:space="preserve">approach is more restrictive </w:t>
      </w:r>
      <w:r w:rsidR="000A14A9">
        <w:t xml:space="preserve">than DFCI </w:t>
      </w:r>
      <w:r w:rsidR="003C7113">
        <w:t xml:space="preserve">with regard to surgical care. While the Application excluded </w:t>
      </w:r>
      <w:r w:rsidR="006020D7">
        <w:t>“</w:t>
      </w:r>
      <w:r w:rsidR="003C7113">
        <w:t>surgical-only patients,</w:t>
      </w:r>
      <w:r w:rsidR="006020D7">
        <w:t>”</w:t>
      </w:r>
      <w:r w:rsidR="003C7113">
        <w:t xml:space="preserve"> </w:t>
      </w:r>
      <w:r w:rsidR="000A14A9">
        <w:t xml:space="preserve">this report’s </w:t>
      </w:r>
      <w:r w:rsidR="003C7113">
        <w:t>definition is more conservative with respect to the number of DFCI discharges because it excludes any surgical patients. The resulting analyses based on this service line, therefore, may underestimate overall projected demand for DFCI services at its new facility by cancer care patients</w:t>
      </w:r>
      <w:r w:rsidR="000A14A9">
        <w:t xml:space="preserve"> with surgical procedures</w:t>
      </w:r>
      <w:r w:rsidR="003C7113">
        <w:t>.</w:t>
      </w:r>
      <w:r w:rsidR="00617AFD">
        <w:t xml:space="preserve"> As shown in Table </w:t>
      </w:r>
      <w:r w:rsidR="00C228C7">
        <w:t>4</w:t>
      </w:r>
      <w:r w:rsidR="00617AFD">
        <w:t xml:space="preserve"> below, FTI’s methodology identifies 10,6</w:t>
      </w:r>
      <w:r w:rsidR="000C701A">
        <w:t>87</w:t>
      </w:r>
      <w:r w:rsidR="00617AFD">
        <w:t xml:space="preserve"> medical cancer care inpatient discharges in 2022 for BIDMC and DFCI combined. This is similar to the estimated number of combined discharges calculated by DFCI in its Application.</w:t>
      </w:r>
      <w:r w:rsidR="00617AFD">
        <w:rPr>
          <w:rStyle w:val="FootnoteReference"/>
        </w:rPr>
        <w:footnoteReference w:id="37"/>
      </w:r>
    </w:p>
    <w:p w14:paraId="5F314981" w14:textId="3BAEC5EC" w:rsidR="00A76F0F" w:rsidRDefault="000A14A9" w:rsidP="00A76F0F">
      <w:pPr>
        <w:pStyle w:val="Heading1"/>
        <w:rPr>
          <w:rFonts w:hint="eastAsia"/>
        </w:rPr>
      </w:pPr>
      <w:bookmarkStart w:id="16" w:name="_Toc187401744"/>
      <w:r>
        <w:t>Defining Geographic Areas of Coverage for ICA Evaluation</w:t>
      </w:r>
      <w:bookmarkEnd w:id="16"/>
    </w:p>
    <w:p w14:paraId="3424B826" w14:textId="2A562835" w:rsidR="00470899" w:rsidRDefault="00470899" w:rsidP="008C4EE0">
      <w:pPr>
        <w:pStyle w:val="Heading2"/>
        <w:numPr>
          <w:ilvl w:val="0"/>
          <w:numId w:val="19"/>
        </w:numPr>
      </w:pPr>
      <w:bookmarkStart w:id="17" w:name="_Toc187401745"/>
      <w:r>
        <w:t>Overview of Methodology for Empirical Analysis of Service Areas</w:t>
      </w:r>
      <w:bookmarkEnd w:id="17"/>
    </w:p>
    <w:p w14:paraId="0EFDEFC9" w14:textId="0468EAD6" w:rsidR="000A14A9" w:rsidRDefault="000A14A9" w:rsidP="003C7113">
      <w:pPr>
        <w:numPr>
          <w:ilvl w:val="0"/>
          <w:numId w:val="4"/>
        </w:numPr>
        <w:spacing w:before="120" w:after="120" w:line="360" w:lineRule="auto"/>
        <w:jc w:val="both"/>
      </w:pPr>
      <w:r>
        <w:t xml:space="preserve">This ICA </w:t>
      </w:r>
      <w:r w:rsidR="000C701A">
        <w:t>r</w:t>
      </w:r>
      <w:r>
        <w:t>eport develops several economic a</w:t>
      </w:r>
      <w:r w:rsidRPr="00D705C0">
        <w:t xml:space="preserve">nalyses </w:t>
      </w:r>
      <w:r>
        <w:t>for independent evaluation of competition, pricing, capacity, and utilization that use</w:t>
      </w:r>
      <w:r w:rsidRPr="00D705C0">
        <w:t xml:space="preserve"> </w:t>
      </w:r>
      <w:r>
        <w:t>geographic areas or service areas. These include analysis of the scope of area served by existing or new DFCI facilities, identification of alternatives serving patient populations, utilization, share, predicted shifts from one location to another location, and pricing among others.</w:t>
      </w:r>
    </w:p>
    <w:p w14:paraId="6D17A05B" w14:textId="69317EFC" w:rsidR="004652B3" w:rsidRDefault="00062F9B" w:rsidP="003C7113">
      <w:pPr>
        <w:numPr>
          <w:ilvl w:val="0"/>
          <w:numId w:val="4"/>
        </w:numPr>
        <w:spacing w:before="120" w:after="120" w:line="360" w:lineRule="auto"/>
        <w:jc w:val="both"/>
      </w:pPr>
      <w:r>
        <w:t xml:space="preserve">The ICA Questions directed </w:t>
      </w:r>
      <w:r w:rsidR="00470899">
        <w:t xml:space="preserve">the </w:t>
      </w:r>
      <w:r w:rsidR="000C701A">
        <w:t xml:space="preserve">FTI </w:t>
      </w:r>
      <w:r>
        <w:t xml:space="preserve">to assess service availability, patient demographics, and projected trends on a statewide basis. Consequently, </w:t>
      </w:r>
      <w:r w:rsidR="00E435EA">
        <w:t>the majority of the analysis in this report is presented for Massachusetts as a whole. When considering questions of incremental demand, changes in prices, and changes in cost, our analysis is based on Massachusetts residents only, excluding out of state or international patients, consistent with the Commonwealth’s cost</w:t>
      </w:r>
      <w:r w:rsidR="0021310B">
        <w:t>-</w:t>
      </w:r>
      <w:r w:rsidR="00E435EA">
        <w:t>containment goals definitions.</w:t>
      </w:r>
      <w:r w:rsidR="00E435EA">
        <w:rPr>
          <w:rStyle w:val="FootnoteReference"/>
        </w:rPr>
        <w:footnoteReference w:id="38"/>
      </w:r>
      <w:r w:rsidR="00E435EA">
        <w:t xml:space="preserve"> On the other hand, we include non-Massachusetts residents in our review of DFCI’s projected utilization of the proposed new hospital beds and new equipment in order to accurately incorporate capacity constraints.</w:t>
      </w:r>
    </w:p>
    <w:p w14:paraId="37834A59" w14:textId="0172DF09" w:rsidR="000A14A9" w:rsidRDefault="000A14A9" w:rsidP="003C7113">
      <w:pPr>
        <w:numPr>
          <w:ilvl w:val="0"/>
          <w:numId w:val="4"/>
        </w:numPr>
        <w:spacing w:before="120" w:after="120" w:line="360" w:lineRule="auto"/>
        <w:jc w:val="both"/>
      </w:pPr>
      <w:r>
        <w:t xml:space="preserve">Economic analyses in this report involve assessment of the proposed DFCI facility, the patient population served by this facility for specific services, and the alternative facilities that are or could be used by that patient population (or from where shifts to the relocated or expanded new services could occur). Economic analysis of patient populations and alternative providers in healthcare </w:t>
      </w:r>
      <w:r>
        <w:lastRenderedPageBreak/>
        <w:t>economics often uses the concept of Primary Service Areas (PSAs).</w:t>
      </w:r>
      <w:r>
        <w:rPr>
          <w:rStyle w:val="FootnoteReference"/>
        </w:rPr>
        <w:footnoteReference w:id="39"/>
      </w:r>
      <w:r w:rsidR="00D44895">
        <w:t xml:space="preserve"> Typically, PSAs are defined by the region from which a provider draws a specific fraction of its patients (e.g., 90%</w:t>
      </w:r>
      <w:r w:rsidR="00CF5F35">
        <w:t xml:space="preserve"> of inpatient discharges or outpatient claims</w:t>
      </w:r>
      <w:r w:rsidR="00D44895">
        <w:t>).</w:t>
      </w:r>
    </w:p>
    <w:p w14:paraId="5BA0249A" w14:textId="7447B1BF" w:rsidR="00E321EB" w:rsidRDefault="005A2DE4" w:rsidP="003C7113">
      <w:pPr>
        <w:numPr>
          <w:ilvl w:val="0"/>
          <w:numId w:val="4"/>
        </w:numPr>
        <w:spacing w:before="120" w:after="120" w:line="360" w:lineRule="auto"/>
        <w:jc w:val="both"/>
      </w:pPr>
      <w:r>
        <w:t xml:space="preserve">As shown below, </w:t>
      </w:r>
      <w:r w:rsidR="00470899">
        <w:t xml:space="preserve">at least </w:t>
      </w:r>
      <w:r w:rsidR="00DA534C">
        <w:t>20%</w:t>
      </w:r>
      <w:r>
        <w:t xml:space="preserve"> of DFCI’s inpatient cancer care discharges are drawn from out-of-state patients</w:t>
      </w:r>
      <w:r w:rsidR="00E321EB">
        <w:t xml:space="preserve">, and within Massachusetts DFCI draws patients from every county of the Commonwealth. </w:t>
      </w:r>
      <w:r w:rsidR="00D44895">
        <w:t xml:space="preserve">This implies that </w:t>
      </w:r>
      <w:r w:rsidR="00DA534C">
        <w:t xml:space="preserve">standard </w:t>
      </w:r>
      <w:r w:rsidR="00D44895">
        <w:t>PSA</w:t>
      </w:r>
      <w:r w:rsidR="00DA534C">
        <w:t>s for DFCI inpatient cancer care would encompass all or essentially all regions of the state.</w:t>
      </w:r>
      <w:r w:rsidR="00D44895">
        <w:t xml:space="preserve"> </w:t>
      </w:r>
      <w:r w:rsidR="00E321EB">
        <w:t xml:space="preserve">The geographic scope of this draw area </w:t>
      </w:r>
      <w:r w:rsidR="00470899">
        <w:t xml:space="preserve">and the ICA </w:t>
      </w:r>
      <w:r w:rsidR="000C701A">
        <w:t>Q</w:t>
      </w:r>
      <w:r w:rsidR="00470899">
        <w:t xml:space="preserve">uestions directives </w:t>
      </w:r>
      <w:r w:rsidR="00E321EB">
        <w:t xml:space="preserve">support statewide analysis of inpatient cancer care for assessment of the Proposed Project. </w:t>
      </w:r>
    </w:p>
    <w:p w14:paraId="195C86C2" w14:textId="5194EE39" w:rsidR="003C7113" w:rsidRDefault="00E321EB" w:rsidP="00303737">
      <w:pPr>
        <w:numPr>
          <w:ilvl w:val="0"/>
          <w:numId w:val="4"/>
        </w:numPr>
        <w:spacing w:before="120" w:after="120" w:line="360" w:lineRule="auto"/>
        <w:jc w:val="both"/>
      </w:pPr>
      <w:r>
        <w:t>S</w:t>
      </w:r>
      <w:r w:rsidR="003C7113">
        <w:t xml:space="preserve">ome </w:t>
      </w:r>
      <w:r>
        <w:t xml:space="preserve">forecast </w:t>
      </w:r>
      <w:r w:rsidR="003C7113">
        <w:t>scenarios</w:t>
      </w:r>
      <w:r w:rsidR="008A5E9C">
        <w:t xml:space="preserve"> described more fully below</w:t>
      </w:r>
      <w:r>
        <w:t xml:space="preserve"> incorporate reallocation of non-cancer care patients between existing inpatient hospital providers following the construction of DFCI’s new facility. To account for care delivered on a potentially more local basis than cancer care, </w:t>
      </w:r>
      <w:r w:rsidR="00D44895">
        <w:t xml:space="preserve">this report </w:t>
      </w:r>
      <w:r>
        <w:t>make</w:t>
      </w:r>
      <w:r w:rsidR="00D44895">
        <w:t>s</w:t>
      </w:r>
      <w:r>
        <w:t xml:space="preserve"> use of health service areas (HSAs) defined by the Massachusetts Executive Office of Health and Human Services.</w:t>
      </w:r>
      <w:r w:rsidR="00303737">
        <w:rPr>
          <w:rStyle w:val="FootnoteReference"/>
        </w:rPr>
        <w:footnoteReference w:id="40"/>
      </w:r>
      <w:r>
        <w:t xml:space="preserve"> </w:t>
      </w:r>
      <w:r w:rsidR="00303737" w:rsidRPr="00D705C0">
        <w:t xml:space="preserve">These regions include </w:t>
      </w:r>
      <w:r w:rsidR="00303737">
        <w:t>six</w:t>
      </w:r>
      <w:r w:rsidR="00303737" w:rsidRPr="00D705C0">
        <w:t xml:space="preserve"> collections of zip-codes that are grouped into the Western, Central, Northeast, Metro West, Southeast</w:t>
      </w:r>
      <w:r w:rsidR="000C701A">
        <w:t>,</w:t>
      </w:r>
      <w:r w:rsidR="00303737" w:rsidRPr="00D705C0">
        <w:t xml:space="preserve"> and Boston regions.</w:t>
      </w:r>
    </w:p>
    <w:p w14:paraId="0EB4F72C" w14:textId="12CE1C75" w:rsidR="009A24FC" w:rsidRPr="009A24FC" w:rsidRDefault="009A24FC" w:rsidP="00303737">
      <w:pPr>
        <w:numPr>
          <w:ilvl w:val="0"/>
          <w:numId w:val="4"/>
        </w:numPr>
        <w:spacing w:before="120" w:after="120" w:line="360" w:lineRule="auto"/>
        <w:jc w:val="both"/>
      </w:pPr>
      <w:r>
        <w:t>Sections XIV.B and XV.B below provide additional detail regarding DFCI’s geographic service areas for outpatient diagnostic imaging and radiation therapy</w:t>
      </w:r>
      <w:r w:rsidR="00C228C7">
        <w:t xml:space="preserve"> respectively</w:t>
      </w:r>
      <w:r>
        <w:t>.</w:t>
      </w:r>
    </w:p>
    <w:p w14:paraId="0A70A253" w14:textId="11334834" w:rsidR="00470899" w:rsidRDefault="00470899" w:rsidP="008C4EE0">
      <w:pPr>
        <w:pStyle w:val="Heading2"/>
      </w:pPr>
      <w:bookmarkStart w:id="18" w:name="_Toc187401746"/>
      <w:r>
        <w:t xml:space="preserve">Overview of DFCI and Health Systems Offering </w:t>
      </w:r>
      <w:r w:rsidR="0077332D">
        <w:t xml:space="preserve">Inpatient </w:t>
      </w:r>
      <w:r>
        <w:t>Cancer Care Services</w:t>
      </w:r>
      <w:bookmarkEnd w:id="18"/>
    </w:p>
    <w:p w14:paraId="760B1202" w14:textId="418A059E" w:rsidR="00197D78" w:rsidRDefault="00197D78" w:rsidP="00303737">
      <w:pPr>
        <w:numPr>
          <w:ilvl w:val="0"/>
          <w:numId w:val="4"/>
        </w:numPr>
        <w:spacing w:before="120" w:after="120" w:line="360" w:lineRule="auto"/>
        <w:jc w:val="both"/>
      </w:pPr>
      <w:r>
        <w:t>Applying the methodology described above, FTI defined service areas for each service line. We note here that there may be providers not depicted on the maps below that serve as alternatives for patients in a specific service area. Moreover, facilities located physically outside of an area may be important alternatives that are used or could be conveniently used by patients.</w:t>
      </w:r>
      <w:r>
        <w:rPr>
          <w:rStyle w:val="FootnoteReference"/>
        </w:rPr>
        <w:footnoteReference w:id="41"/>
      </w:r>
      <w:r>
        <w:t xml:space="preserve"> </w:t>
      </w:r>
    </w:p>
    <w:p w14:paraId="2B95FB09" w14:textId="752B3AAD" w:rsidR="003731E4" w:rsidRPr="0071286C" w:rsidRDefault="00470899" w:rsidP="0071286C">
      <w:pPr>
        <w:numPr>
          <w:ilvl w:val="0"/>
          <w:numId w:val="4"/>
        </w:numPr>
        <w:spacing w:before="120" w:after="120" w:line="360" w:lineRule="auto"/>
        <w:jc w:val="both"/>
      </w:pPr>
      <w:r>
        <w:t xml:space="preserve">Figure </w:t>
      </w:r>
      <w:r w:rsidR="00C228C7">
        <w:t>1</w:t>
      </w:r>
      <w:r>
        <w:t xml:space="preserve"> depicts the hospital locations of health systems providing inpatient cancer care (as defined above) in Massachusetts. Figure</w:t>
      </w:r>
      <w:r w:rsidR="00C228C7">
        <w:t xml:space="preserve"> 2</w:t>
      </w:r>
      <w:r>
        <w:t xml:space="preserve"> provides the same depiction of locations in the Boston area. </w:t>
      </w:r>
      <w:r w:rsidR="0059306B">
        <w:t>There are numerous other hospitals providing cancer care that are not included on the map yet</w:t>
      </w:r>
      <w:r w:rsidR="000C701A">
        <w:t xml:space="preserve"> are</w:t>
      </w:r>
      <w:r w:rsidR="0059306B">
        <w:t xml:space="preserve"> included </w:t>
      </w:r>
      <w:r w:rsidR="0059306B">
        <w:lastRenderedPageBreak/>
        <w:t>in the empirical analyses that follow.</w:t>
      </w:r>
      <w:r w:rsidR="003731E4">
        <w:rPr>
          <w:rStyle w:val="FootnoteReference"/>
        </w:rPr>
        <w:footnoteReference w:id="42"/>
      </w:r>
      <w:r w:rsidR="0059306B">
        <w:t xml:space="preserve"> </w:t>
      </w:r>
      <w:r w:rsidR="003731E4">
        <w:t>DFCI’s current location (co</w:t>
      </w:r>
      <w:r w:rsidR="00495C95">
        <w:t>-</w:t>
      </w:r>
      <w:r w:rsidR="003731E4">
        <w:t xml:space="preserve">located with BWH) is depicted on the map. Mass General Brigham </w:t>
      </w:r>
      <w:r w:rsidR="0041101C">
        <w:t xml:space="preserve">(MGB) </w:t>
      </w:r>
      <w:r w:rsidR="003731E4">
        <w:t xml:space="preserve">and Beth Israel Lahey Health have the largest number of facilities in the </w:t>
      </w:r>
      <w:r w:rsidR="004E52C1">
        <w:t>state</w:t>
      </w:r>
      <w:r w:rsidR="003731E4">
        <w:t xml:space="preserve">. Other entities with multiple locations include UMass Memorial Health Care, Tufts Medicine, </w:t>
      </w:r>
      <w:r w:rsidR="0071286C">
        <w:t xml:space="preserve">and </w:t>
      </w:r>
      <w:r w:rsidR="003731E4">
        <w:t>Southcoast Health System</w:t>
      </w:r>
      <w:r w:rsidR="0071286C">
        <w:t>.</w:t>
      </w:r>
      <w:r w:rsidR="00E52D6C">
        <w:rPr>
          <w:rStyle w:val="FootnoteReference"/>
        </w:rPr>
        <w:footnoteReference w:id="43"/>
      </w:r>
      <w:r w:rsidR="0071286C">
        <w:t xml:space="preserve"> </w:t>
      </w:r>
      <w:r>
        <w:t xml:space="preserve">Consistent with the distribution of the population across Massachusetts, most inpatient cancer care hospitals are centered around </w:t>
      </w:r>
      <w:r w:rsidR="004E52C1">
        <w:t>the Boston metro area</w:t>
      </w:r>
      <w:r>
        <w:t xml:space="preserve">, with </w:t>
      </w:r>
      <w:r w:rsidR="0071286C">
        <w:t xml:space="preserve">additional </w:t>
      </w:r>
      <w:r>
        <w:t xml:space="preserve">facilities </w:t>
      </w:r>
      <w:r w:rsidR="0041101C">
        <w:t>distributed</w:t>
      </w:r>
      <w:r w:rsidR="004E52C1">
        <w:t xml:space="preserve"> around other areas of the state</w:t>
      </w:r>
      <w:r>
        <w:t>.</w:t>
      </w:r>
    </w:p>
    <w:p w14:paraId="1FE56AE2" w14:textId="085028AE" w:rsidR="00B52FC7" w:rsidRDefault="00B52FC7" w:rsidP="00B52FC7">
      <w:pPr>
        <w:pStyle w:val="Caption"/>
        <w:keepNext/>
        <w:jc w:val="center"/>
      </w:pPr>
      <w:bookmarkStart w:id="19" w:name="_Toc187401813"/>
      <w:r>
        <w:t xml:space="preserve">Figure </w:t>
      </w:r>
      <w:fldSimple w:instr=" SEQ Figure \* ARABIC ">
        <w:r w:rsidR="0085394E">
          <w:rPr>
            <w:noProof/>
          </w:rPr>
          <w:t>1</w:t>
        </w:r>
      </w:fldSimple>
      <w:r>
        <w:t>: Overview of Massachusetts Health Systems Providing Inpatient Cancer Care</w:t>
      </w:r>
      <w:r w:rsidR="000C701A">
        <w:rPr>
          <w:rStyle w:val="FootnoteReference"/>
        </w:rPr>
        <w:footnoteReference w:id="44"/>
      </w:r>
      <w:bookmarkEnd w:id="19"/>
    </w:p>
    <w:p w14:paraId="393882A2" w14:textId="569DD987" w:rsidR="00B52FC7" w:rsidRDefault="004E52C1" w:rsidP="003731E4">
      <w:pPr>
        <w:spacing w:before="120" w:after="120" w:line="360" w:lineRule="auto"/>
        <w:jc w:val="center"/>
      </w:pPr>
      <w:r>
        <w:rPr>
          <w:noProof/>
        </w:rPr>
        <w:drawing>
          <wp:inline distT="0" distB="0" distL="0" distR="0" wp14:anchorId="6C5E2FB3" wp14:editId="56846F9C">
            <wp:extent cx="5486400" cy="2661442"/>
            <wp:effectExtent l="0" t="0" r="0" b="5715"/>
            <wp:docPr id="995898102" name="Picture 3" descr="Map of Massachusetts, highlighting systems providing inpatient cance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8102" name="Picture 3" descr="Map of Massachusetts, highlighting systems providing inpatient cancer c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61442"/>
                    </a:xfrm>
                    <a:prstGeom prst="rect">
                      <a:avLst/>
                    </a:prstGeom>
                    <a:noFill/>
                  </pic:spPr>
                </pic:pic>
              </a:graphicData>
            </a:graphic>
          </wp:inline>
        </w:drawing>
      </w:r>
      <w:r w:rsidR="00782257">
        <w:rPr>
          <w:noProof/>
        </w:rPr>
        <w:drawing>
          <wp:inline distT="0" distB="0" distL="0" distR="0" wp14:anchorId="286A7E67" wp14:editId="6BF848FB">
            <wp:extent cx="5486400" cy="2531912"/>
            <wp:effectExtent l="0" t="0" r="0" b="1905"/>
            <wp:docPr id="118802772" name="Picture 5" descr="Legend for map of MA Healthcare Systems providing inpatient cancer care. Systems (not including individual hospitals): Baystate Health, Berkshire Health Systems, Beth Israel Lahey Health, Boston Medical Center, Cape Cod Healthcare, Dana-Farber Cancer Institute, Mass General Brigham, Milford Regional Medical Center, South Shore Health System, Southcoast Health System, Steward Health Care System, Tenet Healthcare, Trinity Health, Tufts Medicine, UMass Memori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772" name="Picture 5" descr="Legend for map of MA Healthcare Systems providing inpatient cancer care. Systems (not including individual hospitals): Baystate Health, Berkshire Health Systems, Beth Israel Lahey Health, Boston Medical Center, Cape Cod Healthcare, Dana-Farber Cancer Institute, Mass General Brigham, Milford Regional Medical Center, South Shore Health System, Southcoast Health System, Steward Health Care System, Tenet Healthcare, Trinity Health, Tufts Medicine, UMass Memorial Health 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31912"/>
                    </a:xfrm>
                    <a:prstGeom prst="rect">
                      <a:avLst/>
                    </a:prstGeom>
                    <a:noFill/>
                  </pic:spPr>
                </pic:pic>
              </a:graphicData>
            </a:graphic>
          </wp:inline>
        </w:drawing>
      </w:r>
    </w:p>
    <w:p w14:paraId="02CE0016" w14:textId="4C0C05E3" w:rsidR="00B52FC7" w:rsidRDefault="00B52FC7" w:rsidP="00B52FC7">
      <w:pPr>
        <w:pStyle w:val="Caption"/>
        <w:keepNext/>
        <w:jc w:val="center"/>
      </w:pPr>
      <w:bookmarkStart w:id="20" w:name="_Toc187401814"/>
      <w:r>
        <w:lastRenderedPageBreak/>
        <w:t xml:space="preserve">Figure </w:t>
      </w:r>
      <w:fldSimple w:instr=" SEQ Figure \* ARABIC ">
        <w:r w:rsidR="0085394E">
          <w:rPr>
            <w:noProof/>
          </w:rPr>
          <w:t>2</w:t>
        </w:r>
      </w:fldSimple>
      <w:r>
        <w:t>: Overview of Boston Area Health Systems Providing Inpatient Cancer Care</w:t>
      </w:r>
      <w:r w:rsidR="000C701A">
        <w:rPr>
          <w:rStyle w:val="FootnoteReference"/>
        </w:rPr>
        <w:footnoteReference w:id="45"/>
      </w:r>
      <w:bookmarkEnd w:id="20"/>
    </w:p>
    <w:p w14:paraId="260E52AB" w14:textId="00AF04EF" w:rsidR="00B52FC7" w:rsidRDefault="00B52FC7" w:rsidP="003731E4">
      <w:pPr>
        <w:spacing w:before="120" w:after="120" w:line="360" w:lineRule="auto"/>
        <w:jc w:val="center"/>
      </w:pPr>
      <w:r>
        <w:rPr>
          <w:noProof/>
        </w:rPr>
        <w:drawing>
          <wp:inline distT="0" distB="0" distL="0" distR="0" wp14:anchorId="288C3319" wp14:editId="3168DFF7">
            <wp:extent cx="5486400" cy="3882942"/>
            <wp:effectExtent l="0" t="0" r="0" b="3810"/>
            <wp:docPr id="127505615" name="Picture 3" descr="Map of Boston Area Health Systems providing inpatient cance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5615" name="Picture 3" descr="Map of Boston Area Health Systems providing inpatient cancer car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6400" cy="3882942"/>
                    </a:xfrm>
                    <a:prstGeom prst="rect">
                      <a:avLst/>
                    </a:prstGeom>
                    <a:noFill/>
                  </pic:spPr>
                </pic:pic>
              </a:graphicData>
            </a:graphic>
          </wp:inline>
        </w:drawing>
      </w:r>
      <w:r w:rsidR="00782257">
        <w:rPr>
          <w:noProof/>
        </w:rPr>
        <w:drawing>
          <wp:inline distT="0" distB="0" distL="0" distR="0" wp14:anchorId="4C38F183" wp14:editId="089E3534">
            <wp:extent cx="5486400" cy="731440"/>
            <wp:effectExtent l="0" t="0" r="0" b="0"/>
            <wp:docPr id="1064800570" name="Picture 6" descr="Legend for map of Boston area Healthcare Systems providing inpatient cancer care. Systems (not including individual hospitals): Beth Israel Lahey Health, Dana-Farber Cancer Institute, Boston Medical Center, Mass General Brigham, South Shore Health System, Steward Health Care System, Tuft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00570" name="Picture 6" descr="Legend for map of Boston area Healthcare Systems providing inpatient cancer care. Systems (not including individual hospitals): Beth Israel Lahey Health, Dana-Farber Cancer Institute, Boston Medical Center, Mass General Brigham, South Shore Health System, Steward Health Care System, Tufts Medic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31440"/>
                    </a:xfrm>
                    <a:prstGeom prst="rect">
                      <a:avLst/>
                    </a:prstGeom>
                    <a:noFill/>
                  </pic:spPr>
                </pic:pic>
              </a:graphicData>
            </a:graphic>
          </wp:inline>
        </w:drawing>
      </w:r>
    </w:p>
    <w:p w14:paraId="602C6130" w14:textId="6CC7CAB9" w:rsidR="00A76F0F" w:rsidRDefault="000224C4" w:rsidP="00A76F0F">
      <w:pPr>
        <w:pStyle w:val="Heading1"/>
        <w:rPr>
          <w:rFonts w:hint="eastAsia"/>
        </w:rPr>
      </w:pPr>
      <w:bookmarkStart w:id="21" w:name="_Toc187401747"/>
      <w:r w:rsidRPr="00762734">
        <w:t xml:space="preserve">Current Provision of </w:t>
      </w:r>
      <w:r w:rsidR="0077332D">
        <w:t xml:space="preserve">Inpatient </w:t>
      </w:r>
      <w:r w:rsidRPr="00762734">
        <w:t>Cancer Care in Massachusetts</w:t>
      </w:r>
      <w:bookmarkEnd w:id="21"/>
    </w:p>
    <w:p w14:paraId="211CCA90" w14:textId="70144254" w:rsidR="00441070" w:rsidRPr="00441070" w:rsidRDefault="00441070" w:rsidP="00441070">
      <w:pPr>
        <w:numPr>
          <w:ilvl w:val="0"/>
          <w:numId w:val="4"/>
        </w:numPr>
        <w:spacing w:before="120" w:after="120" w:line="360" w:lineRule="auto"/>
        <w:jc w:val="both"/>
      </w:pPr>
      <w:r>
        <w:t xml:space="preserve">This section provides detailed analysis of the patients, providers, and payors for each of the relevant service lines. These apply standard methodologies and a standard basis for estimating shares based on volumes in a geography and by provider. FTI used CHIA data and information on licensed facilities to identify specific providers of the relevant services. </w:t>
      </w:r>
    </w:p>
    <w:p w14:paraId="2F109819" w14:textId="6C25043C" w:rsidR="00520A3B" w:rsidRDefault="00520A3B" w:rsidP="003541D0">
      <w:pPr>
        <w:numPr>
          <w:ilvl w:val="0"/>
          <w:numId w:val="4"/>
        </w:numPr>
        <w:spacing w:before="120" w:after="120" w:line="360" w:lineRule="auto"/>
        <w:jc w:val="both"/>
      </w:pPr>
      <w:r>
        <w:t xml:space="preserve">Table </w:t>
      </w:r>
      <w:r w:rsidR="00C228C7">
        <w:t>2</w:t>
      </w:r>
      <w:r>
        <w:t xml:space="preserve"> sets out demographic information for patients receiving inpatient cancer care in Massachusetts in 2022 by number of discharges</w:t>
      </w:r>
      <w:r w:rsidR="00D33C53">
        <w:t>, and separately for medical and surgical inpatient cancer care</w:t>
      </w:r>
      <w:r>
        <w:t xml:space="preserve">. </w:t>
      </w:r>
      <w:r w:rsidR="00D33C53">
        <w:t>T</w:t>
      </w:r>
      <w:r>
        <w:t>he distribution of discharges skews toward older individuals. The statewide payor mix for inpatient cancer care is 63% Medicare, 21% commercial, and 10% Medicaid</w:t>
      </w:r>
      <w:r w:rsidR="000C701A">
        <w:rPr>
          <w:rStyle w:val="FootnoteReference"/>
        </w:rPr>
        <w:footnoteReference w:id="46"/>
      </w:r>
      <w:r w:rsidR="000C701A">
        <w:t xml:space="preserve"> </w:t>
      </w:r>
      <w:r>
        <w:t>with the remaining discharges coming from other government funding or self-pay patients.</w:t>
      </w:r>
      <w:r w:rsidR="003541D0">
        <w:t xml:space="preserve"> Across the 73,155 inpatient </w:t>
      </w:r>
      <w:r w:rsidR="003541D0">
        <w:lastRenderedPageBreak/>
        <w:t xml:space="preserve">cancer care discharges in Massachusetts, the average length of stay is 6.9 days with an average statewide daily census of approximately 1,380 </w:t>
      </w:r>
      <w:r w:rsidR="00240A46">
        <w:t>patients</w:t>
      </w:r>
      <w:r w:rsidR="003541D0">
        <w:t>.</w:t>
      </w:r>
      <w:r w:rsidR="00D33C53">
        <w:t xml:space="preserve"> More than </w:t>
      </w:r>
      <w:r w:rsidR="00C22865">
        <w:t>85</w:t>
      </w:r>
      <w:r w:rsidR="00D33C53">
        <w:t xml:space="preserve">% of inpatient cancer care discharges are classified as medical, but average acuity, as measured by case </w:t>
      </w:r>
      <w:r w:rsidR="000E3282">
        <w:t>weight per discharge</w:t>
      </w:r>
      <w:r w:rsidR="00D33C53">
        <w:t>, is significantly higher for surgical patients (</w:t>
      </w:r>
      <w:r w:rsidR="0050791F">
        <w:t>2.6 versus 2.0</w:t>
      </w:r>
      <w:r w:rsidR="00D33C53">
        <w:t>).</w:t>
      </w:r>
      <w:r w:rsidR="00961791">
        <w:t xml:space="preserve"> Because surgical patients are, on average, younger than medical patients, the share with commercial insurance rather than Medicare is also higher.</w:t>
      </w:r>
      <w:r w:rsidR="00D33C53">
        <w:t xml:space="preserve"> </w:t>
      </w:r>
    </w:p>
    <w:p w14:paraId="288AE5D1" w14:textId="5E1BFFCA" w:rsidR="00D33C53" w:rsidRDefault="00D33C53" w:rsidP="00C85D47">
      <w:pPr>
        <w:pStyle w:val="Caption"/>
        <w:keepNext/>
        <w:jc w:val="center"/>
      </w:pPr>
      <w:bookmarkStart w:id="22" w:name="_Toc187401775"/>
      <w:r>
        <w:t xml:space="preserve">Table </w:t>
      </w:r>
      <w:fldSimple w:instr=" SEQ Table \* ARABIC ">
        <w:r w:rsidR="0085394E">
          <w:rPr>
            <w:noProof/>
          </w:rPr>
          <w:t>2</w:t>
        </w:r>
      </w:fldSimple>
      <w:r>
        <w:t>: Demographic Characteristics of Massachusetts Inpatient Cancer Care Patient Panel</w:t>
      </w:r>
      <w:r>
        <w:rPr>
          <w:rStyle w:val="FootnoteReference"/>
        </w:rPr>
        <w:footnoteReference w:id="47"/>
      </w:r>
      <w:bookmarkEnd w:id="22"/>
      <w:r>
        <w:t xml:space="preserve"> </w:t>
      </w:r>
    </w:p>
    <w:tbl>
      <w:tblPr>
        <w:tblW w:w="9360" w:type="dxa"/>
        <w:tblInd w:w="-10" w:type="dxa"/>
        <w:tblLayout w:type="fixed"/>
        <w:tblLook w:val="04A0" w:firstRow="1" w:lastRow="0" w:firstColumn="1" w:lastColumn="0" w:noHBand="0" w:noVBand="1"/>
      </w:tblPr>
      <w:tblGrid>
        <w:gridCol w:w="1197"/>
        <w:gridCol w:w="2313"/>
        <w:gridCol w:w="975"/>
        <w:gridCol w:w="975"/>
        <w:gridCol w:w="975"/>
        <w:gridCol w:w="975"/>
        <w:gridCol w:w="975"/>
        <w:gridCol w:w="975"/>
      </w:tblGrid>
      <w:tr w:rsidR="00C85D47" w:rsidRPr="00C85D47" w14:paraId="19022A0A" w14:textId="77777777" w:rsidTr="00CD0D32">
        <w:trPr>
          <w:cantSplit/>
          <w:trHeight w:val="300"/>
          <w:tblHeader/>
        </w:trPr>
        <w:tc>
          <w:tcPr>
            <w:tcW w:w="1197" w:type="dxa"/>
            <w:tcBorders>
              <w:top w:val="single" w:sz="8" w:space="0" w:color="auto"/>
              <w:left w:val="single" w:sz="8" w:space="0" w:color="auto"/>
              <w:bottom w:val="nil"/>
              <w:right w:val="nil"/>
            </w:tcBorders>
            <w:shd w:val="clear" w:color="000000" w:fill="002060"/>
            <w:noWrap/>
            <w:vAlign w:val="bottom"/>
            <w:hideMark/>
          </w:tcPr>
          <w:p w14:paraId="47A0F4A5" w14:textId="77777777" w:rsidR="00C85D47" w:rsidRPr="00C85D47" w:rsidRDefault="00C85D47" w:rsidP="00C85D47">
            <w:pPr>
              <w:spacing w:after="0" w:line="240" w:lineRule="auto"/>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 </w:t>
            </w:r>
          </w:p>
        </w:tc>
        <w:tc>
          <w:tcPr>
            <w:tcW w:w="2313" w:type="dxa"/>
            <w:tcBorders>
              <w:top w:val="single" w:sz="8" w:space="0" w:color="auto"/>
              <w:left w:val="nil"/>
              <w:bottom w:val="nil"/>
              <w:right w:val="nil"/>
            </w:tcBorders>
            <w:shd w:val="clear" w:color="000000" w:fill="002060"/>
            <w:noWrap/>
            <w:vAlign w:val="bottom"/>
            <w:hideMark/>
          </w:tcPr>
          <w:p w14:paraId="04D62700" w14:textId="77777777" w:rsidR="00C85D47" w:rsidRPr="00C85D47" w:rsidRDefault="00C85D47" w:rsidP="00C85D47">
            <w:pPr>
              <w:spacing w:after="0" w:line="240" w:lineRule="auto"/>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 </w:t>
            </w:r>
          </w:p>
        </w:tc>
        <w:tc>
          <w:tcPr>
            <w:tcW w:w="975" w:type="dxa"/>
            <w:tcBorders>
              <w:top w:val="single" w:sz="8" w:space="0" w:color="auto"/>
              <w:left w:val="single" w:sz="8" w:space="0" w:color="auto"/>
              <w:bottom w:val="nil"/>
              <w:right w:val="nil"/>
            </w:tcBorders>
            <w:shd w:val="clear" w:color="000000" w:fill="002060"/>
            <w:noWrap/>
            <w:vAlign w:val="bottom"/>
            <w:hideMark/>
          </w:tcPr>
          <w:p w14:paraId="26A2E24D"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Total</w:t>
            </w:r>
          </w:p>
        </w:tc>
        <w:tc>
          <w:tcPr>
            <w:tcW w:w="975" w:type="dxa"/>
            <w:tcBorders>
              <w:top w:val="single" w:sz="8" w:space="0" w:color="auto"/>
              <w:left w:val="nil"/>
              <w:bottom w:val="nil"/>
              <w:right w:val="nil"/>
            </w:tcBorders>
            <w:shd w:val="clear" w:color="000000" w:fill="002060"/>
            <w:noWrap/>
            <w:vAlign w:val="bottom"/>
            <w:hideMark/>
          </w:tcPr>
          <w:p w14:paraId="51D05965"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c>
          <w:tcPr>
            <w:tcW w:w="975" w:type="dxa"/>
            <w:tcBorders>
              <w:top w:val="single" w:sz="8" w:space="0" w:color="auto"/>
              <w:left w:val="nil"/>
              <w:bottom w:val="nil"/>
              <w:right w:val="nil"/>
            </w:tcBorders>
            <w:shd w:val="clear" w:color="000000" w:fill="002060"/>
            <w:noWrap/>
            <w:vAlign w:val="bottom"/>
            <w:hideMark/>
          </w:tcPr>
          <w:p w14:paraId="41026516"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Medical</w:t>
            </w:r>
          </w:p>
        </w:tc>
        <w:tc>
          <w:tcPr>
            <w:tcW w:w="975" w:type="dxa"/>
            <w:tcBorders>
              <w:top w:val="single" w:sz="8" w:space="0" w:color="auto"/>
              <w:left w:val="nil"/>
              <w:bottom w:val="nil"/>
              <w:right w:val="nil"/>
            </w:tcBorders>
            <w:shd w:val="clear" w:color="000000" w:fill="002060"/>
            <w:noWrap/>
            <w:vAlign w:val="bottom"/>
            <w:hideMark/>
          </w:tcPr>
          <w:p w14:paraId="13ECDE54"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c>
          <w:tcPr>
            <w:tcW w:w="975" w:type="dxa"/>
            <w:tcBorders>
              <w:top w:val="single" w:sz="8" w:space="0" w:color="auto"/>
              <w:left w:val="nil"/>
              <w:bottom w:val="nil"/>
              <w:right w:val="nil"/>
            </w:tcBorders>
            <w:shd w:val="clear" w:color="000000" w:fill="002060"/>
            <w:noWrap/>
            <w:vAlign w:val="bottom"/>
            <w:hideMark/>
          </w:tcPr>
          <w:p w14:paraId="0119EE1F"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Surgical</w:t>
            </w:r>
          </w:p>
        </w:tc>
        <w:tc>
          <w:tcPr>
            <w:tcW w:w="975" w:type="dxa"/>
            <w:tcBorders>
              <w:top w:val="single" w:sz="8" w:space="0" w:color="auto"/>
              <w:left w:val="nil"/>
              <w:bottom w:val="nil"/>
              <w:right w:val="single" w:sz="8" w:space="0" w:color="auto"/>
            </w:tcBorders>
            <w:shd w:val="clear" w:color="000000" w:fill="002060"/>
            <w:noWrap/>
            <w:vAlign w:val="bottom"/>
            <w:hideMark/>
          </w:tcPr>
          <w:p w14:paraId="5AD0D82D"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r>
      <w:tr w:rsidR="00C85D47" w:rsidRPr="00C85D47" w14:paraId="592ADF79" w14:textId="77777777" w:rsidTr="00CD0D32">
        <w:trPr>
          <w:cantSplit/>
          <w:trHeight w:val="290"/>
        </w:trPr>
        <w:tc>
          <w:tcPr>
            <w:tcW w:w="1197"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31391F6"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Age</w:t>
            </w:r>
          </w:p>
        </w:tc>
        <w:tc>
          <w:tcPr>
            <w:tcW w:w="2313" w:type="dxa"/>
            <w:tcBorders>
              <w:top w:val="single" w:sz="8" w:space="0" w:color="auto"/>
              <w:left w:val="nil"/>
              <w:bottom w:val="single" w:sz="4" w:space="0" w:color="E7E6E6"/>
              <w:right w:val="nil"/>
            </w:tcBorders>
            <w:shd w:val="clear" w:color="auto" w:fill="auto"/>
            <w:noWrap/>
            <w:vAlign w:val="bottom"/>
            <w:hideMark/>
          </w:tcPr>
          <w:p w14:paraId="20D3330E"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18-34</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615A6BC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1,705</w:t>
            </w:r>
          </w:p>
        </w:tc>
        <w:tc>
          <w:tcPr>
            <w:tcW w:w="975" w:type="dxa"/>
            <w:tcBorders>
              <w:top w:val="single" w:sz="8" w:space="0" w:color="auto"/>
              <w:left w:val="nil"/>
              <w:bottom w:val="single" w:sz="4" w:space="0" w:color="E7E6E6"/>
              <w:right w:val="nil"/>
            </w:tcBorders>
            <w:shd w:val="clear" w:color="auto" w:fill="auto"/>
            <w:noWrap/>
            <w:vAlign w:val="bottom"/>
            <w:hideMark/>
          </w:tcPr>
          <w:p w14:paraId="64E51A3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c>
          <w:tcPr>
            <w:tcW w:w="975" w:type="dxa"/>
            <w:tcBorders>
              <w:top w:val="single" w:sz="8" w:space="0" w:color="auto"/>
              <w:left w:val="nil"/>
              <w:bottom w:val="single" w:sz="4" w:space="0" w:color="E7E6E6"/>
              <w:right w:val="nil"/>
            </w:tcBorders>
            <w:shd w:val="clear" w:color="auto" w:fill="auto"/>
            <w:noWrap/>
            <w:vAlign w:val="bottom"/>
            <w:hideMark/>
          </w:tcPr>
          <w:p w14:paraId="442B8BE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1,510</w:t>
            </w:r>
          </w:p>
        </w:tc>
        <w:tc>
          <w:tcPr>
            <w:tcW w:w="975" w:type="dxa"/>
            <w:tcBorders>
              <w:top w:val="single" w:sz="8" w:space="0" w:color="auto"/>
              <w:left w:val="nil"/>
              <w:bottom w:val="single" w:sz="4" w:space="0" w:color="E7E6E6"/>
              <w:right w:val="nil"/>
            </w:tcBorders>
            <w:shd w:val="clear" w:color="auto" w:fill="auto"/>
            <w:noWrap/>
            <w:vAlign w:val="bottom"/>
            <w:hideMark/>
          </w:tcPr>
          <w:p w14:paraId="55A38B5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c>
          <w:tcPr>
            <w:tcW w:w="975" w:type="dxa"/>
            <w:tcBorders>
              <w:top w:val="single" w:sz="8" w:space="0" w:color="auto"/>
              <w:left w:val="nil"/>
              <w:bottom w:val="single" w:sz="4" w:space="0" w:color="E7E6E6"/>
              <w:right w:val="nil"/>
            </w:tcBorders>
            <w:shd w:val="clear" w:color="auto" w:fill="auto"/>
            <w:noWrap/>
            <w:vAlign w:val="bottom"/>
            <w:hideMark/>
          </w:tcPr>
          <w:p w14:paraId="7E2561B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195</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7B21C26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r>
      <w:tr w:rsidR="00C85D47" w:rsidRPr="00C85D47" w14:paraId="02029C75" w14:textId="77777777" w:rsidTr="00CD0D32">
        <w:trPr>
          <w:cantSplit/>
          <w:trHeight w:val="290"/>
        </w:trPr>
        <w:tc>
          <w:tcPr>
            <w:tcW w:w="1197" w:type="dxa"/>
            <w:vMerge/>
            <w:tcBorders>
              <w:top w:val="single" w:sz="8" w:space="0" w:color="auto"/>
              <w:left w:val="single" w:sz="8" w:space="0" w:color="auto"/>
              <w:bottom w:val="single" w:sz="8" w:space="0" w:color="000000"/>
              <w:right w:val="nil"/>
            </w:tcBorders>
            <w:vAlign w:val="center"/>
            <w:hideMark/>
          </w:tcPr>
          <w:p w14:paraId="5CCC15DF"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1C7001F4"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35-54</w:t>
            </w:r>
          </w:p>
        </w:tc>
        <w:tc>
          <w:tcPr>
            <w:tcW w:w="975" w:type="dxa"/>
            <w:tcBorders>
              <w:top w:val="nil"/>
              <w:left w:val="single" w:sz="8" w:space="0" w:color="auto"/>
              <w:bottom w:val="single" w:sz="4" w:space="0" w:color="E7E6E6"/>
              <w:right w:val="nil"/>
            </w:tcBorders>
            <w:shd w:val="clear" w:color="auto" w:fill="auto"/>
            <w:noWrap/>
            <w:vAlign w:val="bottom"/>
            <w:hideMark/>
          </w:tcPr>
          <w:p w14:paraId="10079D6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7,961</w:t>
            </w:r>
          </w:p>
        </w:tc>
        <w:tc>
          <w:tcPr>
            <w:tcW w:w="975" w:type="dxa"/>
            <w:tcBorders>
              <w:top w:val="nil"/>
              <w:left w:val="nil"/>
              <w:bottom w:val="single" w:sz="4" w:space="0" w:color="E7E6E6"/>
              <w:right w:val="nil"/>
            </w:tcBorders>
            <w:shd w:val="clear" w:color="auto" w:fill="auto"/>
            <w:noWrap/>
            <w:vAlign w:val="bottom"/>
            <w:hideMark/>
          </w:tcPr>
          <w:p w14:paraId="0F2D140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w:t>
            </w:r>
          </w:p>
        </w:tc>
        <w:tc>
          <w:tcPr>
            <w:tcW w:w="975" w:type="dxa"/>
            <w:tcBorders>
              <w:top w:val="nil"/>
              <w:left w:val="nil"/>
              <w:bottom w:val="single" w:sz="4" w:space="0" w:color="E7E6E6"/>
              <w:right w:val="nil"/>
            </w:tcBorders>
            <w:shd w:val="clear" w:color="auto" w:fill="auto"/>
            <w:noWrap/>
            <w:vAlign w:val="bottom"/>
            <w:hideMark/>
          </w:tcPr>
          <w:p w14:paraId="4F6684E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6,419</w:t>
            </w:r>
          </w:p>
        </w:tc>
        <w:tc>
          <w:tcPr>
            <w:tcW w:w="975" w:type="dxa"/>
            <w:tcBorders>
              <w:top w:val="nil"/>
              <w:left w:val="nil"/>
              <w:bottom w:val="single" w:sz="4" w:space="0" w:color="E7E6E6"/>
              <w:right w:val="nil"/>
            </w:tcBorders>
            <w:shd w:val="clear" w:color="auto" w:fill="auto"/>
            <w:noWrap/>
            <w:vAlign w:val="bottom"/>
            <w:hideMark/>
          </w:tcPr>
          <w:p w14:paraId="2B05270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w:t>
            </w:r>
          </w:p>
        </w:tc>
        <w:tc>
          <w:tcPr>
            <w:tcW w:w="975" w:type="dxa"/>
            <w:tcBorders>
              <w:top w:val="nil"/>
              <w:left w:val="nil"/>
              <w:bottom w:val="single" w:sz="4" w:space="0" w:color="E7E6E6"/>
              <w:right w:val="nil"/>
            </w:tcBorders>
            <w:shd w:val="clear" w:color="auto" w:fill="auto"/>
            <w:noWrap/>
            <w:vAlign w:val="bottom"/>
            <w:hideMark/>
          </w:tcPr>
          <w:p w14:paraId="7FB7D9B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1,542</w:t>
            </w:r>
          </w:p>
        </w:tc>
        <w:tc>
          <w:tcPr>
            <w:tcW w:w="975" w:type="dxa"/>
            <w:tcBorders>
              <w:top w:val="nil"/>
              <w:left w:val="nil"/>
              <w:bottom w:val="single" w:sz="4" w:space="0" w:color="E7E6E6"/>
              <w:right w:val="single" w:sz="8" w:space="0" w:color="auto"/>
            </w:tcBorders>
            <w:shd w:val="clear" w:color="auto" w:fill="auto"/>
            <w:noWrap/>
            <w:vAlign w:val="bottom"/>
            <w:hideMark/>
          </w:tcPr>
          <w:p w14:paraId="4B29147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16%</w:t>
            </w:r>
          </w:p>
        </w:tc>
      </w:tr>
      <w:tr w:rsidR="00C85D47" w:rsidRPr="00C85D47" w14:paraId="425150D4" w14:textId="77777777" w:rsidTr="00CD0D32">
        <w:trPr>
          <w:cantSplit/>
          <w:trHeight w:val="290"/>
        </w:trPr>
        <w:tc>
          <w:tcPr>
            <w:tcW w:w="1197" w:type="dxa"/>
            <w:vMerge/>
            <w:tcBorders>
              <w:top w:val="single" w:sz="8" w:space="0" w:color="auto"/>
              <w:left w:val="single" w:sz="8" w:space="0" w:color="auto"/>
              <w:bottom w:val="single" w:sz="8" w:space="0" w:color="000000"/>
              <w:right w:val="nil"/>
            </w:tcBorders>
            <w:vAlign w:val="center"/>
            <w:hideMark/>
          </w:tcPr>
          <w:p w14:paraId="3938E0B6"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56118667"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55-64</w:t>
            </w:r>
          </w:p>
        </w:tc>
        <w:tc>
          <w:tcPr>
            <w:tcW w:w="975" w:type="dxa"/>
            <w:tcBorders>
              <w:top w:val="nil"/>
              <w:left w:val="single" w:sz="8" w:space="0" w:color="auto"/>
              <w:bottom w:val="single" w:sz="4" w:space="0" w:color="E7E6E6"/>
              <w:right w:val="nil"/>
            </w:tcBorders>
            <w:shd w:val="clear" w:color="auto" w:fill="auto"/>
            <w:noWrap/>
            <w:vAlign w:val="bottom"/>
            <w:hideMark/>
          </w:tcPr>
          <w:p w14:paraId="795DF78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14,351</w:t>
            </w:r>
          </w:p>
        </w:tc>
        <w:tc>
          <w:tcPr>
            <w:tcW w:w="975" w:type="dxa"/>
            <w:tcBorders>
              <w:top w:val="nil"/>
              <w:left w:val="nil"/>
              <w:bottom w:val="single" w:sz="4" w:space="0" w:color="E7E6E6"/>
              <w:right w:val="nil"/>
            </w:tcBorders>
            <w:shd w:val="clear" w:color="auto" w:fill="auto"/>
            <w:noWrap/>
            <w:vAlign w:val="bottom"/>
            <w:hideMark/>
          </w:tcPr>
          <w:p w14:paraId="24EEF02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w:t>
            </w:r>
          </w:p>
        </w:tc>
        <w:tc>
          <w:tcPr>
            <w:tcW w:w="975" w:type="dxa"/>
            <w:tcBorders>
              <w:top w:val="nil"/>
              <w:left w:val="nil"/>
              <w:bottom w:val="single" w:sz="4" w:space="0" w:color="E7E6E6"/>
              <w:right w:val="nil"/>
            </w:tcBorders>
            <w:shd w:val="clear" w:color="auto" w:fill="auto"/>
            <w:noWrap/>
            <w:vAlign w:val="bottom"/>
            <w:hideMark/>
          </w:tcPr>
          <w:p w14:paraId="7D7F116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11,866</w:t>
            </w:r>
          </w:p>
        </w:tc>
        <w:tc>
          <w:tcPr>
            <w:tcW w:w="975" w:type="dxa"/>
            <w:tcBorders>
              <w:top w:val="nil"/>
              <w:left w:val="nil"/>
              <w:bottom w:val="single" w:sz="4" w:space="0" w:color="E7E6E6"/>
              <w:right w:val="nil"/>
            </w:tcBorders>
            <w:shd w:val="clear" w:color="auto" w:fill="auto"/>
            <w:noWrap/>
            <w:vAlign w:val="bottom"/>
            <w:hideMark/>
          </w:tcPr>
          <w:p w14:paraId="0ECBA07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w:t>
            </w:r>
          </w:p>
        </w:tc>
        <w:tc>
          <w:tcPr>
            <w:tcW w:w="975" w:type="dxa"/>
            <w:tcBorders>
              <w:top w:val="nil"/>
              <w:left w:val="nil"/>
              <w:bottom w:val="single" w:sz="4" w:space="0" w:color="E7E6E6"/>
              <w:right w:val="nil"/>
            </w:tcBorders>
            <w:shd w:val="clear" w:color="auto" w:fill="auto"/>
            <w:noWrap/>
            <w:vAlign w:val="bottom"/>
            <w:hideMark/>
          </w:tcPr>
          <w:p w14:paraId="34D6EAF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2,485</w:t>
            </w:r>
          </w:p>
        </w:tc>
        <w:tc>
          <w:tcPr>
            <w:tcW w:w="975" w:type="dxa"/>
            <w:tcBorders>
              <w:top w:val="nil"/>
              <w:left w:val="nil"/>
              <w:bottom w:val="single" w:sz="4" w:space="0" w:color="E7E6E6"/>
              <w:right w:val="single" w:sz="8" w:space="0" w:color="auto"/>
            </w:tcBorders>
            <w:shd w:val="clear" w:color="auto" w:fill="auto"/>
            <w:noWrap/>
            <w:vAlign w:val="bottom"/>
            <w:hideMark/>
          </w:tcPr>
          <w:p w14:paraId="3401C0E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26%</w:t>
            </w:r>
          </w:p>
        </w:tc>
      </w:tr>
      <w:tr w:rsidR="00C85D47" w:rsidRPr="00C85D47" w14:paraId="16090D44" w14:textId="77777777" w:rsidTr="00CD0D32">
        <w:trPr>
          <w:cantSplit/>
          <w:trHeight w:val="290"/>
        </w:trPr>
        <w:tc>
          <w:tcPr>
            <w:tcW w:w="1197" w:type="dxa"/>
            <w:vMerge/>
            <w:tcBorders>
              <w:top w:val="single" w:sz="8" w:space="0" w:color="auto"/>
              <w:left w:val="single" w:sz="8" w:space="0" w:color="auto"/>
              <w:bottom w:val="single" w:sz="8" w:space="0" w:color="000000"/>
              <w:right w:val="nil"/>
            </w:tcBorders>
            <w:vAlign w:val="center"/>
            <w:hideMark/>
          </w:tcPr>
          <w:p w14:paraId="4496ADBB"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6393BB2B"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65-74</w:t>
            </w:r>
          </w:p>
        </w:tc>
        <w:tc>
          <w:tcPr>
            <w:tcW w:w="975" w:type="dxa"/>
            <w:tcBorders>
              <w:top w:val="nil"/>
              <w:left w:val="single" w:sz="8" w:space="0" w:color="auto"/>
              <w:bottom w:val="single" w:sz="4" w:space="0" w:color="E7E6E6"/>
              <w:right w:val="nil"/>
            </w:tcBorders>
            <w:shd w:val="clear" w:color="auto" w:fill="auto"/>
            <w:noWrap/>
            <w:vAlign w:val="bottom"/>
            <w:hideMark/>
          </w:tcPr>
          <w:p w14:paraId="3580517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21,628</w:t>
            </w:r>
          </w:p>
        </w:tc>
        <w:tc>
          <w:tcPr>
            <w:tcW w:w="975" w:type="dxa"/>
            <w:tcBorders>
              <w:top w:val="nil"/>
              <w:left w:val="nil"/>
              <w:bottom w:val="single" w:sz="4" w:space="0" w:color="E7E6E6"/>
              <w:right w:val="nil"/>
            </w:tcBorders>
            <w:shd w:val="clear" w:color="auto" w:fill="auto"/>
            <w:noWrap/>
            <w:vAlign w:val="bottom"/>
            <w:hideMark/>
          </w:tcPr>
          <w:p w14:paraId="16C20AD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30%</w:t>
            </w:r>
          </w:p>
        </w:tc>
        <w:tc>
          <w:tcPr>
            <w:tcW w:w="975" w:type="dxa"/>
            <w:tcBorders>
              <w:top w:val="nil"/>
              <w:left w:val="nil"/>
              <w:bottom w:val="single" w:sz="4" w:space="0" w:color="E7E6E6"/>
              <w:right w:val="nil"/>
            </w:tcBorders>
            <w:shd w:val="clear" w:color="auto" w:fill="auto"/>
            <w:noWrap/>
            <w:vAlign w:val="bottom"/>
            <w:hideMark/>
          </w:tcPr>
          <w:p w14:paraId="2D268DF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18,464</w:t>
            </w:r>
          </w:p>
        </w:tc>
        <w:tc>
          <w:tcPr>
            <w:tcW w:w="975" w:type="dxa"/>
            <w:tcBorders>
              <w:top w:val="nil"/>
              <w:left w:val="nil"/>
              <w:bottom w:val="single" w:sz="4" w:space="0" w:color="E7E6E6"/>
              <w:right w:val="nil"/>
            </w:tcBorders>
            <w:shd w:val="clear" w:color="auto" w:fill="auto"/>
            <w:noWrap/>
            <w:vAlign w:val="bottom"/>
            <w:hideMark/>
          </w:tcPr>
          <w:p w14:paraId="3B20BE2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29%</w:t>
            </w:r>
          </w:p>
        </w:tc>
        <w:tc>
          <w:tcPr>
            <w:tcW w:w="975" w:type="dxa"/>
            <w:tcBorders>
              <w:top w:val="nil"/>
              <w:left w:val="nil"/>
              <w:bottom w:val="single" w:sz="4" w:space="0" w:color="E7E6E6"/>
              <w:right w:val="nil"/>
            </w:tcBorders>
            <w:shd w:val="clear" w:color="auto" w:fill="auto"/>
            <w:noWrap/>
            <w:vAlign w:val="bottom"/>
            <w:hideMark/>
          </w:tcPr>
          <w:p w14:paraId="722BC95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3,164</w:t>
            </w:r>
          </w:p>
        </w:tc>
        <w:tc>
          <w:tcPr>
            <w:tcW w:w="975" w:type="dxa"/>
            <w:tcBorders>
              <w:top w:val="nil"/>
              <w:left w:val="nil"/>
              <w:bottom w:val="single" w:sz="4" w:space="0" w:color="E7E6E6"/>
              <w:right w:val="single" w:sz="8" w:space="0" w:color="auto"/>
            </w:tcBorders>
            <w:shd w:val="clear" w:color="auto" w:fill="auto"/>
            <w:noWrap/>
            <w:vAlign w:val="bottom"/>
            <w:hideMark/>
          </w:tcPr>
          <w:p w14:paraId="14D6F88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33%</w:t>
            </w:r>
          </w:p>
        </w:tc>
      </w:tr>
      <w:tr w:rsidR="00C85D47" w:rsidRPr="00C85D47" w14:paraId="2B371EB6" w14:textId="77777777" w:rsidTr="00CD0D32">
        <w:trPr>
          <w:cantSplit/>
          <w:trHeight w:val="290"/>
        </w:trPr>
        <w:tc>
          <w:tcPr>
            <w:tcW w:w="1197" w:type="dxa"/>
            <w:vMerge/>
            <w:tcBorders>
              <w:top w:val="single" w:sz="8" w:space="0" w:color="auto"/>
              <w:left w:val="single" w:sz="8" w:space="0" w:color="auto"/>
              <w:bottom w:val="single" w:sz="8" w:space="0" w:color="000000"/>
              <w:right w:val="nil"/>
            </w:tcBorders>
            <w:vAlign w:val="center"/>
            <w:hideMark/>
          </w:tcPr>
          <w:p w14:paraId="744EA259"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07B71677"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75+</w:t>
            </w:r>
          </w:p>
        </w:tc>
        <w:tc>
          <w:tcPr>
            <w:tcW w:w="975" w:type="dxa"/>
            <w:tcBorders>
              <w:top w:val="nil"/>
              <w:left w:val="single" w:sz="8" w:space="0" w:color="auto"/>
              <w:bottom w:val="single" w:sz="4" w:space="0" w:color="E7E6E6"/>
              <w:right w:val="nil"/>
            </w:tcBorders>
            <w:shd w:val="clear" w:color="auto" w:fill="auto"/>
            <w:noWrap/>
            <w:vAlign w:val="bottom"/>
            <w:hideMark/>
          </w:tcPr>
          <w:p w14:paraId="15E5768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23,883</w:t>
            </w:r>
          </w:p>
        </w:tc>
        <w:tc>
          <w:tcPr>
            <w:tcW w:w="975" w:type="dxa"/>
            <w:tcBorders>
              <w:top w:val="nil"/>
              <w:left w:val="nil"/>
              <w:bottom w:val="single" w:sz="4" w:space="0" w:color="E7E6E6"/>
              <w:right w:val="nil"/>
            </w:tcBorders>
            <w:shd w:val="clear" w:color="auto" w:fill="auto"/>
            <w:noWrap/>
            <w:vAlign w:val="bottom"/>
            <w:hideMark/>
          </w:tcPr>
          <w:p w14:paraId="1F00BB5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33%</w:t>
            </w:r>
          </w:p>
        </w:tc>
        <w:tc>
          <w:tcPr>
            <w:tcW w:w="975" w:type="dxa"/>
            <w:tcBorders>
              <w:top w:val="nil"/>
              <w:left w:val="nil"/>
              <w:bottom w:val="single" w:sz="4" w:space="0" w:color="E7E6E6"/>
              <w:right w:val="nil"/>
            </w:tcBorders>
            <w:shd w:val="clear" w:color="auto" w:fill="auto"/>
            <w:noWrap/>
            <w:vAlign w:val="bottom"/>
            <w:hideMark/>
          </w:tcPr>
          <w:p w14:paraId="7A20999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21,807</w:t>
            </w:r>
          </w:p>
        </w:tc>
        <w:tc>
          <w:tcPr>
            <w:tcW w:w="975" w:type="dxa"/>
            <w:tcBorders>
              <w:top w:val="nil"/>
              <w:left w:val="nil"/>
              <w:bottom w:val="single" w:sz="4" w:space="0" w:color="E7E6E6"/>
              <w:right w:val="nil"/>
            </w:tcBorders>
            <w:shd w:val="clear" w:color="auto" w:fill="auto"/>
            <w:noWrap/>
            <w:vAlign w:val="bottom"/>
            <w:hideMark/>
          </w:tcPr>
          <w:p w14:paraId="4FB1995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34%</w:t>
            </w:r>
          </w:p>
        </w:tc>
        <w:tc>
          <w:tcPr>
            <w:tcW w:w="975" w:type="dxa"/>
            <w:tcBorders>
              <w:top w:val="nil"/>
              <w:left w:val="nil"/>
              <w:bottom w:val="single" w:sz="4" w:space="0" w:color="E7E6E6"/>
              <w:right w:val="nil"/>
            </w:tcBorders>
            <w:shd w:val="clear" w:color="auto" w:fill="auto"/>
            <w:noWrap/>
            <w:vAlign w:val="bottom"/>
            <w:hideMark/>
          </w:tcPr>
          <w:p w14:paraId="6B5463C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2,076</w:t>
            </w:r>
          </w:p>
        </w:tc>
        <w:tc>
          <w:tcPr>
            <w:tcW w:w="975" w:type="dxa"/>
            <w:tcBorders>
              <w:top w:val="nil"/>
              <w:left w:val="nil"/>
              <w:bottom w:val="single" w:sz="4" w:space="0" w:color="E7E6E6"/>
              <w:right w:val="single" w:sz="8" w:space="0" w:color="auto"/>
            </w:tcBorders>
            <w:shd w:val="clear" w:color="auto" w:fill="auto"/>
            <w:noWrap/>
            <w:vAlign w:val="bottom"/>
            <w:hideMark/>
          </w:tcPr>
          <w:p w14:paraId="1F8422C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22%</w:t>
            </w:r>
          </w:p>
        </w:tc>
      </w:tr>
      <w:tr w:rsidR="00C85D47" w:rsidRPr="00C85D47" w14:paraId="17AF8247" w14:textId="77777777" w:rsidTr="00CD0D32">
        <w:trPr>
          <w:cantSplit/>
          <w:trHeight w:val="300"/>
        </w:trPr>
        <w:tc>
          <w:tcPr>
            <w:tcW w:w="1197" w:type="dxa"/>
            <w:vMerge/>
            <w:tcBorders>
              <w:top w:val="single" w:sz="8" w:space="0" w:color="auto"/>
              <w:left w:val="single" w:sz="8" w:space="0" w:color="auto"/>
              <w:bottom w:val="single" w:sz="8" w:space="0" w:color="auto"/>
              <w:right w:val="nil"/>
            </w:tcBorders>
            <w:vAlign w:val="center"/>
            <w:hideMark/>
          </w:tcPr>
          <w:p w14:paraId="7CA1ED9A"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8" w:space="0" w:color="auto"/>
              <w:right w:val="nil"/>
            </w:tcBorders>
            <w:shd w:val="clear" w:color="auto" w:fill="auto"/>
            <w:noWrap/>
            <w:vAlign w:val="bottom"/>
            <w:hideMark/>
          </w:tcPr>
          <w:p w14:paraId="6B2523B4"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Unknown Age</w:t>
            </w:r>
          </w:p>
        </w:tc>
        <w:tc>
          <w:tcPr>
            <w:tcW w:w="975" w:type="dxa"/>
            <w:tcBorders>
              <w:top w:val="nil"/>
              <w:left w:val="single" w:sz="8" w:space="0" w:color="auto"/>
              <w:bottom w:val="single" w:sz="8" w:space="0" w:color="auto"/>
              <w:right w:val="nil"/>
            </w:tcBorders>
            <w:shd w:val="clear" w:color="auto" w:fill="auto"/>
            <w:noWrap/>
            <w:vAlign w:val="bottom"/>
            <w:hideMark/>
          </w:tcPr>
          <w:p w14:paraId="0AD7ACD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3,627</w:t>
            </w:r>
          </w:p>
        </w:tc>
        <w:tc>
          <w:tcPr>
            <w:tcW w:w="975" w:type="dxa"/>
            <w:tcBorders>
              <w:top w:val="nil"/>
              <w:left w:val="nil"/>
              <w:bottom w:val="single" w:sz="8" w:space="0" w:color="auto"/>
              <w:right w:val="nil"/>
            </w:tcBorders>
            <w:shd w:val="clear" w:color="auto" w:fill="auto"/>
            <w:noWrap/>
            <w:vAlign w:val="bottom"/>
            <w:hideMark/>
          </w:tcPr>
          <w:p w14:paraId="0F0ECF6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w:t>
            </w:r>
          </w:p>
        </w:tc>
        <w:tc>
          <w:tcPr>
            <w:tcW w:w="975" w:type="dxa"/>
            <w:tcBorders>
              <w:top w:val="nil"/>
              <w:left w:val="nil"/>
              <w:bottom w:val="single" w:sz="8" w:space="0" w:color="auto"/>
              <w:right w:val="nil"/>
            </w:tcBorders>
            <w:shd w:val="clear" w:color="auto" w:fill="auto"/>
            <w:noWrap/>
            <w:vAlign w:val="bottom"/>
            <w:hideMark/>
          </w:tcPr>
          <w:p w14:paraId="46389D8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3,510</w:t>
            </w:r>
          </w:p>
        </w:tc>
        <w:tc>
          <w:tcPr>
            <w:tcW w:w="975" w:type="dxa"/>
            <w:tcBorders>
              <w:top w:val="nil"/>
              <w:left w:val="nil"/>
              <w:bottom w:val="single" w:sz="8" w:space="0" w:color="auto"/>
              <w:right w:val="nil"/>
            </w:tcBorders>
            <w:shd w:val="clear" w:color="auto" w:fill="auto"/>
            <w:noWrap/>
            <w:vAlign w:val="bottom"/>
            <w:hideMark/>
          </w:tcPr>
          <w:p w14:paraId="05012E5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w:t>
            </w:r>
          </w:p>
        </w:tc>
        <w:tc>
          <w:tcPr>
            <w:tcW w:w="975" w:type="dxa"/>
            <w:tcBorders>
              <w:top w:val="nil"/>
              <w:left w:val="nil"/>
              <w:bottom w:val="single" w:sz="8" w:space="0" w:color="auto"/>
              <w:right w:val="nil"/>
            </w:tcBorders>
            <w:shd w:val="clear" w:color="auto" w:fill="auto"/>
            <w:noWrap/>
            <w:vAlign w:val="bottom"/>
            <w:hideMark/>
          </w:tcPr>
          <w:p w14:paraId="195AE28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117</w:t>
            </w:r>
          </w:p>
        </w:tc>
        <w:tc>
          <w:tcPr>
            <w:tcW w:w="975" w:type="dxa"/>
            <w:tcBorders>
              <w:top w:val="nil"/>
              <w:left w:val="nil"/>
              <w:bottom w:val="single" w:sz="8" w:space="0" w:color="auto"/>
              <w:right w:val="single" w:sz="8" w:space="0" w:color="auto"/>
            </w:tcBorders>
            <w:shd w:val="clear" w:color="auto" w:fill="auto"/>
            <w:noWrap/>
            <w:vAlign w:val="bottom"/>
            <w:hideMark/>
          </w:tcPr>
          <w:p w14:paraId="4EB1D7C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w:t>
            </w:r>
          </w:p>
        </w:tc>
      </w:tr>
      <w:tr w:rsidR="00C85D47" w:rsidRPr="00C85D47" w14:paraId="462074C9" w14:textId="77777777" w:rsidTr="00CD0D32">
        <w:trPr>
          <w:cantSplit/>
          <w:trHeight w:val="290"/>
        </w:trPr>
        <w:tc>
          <w:tcPr>
            <w:tcW w:w="1197" w:type="dxa"/>
            <w:vMerge w:val="restart"/>
            <w:tcBorders>
              <w:top w:val="single" w:sz="8" w:space="0" w:color="auto"/>
              <w:left w:val="single" w:sz="8" w:space="0" w:color="auto"/>
              <w:bottom w:val="single" w:sz="4" w:space="0" w:color="E7E6E6"/>
              <w:right w:val="nil"/>
            </w:tcBorders>
            <w:shd w:val="clear" w:color="auto" w:fill="auto"/>
            <w:noWrap/>
            <w:vAlign w:val="center"/>
            <w:hideMark/>
          </w:tcPr>
          <w:p w14:paraId="43258BE0"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Sex</w:t>
            </w:r>
          </w:p>
        </w:tc>
        <w:tc>
          <w:tcPr>
            <w:tcW w:w="2313" w:type="dxa"/>
            <w:tcBorders>
              <w:top w:val="single" w:sz="8" w:space="0" w:color="auto"/>
              <w:left w:val="nil"/>
              <w:bottom w:val="single" w:sz="4" w:space="0" w:color="E7E6E6"/>
              <w:right w:val="nil"/>
            </w:tcBorders>
            <w:shd w:val="clear" w:color="auto" w:fill="auto"/>
            <w:noWrap/>
            <w:vAlign w:val="bottom"/>
            <w:hideMark/>
          </w:tcPr>
          <w:p w14:paraId="1273DF0E"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Female</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0240C4E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34,798</w:t>
            </w:r>
          </w:p>
        </w:tc>
        <w:tc>
          <w:tcPr>
            <w:tcW w:w="975" w:type="dxa"/>
            <w:tcBorders>
              <w:top w:val="single" w:sz="8" w:space="0" w:color="auto"/>
              <w:left w:val="nil"/>
              <w:bottom w:val="single" w:sz="4" w:space="0" w:color="E7E6E6"/>
              <w:right w:val="nil"/>
            </w:tcBorders>
            <w:shd w:val="clear" w:color="auto" w:fill="auto"/>
            <w:noWrap/>
            <w:vAlign w:val="bottom"/>
            <w:hideMark/>
          </w:tcPr>
          <w:p w14:paraId="09CF6B5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48%</w:t>
            </w:r>
          </w:p>
        </w:tc>
        <w:tc>
          <w:tcPr>
            <w:tcW w:w="975" w:type="dxa"/>
            <w:tcBorders>
              <w:top w:val="single" w:sz="8" w:space="0" w:color="auto"/>
              <w:left w:val="nil"/>
              <w:bottom w:val="single" w:sz="4" w:space="0" w:color="E7E6E6"/>
              <w:right w:val="nil"/>
            </w:tcBorders>
            <w:shd w:val="clear" w:color="auto" w:fill="auto"/>
            <w:noWrap/>
            <w:vAlign w:val="bottom"/>
            <w:hideMark/>
          </w:tcPr>
          <w:p w14:paraId="7556187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30,169</w:t>
            </w:r>
          </w:p>
        </w:tc>
        <w:tc>
          <w:tcPr>
            <w:tcW w:w="975" w:type="dxa"/>
            <w:tcBorders>
              <w:top w:val="single" w:sz="8" w:space="0" w:color="auto"/>
              <w:left w:val="nil"/>
              <w:bottom w:val="single" w:sz="4" w:space="0" w:color="E7E6E6"/>
              <w:right w:val="nil"/>
            </w:tcBorders>
            <w:shd w:val="clear" w:color="auto" w:fill="auto"/>
            <w:noWrap/>
            <w:vAlign w:val="bottom"/>
            <w:hideMark/>
          </w:tcPr>
          <w:p w14:paraId="02F5639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47%</w:t>
            </w:r>
          </w:p>
        </w:tc>
        <w:tc>
          <w:tcPr>
            <w:tcW w:w="975" w:type="dxa"/>
            <w:tcBorders>
              <w:top w:val="single" w:sz="8" w:space="0" w:color="auto"/>
              <w:left w:val="nil"/>
              <w:bottom w:val="single" w:sz="4" w:space="0" w:color="E7E6E6"/>
              <w:right w:val="nil"/>
            </w:tcBorders>
            <w:shd w:val="clear" w:color="auto" w:fill="auto"/>
            <w:noWrap/>
            <w:vAlign w:val="bottom"/>
            <w:hideMark/>
          </w:tcPr>
          <w:p w14:paraId="1AFB593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4,629</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379ABBB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48%</w:t>
            </w:r>
          </w:p>
        </w:tc>
      </w:tr>
      <w:tr w:rsidR="00C85D47" w:rsidRPr="00C85D47" w14:paraId="39C37442" w14:textId="77777777" w:rsidTr="00CD0D32">
        <w:trPr>
          <w:cantSplit/>
          <w:trHeight w:val="300"/>
        </w:trPr>
        <w:tc>
          <w:tcPr>
            <w:tcW w:w="1197" w:type="dxa"/>
            <w:vMerge/>
            <w:tcBorders>
              <w:top w:val="single" w:sz="4" w:space="0" w:color="E7E6E6"/>
              <w:left w:val="single" w:sz="8" w:space="0" w:color="auto"/>
              <w:bottom w:val="single" w:sz="8" w:space="0" w:color="auto"/>
              <w:right w:val="nil"/>
            </w:tcBorders>
            <w:vAlign w:val="center"/>
            <w:hideMark/>
          </w:tcPr>
          <w:p w14:paraId="662D0EEB"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single" w:sz="4" w:space="0" w:color="E7E6E6"/>
              <w:left w:val="nil"/>
              <w:bottom w:val="single" w:sz="8" w:space="0" w:color="auto"/>
              <w:right w:val="nil"/>
            </w:tcBorders>
            <w:shd w:val="clear" w:color="auto" w:fill="auto"/>
            <w:noWrap/>
            <w:vAlign w:val="bottom"/>
            <w:hideMark/>
          </w:tcPr>
          <w:p w14:paraId="69A24DA5"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Male</w:t>
            </w:r>
          </w:p>
        </w:tc>
        <w:tc>
          <w:tcPr>
            <w:tcW w:w="975" w:type="dxa"/>
            <w:tcBorders>
              <w:top w:val="single" w:sz="4" w:space="0" w:color="E7E6E6"/>
              <w:left w:val="single" w:sz="8" w:space="0" w:color="auto"/>
              <w:bottom w:val="single" w:sz="8" w:space="0" w:color="auto"/>
              <w:right w:val="nil"/>
            </w:tcBorders>
            <w:shd w:val="clear" w:color="auto" w:fill="auto"/>
            <w:noWrap/>
            <w:vAlign w:val="bottom"/>
            <w:hideMark/>
          </w:tcPr>
          <w:p w14:paraId="1289B1F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38,353</w:t>
            </w:r>
          </w:p>
        </w:tc>
        <w:tc>
          <w:tcPr>
            <w:tcW w:w="975" w:type="dxa"/>
            <w:tcBorders>
              <w:top w:val="single" w:sz="4" w:space="0" w:color="E7E6E6"/>
              <w:left w:val="nil"/>
              <w:bottom w:val="single" w:sz="8" w:space="0" w:color="auto"/>
              <w:right w:val="nil"/>
            </w:tcBorders>
            <w:shd w:val="clear" w:color="auto" w:fill="auto"/>
            <w:noWrap/>
            <w:vAlign w:val="bottom"/>
            <w:hideMark/>
          </w:tcPr>
          <w:p w14:paraId="477C662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52%</w:t>
            </w:r>
          </w:p>
        </w:tc>
        <w:tc>
          <w:tcPr>
            <w:tcW w:w="975" w:type="dxa"/>
            <w:tcBorders>
              <w:top w:val="single" w:sz="4" w:space="0" w:color="E7E6E6"/>
              <w:left w:val="nil"/>
              <w:bottom w:val="single" w:sz="8" w:space="0" w:color="auto"/>
              <w:right w:val="nil"/>
            </w:tcBorders>
            <w:shd w:val="clear" w:color="auto" w:fill="auto"/>
            <w:noWrap/>
            <w:vAlign w:val="bottom"/>
            <w:hideMark/>
          </w:tcPr>
          <w:p w14:paraId="0A68E7A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33,403</w:t>
            </w:r>
          </w:p>
        </w:tc>
        <w:tc>
          <w:tcPr>
            <w:tcW w:w="975" w:type="dxa"/>
            <w:tcBorders>
              <w:top w:val="single" w:sz="4" w:space="0" w:color="E7E6E6"/>
              <w:left w:val="nil"/>
              <w:bottom w:val="single" w:sz="8" w:space="0" w:color="auto"/>
              <w:right w:val="nil"/>
            </w:tcBorders>
            <w:shd w:val="clear" w:color="auto" w:fill="auto"/>
            <w:noWrap/>
            <w:vAlign w:val="bottom"/>
            <w:hideMark/>
          </w:tcPr>
          <w:p w14:paraId="758CA01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53%</w:t>
            </w:r>
          </w:p>
        </w:tc>
        <w:tc>
          <w:tcPr>
            <w:tcW w:w="975" w:type="dxa"/>
            <w:tcBorders>
              <w:top w:val="single" w:sz="4" w:space="0" w:color="E7E6E6"/>
              <w:left w:val="nil"/>
              <w:bottom w:val="single" w:sz="8" w:space="0" w:color="auto"/>
              <w:right w:val="nil"/>
            </w:tcBorders>
            <w:shd w:val="clear" w:color="auto" w:fill="auto"/>
            <w:noWrap/>
            <w:vAlign w:val="bottom"/>
            <w:hideMark/>
          </w:tcPr>
          <w:p w14:paraId="2EE5FD0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4,950</w:t>
            </w:r>
          </w:p>
        </w:tc>
        <w:tc>
          <w:tcPr>
            <w:tcW w:w="975" w:type="dxa"/>
            <w:tcBorders>
              <w:top w:val="single" w:sz="4" w:space="0" w:color="E7E6E6"/>
              <w:left w:val="nil"/>
              <w:bottom w:val="single" w:sz="8" w:space="0" w:color="auto"/>
              <w:right w:val="single" w:sz="8" w:space="0" w:color="auto"/>
            </w:tcBorders>
            <w:shd w:val="clear" w:color="auto" w:fill="auto"/>
            <w:noWrap/>
            <w:vAlign w:val="bottom"/>
            <w:hideMark/>
          </w:tcPr>
          <w:p w14:paraId="4827CBD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52%</w:t>
            </w:r>
          </w:p>
        </w:tc>
      </w:tr>
      <w:tr w:rsidR="00C85D47" w:rsidRPr="00C85D47" w14:paraId="739E02C1" w14:textId="77777777" w:rsidTr="00CD0D32">
        <w:trPr>
          <w:cantSplit/>
          <w:trHeight w:val="290"/>
        </w:trPr>
        <w:tc>
          <w:tcPr>
            <w:tcW w:w="1197" w:type="dxa"/>
            <w:vMerge w:val="restart"/>
            <w:tcBorders>
              <w:top w:val="single" w:sz="8" w:space="0" w:color="auto"/>
              <w:left w:val="single" w:sz="8" w:space="0" w:color="auto"/>
              <w:bottom w:val="single" w:sz="8" w:space="0" w:color="000000"/>
              <w:right w:val="nil"/>
            </w:tcBorders>
            <w:shd w:val="clear" w:color="auto" w:fill="auto"/>
            <w:vAlign w:val="center"/>
            <w:hideMark/>
          </w:tcPr>
          <w:p w14:paraId="1A4FE591"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Payor Type</w:t>
            </w:r>
          </w:p>
        </w:tc>
        <w:tc>
          <w:tcPr>
            <w:tcW w:w="2313" w:type="dxa"/>
            <w:tcBorders>
              <w:top w:val="single" w:sz="8" w:space="0" w:color="auto"/>
              <w:left w:val="nil"/>
              <w:bottom w:val="single" w:sz="4" w:space="0" w:color="E7E6E6"/>
              <w:right w:val="nil"/>
            </w:tcBorders>
            <w:shd w:val="clear" w:color="auto" w:fill="auto"/>
            <w:noWrap/>
            <w:vAlign w:val="bottom"/>
            <w:hideMark/>
          </w:tcPr>
          <w:p w14:paraId="06269A23"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Medicare</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11F3D58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46,255</w:t>
            </w:r>
          </w:p>
        </w:tc>
        <w:tc>
          <w:tcPr>
            <w:tcW w:w="975" w:type="dxa"/>
            <w:tcBorders>
              <w:top w:val="single" w:sz="8" w:space="0" w:color="auto"/>
              <w:left w:val="nil"/>
              <w:bottom w:val="single" w:sz="4" w:space="0" w:color="E7E6E6"/>
              <w:right w:val="nil"/>
            </w:tcBorders>
            <w:shd w:val="clear" w:color="auto" w:fill="auto"/>
            <w:noWrap/>
            <w:vAlign w:val="bottom"/>
            <w:hideMark/>
          </w:tcPr>
          <w:p w14:paraId="525296D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63%</w:t>
            </w:r>
          </w:p>
        </w:tc>
        <w:tc>
          <w:tcPr>
            <w:tcW w:w="975" w:type="dxa"/>
            <w:tcBorders>
              <w:top w:val="single" w:sz="8" w:space="0" w:color="auto"/>
              <w:left w:val="nil"/>
              <w:bottom w:val="single" w:sz="4" w:space="0" w:color="E7E6E6"/>
              <w:right w:val="nil"/>
            </w:tcBorders>
            <w:shd w:val="clear" w:color="auto" w:fill="auto"/>
            <w:noWrap/>
            <w:vAlign w:val="bottom"/>
            <w:hideMark/>
          </w:tcPr>
          <w:p w14:paraId="4570D1C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41,340</w:t>
            </w:r>
          </w:p>
        </w:tc>
        <w:tc>
          <w:tcPr>
            <w:tcW w:w="975" w:type="dxa"/>
            <w:tcBorders>
              <w:top w:val="single" w:sz="8" w:space="0" w:color="auto"/>
              <w:left w:val="nil"/>
              <w:bottom w:val="single" w:sz="4" w:space="0" w:color="E7E6E6"/>
              <w:right w:val="nil"/>
            </w:tcBorders>
            <w:shd w:val="clear" w:color="auto" w:fill="auto"/>
            <w:noWrap/>
            <w:vAlign w:val="bottom"/>
            <w:hideMark/>
          </w:tcPr>
          <w:p w14:paraId="142C90D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65%</w:t>
            </w:r>
          </w:p>
        </w:tc>
        <w:tc>
          <w:tcPr>
            <w:tcW w:w="975" w:type="dxa"/>
            <w:tcBorders>
              <w:top w:val="single" w:sz="8" w:space="0" w:color="auto"/>
              <w:left w:val="nil"/>
              <w:bottom w:val="single" w:sz="4" w:space="0" w:color="E7E6E6"/>
              <w:right w:val="nil"/>
            </w:tcBorders>
            <w:shd w:val="clear" w:color="auto" w:fill="auto"/>
            <w:noWrap/>
            <w:vAlign w:val="bottom"/>
            <w:hideMark/>
          </w:tcPr>
          <w:p w14:paraId="0CBC6D6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4,915</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33BCF8B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51%</w:t>
            </w:r>
          </w:p>
        </w:tc>
      </w:tr>
      <w:tr w:rsidR="00C85D47" w:rsidRPr="00C85D47" w14:paraId="0C4CC582" w14:textId="77777777" w:rsidTr="00CD0D32">
        <w:trPr>
          <w:cantSplit/>
          <w:trHeight w:val="290"/>
        </w:trPr>
        <w:tc>
          <w:tcPr>
            <w:tcW w:w="1197" w:type="dxa"/>
            <w:vMerge/>
            <w:tcBorders>
              <w:top w:val="nil"/>
              <w:left w:val="single" w:sz="8" w:space="0" w:color="auto"/>
              <w:bottom w:val="single" w:sz="8" w:space="0" w:color="000000"/>
              <w:right w:val="nil"/>
            </w:tcBorders>
            <w:vAlign w:val="center"/>
            <w:hideMark/>
          </w:tcPr>
          <w:p w14:paraId="0FDC9F80"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1DDFAEDE"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Commercial</w:t>
            </w:r>
          </w:p>
        </w:tc>
        <w:tc>
          <w:tcPr>
            <w:tcW w:w="975" w:type="dxa"/>
            <w:tcBorders>
              <w:top w:val="nil"/>
              <w:left w:val="single" w:sz="8" w:space="0" w:color="auto"/>
              <w:bottom w:val="single" w:sz="4" w:space="0" w:color="E7E6E6"/>
              <w:right w:val="nil"/>
            </w:tcBorders>
            <w:shd w:val="clear" w:color="auto" w:fill="auto"/>
            <w:noWrap/>
            <w:vAlign w:val="bottom"/>
            <w:hideMark/>
          </w:tcPr>
          <w:p w14:paraId="29444B6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15,670</w:t>
            </w:r>
          </w:p>
        </w:tc>
        <w:tc>
          <w:tcPr>
            <w:tcW w:w="975" w:type="dxa"/>
            <w:tcBorders>
              <w:top w:val="nil"/>
              <w:left w:val="nil"/>
              <w:bottom w:val="single" w:sz="4" w:space="0" w:color="E7E6E6"/>
              <w:right w:val="nil"/>
            </w:tcBorders>
            <w:shd w:val="clear" w:color="auto" w:fill="auto"/>
            <w:noWrap/>
            <w:vAlign w:val="bottom"/>
            <w:hideMark/>
          </w:tcPr>
          <w:p w14:paraId="3C0E40B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w:t>
            </w:r>
          </w:p>
        </w:tc>
        <w:tc>
          <w:tcPr>
            <w:tcW w:w="975" w:type="dxa"/>
            <w:tcBorders>
              <w:top w:val="nil"/>
              <w:left w:val="nil"/>
              <w:bottom w:val="single" w:sz="4" w:space="0" w:color="E7E6E6"/>
              <w:right w:val="nil"/>
            </w:tcBorders>
            <w:shd w:val="clear" w:color="auto" w:fill="auto"/>
            <w:noWrap/>
            <w:vAlign w:val="bottom"/>
            <w:hideMark/>
          </w:tcPr>
          <w:p w14:paraId="09D61F4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12,420</w:t>
            </w:r>
          </w:p>
        </w:tc>
        <w:tc>
          <w:tcPr>
            <w:tcW w:w="975" w:type="dxa"/>
            <w:tcBorders>
              <w:top w:val="nil"/>
              <w:left w:val="nil"/>
              <w:bottom w:val="single" w:sz="4" w:space="0" w:color="E7E6E6"/>
              <w:right w:val="nil"/>
            </w:tcBorders>
            <w:shd w:val="clear" w:color="auto" w:fill="auto"/>
            <w:noWrap/>
            <w:vAlign w:val="bottom"/>
            <w:hideMark/>
          </w:tcPr>
          <w:p w14:paraId="7679A18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w:t>
            </w:r>
          </w:p>
        </w:tc>
        <w:tc>
          <w:tcPr>
            <w:tcW w:w="975" w:type="dxa"/>
            <w:tcBorders>
              <w:top w:val="nil"/>
              <w:left w:val="nil"/>
              <w:bottom w:val="single" w:sz="4" w:space="0" w:color="E7E6E6"/>
              <w:right w:val="nil"/>
            </w:tcBorders>
            <w:shd w:val="clear" w:color="auto" w:fill="auto"/>
            <w:noWrap/>
            <w:vAlign w:val="bottom"/>
            <w:hideMark/>
          </w:tcPr>
          <w:p w14:paraId="3335C81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3,250</w:t>
            </w:r>
          </w:p>
        </w:tc>
        <w:tc>
          <w:tcPr>
            <w:tcW w:w="975" w:type="dxa"/>
            <w:tcBorders>
              <w:top w:val="nil"/>
              <w:left w:val="nil"/>
              <w:bottom w:val="single" w:sz="4" w:space="0" w:color="E7E6E6"/>
              <w:right w:val="single" w:sz="8" w:space="0" w:color="auto"/>
            </w:tcBorders>
            <w:shd w:val="clear" w:color="auto" w:fill="auto"/>
            <w:noWrap/>
            <w:vAlign w:val="bottom"/>
            <w:hideMark/>
          </w:tcPr>
          <w:p w14:paraId="314A593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34%</w:t>
            </w:r>
          </w:p>
        </w:tc>
      </w:tr>
      <w:tr w:rsidR="00C85D47" w:rsidRPr="00C85D47" w14:paraId="6CD4959F" w14:textId="77777777" w:rsidTr="00CD0D32">
        <w:trPr>
          <w:cantSplit/>
          <w:trHeight w:val="290"/>
        </w:trPr>
        <w:tc>
          <w:tcPr>
            <w:tcW w:w="1197" w:type="dxa"/>
            <w:vMerge/>
            <w:tcBorders>
              <w:top w:val="nil"/>
              <w:left w:val="single" w:sz="8" w:space="0" w:color="auto"/>
              <w:bottom w:val="single" w:sz="8" w:space="0" w:color="000000"/>
              <w:right w:val="nil"/>
            </w:tcBorders>
            <w:vAlign w:val="center"/>
            <w:hideMark/>
          </w:tcPr>
          <w:p w14:paraId="7841C6BE"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0E7261E9"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Medicaid</w:t>
            </w:r>
          </w:p>
        </w:tc>
        <w:tc>
          <w:tcPr>
            <w:tcW w:w="975" w:type="dxa"/>
            <w:tcBorders>
              <w:top w:val="nil"/>
              <w:left w:val="single" w:sz="8" w:space="0" w:color="auto"/>
              <w:bottom w:val="single" w:sz="4" w:space="0" w:color="E7E6E6"/>
              <w:right w:val="nil"/>
            </w:tcBorders>
            <w:shd w:val="clear" w:color="auto" w:fill="auto"/>
            <w:noWrap/>
            <w:vAlign w:val="bottom"/>
            <w:hideMark/>
          </w:tcPr>
          <w:p w14:paraId="5522D6E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6,978</w:t>
            </w:r>
          </w:p>
        </w:tc>
        <w:tc>
          <w:tcPr>
            <w:tcW w:w="975" w:type="dxa"/>
            <w:tcBorders>
              <w:top w:val="nil"/>
              <w:left w:val="nil"/>
              <w:bottom w:val="single" w:sz="4" w:space="0" w:color="E7E6E6"/>
              <w:right w:val="nil"/>
            </w:tcBorders>
            <w:shd w:val="clear" w:color="auto" w:fill="auto"/>
            <w:noWrap/>
            <w:vAlign w:val="bottom"/>
            <w:hideMark/>
          </w:tcPr>
          <w:p w14:paraId="349C0D2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w:t>
            </w:r>
          </w:p>
        </w:tc>
        <w:tc>
          <w:tcPr>
            <w:tcW w:w="975" w:type="dxa"/>
            <w:tcBorders>
              <w:top w:val="nil"/>
              <w:left w:val="nil"/>
              <w:bottom w:val="single" w:sz="4" w:space="0" w:color="E7E6E6"/>
              <w:right w:val="nil"/>
            </w:tcBorders>
            <w:shd w:val="clear" w:color="auto" w:fill="auto"/>
            <w:noWrap/>
            <w:vAlign w:val="bottom"/>
            <w:hideMark/>
          </w:tcPr>
          <w:p w14:paraId="61B2515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6,054</w:t>
            </w:r>
          </w:p>
        </w:tc>
        <w:tc>
          <w:tcPr>
            <w:tcW w:w="975" w:type="dxa"/>
            <w:tcBorders>
              <w:top w:val="nil"/>
              <w:left w:val="nil"/>
              <w:bottom w:val="single" w:sz="4" w:space="0" w:color="E7E6E6"/>
              <w:right w:val="nil"/>
            </w:tcBorders>
            <w:shd w:val="clear" w:color="auto" w:fill="auto"/>
            <w:noWrap/>
            <w:vAlign w:val="bottom"/>
            <w:hideMark/>
          </w:tcPr>
          <w:p w14:paraId="10E72FD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w:t>
            </w:r>
          </w:p>
        </w:tc>
        <w:tc>
          <w:tcPr>
            <w:tcW w:w="975" w:type="dxa"/>
            <w:tcBorders>
              <w:top w:val="nil"/>
              <w:left w:val="nil"/>
              <w:bottom w:val="single" w:sz="4" w:space="0" w:color="E7E6E6"/>
              <w:right w:val="nil"/>
            </w:tcBorders>
            <w:shd w:val="clear" w:color="auto" w:fill="auto"/>
            <w:noWrap/>
            <w:vAlign w:val="bottom"/>
            <w:hideMark/>
          </w:tcPr>
          <w:p w14:paraId="10238F5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924</w:t>
            </w:r>
          </w:p>
        </w:tc>
        <w:tc>
          <w:tcPr>
            <w:tcW w:w="975" w:type="dxa"/>
            <w:tcBorders>
              <w:top w:val="nil"/>
              <w:left w:val="nil"/>
              <w:bottom w:val="single" w:sz="4" w:space="0" w:color="E7E6E6"/>
              <w:right w:val="single" w:sz="8" w:space="0" w:color="auto"/>
            </w:tcBorders>
            <w:shd w:val="clear" w:color="auto" w:fill="auto"/>
            <w:noWrap/>
            <w:vAlign w:val="bottom"/>
            <w:hideMark/>
          </w:tcPr>
          <w:p w14:paraId="3F3EF1F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w:t>
            </w:r>
          </w:p>
        </w:tc>
      </w:tr>
      <w:tr w:rsidR="00C85D47" w:rsidRPr="00C85D47" w14:paraId="081094AA" w14:textId="77777777" w:rsidTr="00CD0D32">
        <w:trPr>
          <w:cantSplit/>
          <w:trHeight w:val="290"/>
        </w:trPr>
        <w:tc>
          <w:tcPr>
            <w:tcW w:w="1197" w:type="dxa"/>
            <w:vMerge/>
            <w:tcBorders>
              <w:top w:val="nil"/>
              <w:left w:val="single" w:sz="8" w:space="0" w:color="auto"/>
              <w:bottom w:val="single" w:sz="8" w:space="0" w:color="000000"/>
              <w:right w:val="nil"/>
            </w:tcBorders>
            <w:vAlign w:val="center"/>
            <w:hideMark/>
          </w:tcPr>
          <w:p w14:paraId="327CE442"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7C4D763D"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Self-Pay/Other</w:t>
            </w:r>
          </w:p>
        </w:tc>
        <w:tc>
          <w:tcPr>
            <w:tcW w:w="975" w:type="dxa"/>
            <w:tcBorders>
              <w:top w:val="nil"/>
              <w:left w:val="single" w:sz="8" w:space="0" w:color="auto"/>
              <w:bottom w:val="single" w:sz="4" w:space="0" w:color="E7E6E6"/>
              <w:right w:val="nil"/>
            </w:tcBorders>
            <w:shd w:val="clear" w:color="auto" w:fill="auto"/>
            <w:noWrap/>
            <w:vAlign w:val="bottom"/>
            <w:hideMark/>
          </w:tcPr>
          <w:p w14:paraId="42BE003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2,312</w:t>
            </w:r>
          </w:p>
        </w:tc>
        <w:tc>
          <w:tcPr>
            <w:tcW w:w="975" w:type="dxa"/>
            <w:tcBorders>
              <w:top w:val="nil"/>
              <w:left w:val="nil"/>
              <w:bottom w:val="single" w:sz="4" w:space="0" w:color="E7E6E6"/>
              <w:right w:val="nil"/>
            </w:tcBorders>
            <w:shd w:val="clear" w:color="auto" w:fill="auto"/>
            <w:noWrap/>
            <w:vAlign w:val="bottom"/>
            <w:hideMark/>
          </w:tcPr>
          <w:p w14:paraId="0E1A1F5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4" w:space="0" w:color="E7E6E6"/>
              <w:right w:val="nil"/>
            </w:tcBorders>
            <w:shd w:val="clear" w:color="auto" w:fill="auto"/>
            <w:noWrap/>
            <w:vAlign w:val="bottom"/>
            <w:hideMark/>
          </w:tcPr>
          <w:p w14:paraId="1B31D1C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2,093</w:t>
            </w:r>
          </w:p>
        </w:tc>
        <w:tc>
          <w:tcPr>
            <w:tcW w:w="975" w:type="dxa"/>
            <w:tcBorders>
              <w:top w:val="nil"/>
              <w:left w:val="nil"/>
              <w:bottom w:val="single" w:sz="4" w:space="0" w:color="E7E6E6"/>
              <w:right w:val="nil"/>
            </w:tcBorders>
            <w:shd w:val="clear" w:color="auto" w:fill="auto"/>
            <w:noWrap/>
            <w:vAlign w:val="bottom"/>
            <w:hideMark/>
          </w:tcPr>
          <w:p w14:paraId="614AAD5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4" w:space="0" w:color="E7E6E6"/>
              <w:right w:val="nil"/>
            </w:tcBorders>
            <w:shd w:val="clear" w:color="auto" w:fill="auto"/>
            <w:noWrap/>
            <w:vAlign w:val="bottom"/>
            <w:hideMark/>
          </w:tcPr>
          <w:p w14:paraId="08E7E25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219</w:t>
            </w:r>
          </w:p>
        </w:tc>
        <w:tc>
          <w:tcPr>
            <w:tcW w:w="975" w:type="dxa"/>
            <w:tcBorders>
              <w:top w:val="nil"/>
              <w:left w:val="nil"/>
              <w:bottom w:val="single" w:sz="4" w:space="0" w:color="E7E6E6"/>
              <w:right w:val="single" w:sz="8" w:space="0" w:color="auto"/>
            </w:tcBorders>
            <w:shd w:val="clear" w:color="auto" w:fill="auto"/>
            <w:noWrap/>
            <w:vAlign w:val="bottom"/>
            <w:hideMark/>
          </w:tcPr>
          <w:p w14:paraId="42E28B8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r>
      <w:tr w:rsidR="00C85D47" w:rsidRPr="00C85D47" w14:paraId="7B1FFB41" w14:textId="77777777" w:rsidTr="00CD0D32">
        <w:trPr>
          <w:cantSplit/>
          <w:trHeight w:val="300"/>
        </w:trPr>
        <w:tc>
          <w:tcPr>
            <w:tcW w:w="1197" w:type="dxa"/>
            <w:vMerge/>
            <w:tcBorders>
              <w:top w:val="nil"/>
              <w:left w:val="single" w:sz="8" w:space="0" w:color="auto"/>
              <w:bottom w:val="single" w:sz="8" w:space="0" w:color="auto"/>
              <w:right w:val="nil"/>
            </w:tcBorders>
            <w:vAlign w:val="center"/>
            <w:hideMark/>
          </w:tcPr>
          <w:p w14:paraId="7F23FB92"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8" w:space="0" w:color="auto"/>
              <w:right w:val="nil"/>
            </w:tcBorders>
            <w:shd w:val="clear" w:color="auto" w:fill="auto"/>
            <w:noWrap/>
            <w:vAlign w:val="bottom"/>
            <w:hideMark/>
          </w:tcPr>
          <w:p w14:paraId="22770AA0"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Other Government</w:t>
            </w:r>
          </w:p>
        </w:tc>
        <w:tc>
          <w:tcPr>
            <w:tcW w:w="975" w:type="dxa"/>
            <w:tcBorders>
              <w:top w:val="nil"/>
              <w:left w:val="single" w:sz="8" w:space="0" w:color="auto"/>
              <w:bottom w:val="single" w:sz="8" w:space="0" w:color="auto"/>
              <w:right w:val="nil"/>
            </w:tcBorders>
            <w:shd w:val="clear" w:color="auto" w:fill="auto"/>
            <w:noWrap/>
            <w:vAlign w:val="bottom"/>
            <w:hideMark/>
          </w:tcPr>
          <w:p w14:paraId="4BDF55E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1,940</w:t>
            </w:r>
          </w:p>
        </w:tc>
        <w:tc>
          <w:tcPr>
            <w:tcW w:w="975" w:type="dxa"/>
            <w:tcBorders>
              <w:top w:val="nil"/>
              <w:left w:val="nil"/>
              <w:bottom w:val="single" w:sz="8" w:space="0" w:color="auto"/>
              <w:right w:val="nil"/>
            </w:tcBorders>
            <w:shd w:val="clear" w:color="auto" w:fill="auto"/>
            <w:noWrap/>
            <w:vAlign w:val="bottom"/>
            <w:hideMark/>
          </w:tcPr>
          <w:p w14:paraId="51EF0DC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8" w:space="0" w:color="auto"/>
              <w:right w:val="nil"/>
            </w:tcBorders>
            <w:shd w:val="clear" w:color="auto" w:fill="auto"/>
            <w:noWrap/>
            <w:vAlign w:val="bottom"/>
            <w:hideMark/>
          </w:tcPr>
          <w:p w14:paraId="5AEF7D9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1,669</w:t>
            </w:r>
          </w:p>
        </w:tc>
        <w:tc>
          <w:tcPr>
            <w:tcW w:w="975" w:type="dxa"/>
            <w:tcBorders>
              <w:top w:val="nil"/>
              <w:left w:val="nil"/>
              <w:bottom w:val="single" w:sz="8" w:space="0" w:color="auto"/>
              <w:right w:val="nil"/>
            </w:tcBorders>
            <w:shd w:val="clear" w:color="auto" w:fill="auto"/>
            <w:noWrap/>
            <w:vAlign w:val="bottom"/>
            <w:hideMark/>
          </w:tcPr>
          <w:p w14:paraId="30B26AA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8" w:space="0" w:color="auto"/>
              <w:right w:val="nil"/>
            </w:tcBorders>
            <w:shd w:val="clear" w:color="auto" w:fill="auto"/>
            <w:noWrap/>
            <w:vAlign w:val="bottom"/>
            <w:hideMark/>
          </w:tcPr>
          <w:p w14:paraId="47B1EC6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271</w:t>
            </w:r>
          </w:p>
        </w:tc>
        <w:tc>
          <w:tcPr>
            <w:tcW w:w="975" w:type="dxa"/>
            <w:tcBorders>
              <w:top w:val="nil"/>
              <w:left w:val="nil"/>
              <w:bottom w:val="single" w:sz="8" w:space="0" w:color="auto"/>
              <w:right w:val="single" w:sz="8" w:space="0" w:color="auto"/>
            </w:tcBorders>
            <w:shd w:val="clear" w:color="auto" w:fill="auto"/>
            <w:noWrap/>
            <w:vAlign w:val="bottom"/>
            <w:hideMark/>
          </w:tcPr>
          <w:p w14:paraId="0FC7B2B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r>
      <w:tr w:rsidR="00C85D47" w:rsidRPr="00C85D47" w14:paraId="1068D17F" w14:textId="77777777" w:rsidTr="00CD0D32">
        <w:trPr>
          <w:cantSplit/>
          <w:trHeight w:val="290"/>
        </w:trPr>
        <w:tc>
          <w:tcPr>
            <w:tcW w:w="1197" w:type="dxa"/>
            <w:vMerge w:val="restart"/>
            <w:tcBorders>
              <w:top w:val="single" w:sz="8" w:space="0" w:color="auto"/>
              <w:left w:val="single" w:sz="8" w:space="0" w:color="auto"/>
              <w:bottom w:val="nil"/>
              <w:right w:val="nil"/>
            </w:tcBorders>
            <w:shd w:val="clear" w:color="auto" w:fill="auto"/>
            <w:noWrap/>
            <w:vAlign w:val="center"/>
            <w:hideMark/>
          </w:tcPr>
          <w:p w14:paraId="14F6F895"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Race</w:t>
            </w:r>
          </w:p>
        </w:tc>
        <w:tc>
          <w:tcPr>
            <w:tcW w:w="2313" w:type="dxa"/>
            <w:tcBorders>
              <w:top w:val="single" w:sz="8" w:space="0" w:color="auto"/>
              <w:left w:val="nil"/>
              <w:bottom w:val="single" w:sz="4" w:space="0" w:color="E7E6E6"/>
              <w:right w:val="nil"/>
            </w:tcBorders>
            <w:shd w:val="clear" w:color="auto" w:fill="auto"/>
            <w:noWrap/>
            <w:vAlign w:val="bottom"/>
            <w:hideMark/>
          </w:tcPr>
          <w:p w14:paraId="61AB2B4B"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White</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7EA8BAC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60,660</w:t>
            </w:r>
          </w:p>
        </w:tc>
        <w:tc>
          <w:tcPr>
            <w:tcW w:w="975" w:type="dxa"/>
            <w:tcBorders>
              <w:top w:val="single" w:sz="8" w:space="0" w:color="auto"/>
              <w:left w:val="nil"/>
              <w:bottom w:val="single" w:sz="4" w:space="0" w:color="E7E6E6"/>
              <w:right w:val="nil"/>
            </w:tcBorders>
            <w:shd w:val="clear" w:color="auto" w:fill="auto"/>
            <w:noWrap/>
            <w:vAlign w:val="bottom"/>
            <w:hideMark/>
          </w:tcPr>
          <w:p w14:paraId="2A13538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83%</w:t>
            </w:r>
          </w:p>
        </w:tc>
        <w:tc>
          <w:tcPr>
            <w:tcW w:w="975" w:type="dxa"/>
            <w:tcBorders>
              <w:top w:val="single" w:sz="8" w:space="0" w:color="auto"/>
              <w:left w:val="nil"/>
              <w:bottom w:val="single" w:sz="4" w:space="0" w:color="E7E6E6"/>
              <w:right w:val="nil"/>
            </w:tcBorders>
            <w:shd w:val="clear" w:color="auto" w:fill="auto"/>
            <w:noWrap/>
            <w:vAlign w:val="bottom"/>
            <w:hideMark/>
          </w:tcPr>
          <w:p w14:paraId="4277D15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52,738</w:t>
            </w:r>
          </w:p>
        </w:tc>
        <w:tc>
          <w:tcPr>
            <w:tcW w:w="975" w:type="dxa"/>
            <w:tcBorders>
              <w:top w:val="single" w:sz="8" w:space="0" w:color="auto"/>
              <w:left w:val="nil"/>
              <w:bottom w:val="single" w:sz="4" w:space="0" w:color="E7E6E6"/>
              <w:right w:val="nil"/>
            </w:tcBorders>
            <w:shd w:val="clear" w:color="auto" w:fill="auto"/>
            <w:noWrap/>
            <w:vAlign w:val="bottom"/>
            <w:hideMark/>
          </w:tcPr>
          <w:p w14:paraId="09A696A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83%</w:t>
            </w:r>
          </w:p>
        </w:tc>
        <w:tc>
          <w:tcPr>
            <w:tcW w:w="975" w:type="dxa"/>
            <w:tcBorders>
              <w:top w:val="single" w:sz="8" w:space="0" w:color="auto"/>
              <w:left w:val="nil"/>
              <w:bottom w:val="single" w:sz="4" w:space="0" w:color="E7E6E6"/>
              <w:right w:val="nil"/>
            </w:tcBorders>
            <w:shd w:val="clear" w:color="auto" w:fill="auto"/>
            <w:noWrap/>
            <w:vAlign w:val="bottom"/>
            <w:hideMark/>
          </w:tcPr>
          <w:p w14:paraId="56EF3AC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7,922</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32AF76A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83%</w:t>
            </w:r>
          </w:p>
        </w:tc>
      </w:tr>
      <w:tr w:rsidR="00C85D47" w:rsidRPr="00C85D47" w14:paraId="5DFEE2E8" w14:textId="77777777" w:rsidTr="00CD0D32">
        <w:trPr>
          <w:cantSplit/>
          <w:trHeight w:val="290"/>
        </w:trPr>
        <w:tc>
          <w:tcPr>
            <w:tcW w:w="1197" w:type="dxa"/>
            <w:vMerge/>
            <w:tcBorders>
              <w:top w:val="nil"/>
              <w:left w:val="single" w:sz="8" w:space="0" w:color="auto"/>
              <w:bottom w:val="nil"/>
              <w:right w:val="nil"/>
            </w:tcBorders>
            <w:vAlign w:val="center"/>
            <w:hideMark/>
          </w:tcPr>
          <w:p w14:paraId="2039B846"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615F25AD"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Black/African American</w:t>
            </w:r>
          </w:p>
        </w:tc>
        <w:tc>
          <w:tcPr>
            <w:tcW w:w="975" w:type="dxa"/>
            <w:tcBorders>
              <w:top w:val="nil"/>
              <w:left w:val="single" w:sz="8" w:space="0" w:color="auto"/>
              <w:bottom w:val="single" w:sz="4" w:space="0" w:color="E7E6E6"/>
              <w:right w:val="nil"/>
            </w:tcBorders>
            <w:shd w:val="clear" w:color="auto" w:fill="auto"/>
            <w:noWrap/>
            <w:vAlign w:val="bottom"/>
            <w:hideMark/>
          </w:tcPr>
          <w:p w14:paraId="1A354C4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5,404</w:t>
            </w:r>
          </w:p>
        </w:tc>
        <w:tc>
          <w:tcPr>
            <w:tcW w:w="975" w:type="dxa"/>
            <w:tcBorders>
              <w:top w:val="nil"/>
              <w:left w:val="nil"/>
              <w:bottom w:val="single" w:sz="4" w:space="0" w:color="E7E6E6"/>
              <w:right w:val="nil"/>
            </w:tcBorders>
            <w:shd w:val="clear" w:color="auto" w:fill="auto"/>
            <w:noWrap/>
            <w:vAlign w:val="bottom"/>
            <w:hideMark/>
          </w:tcPr>
          <w:p w14:paraId="09BCA90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w:t>
            </w:r>
          </w:p>
        </w:tc>
        <w:tc>
          <w:tcPr>
            <w:tcW w:w="975" w:type="dxa"/>
            <w:tcBorders>
              <w:top w:val="nil"/>
              <w:left w:val="nil"/>
              <w:bottom w:val="single" w:sz="4" w:space="0" w:color="E7E6E6"/>
              <w:right w:val="nil"/>
            </w:tcBorders>
            <w:shd w:val="clear" w:color="auto" w:fill="auto"/>
            <w:noWrap/>
            <w:vAlign w:val="bottom"/>
            <w:hideMark/>
          </w:tcPr>
          <w:p w14:paraId="25ADF5F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4,839</w:t>
            </w:r>
          </w:p>
        </w:tc>
        <w:tc>
          <w:tcPr>
            <w:tcW w:w="975" w:type="dxa"/>
            <w:tcBorders>
              <w:top w:val="nil"/>
              <w:left w:val="nil"/>
              <w:bottom w:val="single" w:sz="4" w:space="0" w:color="E7E6E6"/>
              <w:right w:val="nil"/>
            </w:tcBorders>
            <w:shd w:val="clear" w:color="auto" w:fill="auto"/>
            <w:noWrap/>
            <w:vAlign w:val="bottom"/>
            <w:hideMark/>
          </w:tcPr>
          <w:p w14:paraId="1DC2F9C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w:t>
            </w:r>
          </w:p>
        </w:tc>
        <w:tc>
          <w:tcPr>
            <w:tcW w:w="975" w:type="dxa"/>
            <w:tcBorders>
              <w:top w:val="nil"/>
              <w:left w:val="nil"/>
              <w:bottom w:val="single" w:sz="4" w:space="0" w:color="E7E6E6"/>
              <w:right w:val="nil"/>
            </w:tcBorders>
            <w:shd w:val="clear" w:color="auto" w:fill="auto"/>
            <w:noWrap/>
            <w:vAlign w:val="bottom"/>
            <w:hideMark/>
          </w:tcPr>
          <w:p w14:paraId="5BF5EFD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565</w:t>
            </w:r>
          </w:p>
        </w:tc>
        <w:tc>
          <w:tcPr>
            <w:tcW w:w="975" w:type="dxa"/>
            <w:tcBorders>
              <w:top w:val="nil"/>
              <w:left w:val="nil"/>
              <w:bottom w:val="single" w:sz="4" w:space="0" w:color="E7E6E6"/>
              <w:right w:val="single" w:sz="8" w:space="0" w:color="auto"/>
            </w:tcBorders>
            <w:shd w:val="clear" w:color="auto" w:fill="auto"/>
            <w:noWrap/>
            <w:vAlign w:val="bottom"/>
            <w:hideMark/>
          </w:tcPr>
          <w:p w14:paraId="04FFA23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w:t>
            </w:r>
          </w:p>
        </w:tc>
      </w:tr>
      <w:tr w:rsidR="00C85D47" w:rsidRPr="00C85D47" w14:paraId="1A4B9DFC" w14:textId="77777777" w:rsidTr="00CD0D32">
        <w:trPr>
          <w:cantSplit/>
          <w:trHeight w:val="290"/>
        </w:trPr>
        <w:tc>
          <w:tcPr>
            <w:tcW w:w="1197" w:type="dxa"/>
            <w:vMerge/>
            <w:tcBorders>
              <w:top w:val="nil"/>
              <w:left w:val="single" w:sz="8" w:space="0" w:color="auto"/>
              <w:bottom w:val="nil"/>
              <w:right w:val="nil"/>
            </w:tcBorders>
            <w:vAlign w:val="center"/>
            <w:hideMark/>
          </w:tcPr>
          <w:p w14:paraId="1653D0B3"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287A2484"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Asian</w:t>
            </w:r>
          </w:p>
        </w:tc>
        <w:tc>
          <w:tcPr>
            <w:tcW w:w="975" w:type="dxa"/>
            <w:tcBorders>
              <w:top w:val="nil"/>
              <w:left w:val="single" w:sz="8" w:space="0" w:color="auto"/>
              <w:bottom w:val="single" w:sz="4" w:space="0" w:color="E7E6E6"/>
              <w:right w:val="nil"/>
            </w:tcBorders>
            <w:shd w:val="clear" w:color="auto" w:fill="auto"/>
            <w:noWrap/>
            <w:vAlign w:val="bottom"/>
            <w:hideMark/>
          </w:tcPr>
          <w:p w14:paraId="70D7AC5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2,318</w:t>
            </w:r>
          </w:p>
        </w:tc>
        <w:tc>
          <w:tcPr>
            <w:tcW w:w="975" w:type="dxa"/>
            <w:tcBorders>
              <w:top w:val="nil"/>
              <w:left w:val="nil"/>
              <w:bottom w:val="single" w:sz="4" w:space="0" w:color="E7E6E6"/>
              <w:right w:val="nil"/>
            </w:tcBorders>
            <w:shd w:val="clear" w:color="auto" w:fill="auto"/>
            <w:noWrap/>
            <w:vAlign w:val="bottom"/>
            <w:hideMark/>
          </w:tcPr>
          <w:p w14:paraId="1CFBCEB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4" w:space="0" w:color="E7E6E6"/>
              <w:right w:val="nil"/>
            </w:tcBorders>
            <w:shd w:val="clear" w:color="auto" w:fill="auto"/>
            <w:noWrap/>
            <w:vAlign w:val="bottom"/>
            <w:hideMark/>
          </w:tcPr>
          <w:p w14:paraId="03360A0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1,958</w:t>
            </w:r>
          </w:p>
        </w:tc>
        <w:tc>
          <w:tcPr>
            <w:tcW w:w="975" w:type="dxa"/>
            <w:tcBorders>
              <w:top w:val="nil"/>
              <w:left w:val="nil"/>
              <w:bottom w:val="single" w:sz="4" w:space="0" w:color="E7E6E6"/>
              <w:right w:val="nil"/>
            </w:tcBorders>
            <w:shd w:val="clear" w:color="auto" w:fill="auto"/>
            <w:noWrap/>
            <w:vAlign w:val="bottom"/>
            <w:hideMark/>
          </w:tcPr>
          <w:p w14:paraId="4B2BE70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w:t>
            </w:r>
          </w:p>
        </w:tc>
        <w:tc>
          <w:tcPr>
            <w:tcW w:w="975" w:type="dxa"/>
            <w:tcBorders>
              <w:top w:val="nil"/>
              <w:left w:val="nil"/>
              <w:bottom w:val="single" w:sz="4" w:space="0" w:color="E7E6E6"/>
              <w:right w:val="nil"/>
            </w:tcBorders>
            <w:shd w:val="clear" w:color="auto" w:fill="auto"/>
            <w:noWrap/>
            <w:vAlign w:val="bottom"/>
            <w:hideMark/>
          </w:tcPr>
          <w:p w14:paraId="6E4A65E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360</w:t>
            </w:r>
          </w:p>
        </w:tc>
        <w:tc>
          <w:tcPr>
            <w:tcW w:w="975" w:type="dxa"/>
            <w:tcBorders>
              <w:top w:val="nil"/>
              <w:left w:val="nil"/>
              <w:bottom w:val="single" w:sz="4" w:space="0" w:color="E7E6E6"/>
              <w:right w:val="single" w:sz="8" w:space="0" w:color="auto"/>
            </w:tcBorders>
            <w:shd w:val="clear" w:color="auto" w:fill="auto"/>
            <w:noWrap/>
            <w:vAlign w:val="bottom"/>
            <w:hideMark/>
          </w:tcPr>
          <w:p w14:paraId="37357EB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w:t>
            </w:r>
          </w:p>
        </w:tc>
      </w:tr>
      <w:tr w:rsidR="00C85D47" w:rsidRPr="00C85D47" w14:paraId="26A3C180" w14:textId="77777777" w:rsidTr="00CD0D32">
        <w:trPr>
          <w:cantSplit/>
          <w:trHeight w:val="300"/>
        </w:trPr>
        <w:tc>
          <w:tcPr>
            <w:tcW w:w="1197" w:type="dxa"/>
            <w:vMerge/>
            <w:tcBorders>
              <w:top w:val="nil"/>
              <w:left w:val="single" w:sz="8" w:space="0" w:color="auto"/>
              <w:bottom w:val="single" w:sz="8" w:space="0" w:color="auto"/>
              <w:right w:val="nil"/>
            </w:tcBorders>
            <w:vAlign w:val="center"/>
            <w:hideMark/>
          </w:tcPr>
          <w:p w14:paraId="61F87C0D"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8" w:space="0" w:color="auto"/>
              <w:right w:val="nil"/>
            </w:tcBorders>
            <w:shd w:val="clear" w:color="auto" w:fill="auto"/>
            <w:noWrap/>
            <w:vAlign w:val="bottom"/>
            <w:hideMark/>
          </w:tcPr>
          <w:p w14:paraId="14BBDEB5"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Other</w:t>
            </w:r>
          </w:p>
        </w:tc>
        <w:tc>
          <w:tcPr>
            <w:tcW w:w="975" w:type="dxa"/>
            <w:tcBorders>
              <w:top w:val="nil"/>
              <w:left w:val="single" w:sz="8" w:space="0" w:color="auto"/>
              <w:bottom w:val="single" w:sz="8" w:space="0" w:color="auto"/>
              <w:right w:val="nil"/>
            </w:tcBorders>
            <w:shd w:val="clear" w:color="auto" w:fill="auto"/>
            <w:noWrap/>
            <w:vAlign w:val="bottom"/>
            <w:hideMark/>
          </w:tcPr>
          <w:p w14:paraId="065B936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2,969</w:t>
            </w:r>
          </w:p>
        </w:tc>
        <w:tc>
          <w:tcPr>
            <w:tcW w:w="975" w:type="dxa"/>
            <w:tcBorders>
              <w:top w:val="nil"/>
              <w:left w:val="nil"/>
              <w:bottom w:val="single" w:sz="8" w:space="0" w:color="auto"/>
              <w:right w:val="nil"/>
            </w:tcBorders>
            <w:shd w:val="clear" w:color="auto" w:fill="auto"/>
            <w:noWrap/>
            <w:vAlign w:val="bottom"/>
            <w:hideMark/>
          </w:tcPr>
          <w:p w14:paraId="0231D0F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w:t>
            </w:r>
          </w:p>
        </w:tc>
        <w:tc>
          <w:tcPr>
            <w:tcW w:w="975" w:type="dxa"/>
            <w:tcBorders>
              <w:top w:val="nil"/>
              <w:left w:val="nil"/>
              <w:bottom w:val="single" w:sz="8" w:space="0" w:color="auto"/>
              <w:right w:val="nil"/>
            </w:tcBorders>
            <w:shd w:val="clear" w:color="auto" w:fill="auto"/>
            <w:noWrap/>
            <w:vAlign w:val="bottom"/>
            <w:hideMark/>
          </w:tcPr>
          <w:p w14:paraId="4C2AA70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2,575</w:t>
            </w:r>
          </w:p>
        </w:tc>
        <w:tc>
          <w:tcPr>
            <w:tcW w:w="975" w:type="dxa"/>
            <w:tcBorders>
              <w:top w:val="nil"/>
              <w:left w:val="nil"/>
              <w:bottom w:val="single" w:sz="8" w:space="0" w:color="auto"/>
              <w:right w:val="nil"/>
            </w:tcBorders>
            <w:shd w:val="clear" w:color="auto" w:fill="auto"/>
            <w:noWrap/>
            <w:vAlign w:val="bottom"/>
            <w:hideMark/>
          </w:tcPr>
          <w:p w14:paraId="1B57088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w:t>
            </w:r>
          </w:p>
        </w:tc>
        <w:tc>
          <w:tcPr>
            <w:tcW w:w="975" w:type="dxa"/>
            <w:tcBorders>
              <w:top w:val="nil"/>
              <w:left w:val="nil"/>
              <w:bottom w:val="single" w:sz="8" w:space="0" w:color="auto"/>
              <w:right w:val="nil"/>
            </w:tcBorders>
            <w:shd w:val="clear" w:color="auto" w:fill="auto"/>
            <w:noWrap/>
            <w:vAlign w:val="bottom"/>
            <w:hideMark/>
          </w:tcPr>
          <w:p w14:paraId="74EEB7A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394</w:t>
            </w:r>
          </w:p>
        </w:tc>
        <w:tc>
          <w:tcPr>
            <w:tcW w:w="975" w:type="dxa"/>
            <w:tcBorders>
              <w:top w:val="nil"/>
              <w:left w:val="nil"/>
              <w:bottom w:val="single" w:sz="8" w:space="0" w:color="auto"/>
              <w:right w:val="single" w:sz="8" w:space="0" w:color="auto"/>
            </w:tcBorders>
            <w:shd w:val="clear" w:color="auto" w:fill="auto"/>
            <w:noWrap/>
            <w:vAlign w:val="bottom"/>
            <w:hideMark/>
          </w:tcPr>
          <w:p w14:paraId="0508334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w:t>
            </w:r>
          </w:p>
        </w:tc>
      </w:tr>
      <w:tr w:rsidR="00C85D47" w:rsidRPr="00C85D47" w14:paraId="6F9A20DE" w14:textId="77777777" w:rsidTr="00CD0D32">
        <w:trPr>
          <w:cantSplit/>
          <w:trHeight w:val="290"/>
        </w:trPr>
        <w:tc>
          <w:tcPr>
            <w:tcW w:w="1197" w:type="dxa"/>
            <w:vMerge w:val="restart"/>
            <w:tcBorders>
              <w:top w:val="single" w:sz="8" w:space="0" w:color="auto"/>
              <w:left w:val="single" w:sz="8" w:space="0" w:color="auto"/>
              <w:bottom w:val="single" w:sz="4" w:space="0" w:color="E7E6E6"/>
              <w:right w:val="nil"/>
            </w:tcBorders>
            <w:shd w:val="clear" w:color="auto" w:fill="auto"/>
            <w:noWrap/>
            <w:vAlign w:val="center"/>
            <w:hideMark/>
          </w:tcPr>
          <w:p w14:paraId="73430066"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Ethnicity</w:t>
            </w:r>
          </w:p>
        </w:tc>
        <w:tc>
          <w:tcPr>
            <w:tcW w:w="2313" w:type="dxa"/>
            <w:tcBorders>
              <w:top w:val="single" w:sz="8" w:space="0" w:color="auto"/>
              <w:left w:val="nil"/>
              <w:bottom w:val="single" w:sz="4" w:space="0" w:color="E7E6E6"/>
              <w:right w:val="nil"/>
            </w:tcBorders>
            <w:shd w:val="clear" w:color="auto" w:fill="auto"/>
            <w:noWrap/>
            <w:vAlign w:val="bottom"/>
            <w:hideMark/>
          </w:tcPr>
          <w:p w14:paraId="6C732C08"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Non-Hispanic</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196D2D2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68,757</w:t>
            </w:r>
          </w:p>
        </w:tc>
        <w:tc>
          <w:tcPr>
            <w:tcW w:w="975" w:type="dxa"/>
            <w:tcBorders>
              <w:top w:val="single" w:sz="8" w:space="0" w:color="auto"/>
              <w:left w:val="nil"/>
              <w:bottom w:val="single" w:sz="4" w:space="0" w:color="E7E6E6"/>
              <w:right w:val="nil"/>
            </w:tcBorders>
            <w:shd w:val="clear" w:color="auto" w:fill="auto"/>
            <w:noWrap/>
            <w:vAlign w:val="bottom"/>
            <w:hideMark/>
          </w:tcPr>
          <w:p w14:paraId="0C6A5A4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94%</w:t>
            </w:r>
          </w:p>
        </w:tc>
        <w:tc>
          <w:tcPr>
            <w:tcW w:w="975" w:type="dxa"/>
            <w:tcBorders>
              <w:top w:val="single" w:sz="8" w:space="0" w:color="auto"/>
              <w:left w:val="nil"/>
              <w:bottom w:val="single" w:sz="4" w:space="0" w:color="E7E6E6"/>
              <w:right w:val="nil"/>
            </w:tcBorders>
            <w:shd w:val="clear" w:color="auto" w:fill="auto"/>
            <w:noWrap/>
            <w:vAlign w:val="bottom"/>
            <w:hideMark/>
          </w:tcPr>
          <w:p w14:paraId="6716549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59,771</w:t>
            </w:r>
          </w:p>
        </w:tc>
        <w:tc>
          <w:tcPr>
            <w:tcW w:w="975" w:type="dxa"/>
            <w:tcBorders>
              <w:top w:val="single" w:sz="8" w:space="0" w:color="auto"/>
              <w:left w:val="nil"/>
              <w:bottom w:val="single" w:sz="4" w:space="0" w:color="E7E6E6"/>
              <w:right w:val="nil"/>
            </w:tcBorders>
            <w:shd w:val="clear" w:color="auto" w:fill="auto"/>
            <w:noWrap/>
            <w:vAlign w:val="bottom"/>
            <w:hideMark/>
          </w:tcPr>
          <w:p w14:paraId="5EB74BC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94%</w:t>
            </w:r>
          </w:p>
        </w:tc>
        <w:tc>
          <w:tcPr>
            <w:tcW w:w="975" w:type="dxa"/>
            <w:tcBorders>
              <w:top w:val="single" w:sz="8" w:space="0" w:color="auto"/>
              <w:left w:val="nil"/>
              <w:bottom w:val="single" w:sz="4" w:space="0" w:color="E7E6E6"/>
              <w:right w:val="nil"/>
            </w:tcBorders>
            <w:shd w:val="clear" w:color="auto" w:fill="auto"/>
            <w:noWrap/>
            <w:vAlign w:val="bottom"/>
            <w:hideMark/>
          </w:tcPr>
          <w:p w14:paraId="38E2792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8,986</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634F2DB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94%</w:t>
            </w:r>
          </w:p>
        </w:tc>
      </w:tr>
      <w:tr w:rsidR="00C85D47" w:rsidRPr="00C85D47" w14:paraId="3A61526D" w14:textId="77777777" w:rsidTr="00CD0D32">
        <w:trPr>
          <w:cantSplit/>
          <w:trHeight w:val="300"/>
        </w:trPr>
        <w:tc>
          <w:tcPr>
            <w:tcW w:w="1197" w:type="dxa"/>
            <w:vMerge/>
            <w:tcBorders>
              <w:top w:val="nil"/>
              <w:left w:val="single" w:sz="8" w:space="0" w:color="auto"/>
              <w:bottom w:val="single" w:sz="8" w:space="0" w:color="auto"/>
              <w:right w:val="nil"/>
            </w:tcBorders>
            <w:vAlign w:val="center"/>
            <w:hideMark/>
          </w:tcPr>
          <w:p w14:paraId="06EBDEDC"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8" w:space="0" w:color="auto"/>
              <w:right w:val="nil"/>
            </w:tcBorders>
            <w:shd w:val="clear" w:color="auto" w:fill="auto"/>
            <w:noWrap/>
            <w:vAlign w:val="bottom"/>
            <w:hideMark/>
          </w:tcPr>
          <w:p w14:paraId="21D15B4A"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Hispanic</w:t>
            </w:r>
          </w:p>
        </w:tc>
        <w:tc>
          <w:tcPr>
            <w:tcW w:w="975" w:type="dxa"/>
            <w:tcBorders>
              <w:top w:val="nil"/>
              <w:left w:val="single" w:sz="8" w:space="0" w:color="auto"/>
              <w:bottom w:val="single" w:sz="8" w:space="0" w:color="auto"/>
              <w:right w:val="nil"/>
            </w:tcBorders>
            <w:shd w:val="clear" w:color="auto" w:fill="auto"/>
            <w:noWrap/>
            <w:vAlign w:val="bottom"/>
            <w:hideMark/>
          </w:tcPr>
          <w:p w14:paraId="77A7F6A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4,379</w:t>
            </w:r>
          </w:p>
        </w:tc>
        <w:tc>
          <w:tcPr>
            <w:tcW w:w="975" w:type="dxa"/>
            <w:tcBorders>
              <w:top w:val="nil"/>
              <w:left w:val="nil"/>
              <w:bottom w:val="single" w:sz="8" w:space="0" w:color="auto"/>
              <w:right w:val="nil"/>
            </w:tcBorders>
            <w:shd w:val="clear" w:color="auto" w:fill="auto"/>
            <w:noWrap/>
            <w:vAlign w:val="bottom"/>
            <w:hideMark/>
          </w:tcPr>
          <w:p w14:paraId="01AE5D8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w:t>
            </w:r>
          </w:p>
        </w:tc>
        <w:tc>
          <w:tcPr>
            <w:tcW w:w="975" w:type="dxa"/>
            <w:tcBorders>
              <w:top w:val="nil"/>
              <w:left w:val="nil"/>
              <w:bottom w:val="single" w:sz="8" w:space="0" w:color="auto"/>
              <w:right w:val="nil"/>
            </w:tcBorders>
            <w:shd w:val="clear" w:color="auto" w:fill="auto"/>
            <w:noWrap/>
            <w:vAlign w:val="bottom"/>
            <w:hideMark/>
          </w:tcPr>
          <w:p w14:paraId="1946DD6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3,786</w:t>
            </w:r>
          </w:p>
        </w:tc>
        <w:tc>
          <w:tcPr>
            <w:tcW w:w="975" w:type="dxa"/>
            <w:tcBorders>
              <w:top w:val="nil"/>
              <w:left w:val="nil"/>
              <w:bottom w:val="single" w:sz="8" w:space="0" w:color="auto"/>
              <w:right w:val="nil"/>
            </w:tcBorders>
            <w:shd w:val="clear" w:color="auto" w:fill="auto"/>
            <w:noWrap/>
            <w:vAlign w:val="bottom"/>
            <w:hideMark/>
          </w:tcPr>
          <w:p w14:paraId="4EA9B98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w:t>
            </w:r>
          </w:p>
        </w:tc>
        <w:tc>
          <w:tcPr>
            <w:tcW w:w="975" w:type="dxa"/>
            <w:tcBorders>
              <w:top w:val="nil"/>
              <w:left w:val="nil"/>
              <w:bottom w:val="single" w:sz="8" w:space="0" w:color="auto"/>
              <w:right w:val="nil"/>
            </w:tcBorders>
            <w:shd w:val="clear" w:color="auto" w:fill="auto"/>
            <w:noWrap/>
            <w:vAlign w:val="bottom"/>
            <w:hideMark/>
          </w:tcPr>
          <w:p w14:paraId="604038F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593</w:t>
            </w:r>
          </w:p>
        </w:tc>
        <w:tc>
          <w:tcPr>
            <w:tcW w:w="975" w:type="dxa"/>
            <w:tcBorders>
              <w:top w:val="nil"/>
              <w:left w:val="nil"/>
              <w:bottom w:val="single" w:sz="8" w:space="0" w:color="auto"/>
              <w:right w:val="single" w:sz="8" w:space="0" w:color="auto"/>
            </w:tcBorders>
            <w:shd w:val="clear" w:color="auto" w:fill="auto"/>
            <w:noWrap/>
            <w:vAlign w:val="bottom"/>
            <w:hideMark/>
          </w:tcPr>
          <w:p w14:paraId="1AD6B81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w:t>
            </w:r>
          </w:p>
        </w:tc>
      </w:tr>
      <w:tr w:rsidR="00C85D47" w:rsidRPr="00C85D47" w14:paraId="1F70826C" w14:textId="77777777" w:rsidTr="00CD0D32">
        <w:trPr>
          <w:cantSplit/>
          <w:trHeight w:val="290"/>
        </w:trPr>
        <w:tc>
          <w:tcPr>
            <w:tcW w:w="1197" w:type="dxa"/>
            <w:vMerge w:val="restart"/>
            <w:tcBorders>
              <w:top w:val="single" w:sz="8" w:space="0" w:color="auto"/>
              <w:left w:val="single" w:sz="8" w:space="0" w:color="auto"/>
              <w:bottom w:val="single" w:sz="8" w:space="0" w:color="000000"/>
              <w:right w:val="nil"/>
            </w:tcBorders>
            <w:shd w:val="clear" w:color="auto" w:fill="auto"/>
            <w:vAlign w:val="center"/>
            <w:hideMark/>
          </w:tcPr>
          <w:p w14:paraId="42A3F40B"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DRG Weight</w:t>
            </w:r>
          </w:p>
        </w:tc>
        <w:tc>
          <w:tcPr>
            <w:tcW w:w="2313" w:type="dxa"/>
            <w:tcBorders>
              <w:top w:val="single" w:sz="8" w:space="0" w:color="auto"/>
              <w:left w:val="nil"/>
              <w:bottom w:val="single" w:sz="4" w:space="0" w:color="E7E6E6"/>
              <w:right w:val="nil"/>
            </w:tcBorders>
            <w:shd w:val="clear" w:color="auto" w:fill="auto"/>
            <w:noWrap/>
            <w:vAlign w:val="bottom"/>
            <w:hideMark/>
          </w:tcPr>
          <w:p w14:paraId="26D618AC"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0-1</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7E7D4DA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12,013</w:t>
            </w:r>
          </w:p>
        </w:tc>
        <w:tc>
          <w:tcPr>
            <w:tcW w:w="975" w:type="dxa"/>
            <w:tcBorders>
              <w:top w:val="single" w:sz="8" w:space="0" w:color="auto"/>
              <w:left w:val="nil"/>
              <w:bottom w:val="single" w:sz="4" w:space="0" w:color="E7E6E6"/>
              <w:right w:val="nil"/>
            </w:tcBorders>
            <w:shd w:val="clear" w:color="auto" w:fill="auto"/>
            <w:noWrap/>
            <w:vAlign w:val="bottom"/>
            <w:hideMark/>
          </w:tcPr>
          <w:p w14:paraId="281A0C3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16%</w:t>
            </w:r>
          </w:p>
        </w:tc>
        <w:tc>
          <w:tcPr>
            <w:tcW w:w="975" w:type="dxa"/>
            <w:tcBorders>
              <w:top w:val="single" w:sz="8" w:space="0" w:color="auto"/>
              <w:left w:val="nil"/>
              <w:bottom w:val="single" w:sz="4" w:space="0" w:color="E7E6E6"/>
              <w:right w:val="nil"/>
            </w:tcBorders>
            <w:shd w:val="clear" w:color="auto" w:fill="auto"/>
            <w:noWrap/>
            <w:vAlign w:val="bottom"/>
            <w:hideMark/>
          </w:tcPr>
          <w:p w14:paraId="0A52709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11,798</w:t>
            </w:r>
          </w:p>
        </w:tc>
        <w:tc>
          <w:tcPr>
            <w:tcW w:w="975" w:type="dxa"/>
            <w:tcBorders>
              <w:top w:val="single" w:sz="8" w:space="0" w:color="auto"/>
              <w:left w:val="nil"/>
              <w:bottom w:val="single" w:sz="4" w:space="0" w:color="E7E6E6"/>
              <w:right w:val="nil"/>
            </w:tcBorders>
            <w:shd w:val="clear" w:color="auto" w:fill="auto"/>
            <w:noWrap/>
            <w:vAlign w:val="bottom"/>
            <w:hideMark/>
          </w:tcPr>
          <w:p w14:paraId="17B5506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w:t>
            </w:r>
          </w:p>
        </w:tc>
        <w:tc>
          <w:tcPr>
            <w:tcW w:w="975" w:type="dxa"/>
            <w:tcBorders>
              <w:top w:val="single" w:sz="8" w:space="0" w:color="auto"/>
              <w:left w:val="nil"/>
              <w:bottom w:val="single" w:sz="4" w:space="0" w:color="E7E6E6"/>
              <w:right w:val="nil"/>
            </w:tcBorders>
            <w:shd w:val="clear" w:color="auto" w:fill="auto"/>
            <w:noWrap/>
            <w:vAlign w:val="bottom"/>
            <w:hideMark/>
          </w:tcPr>
          <w:p w14:paraId="21DB591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215</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76F4912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r>
      <w:tr w:rsidR="00C85D47" w:rsidRPr="00C85D47" w14:paraId="292D7145" w14:textId="77777777" w:rsidTr="00CD0D32">
        <w:trPr>
          <w:cantSplit/>
          <w:trHeight w:val="290"/>
        </w:trPr>
        <w:tc>
          <w:tcPr>
            <w:tcW w:w="1197" w:type="dxa"/>
            <w:vMerge/>
            <w:tcBorders>
              <w:top w:val="nil"/>
              <w:left w:val="single" w:sz="8" w:space="0" w:color="auto"/>
              <w:bottom w:val="single" w:sz="8" w:space="0" w:color="000000"/>
              <w:right w:val="nil"/>
            </w:tcBorders>
            <w:vAlign w:val="center"/>
            <w:hideMark/>
          </w:tcPr>
          <w:p w14:paraId="3A481E36"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4" w:space="0" w:color="E7E6E6"/>
              <w:right w:val="nil"/>
            </w:tcBorders>
            <w:shd w:val="clear" w:color="auto" w:fill="auto"/>
            <w:noWrap/>
            <w:vAlign w:val="bottom"/>
            <w:hideMark/>
          </w:tcPr>
          <w:p w14:paraId="7BBBC133"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1-2</w:t>
            </w:r>
          </w:p>
        </w:tc>
        <w:tc>
          <w:tcPr>
            <w:tcW w:w="975" w:type="dxa"/>
            <w:tcBorders>
              <w:top w:val="nil"/>
              <w:left w:val="single" w:sz="8" w:space="0" w:color="auto"/>
              <w:bottom w:val="single" w:sz="4" w:space="0" w:color="E7E6E6"/>
              <w:right w:val="nil"/>
            </w:tcBorders>
            <w:shd w:val="clear" w:color="auto" w:fill="auto"/>
            <w:noWrap/>
            <w:vAlign w:val="bottom"/>
            <w:hideMark/>
          </w:tcPr>
          <w:p w14:paraId="6CEFBB9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41,479</w:t>
            </w:r>
          </w:p>
        </w:tc>
        <w:tc>
          <w:tcPr>
            <w:tcW w:w="975" w:type="dxa"/>
            <w:tcBorders>
              <w:top w:val="nil"/>
              <w:left w:val="nil"/>
              <w:bottom w:val="single" w:sz="4" w:space="0" w:color="E7E6E6"/>
              <w:right w:val="nil"/>
            </w:tcBorders>
            <w:shd w:val="clear" w:color="auto" w:fill="auto"/>
            <w:noWrap/>
            <w:vAlign w:val="bottom"/>
            <w:hideMark/>
          </w:tcPr>
          <w:p w14:paraId="43FC3F4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57%</w:t>
            </w:r>
          </w:p>
        </w:tc>
        <w:tc>
          <w:tcPr>
            <w:tcW w:w="975" w:type="dxa"/>
            <w:tcBorders>
              <w:top w:val="nil"/>
              <w:left w:val="nil"/>
              <w:bottom w:val="single" w:sz="4" w:space="0" w:color="E7E6E6"/>
              <w:right w:val="nil"/>
            </w:tcBorders>
            <w:shd w:val="clear" w:color="auto" w:fill="auto"/>
            <w:noWrap/>
            <w:vAlign w:val="bottom"/>
            <w:hideMark/>
          </w:tcPr>
          <w:p w14:paraId="3F14AC9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37,248</w:t>
            </w:r>
          </w:p>
        </w:tc>
        <w:tc>
          <w:tcPr>
            <w:tcW w:w="975" w:type="dxa"/>
            <w:tcBorders>
              <w:top w:val="nil"/>
              <w:left w:val="nil"/>
              <w:bottom w:val="single" w:sz="4" w:space="0" w:color="E7E6E6"/>
              <w:right w:val="nil"/>
            </w:tcBorders>
            <w:shd w:val="clear" w:color="auto" w:fill="auto"/>
            <w:noWrap/>
            <w:vAlign w:val="bottom"/>
            <w:hideMark/>
          </w:tcPr>
          <w:p w14:paraId="172EB56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59%</w:t>
            </w:r>
          </w:p>
        </w:tc>
        <w:tc>
          <w:tcPr>
            <w:tcW w:w="975" w:type="dxa"/>
            <w:tcBorders>
              <w:top w:val="nil"/>
              <w:left w:val="nil"/>
              <w:bottom w:val="single" w:sz="4" w:space="0" w:color="E7E6E6"/>
              <w:right w:val="nil"/>
            </w:tcBorders>
            <w:shd w:val="clear" w:color="auto" w:fill="auto"/>
            <w:noWrap/>
            <w:vAlign w:val="bottom"/>
            <w:hideMark/>
          </w:tcPr>
          <w:p w14:paraId="75F1733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4,231</w:t>
            </w:r>
          </w:p>
        </w:tc>
        <w:tc>
          <w:tcPr>
            <w:tcW w:w="975" w:type="dxa"/>
            <w:tcBorders>
              <w:top w:val="nil"/>
              <w:left w:val="nil"/>
              <w:bottom w:val="single" w:sz="4" w:space="0" w:color="E7E6E6"/>
              <w:right w:val="single" w:sz="8" w:space="0" w:color="auto"/>
            </w:tcBorders>
            <w:shd w:val="clear" w:color="auto" w:fill="auto"/>
            <w:noWrap/>
            <w:vAlign w:val="bottom"/>
            <w:hideMark/>
          </w:tcPr>
          <w:p w14:paraId="4ADD5C5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44%</w:t>
            </w:r>
          </w:p>
        </w:tc>
      </w:tr>
      <w:tr w:rsidR="00C85D47" w:rsidRPr="00C85D47" w14:paraId="46584E3B" w14:textId="77777777" w:rsidTr="00CD0D32">
        <w:trPr>
          <w:cantSplit/>
          <w:trHeight w:val="300"/>
        </w:trPr>
        <w:tc>
          <w:tcPr>
            <w:tcW w:w="1197" w:type="dxa"/>
            <w:vMerge/>
            <w:tcBorders>
              <w:top w:val="nil"/>
              <w:left w:val="single" w:sz="8" w:space="0" w:color="auto"/>
              <w:bottom w:val="single" w:sz="8" w:space="0" w:color="auto"/>
              <w:right w:val="nil"/>
            </w:tcBorders>
            <w:vAlign w:val="center"/>
            <w:hideMark/>
          </w:tcPr>
          <w:p w14:paraId="4F5F25DA" w14:textId="77777777" w:rsidR="00C85D47" w:rsidRPr="00C85D47" w:rsidRDefault="00C85D47" w:rsidP="00C85D47">
            <w:pPr>
              <w:spacing w:after="0" w:line="240" w:lineRule="auto"/>
              <w:rPr>
                <w:rFonts w:ascii="Calibri" w:eastAsia="Times New Roman" w:hAnsi="Calibri" w:cs="Calibri"/>
                <w:b/>
                <w:bCs/>
                <w:kern w:val="0"/>
                <w14:ligatures w14:val="none"/>
              </w:rPr>
            </w:pPr>
          </w:p>
        </w:tc>
        <w:tc>
          <w:tcPr>
            <w:tcW w:w="2313" w:type="dxa"/>
            <w:tcBorders>
              <w:top w:val="nil"/>
              <w:left w:val="nil"/>
              <w:bottom w:val="single" w:sz="8" w:space="0" w:color="auto"/>
              <w:right w:val="nil"/>
            </w:tcBorders>
            <w:shd w:val="clear" w:color="auto" w:fill="auto"/>
            <w:noWrap/>
            <w:vAlign w:val="bottom"/>
            <w:hideMark/>
          </w:tcPr>
          <w:p w14:paraId="103C0878"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2+</w:t>
            </w:r>
          </w:p>
        </w:tc>
        <w:tc>
          <w:tcPr>
            <w:tcW w:w="975" w:type="dxa"/>
            <w:tcBorders>
              <w:top w:val="nil"/>
              <w:left w:val="single" w:sz="8" w:space="0" w:color="auto"/>
              <w:bottom w:val="single" w:sz="8" w:space="0" w:color="auto"/>
              <w:right w:val="nil"/>
            </w:tcBorders>
            <w:shd w:val="clear" w:color="auto" w:fill="auto"/>
            <w:noWrap/>
            <w:vAlign w:val="bottom"/>
            <w:hideMark/>
          </w:tcPr>
          <w:p w14:paraId="6A1DA92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19,663</w:t>
            </w:r>
          </w:p>
        </w:tc>
        <w:tc>
          <w:tcPr>
            <w:tcW w:w="975" w:type="dxa"/>
            <w:tcBorders>
              <w:top w:val="nil"/>
              <w:left w:val="nil"/>
              <w:bottom w:val="single" w:sz="8" w:space="0" w:color="auto"/>
              <w:right w:val="nil"/>
            </w:tcBorders>
            <w:shd w:val="clear" w:color="auto" w:fill="auto"/>
            <w:noWrap/>
            <w:vAlign w:val="bottom"/>
            <w:hideMark/>
          </w:tcPr>
          <w:p w14:paraId="0EEE200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27%</w:t>
            </w:r>
          </w:p>
        </w:tc>
        <w:tc>
          <w:tcPr>
            <w:tcW w:w="975" w:type="dxa"/>
            <w:tcBorders>
              <w:top w:val="nil"/>
              <w:left w:val="nil"/>
              <w:bottom w:val="single" w:sz="8" w:space="0" w:color="auto"/>
              <w:right w:val="nil"/>
            </w:tcBorders>
            <w:shd w:val="clear" w:color="auto" w:fill="auto"/>
            <w:noWrap/>
            <w:vAlign w:val="bottom"/>
            <w:hideMark/>
          </w:tcPr>
          <w:p w14:paraId="605023A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14,530</w:t>
            </w:r>
          </w:p>
        </w:tc>
        <w:tc>
          <w:tcPr>
            <w:tcW w:w="975" w:type="dxa"/>
            <w:tcBorders>
              <w:top w:val="nil"/>
              <w:left w:val="nil"/>
              <w:bottom w:val="single" w:sz="8" w:space="0" w:color="auto"/>
              <w:right w:val="nil"/>
            </w:tcBorders>
            <w:shd w:val="clear" w:color="auto" w:fill="auto"/>
            <w:noWrap/>
            <w:vAlign w:val="bottom"/>
            <w:hideMark/>
          </w:tcPr>
          <w:p w14:paraId="7D74BFD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23%</w:t>
            </w:r>
          </w:p>
        </w:tc>
        <w:tc>
          <w:tcPr>
            <w:tcW w:w="975" w:type="dxa"/>
            <w:tcBorders>
              <w:top w:val="nil"/>
              <w:left w:val="nil"/>
              <w:bottom w:val="single" w:sz="8" w:space="0" w:color="auto"/>
              <w:right w:val="nil"/>
            </w:tcBorders>
            <w:shd w:val="clear" w:color="auto" w:fill="auto"/>
            <w:noWrap/>
            <w:vAlign w:val="bottom"/>
            <w:hideMark/>
          </w:tcPr>
          <w:p w14:paraId="02EFA25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5,133</w:t>
            </w:r>
          </w:p>
        </w:tc>
        <w:tc>
          <w:tcPr>
            <w:tcW w:w="975" w:type="dxa"/>
            <w:tcBorders>
              <w:top w:val="nil"/>
              <w:left w:val="nil"/>
              <w:bottom w:val="single" w:sz="8" w:space="0" w:color="auto"/>
              <w:right w:val="single" w:sz="8" w:space="0" w:color="auto"/>
            </w:tcBorders>
            <w:shd w:val="clear" w:color="auto" w:fill="auto"/>
            <w:noWrap/>
            <w:vAlign w:val="bottom"/>
            <w:hideMark/>
          </w:tcPr>
          <w:p w14:paraId="3E33051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54%</w:t>
            </w:r>
          </w:p>
        </w:tc>
      </w:tr>
      <w:tr w:rsidR="00C85D47" w:rsidRPr="00C85D47" w14:paraId="7C613D28" w14:textId="77777777" w:rsidTr="00CD0D32">
        <w:trPr>
          <w:cantSplit/>
          <w:trHeight w:val="290"/>
        </w:trPr>
        <w:tc>
          <w:tcPr>
            <w:tcW w:w="1197" w:type="dxa"/>
            <w:tcBorders>
              <w:top w:val="single" w:sz="8" w:space="0" w:color="auto"/>
              <w:left w:val="single" w:sz="8" w:space="0" w:color="auto"/>
              <w:bottom w:val="single" w:sz="4" w:space="0" w:color="E7E6E6"/>
              <w:right w:val="nil"/>
            </w:tcBorders>
            <w:shd w:val="clear" w:color="auto" w:fill="auto"/>
            <w:noWrap/>
            <w:vAlign w:val="center"/>
            <w:hideMark/>
          </w:tcPr>
          <w:p w14:paraId="44BE015A" w14:textId="77777777" w:rsidR="00C85D47" w:rsidRPr="00C85D47" w:rsidRDefault="00C85D47" w:rsidP="00C85D47">
            <w:pPr>
              <w:spacing w:after="0" w:line="240" w:lineRule="auto"/>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 </w:t>
            </w:r>
          </w:p>
        </w:tc>
        <w:tc>
          <w:tcPr>
            <w:tcW w:w="2313" w:type="dxa"/>
            <w:tcBorders>
              <w:top w:val="single" w:sz="8" w:space="0" w:color="auto"/>
              <w:left w:val="nil"/>
              <w:bottom w:val="single" w:sz="4" w:space="0" w:color="E7E6E6"/>
              <w:right w:val="nil"/>
            </w:tcBorders>
            <w:shd w:val="clear" w:color="auto" w:fill="auto"/>
            <w:noWrap/>
            <w:vAlign w:val="bottom"/>
            <w:hideMark/>
          </w:tcPr>
          <w:p w14:paraId="4846C451"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Case Mix Index</w:t>
            </w:r>
          </w:p>
        </w:tc>
        <w:tc>
          <w:tcPr>
            <w:tcW w:w="975" w:type="dxa"/>
            <w:tcBorders>
              <w:top w:val="single" w:sz="8" w:space="0" w:color="auto"/>
              <w:left w:val="single" w:sz="8" w:space="0" w:color="auto"/>
              <w:bottom w:val="single" w:sz="4" w:space="0" w:color="E7E6E6"/>
              <w:right w:val="nil"/>
            </w:tcBorders>
            <w:shd w:val="clear" w:color="auto" w:fill="auto"/>
            <w:noWrap/>
            <w:vAlign w:val="bottom"/>
            <w:hideMark/>
          </w:tcPr>
          <w:p w14:paraId="5DE6437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w:t>
            </w:r>
          </w:p>
        </w:tc>
        <w:tc>
          <w:tcPr>
            <w:tcW w:w="975" w:type="dxa"/>
            <w:tcBorders>
              <w:top w:val="single" w:sz="8" w:space="0" w:color="auto"/>
              <w:left w:val="nil"/>
              <w:bottom w:val="single" w:sz="4" w:space="0" w:color="E7E6E6"/>
              <w:right w:val="nil"/>
            </w:tcBorders>
            <w:shd w:val="clear" w:color="auto" w:fill="auto"/>
            <w:noWrap/>
            <w:vAlign w:val="bottom"/>
            <w:hideMark/>
          </w:tcPr>
          <w:p w14:paraId="65B74FF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single" w:sz="8" w:space="0" w:color="auto"/>
              <w:left w:val="nil"/>
              <w:bottom w:val="single" w:sz="4" w:space="0" w:color="E7E6E6"/>
              <w:right w:val="nil"/>
            </w:tcBorders>
            <w:shd w:val="clear" w:color="auto" w:fill="auto"/>
            <w:noWrap/>
            <w:vAlign w:val="bottom"/>
            <w:hideMark/>
          </w:tcPr>
          <w:p w14:paraId="4482F2B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w:t>
            </w:r>
          </w:p>
        </w:tc>
        <w:tc>
          <w:tcPr>
            <w:tcW w:w="975" w:type="dxa"/>
            <w:tcBorders>
              <w:top w:val="single" w:sz="8" w:space="0" w:color="auto"/>
              <w:left w:val="nil"/>
              <w:bottom w:val="single" w:sz="4" w:space="0" w:color="E7E6E6"/>
              <w:right w:val="nil"/>
            </w:tcBorders>
            <w:shd w:val="clear" w:color="auto" w:fill="auto"/>
            <w:noWrap/>
            <w:vAlign w:val="bottom"/>
            <w:hideMark/>
          </w:tcPr>
          <w:p w14:paraId="6EA5733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single" w:sz="8" w:space="0" w:color="auto"/>
              <w:left w:val="nil"/>
              <w:bottom w:val="single" w:sz="4" w:space="0" w:color="E7E6E6"/>
              <w:right w:val="nil"/>
            </w:tcBorders>
            <w:shd w:val="clear" w:color="auto" w:fill="auto"/>
            <w:noWrap/>
            <w:vAlign w:val="bottom"/>
            <w:hideMark/>
          </w:tcPr>
          <w:p w14:paraId="5C4151E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2.6</w:t>
            </w:r>
          </w:p>
        </w:tc>
        <w:tc>
          <w:tcPr>
            <w:tcW w:w="975" w:type="dxa"/>
            <w:tcBorders>
              <w:top w:val="single" w:sz="8" w:space="0" w:color="auto"/>
              <w:left w:val="nil"/>
              <w:bottom w:val="single" w:sz="4" w:space="0" w:color="E7E6E6"/>
              <w:right w:val="single" w:sz="8" w:space="0" w:color="auto"/>
            </w:tcBorders>
            <w:shd w:val="clear" w:color="auto" w:fill="auto"/>
            <w:noWrap/>
            <w:vAlign w:val="bottom"/>
            <w:hideMark/>
          </w:tcPr>
          <w:p w14:paraId="50EF035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r>
      <w:tr w:rsidR="00C85D47" w:rsidRPr="00C85D47" w14:paraId="71FE5E14" w14:textId="77777777" w:rsidTr="00CD0D32">
        <w:trPr>
          <w:cantSplit/>
          <w:trHeight w:val="290"/>
        </w:trPr>
        <w:tc>
          <w:tcPr>
            <w:tcW w:w="1197" w:type="dxa"/>
            <w:tcBorders>
              <w:top w:val="nil"/>
              <w:left w:val="single" w:sz="8" w:space="0" w:color="auto"/>
              <w:bottom w:val="single" w:sz="4" w:space="0" w:color="E7E6E6"/>
              <w:right w:val="nil"/>
            </w:tcBorders>
            <w:shd w:val="clear" w:color="auto" w:fill="auto"/>
            <w:noWrap/>
            <w:vAlign w:val="center"/>
            <w:hideMark/>
          </w:tcPr>
          <w:p w14:paraId="39742C15" w14:textId="77777777" w:rsidR="00C85D47" w:rsidRPr="00C85D47" w:rsidRDefault="00C85D47" w:rsidP="00C85D47">
            <w:pPr>
              <w:spacing w:after="0" w:line="240" w:lineRule="auto"/>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 </w:t>
            </w:r>
          </w:p>
        </w:tc>
        <w:tc>
          <w:tcPr>
            <w:tcW w:w="2313" w:type="dxa"/>
            <w:tcBorders>
              <w:top w:val="nil"/>
              <w:left w:val="nil"/>
              <w:bottom w:val="single" w:sz="4" w:space="0" w:color="E7E6E6"/>
              <w:right w:val="nil"/>
            </w:tcBorders>
            <w:shd w:val="clear" w:color="auto" w:fill="auto"/>
            <w:noWrap/>
            <w:vAlign w:val="bottom"/>
            <w:hideMark/>
          </w:tcPr>
          <w:p w14:paraId="38CBE18B"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Average Length of Stay</w:t>
            </w:r>
          </w:p>
        </w:tc>
        <w:tc>
          <w:tcPr>
            <w:tcW w:w="975" w:type="dxa"/>
            <w:tcBorders>
              <w:top w:val="nil"/>
              <w:left w:val="single" w:sz="8" w:space="0" w:color="auto"/>
              <w:bottom w:val="single" w:sz="4" w:space="0" w:color="E7E6E6"/>
              <w:right w:val="nil"/>
            </w:tcBorders>
            <w:shd w:val="clear" w:color="auto" w:fill="auto"/>
            <w:noWrap/>
            <w:vAlign w:val="bottom"/>
            <w:hideMark/>
          </w:tcPr>
          <w:p w14:paraId="0098690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6.9</w:t>
            </w:r>
          </w:p>
        </w:tc>
        <w:tc>
          <w:tcPr>
            <w:tcW w:w="975" w:type="dxa"/>
            <w:tcBorders>
              <w:top w:val="nil"/>
              <w:left w:val="nil"/>
              <w:bottom w:val="single" w:sz="4" w:space="0" w:color="E7E6E6"/>
              <w:right w:val="nil"/>
            </w:tcBorders>
            <w:shd w:val="clear" w:color="auto" w:fill="auto"/>
            <w:noWrap/>
            <w:vAlign w:val="bottom"/>
            <w:hideMark/>
          </w:tcPr>
          <w:p w14:paraId="720177E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nil"/>
              <w:left w:val="nil"/>
              <w:bottom w:val="single" w:sz="4" w:space="0" w:color="E7E6E6"/>
              <w:right w:val="nil"/>
            </w:tcBorders>
            <w:shd w:val="clear" w:color="auto" w:fill="auto"/>
            <w:noWrap/>
            <w:vAlign w:val="bottom"/>
            <w:hideMark/>
          </w:tcPr>
          <w:p w14:paraId="3D627EC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7.0</w:t>
            </w:r>
          </w:p>
        </w:tc>
        <w:tc>
          <w:tcPr>
            <w:tcW w:w="975" w:type="dxa"/>
            <w:tcBorders>
              <w:top w:val="nil"/>
              <w:left w:val="nil"/>
              <w:bottom w:val="single" w:sz="4" w:space="0" w:color="E7E6E6"/>
              <w:right w:val="nil"/>
            </w:tcBorders>
            <w:shd w:val="clear" w:color="auto" w:fill="auto"/>
            <w:noWrap/>
            <w:vAlign w:val="bottom"/>
            <w:hideMark/>
          </w:tcPr>
          <w:p w14:paraId="06A6D98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nil"/>
              <w:left w:val="nil"/>
              <w:bottom w:val="single" w:sz="4" w:space="0" w:color="E7E6E6"/>
              <w:right w:val="nil"/>
            </w:tcBorders>
            <w:shd w:val="clear" w:color="auto" w:fill="auto"/>
            <w:noWrap/>
            <w:vAlign w:val="bottom"/>
            <w:hideMark/>
          </w:tcPr>
          <w:p w14:paraId="49F4218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6.0</w:t>
            </w:r>
          </w:p>
        </w:tc>
        <w:tc>
          <w:tcPr>
            <w:tcW w:w="975" w:type="dxa"/>
            <w:tcBorders>
              <w:top w:val="nil"/>
              <w:left w:val="nil"/>
              <w:bottom w:val="single" w:sz="4" w:space="0" w:color="E7E6E6"/>
              <w:right w:val="single" w:sz="8" w:space="0" w:color="auto"/>
            </w:tcBorders>
            <w:shd w:val="clear" w:color="auto" w:fill="auto"/>
            <w:noWrap/>
            <w:vAlign w:val="bottom"/>
            <w:hideMark/>
          </w:tcPr>
          <w:p w14:paraId="35B814A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r>
      <w:tr w:rsidR="00C85D47" w:rsidRPr="00C85D47" w14:paraId="0F5E8E0A" w14:textId="77777777" w:rsidTr="00CD0D32">
        <w:trPr>
          <w:cantSplit/>
          <w:trHeight w:val="300"/>
        </w:trPr>
        <w:tc>
          <w:tcPr>
            <w:tcW w:w="1197" w:type="dxa"/>
            <w:tcBorders>
              <w:top w:val="nil"/>
              <w:left w:val="single" w:sz="8" w:space="0" w:color="auto"/>
              <w:bottom w:val="double" w:sz="6" w:space="0" w:color="auto"/>
              <w:right w:val="nil"/>
            </w:tcBorders>
            <w:shd w:val="clear" w:color="auto" w:fill="auto"/>
            <w:noWrap/>
            <w:vAlign w:val="center"/>
            <w:hideMark/>
          </w:tcPr>
          <w:p w14:paraId="466C23AB" w14:textId="77777777" w:rsidR="00C85D47" w:rsidRPr="00C85D47" w:rsidRDefault="00C85D47" w:rsidP="00C85D47">
            <w:pPr>
              <w:spacing w:after="0" w:line="240" w:lineRule="auto"/>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 </w:t>
            </w:r>
          </w:p>
        </w:tc>
        <w:tc>
          <w:tcPr>
            <w:tcW w:w="2313" w:type="dxa"/>
            <w:tcBorders>
              <w:top w:val="nil"/>
              <w:left w:val="nil"/>
              <w:bottom w:val="double" w:sz="6" w:space="0" w:color="auto"/>
              <w:right w:val="nil"/>
            </w:tcBorders>
            <w:shd w:val="clear" w:color="auto" w:fill="auto"/>
            <w:noWrap/>
            <w:vAlign w:val="bottom"/>
            <w:hideMark/>
          </w:tcPr>
          <w:p w14:paraId="3DA14172"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Average Daily Census</w:t>
            </w:r>
          </w:p>
        </w:tc>
        <w:tc>
          <w:tcPr>
            <w:tcW w:w="975" w:type="dxa"/>
            <w:tcBorders>
              <w:top w:val="nil"/>
              <w:left w:val="single" w:sz="8" w:space="0" w:color="auto"/>
              <w:bottom w:val="double" w:sz="6" w:space="0" w:color="auto"/>
              <w:right w:val="nil"/>
            </w:tcBorders>
            <w:shd w:val="clear" w:color="auto" w:fill="auto"/>
            <w:noWrap/>
            <w:vAlign w:val="bottom"/>
            <w:hideMark/>
          </w:tcPr>
          <w:p w14:paraId="6E58829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1,380</w:t>
            </w:r>
          </w:p>
        </w:tc>
        <w:tc>
          <w:tcPr>
            <w:tcW w:w="975" w:type="dxa"/>
            <w:tcBorders>
              <w:top w:val="nil"/>
              <w:left w:val="nil"/>
              <w:bottom w:val="double" w:sz="6" w:space="0" w:color="auto"/>
              <w:right w:val="nil"/>
            </w:tcBorders>
            <w:shd w:val="clear" w:color="auto" w:fill="auto"/>
            <w:noWrap/>
            <w:vAlign w:val="bottom"/>
            <w:hideMark/>
          </w:tcPr>
          <w:p w14:paraId="54969BF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nil"/>
              <w:left w:val="nil"/>
              <w:bottom w:val="double" w:sz="6" w:space="0" w:color="auto"/>
              <w:right w:val="nil"/>
            </w:tcBorders>
            <w:shd w:val="clear" w:color="auto" w:fill="auto"/>
            <w:noWrap/>
            <w:vAlign w:val="bottom"/>
            <w:hideMark/>
          </w:tcPr>
          <w:p w14:paraId="30EA4D1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1,222</w:t>
            </w:r>
          </w:p>
        </w:tc>
        <w:tc>
          <w:tcPr>
            <w:tcW w:w="975" w:type="dxa"/>
            <w:tcBorders>
              <w:top w:val="nil"/>
              <w:left w:val="nil"/>
              <w:bottom w:val="double" w:sz="6" w:space="0" w:color="auto"/>
              <w:right w:val="nil"/>
            </w:tcBorders>
            <w:shd w:val="clear" w:color="auto" w:fill="auto"/>
            <w:noWrap/>
            <w:vAlign w:val="bottom"/>
            <w:hideMark/>
          </w:tcPr>
          <w:p w14:paraId="279C369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c>
          <w:tcPr>
            <w:tcW w:w="975" w:type="dxa"/>
            <w:tcBorders>
              <w:top w:val="nil"/>
              <w:left w:val="nil"/>
              <w:bottom w:val="double" w:sz="6" w:space="0" w:color="auto"/>
              <w:right w:val="nil"/>
            </w:tcBorders>
            <w:shd w:val="clear" w:color="auto" w:fill="auto"/>
            <w:noWrap/>
            <w:vAlign w:val="bottom"/>
            <w:hideMark/>
          </w:tcPr>
          <w:p w14:paraId="2EE6DA0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157</w:t>
            </w:r>
          </w:p>
        </w:tc>
        <w:tc>
          <w:tcPr>
            <w:tcW w:w="975" w:type="dxa"/>
            <w:tcBorders>
              <w:top w:val="nil"/>
              <w:left w:val="nil"/>
              <w:bottom w:val="double" w:sz="6" w:space="0" w:color="auto"/>
              <w:right w:val="single" w:sz="8" w:space="0" w:color="auto"/>
            </w:tcBorders>
            <w:shd w:val="clear" w:color="auto" w:fill="auto"/>
            <w:noWrap/>
            <w:vAlign w:val="bottom"/>
            <w:hideMark/>
          </w:tcPr>
          <w:p w14:paraId="6948227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 </w:t>
            </w:r>
          </w:p>
        </w:tc>
      </w:tr>
      <w:tr w:rsidR="00C85D47" w:rsidRPr="00C85D47" w14:paraId="5066AD95" w14:textId="77777777" w:rsidTr="00CD0D32">
        <w:trPr>
          <w:cantSplit/>
          <w:trHeight w:val="310"/>
        </w:trPr>
        <w:tc>
          <w:tcPr>
            <w:tcW w:w="1197" w:type="dxa"/>
            <w:tcBorders>
              <w:top w:val="nil"/>
              <w:left w:val="single" w:sz="8" w:space="0" w:color="auto"/>
              <w:bottom w:val="single" w:sz="8" w:space="0" w:color="auto"/>
              <w:right w:val="nil"/>
            </w:tcBorders>
            <w:shd w:val="clear" w:color="auto" w:fill="auto"/>
            <w:noWrap/>
            <w:vAlign w:val="center"/>
            <w:hideMark/>
          </w:tcPr>
          <w:p w14:paraId="397BDD91"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Total</w:t>
            </w:r>
          </w:p>
        </w:tc>
        <w:tc>
          <w:tcPr>
            <w:tcW w:w="2313" w:type="dxa"/>
            <w:tcBorders>
              <w:top w:val="nil"/>
              <w:left w:val="nil"/>
              <w:bottom w:val="single" w:sz="8" w:space="0" w:color="auto"/>
              <w:right w:val="nil"/>
            </w:tcBorders>
            <w:shd w:val="clear" w:color="auto" w:fill="auto"/>
            <w:noWrap/>
            <w:vAlign w:val="bottom"/>
            <w:hideMark/>
          </w:tcPr>
          <w:p w14:paraId="5FEFC589"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Total</w:t>
            </w:r>
          </w:p>
        </w:tc>
        <w:tc>
          <w:tcPr>
            <w:tcW w:w="975" w:type="dxa"/>
            <w:tcBorders>
              <w:top w:val="nil"/>
              <w:left w:val="single" w:sz="8" w:space="0" w:color="auto"/>
              <w:bottom w:val="single" w:sz="8" w:space="0" w:color="auto"/>
              <w:right w:val="nil"/>
            </w:tcBorders>
            <w:shd w:val="clear" w:color="auto" w:fill="auto"/>
            <w:noWrap/>
            <w:vAlign w:val="bottom"/>
            <w:hideMark/>
          </w:tcPr>
          <w:p w14:paraId="0C7A0C0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73,155</w:t>
            </w:r>
          </w:p>
        </w:tc>
        <w:tc>
          <w:tcPr>
            <w:tcW w:w="975" w:type="dxa"/>
            <w:tcBorders>
              <w:top w:val="nil"/>
              <w:left w:val="nil"/>
              <w:bottom w:val="single" w:sz="8" w:space="0" w:color="auto"/>
              <w:right w:val="nil"/>
            </w:tcBorders>
            <w:shd w:val="clear" w:color="auto" w:fill="auto"/>
            <w:noWrap/>
            <w:vAlign w:val="bottom"/>
            <w:hideMark/>
          </w:tcPr>
          <w:p w14:paraId="412B908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100%</w:t>
            </w:r>
          </w:p>
        </w:tc>
        <w:tc>
          <w:tcPr>
            <w:tcW w:w="975" w:type="dxa"/>
            <w:tcBorders>
              <w:top w:val="nil"/>
              <w:left w:val="nil"/>
              <w:bottom w:val="single" w:sz="8" w:space="0" w:color="auto"/>
              <w:right w:val="nil"/>
            </w:tcBorders>
            <w:shd w:val="clear" w:color="auto" w:fill="auto"/>
            <w:noWrap/>
            <w:vAlign w:val="bottom"/>
            <w:hideMark/>
          </w:tcPr>
          <w:p w14:paraId="3F536E4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63,576</w:t>
            </w:r>
          </w:p>
        </w:tc>
        <w:tc>
          <w:tcPr>
            <w:tcW w:w="975" w:type="dxa"/>
            <w:tcBorders>
              <w:top w:val="nil"/>
              <w:left w:val="nil"/>
              <w:bottom w:val="single" w:sz="8" w:space="0" w:color="auto"/>
              <w:right w:val="nil"/>
            </w:tcBorders>
            <w:shd w:val="clear" w:color="auto" w:fill="auto"/>
            <w:noWrap/>
            <w:vAlign w:val="bottom"/>
            <w:hideMark/>
          </w:tcPr>
          <w:p w14:paraId="7EBB0D6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100%</w:t>
            </w:r>
          </w:p>
        </w:tc>
        <w:tc>
          <w:tcPr>
            <w:tcW w:w="975" w:type="dxa"/>
            <w:tcBorders>
              <w:top w:val="nil"/>
              <w:left w:val="nil"/>
              <w:bottom w:val="single" w:sz="8" w:space="0" w:color="auto"/>
              <w:right w:val="nil"/>
            </w:tcBorders>
            <w:shd w:val="clear" w:color="auto" w:fill="auto"/>
            <w:noWrap/>
            <w:vAlign w:val="bottom"/>
            <w:hideMark/>
          </w:tcPr>
          <w:p w14:paraId="68FD562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9,579</w:t>
            </w:r>
          </w:p>
        </w:tc>
        <w:tc>
          <w:tcPr>
            <w:tcW w:w="975" w:type="dxa"/>
            <w:tcBorders>
              <w:top w:val="nil"/>
              <w:left w:val="nil"/>
              <w:bottom w:val="single" w:sz="8" w:space="0" w:color="auto"/>
              <w:right w:val="single" w:sz="8" w:space="0" w:color="auto"/>
            </w:tcBorders>
            <w:shd w:val="clear" w:color="auto" w:fill="auto"/>
            <w:noWrap/>
            <w:vAlign w:val="bottom"/>
            <w:hideMark/>
          </w:tcPr>
          <w:p w14:paraId="59DEB8D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100%</w:t>
            </w:r>
          </w:p>
        </w:tc>
      </w:tr>
    </w:tbl>
    <w:p w14:paraId="39119578" w14:textId="77777777" w:rsidR="00C85D47" w:rsidRDefault="00C85D47" w:rsidP="00D33C53">
      <w:pPr>
        <w:spacing w:before="120" w:after="120" w:line="360" w:lineRule="auto"/>
        <w:jc w:val="center"/>
      </w:pPr>
    </w:p>
    <w:p w14:paraId="45D99B1D" w14:textId="515E2488" w:rsidR="00681BC7" w:rsidRPr="00681BC7" w:rsidRDefault="00681BC7" w:rsidP="00681BC7">
      <w:pPr>
        <w:numPr>
          <w:ilvl w:val="0"/>
          <w:numId w:val="4"/>
        </w:numPr>
        <w:spacing w:before="120" w:after="120" w:line="360" w:lineRule="auto"/>
        <w:jc w:val="both"/>
      </w:pPr>
      <w:r>
        <w:lastRenderedPageBreak/>
        <w:t xml:space="preserve">Table </w:t>
      </w:r>
      <w:r w:rsidR="00C228C7">
        <w:t>3</w:t>
      </w:r>
      <w:r>
        <w:t xml:space="preserve"> shows the number of inpatient cancer care discharges by Massachusetts county, with 8% of discharges coming from out-of-state discharges.</w:t>
      </w:r>
    </w:p>
    <w:p w14:paraId="0C9D3B60" w14:textId="35D651C6" w:rsidR="00441070" w:rsidRDefault="00681BC7" w:rsidP="007809F8">
      <w:pPr>
        <w:pStyle w:val="Caption"/>
        <w:keepNext/>
        <w:jc w:val="center"/>
      </w:pPr>
      <w:bookmarkStart w:id="23" w:name="_Toc187401776"/>
      <w:r>
        <w:t xml:space="preserve">Table </w:t>
      </w:r>
      <w:fldSimple w:instr=" SEQ Table \* ARABIC ">
        <w:r w:rsidR="0085394E">
          <w:rPr>
            <w:noProof/>
          </w:rPr>
          <w:t>3</w:t>
        </w:r>
      </w:fldSimple>
      <w:r>
        <w:t xml:space="preserve">: Inpatient Cancer </w:t>
      </w:r>
      <w:r w:rsidR="00C22865">
        <w:t xml:space="preserve">Care </w:t>
      </w:r>
      <w:r>
        <w:t>Discharges by Patient Origin</w:t>
      </w:r>
      <w:r w:rsidR="00C22865">
        <w:t xml:space="preserve"> and Service Line</w:t>
      </w:r>
      <w:r>
        <w:rPr>
          <w:rStyle w:val="FootnoteReference"/>
        </w:rPr>
        <w:footnoteReference w:id="48"/>
      </w:r>
      <w:bookmarkEnd w:id="23"/>
    </w:p>
    <w:tbl>
      <w:tblPr>
        <w:tblW w:w="8640" w:type="dxa"/>
        <w:tblInd w:w="350" w:type="dxa"/>
        <w:tblLayout w:type="fixed"/>
        <w:tblLook w:val="04A0" w:firstRow="1" w:lastRow="0" w:firstColumn="1" w:lastColumn="0" w:noHBand="0" w:noVBand="1"/>
      </w:tblPr>
      <w:tblGrid>
        <w:gridCol w:w="2430"/>
        <w:gridCol w:w="1035"/>
        <w:gridCol w:w="1035"/>
        <w:gridCol w:w="1035"/>
        <w:gridCol w:w="1035"/>
        <w:gridCol w:w="1035"/>
        <w:gridCol w:w="1035"/>
      </w:tblGrid>
      <w:tr w:rsidR="004013E4" w:rsidRPr="00C85D47" w14:paraId="3724FFAC" w14:textId="77777777" w:rsidTr="00CD0D32">
        <w:trPr>
          <w:cantSplit/>
          <w:trHeight w:val="290"/>
          <w:tblHeader/>
        </w:trPr>
        <w:tc>
          <w:tcPr>
            <w:tcW w:w="2430" w:type="dxa"/>
            <w:tcBorders>
              <w:top w:val="single" w:sz="8" w:space="0" w:color="auto"/>
              <w:left w:val="single" w:sz="8" w:space="0" w:color="auto"/>
              <w:bottom w:val="nil"/>
              <w:right w:val="nil"/>
            </w:tcBorders>
            <w:shd w:val="clear" w:color="000000" w:fill="002060"/>
            <w:noWrap/>
            <w:vAlign w:val="bottom"/>
            <w:hideMark/>
          </w:tcPr>
          <w:p w14:paraId="021D32F0" w14:textId="77777777" w:rsidR="00C85D47" w:rsidRPr="00C85D47" w:rsidRDefault="00C85D47" w:rsidP="00C85D47">
            <w:pPr>
              <w:spacing w:after="0" w:line="240" w:lineRule="auto"/>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 </w:t>
            </w:r>
          </w:p>
        </w:tc>
        <w:tc>
          <w:tcPr>
            <w:tcW w:w="1035" w:type="dxa"/>
            <w:tcBorders>
              <w:top w:val="single" w:sz="8" w:space="0" w:color="auto"/>
              <w:left w:val="single" w:sz="4" w:space="0" w:color="auto"/>
              <w:bottom w:val="nil"/>
              <w:right w:val="nil"/>
            </w:tcBorders>
            <w:shd w:val="clear" w:color="000000" w:fill="002060"/>
            <w:noWrap/>
            <w:vAlign w:val="bottom"/>
            <w:hideMark/>
          </w:tcPr>
          <w:p w14:paraId="3537C66E"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Total</w:t>
            </w:r>
          </w:p>
        </w:tc>
        <w:tc>
          <w:tcPr>
            <w:tcW w:w="1035" w:type="dxa"/>
            <w:tcBorders>
              <w:top w:val="single" w:sz="8" w:space="0" w:color="auto"/>
              <w:left w:val="nil"/>
              <w:bottom w:val="nil"/>
              <w:right w:val="nil"/>
            </w:tcBorders>
            <w:shd w:val="clear" w:color="000000" w:fill="002060"/>
            <w:noWrap/>
            <w:vAlign w:val="bottom"/>
            <w:hideMark/>
          </w:tcPr>
          <w:p w14:paraId="37C42801"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c>
          <w:tcPr>
            <w:tcW w:w="1035" w:type="dxa"/>
            <w:tcBorders>
              <w:top w:val="single" w:sz="8" w:space="0" w:color="auto"/>
              <w:left w:val="nil"/>
              <w:bottom w:val="nil"/>
              <w:right w:val="nil"/>
            </w:tcBorders>
            <w:shd w:val="clear" w:color="000000" w:fill="002060"/>
            <w:noWrap/>
            <w:vAlign w:val="bottom"/>
            <w:hideMark/>
          </w:tcPr>
          <w:p w14:paraId="7B3F8820"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Medical</w:t>
            </w:r>
          </w:p>
        </w:tc>
        <w:tc>
          <w:tcPr>
            <w:tcW w:w="1035" w:type="dxa"/>
            <w:tcBorders>
              <w:top w:val="single" w:sz="8" w:space="0" w:color="auto"/>
              <w:left w:val="nil"/>
              <w:bottom w:val="nil"/>
              <w:right w:val="nil"/>
            </w:tcBorders>
            <w:shd w:val="clear" w:color="000000" w:fill="002060"/>
            <w:noWrap/>
            <w:vAlign w:val="bottom"/>
            <w:hideMark/>
          </w:tcPr>
          <w:p w14:paraId="4F5624B1"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c>
          <w:tcPr>
            <w:tcW w:w="1035" w:type="dxa"/>
            <w:tcBorders>
              <w:top w:val="single" w:sz="8" w:space="0" w:color="auto"/>
              <w:left w:val="nil"/>
              <w:bottom w:val="nil"/>
              <w:right w:val="nil"/>
            </w:tcBorders>
            <w:shd w:val="clear" w:color="000000" w:fill="002060"/>
            <w:noWrap/>
            <w:vAlign w:val="bottom"/>
            <w:hideMark/>
          </w:tcPr>
          <w:p w14:paraId="36CA77E3"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 xml:space="preserve">Surgical </w:t>
            </w:r>
          </w:p>
        </w:tc>
        <w:tc>
          <w:tcPr>
            <w:tcW w:w="1035" w:type="dxa"/>
            <w:tcBorders>
              <w:top w:val="single" w:sz="8" w:space="0" w:color="auto"/>
              <w:left w:val="nil"/>
              <w:bottom w:val="nil"/>
              <w:right w:val="single" w:sz="8" w:space="0" w:color="auto"/>
            </w:tcBorders>
            <w:shd w:val="clear" w:color="000000" w:fill="002060"/>
            <w:noWrap/>
            <w:vAlign w:val="bottom"/>
            <w:hideMark/>
          </w:tcPr>
          <w:p w14:paraId="10661449" w14:textId="77777777" w:rsidR="00C85D47" w:rsidRPr="00C85D47" w:rsidRDefault="00C85D47" w:rsidP="00C85D47">
            <w:pPr>
              <w:spacing w:after="0" w:line="240" w:lineRule="auto"/>
              <w:jc w:val="center"/>
              <w:rPr>
                <w:rFonts w:ascii="Calibri" w:eastAsia="Times New Roman" w:hAnsi="Calibri" w:cs="Calibri"/>
                <w:b/>
                <w:bCs/>
                <w:color w:val="FFFFFF"/>
                <w:kern w:val="0"/>
                <w14:ligatures w14:val="none"/>
              </w:rPr>
            </w:pPr>
            <w:r w:rsidRPr="00C85D47">
              <w:rPr>
                <w:rFonts w:ascii="Calibri" w:eastAsia="Times New Roman" w:hAnsi="Calibri" w:cs="Calibri"/>
                <w:b/>
                <w:bCs/>
                <w:color w:val="FFFFFF"/>
                <w:kern w:val="0"/>
                <w14:ligatures w14:val="none"/>
              </w:rPr>
              <w:t>%</w:t>
            </w:r>
          </w:p>
        </w:tc>
      </w:tr>
      <w:tr w:rsidR="00C85D47" w:rsidRPr="00C85D47" w14:paraId="5E9ECC1C" w14:textId="77777777" w:rsidTr="00CD0D32">
        <w:trPr>
          <w:cantSplit/>
          <w:trHeight w:val="290"/>
        </w:trPr>
        <w:tc>
          <w:tcPr>
            <w:tcW w:w="2430" w:type="dxa"/>
            <w:tcBorders>
              <w:top w:val="nil"/>
              <w:left w:val="single" w:sz="8" w:space="0" w:color="auto"/>
              <w:bottom w:val="single" w:sz="4" w:space="0" w:color="auto"/>
              <w:right w:val="nil"/>
            </w:tcBorders>
            <w:shd w:val="clear" w:color="auto" w:fill="auto"/>
            <w:noWrap/>
            <w:vAlign w:val="bottom"/>
            <w:hideMark/>
          </w:tcPr>
          <w:p w14:paraId="21714A72"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Massachusetts</w:t>
            </w:r>
          </w:p>
        </w:tc>
        <w:tc>
          <w:tcPr>
            <w:tcW w:w="1035" w:type="dxa"/>
            <w:tcBorders>
              <w:top w:val="nil"/>
              <w:left w:val="single" w:sz="4" w:space="0" w:color="auto"/>
              <w:bottom w:val="single" w:sz="4" w:space="0" w:color="auto"/>
              <w:right w:val="nil"/>
            </w:tcBorders>
            <w:shd w:val="clear" w:color="auto" w:fill="auto"/>
            <w:noWrap/>
            <w:vAlign w:val="bottom"/>
            <w:hideMark/>
          </w:tcPr>
          <w:p w14:paraId="1241AC8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72,285</w:t>
            </w:r>
          </w:p>
        </w:tc>
        <w:tc>
          <w:tcPr>
            <w:tcW w:w="1035" w:type="dxa"/>
            <w:tcBorders>
              <w:top w:val="nil"/>
              <w:left w:val="nil"/>
              <w:bottom w:val="single" w:sz="4" w:space="0" w:color="auto"/>
              <w:right w:val="nil"/>
            </w:tcBorders>
            <w:shd w:val="clear" w:color="auto" w:fill="auto"/>
            <w:noWrap/>
            <w:vAlign w:val="bottom"/>
            <w:hideMark/>
          </w:tcPr>
          <w:p w14:paraId="7C84FBA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90.2%</w:t>
            </w:r>
          </w:p>
        </w:tc>
        <w:tc>
          <w:tcPr>
            <w:tcW w:w="1035" w:type="dxa"/>
            <w:tcBorders>
              <w:top w:val="nil"/>
              <w:left w:val="nil"/>
              <w:bottom w:val="single" w:sz="4" w:space="0" w:color="auto"/>
              <w:right w:val="nil"/>
            </w:tcBorders>
            <w:shd w:val="clear" w:color="auto" w:fill="auto"/>
            <w:noWrap/>
            <w:vAlign w:val="bottom"/>
            <w:hideMark/>
          </w:tcPr>
          <w:p w14:paraId="14B7277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62,861</w:t>
            </w:r>
          </w:p>
        </w:tc>
        <w:tc>
          <w:tcPr>
            <w:tcW w:w="1035" w:type="dxa"/>
            <w:tcBorders>
              <w:top w:val="nil"/>
              <w:left w:val="nil"/>
              <w:bottom w:val="single" w:sz="4" w:space="0" w:color="auto"/>
              <w:right w:val="nil"/>
            </w:tcBorders>
            <w:shd w:val="clear" w:color="auto" w:fill="auto"/>
            <w:noWrap/>
            <w:vAlign w:val="bottom"/>
            <w:hideMark/>
          </w:tcPr>
          <w:p w14:paraId="5172969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91.1%</w:t>
            </w:r>
          </w:p>
        </w:tc>
        <w:tc>
          <w:tcPr>
            <w:tcW w:w="1035" w:type="dxa"/>
            <w:tcBorders>
              <w:top w:val="nil"/>
              <w:left w:val="nil"/>
              <w:bottom w:val="single" w:sz="4" w:space="0" w:color="auto"/>
              <w:right w:val="nil"/>
            </w:tcBorders>
            <w:shd w:val="clear" w:color="auto" w:fill="auto"/>
            <w:noWrap/>
            <w:vAlign w:val="bottom"/>
            <w:hideMark/>
          </w:tcPr>
          <w:p w14:paraId="3407F0D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9,424</w:t>
            </w:r>
          </w:p>
        </w:tc>
        <w:tc>
          <w:tcPr>
            <w:tcW w:w="1035" w:type="dxa"/>
            <w:tcBorders>
              <w:top w:val="nil"/>
              <w:left w:val="nil"/>
              <w:bottom w:val="single" w:sz="4" w:space="0" w:color="auto"/>
              <w:right w:val="single" w:sz="8" w:space="0" w:color="auto"/>
            </w:tcBorders>
            <w:shd w:val="clear" w:color="auto" w:fill="auto"/>
            <w:noWrap/>
            <w:vAlign w:val="bottom"/>
            <w:hideMark/>
          </w:tcPr>
          <w:p w14:paraId="2FAEC3E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85.0%</w:t>
            </w:r>
          </w:p>
        </w:tc>
      </w:tr>
      <w:tr w:rsidR="00C85D47" w:rsidRPr="00C85D47" w14:paraId="1899C034" w14:textId="77777777" w:rsidTr="00CD0D32">
        <w:trPr>
          <w:cantSplit/>
          <w:trHeight w:val="290"/>
        </w:trPr>
        <w:tc>
          <w:tcPr>
            <w:tcW w:w="2430" w:type="dxa"/>
            <w:tcBorders>
              <w:top w:val="dashed" w:sz="4" w:space="0" w:color="auto"/>
              <w:left w:val="single" w:sz="8" w:space="0" w:color="auto"/>
              <w:bottom w:val="dashed" w:sz="4" w:space="0" w:color="auto"/>
              <w:right w:val="nil"/>
            </w:tcBorders>
            <w:shd w:val="clear" w:color="auto" w:fill="auto"/>
            <w:noWrap/>
            <w:vAlign w:val="bottom"/>
            <w:hideMark/>
          </w:tcPr>
          <w:p w14:paraId="0D0941CA"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Middlesex County</w:t>
            </w:r>
          </w:p>
        </w:tc>
        <w:tc>
          <w:tcPr>
            <w:tcW w:w="1035" w:type="dxa"/>
            <w:tcBorders>
              <w:top w:val="dashed" w:sz="4" w:space="0" w:color="auto"/>
              <w:left w:val="single" w:sz="4" w:space="0" w:color="auto"/>
              <w:bottom w:val="dashed" w:sz="4" w:space="0" w:color="auto"/>
              <w:right w:val="nil"/>
            </w:tcBorders>
            <w:shd w:val="clear" w:color="auto" w:fill="auto"/>
            <w:noWrap/>
            <w:vAlign w:val="bottom"/>
            <w:hideMark/>
          </w:tcPr>
          <w:p w14:paraId="372DA04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14,777</w:t>
            </w:r>
          </w:p>
        </w:tc>
        <w:tc>
          <w:tcPr>
            <w:tcW w:w="1035" w:type="dxa"/>
            <w:tcBorders>
              <w:top w:val="dashed" w:sz="4" w:space="0" w:color="auto"/>
              <w:left w:val="nil"/>
              <w:bottom w:val="dashed" w:sz="4" w:space="0" w:color="auto"/>
              <w:right w:val="nil"/>
            </w:tcBorders>
            <w:shd w:val="clear" w:color="auto" w:fill="auto"/>
            <w:noWrap/>
            <w:vAlign w:val="bottom"/>
            <w:hideMark/>
          </w:tcPr>
          <w:p w14:paraId="6C6A789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18.4%</w:t>
            </w:r>
          </w:p>
        </w:tc>
        <w:tc>
          <w:tcPr>
            <w:tcW w:w="1035" w:type="dxa"/>
            <w:tcBorders>
              <w:top w:val="dashed" w:sz="4" w:space="0" w:color="auto"/>
              <w:left w:val="nil"/>
              <w:bottom w:val="dashed" w:sz="4" w:space="0" w:color="auto"/>
              <w:right w:val="nil"/>
            </w:tcBorders>
            <w:shd w:val="clear" w:color="auto" w:fill="auto"/>
            <w:noWrap/>
            <w:vAlign w:val="bottom"/>
            <w:hideMark/>
          </w:tcPr>
          <w:p w14:paraId="4BA2216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12,782</w:t>
            </w:r>
          </w:p>
        </w:tc>
        <w:tc>
          <w:tcPr>
            <w:tcW w:w="1035" w:type="dxa"/>
            <w:tcBorders>
              <w:top w:val="dashed" w:sz="4" w:space="0" w:color="auto"/>
              <w:left w:val="nil"/>
              <w:bottom w:val="dashed" w:sz="4" w:space="0" w:color="auto"/>
              <w:right w:val="nil"/>
            </w:tcBorders>
            <w:shd w:val="clear" w:color="auto" w:fill="auto"/>
            <w:noWrap/>
            <w:vAlign w:val="bottom"/>
            <w:hideMark/>
          </w:tcPr>
          <w:p w14:paraId="25E8951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18.5%</w:t>
            </w:r>
          </w:p>
        </w:tc>
        <w:tc>
          <w:tcPr>
            <w:tcW w:w="1035" w:type="dxa"/>
            <w:tcBorders>
              <w:top w:val="dashed" w:sz="4" w:space="0" w:color="auto"/>
              <w:left w:val="nil"/>
              <w:bottom w:val="dashed" w:sz="4" w:space="0" w:color="auto"/>
              <w:right w:val="nil"/>
            </w:tcBorders>
            <w:shd w:val="clear" w:color="auto" w:fill="auto"/>
            <w:noWrap/>
            <w:vAlign w:val="bottom"/>
            <w:hideMark/>
          </w:tcPr>
          <w:p w14:paraId="66AC1B9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1,995</w:t>
            </w:r>
          </w:p>
        </w:tc>
        <w:tc>
          <w:tcPr>
            <w:tcW w:w="1035" w:type="dxa"/>
            <w:tcBorders>
              <w:top w:val="dashed" w:sz="4" w:space="0" w:color="auto"/>
              <w:left w:val="nil"/>
              <w:bottom w:val="dashed" w:sz="4" w:space="0" w:color="auto"/>
              <w:right w:val="single" w:sz="8" w:space="0" w:color="auto"/>
            </w:tcBorders>
            <w:shd w:val="clear" w:color="auto" w:fill="auto"/>
            <w:noWrap/>
            <w:vAlign w:val="bottom"/>
            <w:hideMark/>
          </w:tcPr>
          <w:p w14:paraId="73AB95A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18.0%</w:t>
            </w:r>
          </w:p>
        </w:tc>
      </w:tr>
      <w:tr w:rsidR="00C85D47" w:rsidRPr="00C85D47" w14:paraId="7744EAA7"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5D6F40C3"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Essex County</w:t>
            </w:r>
          </w:p>
        </w:tc>
        <w:tc>
          <w:tcPr>
            <w:tcW w:w="1035" w:type="dxa"/>
            <w:tcBorders>
              <w:top w:val="nil"/>
              <w:left w:val="single" w:sz="4" w:space="0" w:color="auto"/>
              <w:bottom w:val="dashed" w:sz="4" w:space="0" w:color="auto"/>
              <w:right w:val="nil"/>
            </w:tcBorders>
            <w:shd w:val="clear" w:color="auto" w:fill="auto"/>
            <w:noWrap/>
            <w:vAlign w:val="bottom"/>
            <w:hideMark/>
          </w:tcPr>
          <w:p w14:paraId="101469A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8,843</w:t>
            </w:r>
          </w:p>
        </w:tc>
        <w:tc>
          <w:tcPr>
            <w:tcW w:w="1035" w:type="dxa"/>
            <w:tcBorders>
              <w:top w:val="nil"/>
              <w:left w:val="nil"/>
              <w:bottom w:val="dashed" w:sz="4" w:space="0" w:color="auto"/>
              <w:right w:val="nil"/>
            </w:tcBorders>
            <w:shd w:val="clear" w:color="auto" w:fill="auto"/>
            <w:noWrap/>
            <w:vAlign w:val="bottom"/>
            <w:hideMark/>
          </w:tcPr>
          <w:p w14:paraId="7A27272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11.0%</w:t>
            </w:r>
          </w:p>
        </w:tc>
        <w:tc>
          <w:tcPr>
            <w:tcW w:w="1035" w:type="dxa"/>
            <w:tcBorders>
              <w:top w:val="nil"/>
              <w:left w:val="nil"/>
              <w:bottom w:val="dashed" w:sz="4" w:space="0" w:color="auto"/>
              <w:right w:val="nil"/>
            </w:tcBorders>
            <w:shd w:val="clear" w:color="auto" w:fill="auto"/>
            <w:noWrap/>
            <w:vAlign w:val="bottom"/>
            <w:hideMark/>
          </w:tcPr>
          <w:p w14:paraId="4B16E9E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7,737</w:t>
            </w:r>
          </w:p>
        </w:tc>
        <w:tc>
          <w:tcPr>
            <w:tcW w:w="1035" w:type="dxa"/>
            <w:tcBorders>
              <w:top w:val="nil"/>
              <w:left w:val="nil"/>
              <w:bottom w:val="dashed" w:sz="4" w:space="0" w:color="auto"/>
              <w:right w:val="nil"/>
            </w:tcBorders>
            <w:shd w:val="clear" w:color="auto" w:fill="auto"/>
            <w:noWrap/>
            <w:vAlign w:val="bottom"/>
            <w:hideMark/>
          </w:tcPr>
          <w:p w14:paraId="4918F73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11.2%</w:t>
            </w:r>
          </w:p>
        </w:tc>
        <w:tc>
          <w:tcPr>
            <w:tcW w:w="1035" w:type="dxa"/>
            <w:tcBorders>
              <w:top w:val="nil"/>
              <w:left w:val="nil"/>
              <w:bottom w:val="dashed" w:sz="4" w:space="0" w:color="auto"/>
              <w:right w:val="nil"/>
            </w:tcBorders>
            <w:shd w:val="clear" w:color="auto" w:fill="auto"/>
            <w:noWrap/>
            <w:vAlign w:val="bottom"/>
            <w:hideMark/>
          </w:tcPr>
          <w:p w14:paraId="5DD2170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1,106</w:t>
            </w:r>
          </w:p>
        </w:tc>
        <w:tc>
          <w:tcPr>
            <w:tcW w:w="1035" w:type="dxa"/>
            <w:tcBorders>
              <w:top w:val="nil"/>
              <w:left w:val="nil"/>
              <w:bottom w:val="dashed" w:sz="4" w:space="0" w:color="auto"/>
              <w:right w:val="single" w:sz="8" w:space="0" w:color="auto"/>
            </w:tcBorders>
            <w:shd w:val="clear" w:color="auto" w:fill="auto"/>
            <w:noWrap/>
            <w:vAlign w:val="bottom"/>
            <w:hideMark/>
          </w:tcPr>
          <w:p w14:paraId="5FCA845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10.0%</w:t>
            </w:r>
          </w:p>
        </w:tc>
      </w:tr>
      <w:tr w:rsidR="00C85D47" w:rsidRPr="00C85D47" w14:paraId="6A1142B2"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29EB0713"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Worcester County</w:t>
            </w:r>
          </w:p>
        </w:tc>
        <w:tc>
          <w:tcPr>
            <w:tcW w:w="1035" w:type="dxa"/>
            <w:tcBorders>
              <w:top w:val="nil"/>
              <w:left w:val="single" w:sz="4" w:space="0" w:color="auto"/>
              <w:bottom w:val="dashed" w:sz="4" w:space="0" w:color="auto"/>
              <w:right w:val="nil"/>
            </w:tcBorders>
            <w:shd w:val="clear" w:color="auto" w:fill="auto"/>
            <w:noWrap/>
            <w:vAlign w:val="bottom"/>
            <w:hideMark/>
          </w:tcPr>
          <w:p w14:paraId="387B27D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8,297</w:t>
            </w:r>
          </w:p>
        </w:tc>
        <w:tc>
          <w:tcPr>
            <w:tcW w:w="1035" w:type="dxa"/>
            <w:tcBorders>
              <w:top w:val="nil"/>
              <w:left w:val="nil"/>
              <w:bottom w:val="dashed" w:sz="4" w:space="0" w:color="auto"/>
              <w:right w:val="nil"/>
            </w:tcBorders>
            <w:shd w:val="clear" w:color="auto" w:fill="auto"/>
            <w:noWrap/>
            <w:vAlign w:val="bottom"/>
            <w:hideMark/>
          </w:tcPr>
          <w:p w14:paraId="67B5197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10.4%</w:t>
            </w:r>
          </w:p>
        </w:tc>
        <w:tc>
          <w:tcPr>
            <w:tcW w:w="1035" w:type="dxa"/>
            <w:tcBorders>
              <w:top w:val="nil"/>
              <w:left w:val="nil"/>
              <w:bottom w:val="dashed" w:sz="4" w:space="0" w:color="auto"/>
              <w:right w:val="nil"/>
            </w:tcBorders>
            <w:shd w:val="clear" w:color="auto" w:fill="auto"/>
            <w:noWrap/>
            <w:vAlign w:val="bottom"/>
            <w:hideMark/>
          </w:tcPr>
          <w:p w14:paraId="299E84F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7,121</w:t>
            </w:r>
          </w:p>
        </w:tc>
        <w:tc>
          <w:tcPr>
            <w:tcW w:w="1035" w:type="dxa"/>
            <w:tcBorders>
              <w:top w:val="nil"/>
              <w:left w:val="nil"/>
              <w:bottom w:val="dashed" w:sz="4" w:space="0" w:color="auto"/>
              <w:right w:val="nil"/>
            </w:tcBorders>
            <w:shd w:val="clear" w:color="auto" w:fill="auto"/>
            <w:noWrap/>
            <w:vAlign w:val="bottom"/>
            <w:hideMark/>
          </w:tcPr>
          <w:p w14:paraId="4160651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10.3%</w:t>
            </w:r>
          </w:p>
        </w:tc>
        <w:tc>
          <w:tcPr>
            <w:tcW w:w="1035" w:type="dxa"/>
            <w:tcBorders>
              <w:top w:val="nil"/>
              <w:left w:val="nil"/>
              <w:bottom w:val="dashed" w:sz="4" w:space="0" w:color="auto"/>
              <w:right w:val="nil"/>
            </w:tcBorders>
            <w:shd w:val="clear" w:color="auto" w:fill="auto"/>
            <w:noWrap/>
            <w:vAlign w:val="bottom"/>
            <w:hideMark/>
          </w:tcPr>
          <w:p w14:paraId="2A13811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1,176</w:t>
            </w:r>
          </w:p>
        </w:tc>
        <w:tc>
          <w:tcPr>
            <w:tcW w:w="1035" w:type="dxa"/>
            <w:tcBorders>
              <w:top w:val="nil"/>
              <w:left w:val="nil"/>
              <w:bottom w:val="dashed" w:sz="4" w:space="0" w:color="auto"/>
              <w:right w:val="single" w:sz="8" w:space="0" w:color="auto"/>
            </w:tcBorders>
            <w:shd w:val="clear" w:color="auto" w:fill="auto"/>
            <w:noWrap/>
            <w:vAlign w:val="bottom"/>
            <w:hideMark/>
          </w:tcPr>
          <w:p w14:paraId="494B553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10.6%</w:t>
            </w:r>
          </w:p>
        </w:tc>
      </w:tr>
      <w:tr w:rsidR="00C85D47" w:rsidRPr="00C85D47" w14:paraId="3977854E"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3338A272"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Norfolk County</w:t>
            </w:r>
          </w:p>
        </w:tc>
        <w:tc>
          <w:tcPr>
            <w:tcW w:w="1035" w:type="dxa"/>
            <w:tcBorders>
              <w:top w:val="nil"/>
              <w:left w:val="single" w:sz="4" w:space="0" w:color="auto"/>
              <w:bottom w:val="dashed" w:sz="4" w:space="0" w:color="auto"/>
              <w:right w:val="nil"/>
            </w:tcBorders>
            <w:shd w:val="clear" w:color="auto" w:fill="auto"/>
            <w:noWrap/>
            <w:vAlign w:val="bottom"/>
            <w:hideMark/>
          </w:tcPr>
          <w:p w14:paraId="1EBCCBF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8,160</w:t>
            </w:r>
          </w:p>
        </w:tc>
        <w:tc>
          <w:tcPr>
            <w:tcW w:w="1035" w:type="dxa"/>
            <w:tcBorders>
              <w:top w:val="nil"/>
              <w:left w:val="nil"/>
              <w:bottom w:val="dashed" w:sz="4" w:space="0" w:color="auto"/>
              <w:right w:val="nil"/>
            </w:tcBorders>
            <w:shd w:val="clear" w:color="auto" w:fill="auto"/>
            <w:noWrap/>
            <w:vAlign w:val="bottom"/>
            <w:hideMark/>
          </w:tcPr>
          <w:p w14:paraId="4BE90FA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10.2%</w:t>
            </w:r>
          </w:p>
        </w:tc>
        <w:tc>
          <w:tcPr>
            <w:tcW w:w="1035" w:type="dxa"/>
            <w:tcBorders>
              <w:top w:val="nil"/>
              <w:left w:val="nil"/>
              <w:bottom w:val="dashed" w:sz="4" w:space="0" w:color="auto"/>
              <w:right w:val="nil"/>
            </w:tcBorders>
            <w:shd w:val="clear" w:color="auto" w:fill="auto"/>
            <w:noWrap/>
            <w:vAlign w:val="bottom"/>
            <w:hideMark/>
          </w:tcPr>
          <w:p w14:paraId="470971F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7,110</w:t>
            </w:r>
          </w:p>
        </w:tc>
        <w:tc>
          <w:tcPr>
            <w:tcW w:w="1035" w:type="dxa"/>
            <w:tcBorders>
              <w:top w:val="nil"/>
              <w:left w:val="nil"/>
              <w:bottom w:val="dashed" w:sz="4" w:space="0" w:color="auto"/>
              <w:right w:val="nil"/>
            </w:tcBorders>
            <w:shd w:val="clear" w:color="auto" w:fill="auto"/>
            <w:noWrap/>
            <w:vAlign w:val="bottom"/>
            <w:hideMark/>
          </w:tcPr>
          <w:p w14:paraId="5066392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10.3%</w:t>
            </w:r>
          </w:p>
        </w:tc>
        <w:tc>
          <w:tcPr>
            <w:tcW w:w="1035" w:type="dxa"/>
            <w:tcBorders>
              <w:top w:val="nil"/>
              <w:left w:val="nil"/>
              <w:bottom w:val="dashed" w:sz="4" w:space="0" w:color="auto"/>
              <w:right w:val="nil"/>
            </w:tcBorders>
            <w:shd w:val="clear" w:color="auto" w:fill="auto"/>
            <w:noWrap/>
            <w:vAlign w:val="bottom"/>
            <w:hideMark/>
          </w:tcPr>
          <w:p w14:paraId="7CAC0D0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1,050</w:t>
            </w:r>
          </w:p>
        </w:tc>
        <w:tc>
          <w:tcPr>
            <w:tcW w:w="1035" w:type="dxa"/>
            <w:tcBorders>
              <w:top w:val="nil"/>
              <w:left w:val="nil"/>
              <w:bottom w:val="dashed" w:sz="4" w:space="0" w:color="auto"/>
              <w:right w:val="single" w:sz="8" w:space="0" w:color="auto"/>
            </w:tcBorders>
            <w:shd w:val="clear" w:color="auto" w:fill="auto"/>
            <w:noWrap/>
            <w:vAlign w:val="bottom"/>
            <w:hideMark/>
          </w:tcPr>
          <w:p w14:paraId="6F7D6AC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9.5%</w:t>
            </w:r>
          </w:p>
        </w:tc>
      </w:tr>
      <w:tr w:rsidR="00C85D47" w:rsidRPr="00C85D47" w14:paraId="192B5ECA"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3941CFC9"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Suffolk County</w:t>
            </w:r>
          </w:p>
        </w:tc>
        <w:tc>
          <w:tcPr>
            <w:tcW w:w="1035" w:type="dxa"/>
            <w:tcBorders>
              <w:top w:val="nil"/>
              <w:left w:val="single" w:sz="4" w:space="0" w:color="auto"/>
              <w:bottom w:val="dashed" w:sz="4" w:space="0" w:color="auto"/>
              <w:right w:val="nil"/>
            </w:tcBorders>
            <w:shd w:val="clear" w:color="auto" w:fill="auto"/>
            <w:noWrap/>
            <w:vAlign w:val="bottom"/>
            <w:hideMark/>
          </w:tcPr>
          <w:p w14:paraId="2CCD32A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7,547</w:t>
            </w:r>
          </w:p>
        </w:tc>
        <w:tc>
          <w:tcPr>
            <w:tcW w:w="1035" w:type="dxa"/>
            <w:tcBorders>
              <w:top w:val="nil"/>
              <w:left w:val="nil"/>
              <w:bottom w:val="dashed" w:sz="4" w:space="0" w:color="auto"/>
              <w:right w:val="nil"/>
            </w:tcBorders>
            <w:shd w:val="clear" w:color="auto" w:fill="auto"/>
            <w:noWrap/>
            <w:vAlign w:val="bottom"/>
            <w:hideMark/>
          </w:tcPr>
          <w:p w14:paraId="571DFCD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9.4%</w:t>
            </w:r>
          </w:p>
        </w:tc>
        <w:tc>
          <w:tcPr>
            <w:tcW w:w="1035" w:type="dxa"/>
            <w:tcBorders>
              <w:top w:val="nil"/>
              <w:left w:val="nil"/>
              <w:bottom w:val="dashed" w:sz="4" w:space="0" w:color="auto"/>
              <w:right w:val="nil"/>
            </w:tcBorders>
            <w:shd w:val="clear" w:color="auto" w:fill="auto"/>
            <w:noWrap/>
            <w:vAlign w:val="bottom"/>
            <w:hideMark/>
          </w:tcPr>
          <w:p w14:paraId="34790CA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6,678</w:t>
            </w:r>
          </w:p>
        </w:tc>
        <w:tc>
          <w:tcPr>
            <w:tcW w:w="1035" w:type="dxa"/>
            <w:tcBorders>
              <w:top w:val="nil"/>
              <w:left w:val="nil"/>
              <w:bottom w:val="dashed" w:sz="4" w:space="0" w:color="auto"/>
              <w:right w:val="nil"/>
            </w:tcBorders>
            <w:shd w:val="clear" w:color="auto" w:fill="auto"/>
            <w:noWrap/>
            <w:vAlign w:val="bottom"/>
            <w:hideMark/>
          </w:tcPr>
          <w:p w14:paraId="22E7795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9.7%</w:t>
            </w:r>
          </w:p>
        </w:tc>
        <w:tc>
          <w:tcPr>
            <w:tcW w:w="1035" w:type="dxa"/>
            <w:tcBorders>
              <w:top w:val="nil"/>
              <w:left w:val="nil"/>
              <w:bottom w:val="dashed" w:sz="4" w:space="0" w:color="auto"/>
              <w:right w:val="nil"/>
            </w:tcBorders>
            <w:shd w:val="clear" w:color="auto" w:fill="auto"/>
            <w:noWrap/>
            <w:vAlign w:val="bottom"/>
            <w:hideMark/>
          </w:tcPr>
          <w:p w14:paraId="25272FE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869</w:t>
            </w:r>
          </w:p>
        </w:tc>
        <w:tc>
          <w:tcPr>
            <w:tcW w:w="1035" w:type="dxa"/>
            <w:tcBorders>
              <w:top w:val="nil"/>
              <w:left w:val="nil"/>
              <w:bottom w:val="dashed" w:sz="4" w:space="0" w:color="auto"/>
              <w:right w:val="single" w:sz="8" w:space="0" w:color="auto"/>
            </w:tcBorders>
            <w:shd w:val="clear" w:color="auto" w:fill="auto"/>
            <w:noWrap/>
            <w:vAlign w:val="bottom"/>
            <w:hideMark/>
          </w:tcPr>
          <w:p w14:paraId="6B64E82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7.8%</w:t>
            </w:r>
          </w:p>
        </w:tc>
      </w:tr>
      <w:tr w:rsidR="00C85D47" w:rsidRPr="00C85D47" w14:paraId="2DC905C3"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2FE02275"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Plymouth County</w:t>
            </w:r>
          </w:p>
        </w:tc>
        <w:tc>
          <w:tcPr>
            <w:tcW w:w="1035" w:type="dxa"/>
            <w:tcBorders>
              <w:top w:val="nil"/>
              <w:left w:val="single" w:sz="4" w:space="0" w:color="auto"/>
              <w:bottom w:val="dashed" w:sz="4" w:space="0" w:color="auto"/>
              <w:right w:val="nil"/>
            </w:tcBorders>
            <w:shd w:val="clear" w:color="auto" w:fill="auto"/>
            <w:noWrap/>
            <w:vAlign w:val="bottom"/>
            <w:hideMark/>
          </w:tcPr>
          <w:p w14:paraId="4496A96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6,891</w:t>
            </w:r>
          </w:p>
        </w:tc>
        <w:tc>
          <w:tcPr>
            <w:tcW w:w="1035" w:type="dxa"/>
            <w:tcBorders>
              <w:top w:val="nil"/>
              <w:left w:val="nil"/>
              <w:bottom w:val="dashed" w:sz="4" w:space="0" w:color="auto"/>
              <w:right w:val="nil"/>
            </w:tcBorders>
            <w:shd w:val="clear" w:color="auto" w:fill="auto"/>
            <w:noWrap/>
            <w:vAlign w:val="bottom"/>
            <w:hideMark/>
          </w:tcPr>
          <w:p w14:paraId="62ED0E5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8.6%</w:t>
            </w:r>
          </w:p>
        </w:tc>
        <w:tc>
          <w:tcPr>
            <w:tcW w:w="1035" w:type="dxa"/>
            <w:tcBorders>
              <w:top w:val="nil"/>
              <w:left w:val="nil"/>
              <w:bottom w:val="dashed" w:sz="4" w:space="0" w:color="auto"/>
              <w:right w:val="nil"/>
            </w:tcBorders>
            <w:shd w:val="clear" w:color="auto" w:fill="auto"/>
            <w:noWrap/>
            <w:vAlign w:val="bottom"/>
            <w:hideMark/>
          </w:tcPr>
          <w:p w14:paraId="3B4CBFA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6,036</w:t>
            </w:r>
          </w:p>
        </w:tc>
        <w:tc>
          <w:tcPr>
            <w:tcW w:w="1035" w:type="dxa"/>
            <w:tcBorders>
              <w:top w:val="nil"/>
              <w:left w:val="nil"/>
              <w:bottom w:val="dashed" w:sz="4" w:space="0" w:color="auto"/>
              <w:right w:val="nil"/>
            </w:tcBorders>
            <w:shd w:val="clear" w:color="auto" w:fill="auto"/>
            <w:noWrap/>
            <w:vAlign w:val="bottom"/>
            <w:hideMark/>
          </w:tcPr>
          <w:p w14:paraId="0A60660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8.7%</w:t>
            </w:r>
          </w:p>
        </w:tc>
        <w:tc>
          <w:tcPr>
            <w:tcW w:w="1035" w:type="dxa"/>
            <w:tcBorders>
              <w:top w:val="nil"/>
              <w:left w:val="nil"/>
              <w:bottom w:val="dashed" w:sz="4" w:space="0" w:color="auto"/>
              <w:right w:val="nil"/>
            </w:tcBorders>
            <w:shd w:val="clear" w:color="auto" w:fill="auto"/>
            <w:noWrap/>
            <w:vAlign w:val="bottom"/>
            <w:hideMark/>
          </w:tcPr>
          <w:p w14:paraId="2F36A23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855</w:t>
            </w:r>
          </w:p>
        </w:tc>
        <w:tc>
          <w:tcPr>
            <w:tcW w:w="1035" w:type="dxa"/>
            <w:tcBorders>
              <w:top w:val="nil"/>
              <w:left w:val="nil"/>
              <w:bottom w:val="dashed" w:sz="4" w:space="0" w:color="auto"/>
              <w:right w:val="single" w:sz="8" w:space="0" w:color="auto"/>
            </w:tcBorders>
            <w:shd w:val="clear" w:color="auto" w:fill="auto"/>
            <w:noWrap/>
            <w:vAlign w:val="bottom"/>
            <w:hideMark/>
          </w:tcPr>
          <w:p w14:paraId="5DF8D32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7.7%</w:t>
            </w:r>
          </w:p>
        </w:tc>
      </w:tr>
      <w:tr w:rsidR="00C85D47" w:rsidRPr="00C85D47" w14:paraId="1153E51D"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13EEE315"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Bristol County</w:t>
            </w:r>
          </w:p>
        </w:tc>
        <w:tc>
          <w:tcPr>
            <w:tcW w:w="1035" w:type="dxa"/>
            <w:tcBorders>
              <w:top w:val="nil"/>
              <w:left w:val="single" w:sz="4" w:space="0" w:color="auto"/>
              <w:bottom w:val="dashed" w:sz="4" w:space="0" w:color="auto"/>
              <w:right w:val="nil"/>
            </w:tcBorders>
            <w:shd w:val="clear" w:color="auto" w:fill="auto"/>
            <w:noWrap/>
            <w:vAlign w:val="bottom"/>
            <w:hideMark/>
          </w:tcPr>
          <w:p w14:paraId="4E8A5CE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5,858</w:t>
            </w:r>
          </w:p>
        </w:tc>
        <w:tc>
          <w:tcPr>
            <w:tcW w:w="1035" w:type="dxa"/>
            <w:tcBorders>
              <w:top w:val="nil"/>
              <w:left w:val="nil"/>
              <w:bottom w:val="dashed" w:sz="4" w:space="0" w:color="auto"/>
              <w:right w:val="nil"/>
            </w:tcBorders>
            <w:shd w:val="clear" w:color="auto" w:fill="auto"/>
            <w:noWrap/>
            <w:vAlign w:val="bottom"/>
            <w:hideMark/>
          </w:tcPr>
          <w:p w14:paraId="2D1B775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7.3%</w:t>
            </w:r>
          </w:p>
        </w:tc>
        <w:tc>
          <w:tcPr>
            <w:tcW w:w="1035" w:type="dxa"/>
            <w:tcBorders>
              <w:top w:val="nil"/>
              <w:left w:val="nil"/>
              <w:bottom w:val="dashed" w:sz="4" w:space="0" w:color="auto"/>
              <w:right w:val="nil"/>
            </w:tcBorders>
            <w:shd w:val="clear" w:color="auto" w:fill="auto"/>
            <w:noWrap/>
            <w:vAlign w:val="bottom"/>
            <w:hideMark/>
          </w:tcPr>
          <w:p w14:paraId="11BF1C6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5,056</w:t>
            </w:r>
          </w:p>
        </w:tc>
        <w:tc>
          <w:tcPr>
            <w:tcW w:w="1035" w:type="dxa"/>
            <w:tcBorders>
              <w:top w:val="nil"/>
              <w:left w:val="nil"/>
              <w:bottom w:val="dashed" w:sz="4" w:space="0" w:color="auto"/>
              <w:right w:val="nil"/>
            </w:tcBorders>
            <w:shd w:val="clear" w:color="auto" w:fill="auto"/>
            <w:noWrap/>
            <w:vAlign w:val="bottom"/>
            <w:hideMark/>
          </w:tcPr>
          <w:p w14:paraId="6BB076C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7.3%</w:t>
            </w:r>
          </w:p>
        </w:tc>
        <w:tc>
          <w:tcPr>
            <w:tcW w:w="1035" w:type="dxa"/>
            <w:tcBorders>
              <w:top w:val="nil"/>
              <w:left w:val="nil"/>
              <w:bottom w:val="dashed" w:sz="4" w:space="0" w:color="auto"/>
              <w:right w:val="nil"/>
            </w:tcBorders>
            <w:shd w:val="clear" w:color="auto" w:fill="auto"/>
            <w:noWrap/>
            <w:vAlign w:val="bottom"/>
            <w:hideMark/>
          </w:tcPr>
          <w:p w14:paraId="6BCA6DD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802</w:t>
            </w:r>
          </w:p>
        </w:tc>
        <w:tc>
          <w:tcPr>
            <w:tcW w:w="1035" w:type="dxa"/>
            <w:tcBorders>
              <w:top w:val="nil"/>
              <w:left w:val="nil"/>
              <w:bottom w:val="dashed" w:sz="4" w:space="0" w:color="auto"/>
              <w:right w:val="single" w:sz="8" w:space="0" w:color="auto"/>
            </w:tcBorders>
            <w:shd w:val="clear" w:color="auto" w:fill="auto"/>
            <w:noWrap/>
            <w:vAlign w:val="bottom"/>
            <w:hideMark/>
          </w:tcPr>
          <w:p w14:paraId="4FE4A32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7.2%</w:t>
            </w:r>
          </w:p>
        </w:tc>
      </w:tr>
      <w:tr w:rsidR="00C85D47" w:rsidRPr="00C85D47" w14:paraId="6EF68D57"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5A894A1F"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Hampden County</w:t>
            </w:r>
          </w:p>
        </w:tc>
        <w:tc>
          <w:tcPr>
            <w:tcW w:w="1035" w:type="dxa"/>
            <w:tcBorders>
              <w:top w:val="nil"/>
              <w:left w:val="single" w:sz="4" w:space="0" w:color="auto"/>
              <w:bottom w:val="dashed" w:sz="4" w:space="0" w:color="auto"/>
              <w:right w:val="nil"/>
            </w:tcBorders>
            <w:shd w:val="clear" w:color="auto" w:fill="auto"/>
            <w:noWrap/>
            <w:vAlign w:val="bottom"/>
            <w:hideMark/>
          </w:tcPr>
          <w:p w14:paraId="5FED772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4,617</w:t>
            </w:r>
          </w:p>
        </w:tc>
        <w:tc>
          <w:tcPr>
            <w:tcW w:w="1035" w:type="dxa"/>
            <w:tcBorders>
              <w:top w:val="nil"/>
              <w:left w:val="nil"/>
              <w:bottom w:val="dashed" w:sz="4" w:space="0" w:color="auto"/>
              <w:right w:val="nil"/>
            </w:tcBorders>
            <w:shd w:val="clear" w:color="auto" w:fill="auto"/>
            <w:noWrap/>
            <w:vAlign w:val="bottom"/>
            <w:hideMark/>
          </w:tcPr>
          <w:p w14:paraId="34000E1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5.8%</w:t>
            </w:r>
          </w:p>
        </w:tc>
        <w:tc>
          <w:tcPr>
            <w:tcW w:w="1035" w:type="dxa"/>
            <w:tcBorders>
              <w:top w:val="nil"/>
              <w:left w:val="nil"/>
              <w:bottom w:val="dashed" w:sz="4" w:space="0" w:color="auto"/>
              <w:right w:val="nil"/>
            </w:tcBorders>
            <w:shd w:val="clear" w:color="auto" w:fill="auto"/>
            <w:noWrap/>
            <w:vAlign w:val="bottom"/>
            <w:hideMark/>
          </w:tcPr>
          <w:p w14:paraId="0129982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3,998</w:t>
            </w:r>
          </w:p>
        </w:tc>
        <w:tc>
          <w:tcPr>
            <w:tcW w:w="1035" w:type="dxa"/>
            <w:tcBorders>
              <w:top w:val="nil"/>
              <w:left w:val="nil"/>
              <w:bottom w:val="dashed" w:sz="4" w:space="0" w:color="auto"/>
              <w:right w:val="nil"/>
            </w:tcBorders>
            <w:shd w:val="clear" w:color="auto" w:fill="auto"/>
            <w:noWrap/>
            <w:vAlign w:val="bottom"/>
            <w:hideMark/>
          </w:tcPr>
          <w:p w14:paraId="33BE8CB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5.8%</w:t>
            </w:r>
          </w:p>
        </w:tc>
        <w:tc>
          <w:tcPr>
            <w:tcW w:w="1035" w:type="dxa"/>
            <w:tcBorders>
              <w:top w:val="nil"/>
              <w:left w:val="nil"/>
              <w:bottom w:val="dashed" w:sz="4" w:space="0" w:color="auto"/>
              <w:right w:val="nil"/>
            </w:tcBorders>
            <w:shd w:val="clear" w:color="auto" w:fill="auto"/>
            <w:noWrap/>
            <w:vAlign w:val="bottom"/>
            <w:hideMark/>
          </w:tcPr>
          <w:p w14:paraId="3029616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619</w:t>
            </w:r>
          </w:p>
        </w:tc>
        <w:tc>
          <w:tcPr>
            <w:tcW w:w="1035" w:type="dxa"/>
            <w:tcBorders>
              <w:top w:val="nil"/>
              <w:left w:val="nil"/>
              <w:bottom w:val="dashed" w:sz="4" w:space="0" w:color="auto"/>
              <w:right w:val="single" w:sz="8" w:space="0" w:color="auto"/>
            </w:tcBorders>
            <w:shd w:val="clear" w:color="auto" w:fill="auto"/>
            <w:noWrap/>
            <w:vAlign w:val="bottom"/>
            <w:hideMark/>
          </w:tcPr>
          <w:p w14:paraId="3E8AD41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5.6%</w:t>
            </w:r>
          </w:p>
        </w:tc>
      </w:tr>
      <w:tr w:rsidR="00C85D47" w:rsidRPr="00C85D47" w14:paraId="3C7EC4F3"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03994030"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Barnstable County</w:t>
            </w:r>
          </w:p>
        </w:tc>
        <w:tc>
          <w:tcPr>
            <w:tcW w:w="1035" w:type="dxa"/>
            <w:tcBorders>
              <w:top w:val="nil"/>
              <w:left w:val="single" w:sz="4" w:space="0" w:color="auto"/>
              <w:bottom w:val="dashed" w:sz="4" w:space="0" w:color="auto"/>
              <w:right w:val="nil"/>
            </w:tcBorders>
            <w:shd w:val="clear" w:color="auto" w:fill="auto"/>
            <w:noWrap/>
            <w:vAlign w:val="bottom"/>
            <w:hideMark/>
          </w:tcPr>
          <w:p w14:paraId="2940356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3,295</w:t>
            </w:r>
          </w:p>
        </w:tc>
        <w:tc>
          <w:tcPr>
            <w:tcW w:w="1035" w:type="dxa"/>
            <w:tcBorders>
              <w:top w:val="nil"/>
              <w:left w:val="nil"/>
              <w:bottom w:val="dashed" w:sz="4" w:space="0" w:color="auto"/>
              <w:right w:val="nil"/>
            </w:tcBorders>
            <w:shd w:val="clear" w:color="auto" w:fill="auto"/>
            <w:noWrap/>
            <w:vAlign w:val="bottom"/>
            <w:hideMark/>
          </w:tcPr>
          <w:p w14:paraId="1F4D5A3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4.1%</w:t>
            </w:r>
          </w:p>
        </w:tc>
        <w:tc>
          <w:tcPr>
            <w:tcW w:w="1035" w:type="dxa"/>
            <w:tcBorders>
              <w:top w:val="nil"/>
              <w:left w:val="nil"/>
              <w:bottom w:val="dashed" w:sz="4" w:space="0" w:color="auto"/>
              <w:right w:val="nil"/>
            </w:tcBorders>
            <w:shd w:val="clear" w:color="auto" w:fill="auto"/>
            <w:noWrap/>
            <w:vAlign w:val="bottom"/>
            <w:hideMark/>
          </w:tcPr>
          <w:p w14:paraId="758B4A8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2,873</w:t>
            </w:r>
          </w:p>
        </w:tc>
        <w:tc>
          <w:tcPr>
            <w:tcW w:w="1035" w:type="dxa"/>
            <w:tcBorders>
              <w:top w:val="nil"/>
              <w:left w:val="nil"/>
              <w:bottom w:val="dashed" w:sz="4" w:space="0" w:color="auto"/>
              <w:right w:val="nil"/>
            </w:tcBorders>
            <w:shd w:val="clear" w:color="auto" w:fill="auto"/>
            <w:noWrap/>
            <w:vAlign w:val="bottom"/>
            <w:hideMark/>
          </w:tcPr>
          <w:p w14:paraId="7BB7B0C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4.2%</w:t>
            </w:r>
          </w:p>
        </w:tc>
        <w:tc>
          <w:tcPr>
            <w:tcW w:w="1035" w:type="dxa"/>
            <w:tcBorders>
              <w:top w:val="nil"/>
              <w:left w:val="nil"/>
              <w:bottom w:val="dashed" w:sz="4" w:space="0" w:color="auto"/>
              <w:right w:val="nil"/>
            </w:tcBorders>
            <w:shd w:val="clear" w:color="auto" w:fill="auto"/>
            <w:noWrap/>
            <w:vAlign w:val="bottom"/>
            <w:hideMark/>
          </w:tcPr>
          <w:p w14:paraId="5105ACE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422</w:t>
            </w:r>
          </w:p>
        </w:tc>
        <w:tc>
          <w:tcPr>
            <w:tcW w:w="1035" w:type="dxa"/>
            <w:tcBorders>
              <w:top w:val="nil"/>
              <w:left w:val="nil"/>
              <w:bottom w:val="dashed" w:sz="4" w:space="0" w:color="auto"/>
              <w:right w:val="single" w:sz="8" w:space="0" w:color="auto"/>
            </w:tcBorders>
            <w:shd w:val="clear" w:color="auto" w:fill="auto"/>
            <w:noWrap/>
            <w:vAlign w:val="bottom"/>
            <w:hideMark/>
          </w:tcPr>
          <w:p w14:paraId="61C7792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3.8%</w:t>
            </w:r>
          </w:p>
        </w:tc>
      </w:tr>
      <w:tr w:rsidR="00C85D47" w:rsidRPr="00C85D47" w14:paraId="5E1E48A2"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66566F93"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Berkshire County</w:t>
            </w:r>
          </w:p>
        </w:tc>
        <w:tc>
          <w:tcPr>
            <w:tcW w:w="1035" w:type="dxa"/>
            <w:tcBorders>
              <w:top w:val="nil"/>
              <w:left w:val="single" w:sz="4" w:space="0" w:color="auto"/>
              <w:bottom w:val="dashed" w:sz="4" w:space="0" w:color="auto"/>
              <w:right w:val="nil"/>
            </w:tcBorders>
            <w:shd w:val="clear" w:color="auto" w:fill="auto"/>
            <w:noWrap/>
            <w:vAlign w:val="bottom"/>
            <w:hideMark/>
          </w:tcPr>
          <w:p w14:paraId="1D03375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1,490</w:t>
            </w:r>
          </w:p>
        </w:tc>
        <w:tc>
          <w:tcPr>
            <w:tcW w:w="1035" w:type="dxa"/>
            <w:tcBorders>
              <w:top w:val="nil"/>
              <w:left w:val="nil"/>
              <w:bottom w:val="dashed" w:sz="4" w:space="0" w:color="auto"/>
              <w:right w:val="nil"/>
            </w:tcBorders>
            <w:shd w:val="clear" w:color="auto" w:fill="auto"/>
            <w:noWrap/>
            <w:vAlign w:val="bottom"/>
            <w:hideMark/>
          </w:tcPr>
          <w:p w14:paraId="1F6DDAE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w:t>
            </w:r>
          </w:p>
        </w:tc>
        <w:tc>
          <w:tcPr>
            <w:tcW w:w="1035" w:type="dxa"/>
            <w:tcBorders>
              <w:top w:val="nil"/>
              <w:left w:val="nil"/>
              <w:bottom w:val="dashed" w:sz="4" w:space="0" w:color="auto"/>
              <w:right w:val="nil"/>
            </w:tcBorders>
            <w:shd w:val="clear" w:color="auto" w:fill="auto"/>
            <w:noWrap/>
            <w:vAlign w:val="bottom"/>
            <w:hideMark/>
          </w:tcPr>
          <w:p w14:paraId="54734D1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1,289</w:t>
            </w:r>
          </w:p>
        </w:tc>
        <w:tc>
          <w:tcPr>
            <w:tcW w:w="1035" w:type="dxa"/>
            <w:tcBorders>
              <w:top w:val="nil"/>
              <w:left w:val="nil"/>
              <w:bottom w:val="dashed" w:sz="4" w:space="0" w:color="auto"/>
              <w:right w:val="nil"/>
            </w:tcBorders>
            <w:shd w:val="clear" w:color="auto" w:fill="auto"/>
            <w:noWrap/>
            <w:vAlign w:val="bottom"/>
            <w:hideMark/>
          </w:tcPr>
          <w:p w14:paraId="6660891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1.9%</w:t>
            </w:r>
          </w:p>
        </w:tc>
        <w:tc>
          <w:tcPr>
            <w:tcW w:w="1035" w:type="dxa"/>
            <w:tcBorders>
              <w:top w:val="nil"/>
              <w:left w:val="nil"/>
              <w:bottom w:val="dashed" w:sz="4" w:space="0" w:color="auto"/>
              <w:right w:val="nil"/>
            </w:tcBorders>
            <w:shd w:val="clear" w:color="auto" w:fill="auto"/>
            <w:noWrap/>
            <w:vAlign w:val="bottom"/>
            <w:hideMark/>
          </w:tcPr>
          <w:p w14:paraId="2079657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201</w:t>
            </w:r>
          </w:p>
        </w:tc>
        <w:tc>
          <w:tcPr>
            <w:tcW w:w="1035" w:type="dxa"/>
            <w:tcBorders>
              <w:top w:val="nil"/>
              <w:left w:val="nil"/>
              <w:bottom w:val="dashed" w:sz="4" w:space="0" w:color="auto"/>
              <w:right w:val="single" w:sz="8" w:space="0" w:color="auto"/>
            </w:tcBorders>
            <w:shd w:val="clear" w:color="auto" w:fill="auto"/>
            <w:noWrap/>
            <w:vAlign w:val="bottom"/>
            <w:hideMark/>
          </w:tcPr>
          <w:p w14:paraId="6C35919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1.8%</w:t>
            </w:r>
          </w:p>
        </w:tc>
      </w:tr>
      <w:tr w:rsidR="00C85D47" w:rsidRPr="00C85D47" w14:paraId="1076D074"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4AD54A7D"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Hampshire County</w:t>
            </w:r>
          </w:p>
        </w:tc>
        <w:tc>
          <w:tcPr>
            <w:tcW w:w="1035" w:type="dxa"/>
            <w:tcBorders>
              <w:top w:val="nil"/>
              <w:left w:val="single" w:sz="4" w:space="0" w:color="auto"/>
              <w:bottom w:val="dashed" w:sz="4" w:space="0" w:color="auto"/>
              <w:right w:val="nil"/>
            </w:tcBorders>
            <w:shd w:val="clear" w:color="auto" w:fill="auto"/>
            <w:noWrap/>
            <w:vAlign w:val="bottom"/>
            <w:hideMark/>
          </w:tcPr>
          <w:p w14:paraId="73977CD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1,351</w:t>
            </w:r>
          </w:p>
        </w:tc>
        <w:tc>
          <w:tcPr>
            <w:tcW w:w="1035" w:type="dxa"/>
            <w:tcBorders>
              <w:top w:val="nil"/>
              <w:left w:val="nil"/>
              <w:bottom w:val="dashed" w:sz="4" w:space="0" w:color="auto"/>
              <w:right w:val="nil"/>
            </w:tcBorders>
            <w:shd w:val="clear" w:color="auto" w:fill="auto"/>
            <w:noWrap/>
            <w:vAlign w:val="bottom"/>
            <w:hideMark/>
          </w:tcPr>
          <w:p w14:paraId="159E3A3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w:t>
            </w:r>
          </w:p>
        </w:tc>
        <w:tc>
          <w:tcPr>
            <w:tcW w:w="1035" w:type="dxa"/>
            <w:tcBorders>
              <w:top w:val="nil"/>
              <w:left w:val="nil"/>
              <w:bottom w:val="dashed" w:sz="4" w:space="0" w:color="auto"/>
              <w:right w:val="nil"/>
            </w:tcBorders>
            <w:shd w:val="clear" w:color="auto" w:fill="auto"/>
            <w:noWrap/>
            <w:vAlign w:val="bottom"/>
            <w:hideMark/>
          </w:tcPr>
          <w:p w14:paraId="722C73F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1,179</w:t>
            </w:r>
          </w:p>
        </w:tc>
        <w:tc>
          <w:tcPr>
            <w:tcW w:w="1035" w:type="dxa"/>
            <w:tcBorders>
              <w:top w:val="nil"/>
              <w:left w:val="nil"/>
              <w:bottom w:val="dashed" w:sz="4" w:space="0" w:color="auto"/>
              <w:right w:val="nil"/>
            </w:tcBorders>
            <w:shd w:val="clear" w:color="auto" w:fill="auto"/>
            <w:noWrap/>
            <w:vAlign w:val="bottom"/>
            <w:hideMark/>
          </w:tcPr>
          <w:p w14:paraId="2E6AEEE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w:t>
            </w:r>
          </w:p>
        </w:tc>
        <w:tc>
          <w:tcPr>
            <w:tcW w:w="1035" w:type="dxa"/>
            <w:tcBorders>
              <w:top w:val="nil"/>
              <w:left w:val="nil"/>
              <w:bottom w:val="dashed" w:sz="4" w:space="0" w:color="auto"/>
              <w:right w:val="nil"/>
            </w:tcBorders>
            <w:shd w:val="clear" w:color="auto" w:fill="auto"/>
            <w:noWrap/>
            <w:vAlign w:val="bottom"/>
            <w:hideMark/>
          </w:tcPr>
          <w:p w14:paraId="575CEC8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172</w:t>
            </w:r>
          </w:p>
        </w:tc>
        <w:tc>
          <w:tcPr>
            <w:tcW w:w="1035" w:type="dxa"/>
            <w:tcBorders>
              <w:top w:val="nil"/>
              <w:left w:val="nil"/>
              <w:bottom w:val="dashed" w:sz="4" w:space="0" w:color="auto"/>
              <w:right w:val="single" w:sz="8" w:space="0" w:color="auto"/>
            </w:tcBorders>
            <w:shd w:val="clear" w:color="auto" w:fill="auto"/>
            <w:noWrap/>
            <w:vAlign w:val="bottom"/>
            <w:hideMark/>
          </w:tcPr>
          <w:p w14:paraId="22EA457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1.6%</w:t>
            </w:r>
          </w:p>
        </w:tc>
      </w:tr>
      <w:tr w:rsidR="00C85D47" w:rsidRPr="00C85D47" w14:paraId="6F2D1249"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3927A1CC"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Franklin County</w:t>
            </w:r>
          </w:p>
        </w:tc>
        <w:tc>
          <w:tcPr>
            <w:tcW w:w="1035" w:type="dxa"/>
            <w:tcBorders>
              <w:top w:val="nil"/>
              <w:left w:val="single" w:sz="4" w:space="0" w:color="auto"/>
              <w:bottom w:val="dashed" w:sz="4" w:space="0" w:color="auto"/>
              <w:right w:val="nil"/>
            </w:tcBorders>
            <w:shd w:val="clear" w:color="auto" w:fill="auto"/>
            <w:noWrap/>
            <w:vAlign w:val="bottom"/>
            <w:hideMark/>
          </w:tcPr>
          <w:p w14:paraId="4076D6A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738</w:t>
            </w:r>
          </w:p>
        </w:tc>
        <w:tc>
          <w:tcPr>
            <w:tcW w:w="1035" w:type="dxa"/>
            <w:tcBorders>
              <w:top w:val="nil"/>
              <w:left w:val="nil"/>
              <w:bottom w:val="dashed" w:sz="4" w:space="0" w:color="auto"/>
              <w:right w:val="nil"/>
            </w:tcBorders>
            <w:shd w:val="clear" w:color="auto" w:fill="auto"/>
            <w:noWrap/>
            <w:vAlign w:val="bottom"/>
            <w:hideMark/>
          </w:tcPr>
          <w:p w14:paraId="2A16238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0.9%</w:t>
            </w:r>
          </w:p>
        </w:tc>
        <w:tc>
          <w:tcPr>
            <w:tcW w:w="1035" w:type="dxa"/>
            <w:tcBorders>
              <w:top w:val="nil"/>
              <w:left w:val="nil"/>
              <w:bottom w:val="dashed" w:sz="4" w:space="0" w:color="auto"/>
              <w:right w:val="nil"/>
            </w:tcBorders>
            <w:shd w:val="clear" w:color="auto" w:fill="auto"/>
            <w:noWrap/>
            <w:vAlign w:val="bottom"/>
            <w:hideMark/>
          </w:tcPr>
          <w:p w14:paraId="2E5CED59"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638</w:t>
            </w:r>
          </w:p>
        </w:tc>
        <w:tc>
          <w:tcPr>
            <w:tcW w:w="1035" w:type="dxa"/>
            <w:tcBorders>
              <w:top w:val="nil"/>
              <w:left w:val="nil"/>
              <w:bottom w:val="dashed" w:sz="4" w:space="0" w:color="auto"/>
              <w:right w:val="nil"/>
            </w:tcBorders>
            <w:shd w:val="clear" w:color="auto" w:fill="auto"/>
            <w:noWrap/>
            <w:vAlign w:val="bottom"/>
            <w:hideMark/>
          </w:tcPr>
          <w:p w14:paraId="3E0A2ED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0.9%</w:t>
            </w:r>
          </w:p>
        </w:tc>
        <w:tc>
          <w:tcPr>
            <w:tcW w:w="1035" w:type="dxa"/>
            <w:tcBorders>
              <w:top w:val="nil"/>
              <w:left w:val="nil"/>
              <w:bottom w:val="dashed" w:sz="4" w:space="0" w:color="auto"/>
              <w:right w:val="nil"/>
            </w:tcBorders>
            <w:shd w:val="clear" w:color="auto" w:fill="auto"/>
            <w:noWrap/>
            <w:vAlign w:val="bottom"/>
            <w:hideMark/>
          </w:tcPr>
          <w:p w14:paraId="27B4FC0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100</w:t>
            </w:r>
          </w:p>
        </w:tc>
        <w:tc>
          <w:tcPr>
            <w:tcW w:w="1035" w:type="dxa"/>
            <w:tcBorders>
              <w:top w:val="nil"/>
              <w:left w:val="nil"/>
              <w:bottom w:val="dashed" w:sz="4" w:space="0" w:color="auto"/>
              <w:right w:val="single" w:sz="8" w:space="0" w:color="auto"/>
            </w:tcBorders>
            <w:shd w:val="clear" w:color="auto" w:fill="auto"/>
            <w:noWrap/>
            <w:vAlign w:val="bottom"/>
            <w:hideMark/>
          </w:tcPr>
          <w:p w14:paraId="65364CC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0.9%</w:t>
            </w:r>
          </w:p>
        </w:tc>
      </w:tr>
      <w:tr w:rsidR="00C85D47" w:rsidRPr="00C85D47" w14:paraId="37E53AF5"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2F23751B"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Dukes County</w:t>
            </w:r>
          </w:p>
        </w:tc>
        <w:tc>
          <w:tcPr>
            <w:tcW w:w="1035" w:type="dxa"/>
            <w:tcBorders>
              <w:top w:val="nil"/>
              <w:left w:val="single" w:sz="4" w:space="0" w:color="auto"/>
              <w:bottom w:val="dashed" w:sz="4" w:space="0" w:color="auto"/>
              <w:right w:val="nil"/>
            </w:tcBorders>
            <w:shd w:val="clear" w:color="auto" w:fill="auto"/>
            <w:noWrap/>
            <w:vAlign w:val="bottom"/>
            <w:hideMark/>
          </w:tcPr>
          <w:p w14:paraId="7E50469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240</w:t>
            </w:r>
          </w:p>
        </w:tc>
        <w:tc>
          <w:tcPr>
            <w:tcW w:w="1035" w:type="dxa"/>
            <w:tcBorders>
              <w:top w:val="nil"/>
              <w:left w:val="nil"/>
              <w:bottom w:val="dashed" w:sz="4" w:space="0" w:color="auto"/>
              <w:right w:val="nil"/>
            </w:tcBorders>
            <w:shd w:val="clear" w:color="auto" w:fill="auto"/>
            <w:noWrap/>
            <w:vAlign w:val="bottom"/>
            <w:hideMark/>
          </w:tcPr>
          <w:p w14:paraId="68B0775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0.3%</w:t>
            </w:r>
          </w:p>
        </w:tc>
        <w:tc>
          <w:tcPr>
            <w:tcW w:w="1035" w:type="dxa"/>
            <w:tcBorders>
              <w:top w:val="nil"/>
              <w:left w:val="nil"/>
              <w:bottom w:val="dashed" w:sz="4" w:space="0" w:color="auto"/>
              <w:right w:val="nil"/>
            </w:tcBorders>
            <w:shd w:val="clear" w:color="auto" w:fill="auto"/>
            <w:noWrap/>
            <w:vAlign w:val="bottom"/>
            <w:hideMark/>
          </w:tcPr>
          <w:p w14:paraId="54DEAA2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200</w:t>
            </w:r>
          </w:p>
        </w:tc>
        <w:tc>
          <w:tcPr>
            <w:tcW w:w="1035" w:type="dxa"/>
            <w:tcBorders>
              <w:top w:val="nil"/>
              <w:left w:val="nil"/>
              <w:bottom w:val="dashed" w:sz="4" w:space="0" w:color="auto"/>
              <w:right w:val="nil"/>
            </w:tcBorders>
            <w:shd w:val="clear" w:color="auto" w:fill="auto"/>
            <w:noWrap/>
            <w:vAlign w:val="bottom"/>
            <w:hideMark/>
          </w:tcPr>
          <w:p w14:paraId="7D3295C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0.3%</w:t>
            </w:r>
          </w:p>
        </w:tc>
        <w:tc>
          <w:tcPr>
            <w:tcW w:w="1035" w:type="dxa"/>
            <w:tcBorders>
              <w:top w:val="nil"/>
              <w:left w:val="nil"/>
              <w:bottom w:val="dashed" w:sz="4" w:space="0" w:color="auto"/>
              <w:right w:val="nil"/>
            </w:tcBorders>
            <w:shd w:val="clear" w:color="auto" w:fill="auto"/>
            <w:noWrap/>
            <w:vAlign w:val="bottom"/>
            <w:hideMark/>
          </w:tcPr>
          <w:p w14:paraId="18A9A813"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40</w:t>
            </w:r>
          </w:p>
        </w:tc>
        <w:tc>
          <w:tcPr>
            <w:tcW w:w="1035" w:type="dxa"/>
            <w:tcBorders>
              <w:top w:val="nil"/>
              <w:left w:val="nil"/>
              <w:bottom w:val="dashed" w:sz="4" w:space="0" w:color="auto"/>
              <w:right w:val="single" w:sz="8" w:space="0" w:color="auto"/>
            </w:tcBorders>
            <w:shd w:val="clear" w:color="auto" w:fill="auto"/>
            <w:noWrap/>
            <w:vAlign w:val="bottom"/>
            <w:hideMark/>
          </w:tcPr>
          <w:p w14:paraId="3FA1A93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0.4%</w:t>
            </w:r>
          </w:p>
        </w:tc>
      </w:tr>
      <w:tr w:rsidR="00C85D47" w:rsidRPr="00C85D47" w14:paraId="7384F203"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7013A7A3"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Nantucket County</w:t>
            </w:r>
          </w:p>
        </w:tc>
        <w:tc>
          <w:tcPr>
            <w:tcW w:w="1035" w:type="dxa"/>
            <w:tcBorders>
              <w:top w:val="nil"/>
              <w:left w:val="single" w:sz="4" w:space="0" w:color="auto"/>
              <w:bottom w:val="dashed" w:sz="4" w:space="0" w:color="auto"/>
              <w:right w:val="nil"/>
            </w:tcBorders>
            <w:shd w:val="clear" w:color="auto" w:fill="auto"/>
            <w:noWrap/>
            <w:vAlign w:val="bottom"/>
            <w:hideMark/>
          </w:tcPr>
          <w:p w14:paraId="3D1301DD"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135</w:t>
            </w:r>
          </w:p>
        </w:tc>
        <w:tc>
          <w:tcPr>
            <w:tcW w:w="1035" w:type="dxa"/>
            <w:tcBorders>
              <w:top w:val="nil"/>
              <w:left w:val="nil"/>
              <w:bottom w:val="dashed" w:sz="4" w:space="0" w:color="auto"/>
              <w:right w:val="nil"/>
            </w:tcBorders>
            <w:shd w:val="clear" w:color="auto" w:fill="auto"/>
            <w:noWrap/>
            <w:vAlign w:val="bottom"/>
            <w:hideMark/>
          </w:tcPr>
          <w:p w14:paraId="1D3B599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0.2%</w:t>
            </w:r>
          </w:p>
        </w:tc>
        <w:tc>
          <w:tcPr>
            <w:tcW w:w="1035" w:type="dxa"/>
            <w:tcBorders>
              <w:top w:val="nil"/>
              <w:left w:val="nil"/>
              <w:bottom w:val="dashed" w:sz="4" w:space="0" w:color="auto"/>
              <w:right w:val="nil"/>
            </w:tcBorders>
            <w:shd w:val="clear" w:color="auto" w:fill="auto"/>
            <w:noWrap/>
            <w:vAlign w:val="bottom"/>
            <w:hideMark/>
          </w:tcPr>
          <w:p w14:paraId="08E9F68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122</w:t>
            </w:r>
          </w:p>
        </w:tc>
        <w:tc>
          <w:tcPr>
            <w:tcW w:w="1035" w:type="dxa"/>
            <w:tcBorders>
              <w:top w:val="nil"/>
              <w:left w:val="nil"/>
              <w:bottom w:val="dashed" w:sz="4" w:space="0" w:color="auto"/>
              <w:right w:val="nil"/>
            </w:tcBorders>
            <w:shd w:val="clear" w:color="auto" w:fill="auto"/>
            <w:noWrap/>
            <w:vAlign w:val="bottom"/>
            <w:hideMark/>
          </w:tcPr>
          <w:p w14:paraId="12A3D47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0.2%</w:t>
            </w:r>
          </w:p>
        </w:tc>
        <w:tc>
          <w:tcPr>
            <w:tcW w:w="1035" w:type="dxa"/>
            <w:tcBorders>
              <w:top w:val="nil"/>
              <w:left w:val="nil"/>
              <w:bottom w:val="dashed" w:sz="4" w:space="0" w:color="auto"/>
              <w:right w:val="nil"/>
            </w:tcBorders>
            <w:shd w:val="clear" w:color="auto" w:fill="auto"/>
            <w:noWrap/>
            <w:vAlign w:val="bottom"/>
            <w:hideMark/>
          </w:tcPr>
          <w:p w14:paraId="3219B16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13</w:t>
            </w:r>
          </w:p>
        </w:tc>
        <w:tc>
          <w:tcPr>
            <w:tcW w:w="1035" w:type="dxa"/>
            <w:tcBorders>
              <w:top w:val="nil"/>
              <w:left w:val="nil"/>
              <w:bottom w:val="dashed" w:sz="4" w:space="0" w:color="auto"/>
              <w:right w:val="single" w:sz="8" w:space="0" w:color="auto"/>
            </w:tcBorders>
            <w:shd w:val="clear" w:color="auto" w:fill="auto"/>
            <w:noWrap/>
            <w:vAlign w:val="bottom"/>
            <w:hideMark/>
          </w:tcPr>
          <w:p w14:paraId="1EB727F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0.1%</w:t>
            </w:r>
          </w:p>
        </w:tc>
      </w:tr>
      <w:tr w:rsidR="00C85D47" w:rsidRPr="00C85D47" w14:paraId="528CE740" w14:textId="77777777" w:rsidTr="00CD0D32">
        <w:trPr>
          <w:cantSplit/>
          <w:trHeight w:val="290"/>
        </w:trPr>
        <w:tc>
          <w:tcPr>
            <w:tcW w:w="2430" w:type="dxa"/>
            <w:tcBorders>
              <w:top w:val="nil"/>
              <w:left w:val="single" w:sz="8" w:space="0" w:color="auto"/>
              <w:bottom w:val="dashed" w:sz="4" w:space="0" w:color="auto"/>
              <w:right w:val="nil"/>
            </w:tcBorders>
            <w:shd w:val="clear" w:color="auto" w:fill="auto"/>
            <w:noWrap/>
            <w:vAlign w:val="bottom"/>
            <w:hideMark/>
          </w:tcPr>
          <w:p w14:paraId="4E4561A3"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Windham County</w:t>
            </w:r>
          </w:p>
        </w:tc>
        <w:tc>
          <w:tcPr>
            <w:tcW w:w="1035" w:type="dxa"/>
            <w:tcBorders>
              <w:top w:val="nil"/>
              <w:left w:val="single" w:sz="4" w:space="0" w:color="auto"/>
              <w:bottom w:val="dashed" w:sz="4" w:space="0" w:color="auto"/>
              <w:right w:val="nil"/>
            </w:tcBorders>
            <w:shd w:val="clear" w:color="auto" w:fill="auto"/>
            <w:noWrap/>
            <w:vAlign w:val="bottom"/>
            <w:hideMark/>
          </w:tcPr>
          <w:p w14:paraId="56BF907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dashed" w:sz="4" w:space="0" w:color="auto"/>
              <w:right w:val="nil"/>
            </w:tcBorders>
            <w:shd w:val="clear" w:color="auto" w:fill="auto"/>
            <w:noWrap/>
            <w:vAlign w:val="bottom"/>
            <w:hideMark/>
          </w:tcPr>
          <w:p w14:paraId="0E17094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dashed" w:sz="4" w:space="0" w:color="auto"/>
              <w:right w:val="nil"/>
            </w:tcBorders>
            <w:shd w:val="clear" w:color="auto" w:fill="auto"/>
            <w:noWrap/>
            <w:vAlign w:val="bottom"/>
            <w:hideMark/>
          </w:tcPr>
          <w:p w14:paraId="24CC3BB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dashed" w:sz="4" w:space="0" w:color="auto"/>
              <w:right w:val="nil"/>
            </w:tcBorders>
            <w:shd w:val="clear" w:color="auto" w:fill="auto"/>
            <w:noWrap/>
            <w:vAlign w:val="bottom"/>
            <w:hideMark/>
          </w:tcPr>
          <w:p w14:paraId="4A1BC18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dashed" w:sz="4" w:space="0" w:color="auto"/>
              <w:right w:val="nil"/>
            </w:tcBorders>
            <w:shd w:val="clear" w:color="auto" w:fill="auto"/>
            <w:noWrap/>
            <w:vAlign w:val="bottom"/>
            <w:hideMark/>
          </w:tcPr>
          <w:p w14:paraId="25DC6762"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dashed" w:sz="4" w:space="0" w:color="auto"/>
              <w:right w:val="single" w:sz="8" w:space="0" w:color="auto"/>
            </w:tcBorders>
            <w:shd w:val="clear" w:color="auto" w:fill="auto"/>
            <w:noWrap/>
            <w:vAlign w:val="bottom"/>
            <w:hideMark/>
          </w:tcPr>
          <w:p w14:paraId="1376E070"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r>
      <w:tr w:rsidR="00C85D47" w:rsidRPr="00C85D47" w14:paraId="6236A291" w14:textId="77777777" w:rsidTr="00CD0D32">
        <w:trPr>
          <w:cantSplit/>
          <w:trHeight w:val="300"/>
        </w:trPr>
        <w:tc>
          <w:tcPr>
            <w:tcW w:w="2430" w:type="dxa"/>
            <w:tcBorders>
              <w:top w:val="nil"/>
              <w:left w:val="single" w:sz="8" w:space="0" w:color="auto"/>
              <w:bottom w:val="single" w:sz="8" w:space="0" w:color="auto"/>
              <w:right w:val="nil"/>
            </w:tcBorders>
            <w:shd w:val="clear" w:color="auto" w:fill="auto"/>
            <w:noWrap/>
            <w:vAlign w:val="bottom"/>
            <w:hideMark/>
          </w:tcPr>
          <w:p w14:paraId="029075CB" w14:textId="77777777" w:rsidR="00C85D47" w:rsidRPr="00C85D47" w:rsidRDefault="00C85D47" w:rsidP="00C85D47">
            <w:pPr>
              <w:spacing w:after="0" w:line="240" w:lineRule="auto"/>
              <w:ind w:firstLineChars="200" w:firstLine="440"/>
              <w:rPr>
                <w:rFonts w:ascii="Calibri" w:eastAsia="Times New Roman" w:hAnsi="Calibri" w:cs="Calibri"/>
                <w:i/>
                <w:iCs/>
                <w:kern w:val="0"/>
                <w14:ligatures w14:val="none"/>
              </w:rPr>
            </w:pPr>
            <w:r w:rsidRPr="00C85D47">
              <w:rPr>
                <w:rFonts w:ascii="Calibri" w:eastAsia="Times New Roman" w:hAnsi="Calibri" w:cs="Calibri"/>
                <w:i/>
                <w:iCs/>
                <w:kern w:val="0"/>
                <w14:ligatures w14:val="none"/>
              </w:rPr>
              <w:t>Unknown County</w:t>
            </w:r>
          </w:p>
        </w:tc>
        <w:tc>
          <w:tcPr>
            <w:tcW w:w="1035" w:type="dxa"/>
            <w:tcBorders>
              <w:top w:val="nil"/>
              <w:left w:val="single" w:sz="4" w:space="0" w:color="auto"/>
              <w:bottom w:val="single" w:sz="8" w:space="0" w:color="auto"/>
              <w:right w:val="nil"/>
            </w:tcBorders>
            <w:shd w:val="clear" w:color="auto" w:fill="auto"/>
            <w:noWrap/>
            <w:vAlign w:val="bottom"/>
            <w:hideMark/>
          </w:tcPr>
          <w:p w14:paraId="7B03A3A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single" w:sz="8" w:space="0" w:color="auto"/>
              <w:right w:val="nil"/>
            </w:tcBorders>
            <w:shd w:val="clear" w:color="auto" w:fill="auto"/>
            <w:noWrap/>
            <w:vAlign w:val="bottom"/>
            <w:hideMark/>
          </w:tcPr>
          <w:p w14:paraId="55AAB66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single" w:sz="8" w:space="0" w:color="auto"/>
              <w:right w:val="nil"/>
            </w:tcBorders>
            <w:shd w:val="clear" w:color="auto" w:fill="auto"/>
            <w:noWrap/>
            <w:vAlign w:val="bottom"/>
            <w:hideMark/>
          </w:tcPr>
          <w:p w14:paraId="11258CAE"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single" w:sz="8" w:space="0" w:color="auto"/>
              <w:right w:val="nil"/>
            </w:tcBorders>
            <w:shd w:val="clear" w:color="auto" w:fill="auto"/>
            <w:noWrap/>
            <w:vAlign w:val="bottom"/>
            <w:hideMark/>
          </w:tcPr>
          <w:p w14:paraId="6892A635"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single" w:sz="8" w:space="0" w:color="auto"/>
              <w:right w:val="nil"/>
            </w:tcBorders>
            <w:shd w:val="clear" w:color="auto" w:fill="auto"/>
            <w:noWrap/>
            <w:vAlign w:val="bottom"/>
            <w:hideMark/>
          </w:tcPr>
          <w:p w14:paraId="5CFF2588"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c>
          <w:tcPr>
            <w:tcW w:w="1035" w:type="dxa"/>
            <w:tcBorders>
              <w:top w:val="nil"/>
              <w:left w:val="nil"/>
              <w:bottom w:val="single" w:sz="8" w:space="0" w:color="auto"/>
              <w:right w:val="single" w:sz="8" w:space="0" w:color="auto"/>
            </w:tcBorders>
            <w:shd w:val="clear" w:color="auto" w:fill="auto"/>
            <w:noWrap/>
            <w:vAlign w:val="bottom"/>
            <w:hideMark/>
          </w:tcPr>
          <w:p w14:paraId="434FA9E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w:t>
            </w:r>
          </w:p>
        </w:tc>
      </w:tr>
      <w:tr w:rsidR="00C85D47" w:rsidRPr="00C85D47" w14:paraId="7C2EE87A" w14:textId="77777777" w:rsidTr="00CD0D32">
        <w:trPr>
          <w:cantSplit/>
          <w:trHeight w:val="290"/>
        </w:trPr>
        <w:tc>
          <w:tcPr>
            <w:tcW w:w="2430" w:type="dxa"/>
            <w:tcBorders>
              <w:top w:val="nil"/>
              <w:left w:val="single" w:sz="8" w:space="0" w:color="auto"/>
              <w:bottom w:val="single" w:sz="4" w:space="0" w:color="auto"/>
              <w:right w:val="nil"/>
            </w:tcBorders>
            <w:shd w:val="clear" w:color="auto" w:fill="auto"/>
            <w:noWrap/>
            <w:vAlign w:val="bottom"/>
            <w:hideMark/>
          </w:tcPr>
          <w:p w14:paraId="65077ABA"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Out of State</w:t>
            </w:r>
          </w:p>
        </w:tc>
        <w:tc>
          <w:tcPr>
            <w:tcW w:w="1035" w:type="dxa"/>
            <w:tcBorders>
              <w:top w:val="nil"/>
              <w:left w:val="single" w:sz="4" w:space="0" w:color="auto"/>
              <w:bottom w:val="single" w:sz="4" w:space="0" w:color="auto"/>
              <w:right w:val="nil"/>
            </w:tcBorders>
            <w:shd w:val="clear" w:color="auto" w:fill="auto"/>
            <w:noWrap/>
            <w:vAlign w:val="bottom"/>
            <w:hideMark/>
          </w:tcPr>
          <w:p w14:paraId="6AFC1A8B"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6,440</w:t>
            </w:r>
          </w:p>
        </w:tc>
        <w:tc>
          <w:tcPr>
            <w:tcW w:w="1035" w:type="dxa"/>
            <w:tcBorders>
              <w:top w:val="nil"/>
              <w:left w:val="nil"/>
              <w:bottom w:val="single" w:sz="4" w:space="0" w:color="auto"/>
              <w:right w:val="nil"/>
            </w:tcBorders>
            <w:shd w:val="clear" w:color="auto" w:fill="auto"/>
            <w:noWrap/>
            <w:vAlign w:val="bottom"/>
            <w:hideMark/>
          </w:tcPr>
          <w:p w14:paraId="649332B1"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8.0%</w:t>
            </w:r>
          </w:p>
        </w:tc>
        <w:tc>
          <w:tcPr>
            <w:tcW w:w="1035" w:type="dxa"/>
            <w:tcBorders>
              <w:top w:val="nil"/>
              <w:left w:val="nil"/>
              <w:bottom w:val="single" w:sz="4" w:space="0" w:color="auto"/>
              <w:right w:val="nil"/>
            </w:tcBorders>
            <w:shd w:val="clear" w:color="auto" w:fill="auto"/>
            <w:noWrap/>
            <w:vAlign w:val="bottom"/>
            <w:hideMark/>
          </w:tcPr>
          <w:p w14:paraId="7E0C953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5,010</w:t>
            </w:r>
          </w:p>
        </w:tc>
        <w:tc>
          <w:tcPr>
            <w:tcW w:w="1035" w:type="dxa"/>
            <w:tcBorders>
              <w:top w:val="nil"/>
              <w:left w:val="nil"/>
              <w:bottom w:val="single" w:sz="4" w:space="0" w:color="auto"/>
              <w:right w:val="nil"/>
            </w:tcBorders>
            <w:shd w:val="clear" w:color="auto" w:fill="auto"/>
            <w:noWrap/>
            <w:vAlign w:val="bottom"/>
            <w:hideMark/>
          </w:tcPr>
          <w:p w14:paraId="43C5C59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7.3%</w:t>
            </w:r>
          </w:p>
        </w:tc>
        <w:tc>
          <w:tcPr>
            <w:tcW w:w="1035" w:type="dxa"/>
            <w:tcBorders>
              <w:top w:val="nil"/>
              <w:left w:val="nil"/>
              <w:bottom w:val="single" w:sz="4" w:space="0" w:color="auto"/>
              <w:right w:val="nil"/>
            </w:tcBorders>
            <w:shd w:val="clear" w:color="auto" w:fill="auto"/>
            <w:noWrap/>
            <w:vAlign w:val="bottom"/>
            <w:hideMark/>
          </w:tcPr>
          <w:p w14:paraId="153ACF1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1,430</w:t>
            </w:r>
          </w:p>
        </w:tc>
        <w:tc>
          <w:tcPr>
            <w:tcW w:w="1035" w:type="dxa"/>
            <w:tcBorders>
              <w:top w:val="nil"/>
              <w:left w:val="nil"/>
              <w:bottom w:val="single" w:sz="4" w:space="0" w:color="auto"/>
              <w:right w:val="single" w:sz="8" w:space="0" w:color="auto"/>
            </w:tcBorders>
            <w:shd w:val="clear" w:color="auto" w:fill="auto"/>
            <w:noWrap/>
            <w:vAlign w:val="bottom"/>
            <w:hideMark/>
          </w:tcPr>
          <w:p w14:paraId="0C282C0F"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12.9%</w:t>
            </w:r>
          </w:p>
        </w:tc>
      </w:tr>
      <w:tr w:rsidR="00C85D47" w:rsidRPr="00C85D47" w14:paraId="3556CCDD" w14:textId="77777777" w:rsidTr="00CD0D32">
        <w:trPr>
          <w:cantSplit/>
          <w:trHeight w:val="300"/>
        </w:trPr>
        <w:tc>
          <w:tcPr>
            <w:tcW w:w="2430" w:type="dxa"/>
            <w:tcBorders>
              <w:top w:val="nil"/>
              <w:left w:val="single" w:sz="8" w:space="0" w:color="auto"/>
              <w:bottom w:val="double" w:sz="4" w:space="0" w:color="auto"/>
              <w:right w:val="nil"/>
            </w:tcBorders>
            <w:shd w:val="clear" w:color="auto" w:fill="auto"/>
            <w:noWrap/>
            <w:vAlign w:val="bottom"/>
            <w:hideMark/>
          </w:tcPr>
          <w:p w14:paraId="2E9996E5" w14:textId="77777777" w:rsidR="00C85D47" w:rsidRPr="00C85D47" w:rsidRDefault="00C85D47" w:rsidP="00C85D47">
            <w:pPr>
              <w:spacing w:after="0" w:line="240" w:lineRule="auto"/>
              <w:rPr>
                <w:rFonts w:ascii="Calibri" w:eastAsia="Times New Roman" w:hAnsi="Calibri" w:cs="Calibri"/>
                <w:kern w:val="0"/>
                <w14:ligatures w14:val="none"/>
              </w:rPr>
            </w:pPr>
            <w:r w:rsidRPr="00C85D47">
              <w:rPr>
                <w:rFonts w:ascii="Calibri" w:eastAsia="Times New Roman" w:hAnsi="Calibri" w:cs="Calibri"/>
                <w:kern w:val="0"/>
                <w14:ligatures w14:val="none"/>
              </w:rPr>
              <w:t>Unknown State</w:t>
            </w:r>
          </w:p>
        </w:tc>
        <w:tc>
          <w:tcPr>
            <w:tcW w:w="1035" w:type="dxa"/>
            <w:tcBorders>
              <w:top w:val="nil"/>
              <w:left w:val="single" w:sz="4" w:space="0" w:color="auto"/>
              <w:bottom w:val="double" w:sz="4" w:space="0" w:color="auto"/>
              <w:right w:val="nil"/>
            </w:tcBorders>
            <w:shd w:val="clear" w:color="auto" w:fill="auto"/>
            <w:noWrap/>
            <w:vAlign w:val="bottom"/>
            <w:hideMark/>
          </w:tcPr>
          <w:p w14:paraId="553E8B5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1,401</w:t>
            </w:r>
          </w:p>
        </w:tc>
        <w:tc>
          <w:tcPr>
            <w:tcW w:w="1035" w:type="dxa"/>
            <w:tcBorders>
              <w:top w:val="nil"/>
              <w:left w:val="nil"/>
              <w:bottom w:val="double" w:sz="4" w:space="0" w:color="auto"/>
              <w:right w:val="nil"/>
            </w:tcBorders>
            <w:shd w:val="clear" w:color="auto" w:fill="auto"/>
            <w:noWrap/>
            <w:vAlign w:val="bottom"/>
            <w:hideMark/>
          </w:tcPr>
          <w:p w14:paraId="5B751CCA"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w:t>
            </w:r>
          </w:p>
        </w:tc>
        <w:tc>
          <w:tcPr>
            <w:tcW w:w="1035" w:type="dxa"/>
            <w:tcBorders>
              <w:top w:val="nil"/>
              <w:left w:val="nil"/>
              <w:bottom w:val="double" w:sz="4" w:space="0" w:color="auto"/>
              <w:right w:val="nil"/>
            </w:tcBorders>
            <w:shd w:val="clear" w:color="auto" w:fill="auto"/>
            <w:noWrap/>
            <w:vAlign w:val="bottom"/>
            <w:hideMark/>
          </w:tcPr>
          <w:p w14:paraId="36DE5F74"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1,165</w:t>
            </w:r>
          </w:p>
        </w:tc>
        <w:tc>
          <w:tcPr>
            <w:tcW w:w="1035" w:type="dxa"/>
            <w:tcBorders>
              <w:top w:val="nil"/>
              <w:left w:val="nil"/>
              <w:bottom w:val="double" w:sz="4" w:space="0" w:color="auto"/>
              <w:right w:val="nil"/>
            </w:tcBorders>
            <w:shd w:val="clear" w:color="auto" w:fill="auto"/>
            <w:noWrap/>
            <w:vAlign w:val="bottom"/>
            <w:hideMark/>
          </w:tcPr>
          <w:p w14:paraId="0C00B877"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1.7%</w:t>
            </w:r>
          </w:p>
        </w:tc>
        <w:tc>
          <w:tcPr>
            <w:tcW w:w="1035" w:type="dxa"/>
            <w:tcBorders>
              <w:top w:val="nil"/>
              <w:left w:val="nil"/>
              <w:bottom w:val="double" w:sz="4" w:space="0" w:color="auto"/>
              <w:right w:val="nil"/>
            </w:tcBorders>
            <w:shd w:val="clear" w:color="auto" w:fill="auto"/>
            <w:noWrap/>
            <w:vAlign w:val="bottom"/>
            <w:hideMark/>
          </w:tcPr>
          <w:p w14:paraId="12B1601C"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236</w:t>
            </w:r>
          </w:p>
        </w:tc>
        <w:tc>
          <w:tcPr>
            <w:tcW w:w="1035" w:type="dxa"/>
            <w:tcBorders>
              <w:top w:val="nil"/>
              <w:left w:val="nil"/>
              <w:bottom w:val="double" w:sz="4" w:space="0" w:color="auto"/>
              <w:right w:val="single" w:sz="8" w:space="0" w:color="auto"/>
            </w:tcBorders>
            <w:shd w:val="clear" w:color="auto" w:fill="auto"/>
            <w:noWrap/>
            <w:vAlign w:val="bottom"/>
            <w:hideMark/>
          </w:tcPr>
          <w:p w14:paraId="39C0D276" w14:textId="77777777" w:rsidR="00C85D47" w:rsidRPr="00C85D47" w:rsidRDefault="00C85D47" w:rsidP="00C85D47">
            <w:pPr>
              <w:spacing w:after="0" w:line="240" w:lineRule="auto"/>
              <w:jc w:val="center"/>
              <w:rPr>
                <w:rFonts w:ascii="Calibri" w:eastAsia="Times New Roman" w:hAnsi="Calibri" w:cs="Calibri"/>
                <w:kern w:val="0"/>
                <w14:ligatures w14:val="none"/>
              </w:rPr>
            </w:pPr>
            <w:r w:rsidRPr="00C85D47">
              <w:rPr>
                <w:rFonts w:ascii="Calibri" w:eastAsia="Times New Roman" w:hAnsi="Calibri" w:cs="Calibri"/>
                <w:kern w:val="0"/>
                <w14:ligatures w14:val="none"/>
              </w:rPr>
              <w:t>2.1%</w:t>
            </w:r>
          </w:p>
        </w:tc>
      </w:tr>
      <w:tr w:rsidR="00C85D47" w:rsidRPr="00C85D47" w14:paraId="084EAAC4" w14:textId="77777777" w:rsidTr="00CD0D32">
        <w:trPr>
          <w:cantSplit/>
          <w:trHeight w:val="300"/>
        </w:trPr>
        <w:tc>
          <w:tcPr>
            <w:tcW w:w="2430" w:type="dxa"/>
            <w:tcBorders>
              <w:top w:val="double" w:sz="4" w:space="0" w:color="auto"/>
              <w:left w:val="single" w:sz="8" w:space="0" w:color="auto"/>
              <w:bottom w:val="single" w:sz="8" w:space="0" w:color="auto"/>
              <w:right w:val="nil"/>
            </w:tcBorders>
            <w:shd w:val="clear" w:color="auto" w:fill="auto"/>
            <w:noWrap/>
            <w:vAlign w:val="bottom"/>
            <w:hideMark/>
          </w:tcPr>
          <w:p w14:paraId="5DFE0583" w14:textId="77777777" w:rsidR="00C85D47" w:rsidRPr="00C85D47" w:rsidRDefault="00C85D47" w:rsidP="00C85D47">
            <w:pPr>
              <w:spacing w:after="0" w:line="240" w:lineRule="auto"/>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Total</w:t>
            </w:r>
          </w:p>
        </w:tc>
        <w:tc>
          <w:tcPr>
            <w:tcW w:w="1035" w:type="dxa"/>
            <w:tcBorders>
              <w:top w:val="double" w:sz="4" w:space="0" w:color="auto"/>
              <w:left w:val="single" w:sz="4" w:space="0" w:color="auto"/>
              <w:bottom w:val="single" w:sz="8" w:space="0" w:color="auto"/>
              <w:right w:val="nil"/>
            </w:tcBorders>
            <w:shd w:val="clear" w:color="auto" w:fill="auto"/>
            <w:noWrap/>
            <w:vAlign w:val="bottom"/>
            <w:hideMark/>
          </w:tcPr>
          <w:p w14:paraId="75265A83"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80,126</w:t>
            </w:r>
          </w:p>
        </w:tc>
        <w:tc>
          <w:tcPr>
            <w:tcW w:w="1035" w:type="dxa"/>
            <w:tcBorders>
              <w:top w:val="double" w:sz="4" w:space="0" w:color="auto"/>
              <w:left w:val="nil"/>
              <w:bottom w:val="single" w:sz="8" w:space="0" w:color="auto"/>
              <w:right w:val="nil"/>
            </w:tcBorders>
            <w:shd w:val="clear" w:color="auto" w:fill="auto"/>
            <w:noWrap/>
            <w:vAlign w:val="bottom"/>
            <w:hideMark/>
          </w:tcPr>
          <w:p w14:paraId="5B6B5151"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100.0%</w:t>
            </w:r>
          </w:p>
        </w:tc>
        <w:tc>
          <w:tcPr>
            <w:tcW w:w="1035" w:type="dxa"/>
            <w:tcBorders>
              <w:top w:val="double" w:sz="4" w:space="0" w:color="auto"/>
              <w:left w:val="nil"/>
              <w:bottom w:val="single" w:sz="8" w:space="0" w:color="auto"/>
              <w:right w:val="nil"/>
            </w:tcBorders>
            <w:shd w:val="clear" w:color="auto" w:fill="auto"/>
            <w:noWrap/>
            <w:vAlign w:val="bottom"/>
            <w:hideMark/>
          </w:tcPr>
          <w:p w14:paraId="3F1B88D6"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69,036</w:t>
            </w:r>
          </w:p>
        </w:tc>
        <w:tc>
          <w:tcPr>
            <w:tcW w:w="1035" w:type="dxa"/>
            <w:tcBorders>
              <w:top w:val="double" w:sz="4" w:space="0" w:color="auto"/>
              <w:left w:val="nil"/>
              <w:bottom w:val="single" w:sz="8" w:space="0" w:color="auto"/>
              <w:right w:val="nil"/>
            </w:tcBorders>
            <w:shd w:val="clear" w:color="auto" w:fill="auto"/>
            <w:noWrap/>
            <w:vAlign w:val="bottom"/>
            <w:hideMark/>
          </w:tcPr>
          <w:p w14:paraId="1E5D4F9D"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100.0%</w:t>
            </w:r>
          </w:p>
        </w:tc>
        <w:tc>
          <w:tcPr>
            <w:tcW w:w="1035" w:type="dxa"/>
            <w:tcBorders>
              <w:top w:val="double" w:sz="4" w:space="0" w:color="auto"/>
              <w:left w:val="nil"/>
              <w:bottom w:val="single" w:sz="8" w:space="0" w:color="auto"/>
              <w:right w:val="nil"/>
            </w:tcBorders>
            <w:shd w:val="clear" w:color="auto" w:fill="auto"/>
            <w:noWrap/>
            <w:vAlign w:val="bottom"/>
            <w:hideMark/>
          </w:tcPr>
          <w:p w14:paraId="7CC3F3A7"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11,090</w:t>
            </w:r>
          </w:p>
        </w:tc>
        <w:tc>
          <w:tcPr>
            <w:tcW w:w="1035" w:type="dxa"/>
            <w:tcBorders>
              <w:top w:val="double" w:sz="4" w:space="0" w:color="auto"/>
              <w:left w:val="nil"/>
              <w:bottom w:val="single" w:sz="8" w:space="0" w:color="auto"/>
              <w:right w:val="single" w:sz="8" w:space="0" w:color="auto"/>
            </w:tcBorders>
            <w:shd w:val="clear" w:color="auto" w:fill="auto"/>
            <w:noWrap/>
            <w:vAlign w:val="bottom"/>
            <w:hideMark/>
          </w:tcPr>
          <w:p w14:paraId="046741A9" w14:textId="77777777" w:rsidR="00C85D47" w:rsidRPr="00C85D47" w:rsidRDefault="00C85D47" w:rsidP="00C85D47">
            <w:pPr>
              <w:spacing w:after="0" w:line="240" w:lineRule="auto"/>
              <w:jc w:val="center"/>
              <w:rPr>
                <w:rFonts w:ascii="Calibri" w:eastAsia="Times New Roman" w:hAnsi="Calibri" w:cs="Calibri"/>
                <w:b/>
                <w:bCs/>
                <w:kern w:val="0"/>
                <w14:ligatures w14:val="none"/>
              </w:rPr>
            </w:pPr>
            <w:r w:rsidRPr="00C85D47">
              <w:rPr>
                <w:rFonts w:ascii="Calibri" w:eastAsia="Times New Roman" w:hAnsi="Calibri" w:cs="Calibri"/>
                <w:b/>
                <w:bCs/>
                <w:kern w:val="0"/>
                <w14:ligatures w14:val="none"/>
              </w:rPr>
              <w:t>100.0%</w:t>
            </w:r>
          </w:p>
        </w:tc>
      </w:tr>
    </w:tbl>
    <w:p w14:paraId="0860E3B2" w14:textId="77777777" w:rsidR="00C85D47" w:rsidRDefault="00C85D47" w:rsidP="007A6977">
      <w:pPr>
        <w:spacing w:before="120" w:after="0" w:line="360" w:lineRule="auto"/>
      </w:pPr>
    </w:p>
    <w:p w14:paraId="01EF80FC" w14:textId="77777777" w:rsidR="006A58D6" w:rsidRDefault="00CF0236" w:rsidP="00843476">
      <w:pPr>
        <w:numPr>
          <w:ilvl w:val="0"/>
          <w:numId w:val="4"/>
        </w:numPr>
        <w:spacing w:before="120" w:after="120" w:line="360" w:lineRule="auto"/>
        <w:jc w:val="both"/>
      </w:pPr>
      <w:r w:rsidRPr="00CF0236">
        <w:t xml:space="preserve">In response to the </w:t>
      </w:r>
      <w:r>
        <w:t xml:space="preserve">ICA questions regarding price and competition, </w:t>
      </w:r>
      <w:r w:rsidR="000C701A">
        <w:t>FTI</w:t>
      </w:r>
      <w:r w:rsidRPr="00CF0236">
        <w:t xml:space="preserve"> analyzed the current share</w:t>
      </w:r>
      <w:r>
        <w:t>s</w:t>
      </w:r>
      <w:r w:rsidRPr="00CF0236">
        <w:t xml:space="preserve"> of </w:t>
      </w:r>
      <w:r>
        <w:t xml:space="preserve">DFCI </w:t>
      </w:r>
      <w:r w:rsidRPr="00CF0236">
        <w:t>and alternative providers</w:t>
      </w:r>
      <w:r w:rsidR="00681BC7">
        <w:t xml:space="preserve"> of inpatient cancer care in Massachusetts</w:t>
      </w:r>
      <w:r w:rsidRPr="00CF0236">
        <w:t>.</w:t>
      </w:r>
      <w:r w:rsidR="00681BC7">
        <w:t xml:space="preserve"> Table </w:t>
      </w:r>
      <w:r w:rsidR="00C228C7">
        <w:t>4</w:t>
      </w:r>
      <w:r w:rsidRPr="00CF0236">
        <w:t xml:space="preserve"> </w:t>
      </w:r>
      <w:r w:rsidR="00681BC7">
        <w:t xml:space="preserve">provides discharge volume and shares for total inpatient cancer care, </w:t>
      </w:r>
      <w:r w:rsidR="00271A49">
        <w:t xml:space="preserve">medical inpatient cancer care, and surgical inpatient cancer care by health system and hospital for 2022. DFCI accounted for 7,456 inpatient cancer care discharges in 2022 (10.2% of the state total). Of these, 1,022 occurred in the 30 DFCI licensed beds and the remaining 6,434 occurred in beds leased from BWH. DFCI’s inpatient cancer care discharges were split between medical care (5,923 discharges) and surgical care (1,533 discharges). Mass General Brigham and Beth Israel Lahey Health have the highest system-level shares (22.8% and 18.8% respectively), and Massachusetts General Hospital (MGH) is the largest single hospital provider of inpatient cancer care (11.5%). </w:t>
      </w:r>
      <w:r w:rsidR="0058058F">
        <w:t xml:space="preserve">BIDMC has 7.7% share. The distribution of inpatient cancer care </w:t>
      </w:r>
      <w:r w:rsidR="0058058F">
        <w:lastRenderedPageBreak/>
        <w:t xml:space="preserve">across hospitals is disperse, with seventy-one hospitals in twenty-three systems providing some amount of care. Surgical inpatient cancer care is somewhat more concentrated in Boston-area hospitals and academic medical centers (e.g., MGH, BIDMC, DFCI, Tufts Medical Center, </w:t>
      </w:r>
      <w:r w:rsidR="00A54CEE">
        <w:t>and Boston Medical Center</w:t>
      </w:r>
      <w:r w:rsidR="0058058F">
        <w:t>) than medical inpatient cancer care</w:t>
      </w:r>
      <w:r w:rsidR="00A54CEE">
        <w:t>, but the distribution is still diffuse</w:t>
      </w:r>
      <w:r w:rsidR="0058058F">
        <w:t xml:space="preserve"> </w:t>
      </w:r>
      <w:r w:rsidR="00A54CEE">
        <w:t>across the whole state.</w:t>
      </w:r>
      <w:r w:rsidR="00AB290B">
        <w:t xml:space="preserve"> </w:t>
      </w:r>
    </w:p>
    <w:p w14:paraId="24A3630D" w14:textId="77777777" w:rsidR="0085394E" w:rsidRDefault="0085394E" w:rsidP="0085394E">
      <w:pPr>
        <w:numPr>
          <w:ilvl w:val="0"/>
          <w:numId w:val="4"/>
        </w:numPr>
        <w:spacing w:before="120" w:after="120" w:line="360" w:lineRule="auto"/>
        <w:jc w:val="both"/>
      </w:pPr>
      <w:r>
        <w:t xml:space="preserve">Table 5 shows the number of discharges and average daily census for inpatient cancer care patients treated in DFCI or BWH beds. </w:t>
      </w:r>
      <w:r w:rsidRPr="006A58D6">
        <w:t xml:space="preserve">In 2022, BWH housed beds that served 10,481 inpatient cancer patients with an average daily census of 224 beds. Thirty beds </w:t>
      </w:r>
      <w:r>
        <w:t>were</w:t>
      </w:r>
      <w:r w:rsidRPr="006A58D6">
        <w:t xml:space="preserve"> licensed to DFCI, and DFCI physicians </w:t>
      </w:r>
      <w:r>
        <w:t xml:space="preserve">provided care for </w:t>
      </w:r>
      <w:r w:rsidRPr="006A58D6">
        <w:t xml:space="preserve">1,022 </w:t>
      </w:r>
      <w:r>
        <w:t xml:space="preserve">discharges </w:t>
      </w:r>
      <w:r w:rsidRPr="006A58D6">
        <w:t xml:space="preserve">in those beds in 2022. DFCI attending physicians also </w:t>
      </w:r>
      <w:r>
        <w:t>provided care for</w:t>
      </w:r>
      <w:r w:rsidRPr="006A58D6">
        <w:t xml:space="preserve"> 6,434 cancer </w:t>
      </w:r>
      <w:r>
        <w:t xml:space="preserve">discharges </w:t>
      </w:r>
      <w:r w:rsidRPr="006A58D6">
        <w:t xml:space="preserve">in beds leased from BWH. Separately, non-DFCI attending physicians </w:t>
      </w:r>
      <w:r>
        <w:t>provided care for</w:t>
      </w:r>
      <w:r w:rsidRPr="006A58D6">
        <w:t xml:space="preserve"> 3,025 inpatient cancer patients. The combined average daily census in 2022 of cancer patients in BWH-licensed beds (regardless of attending physician affiliation) was 204, with 136 being used by DFCI patients and 68 by BWH patients.</w:t>
      </w:r>
    </w:p>
    <w:p w14:paraId="0B24B8E0" w14:textId="77777777" w:rsidR="0085394E" w:rsidRDefault="0085394E" w:rsidP="0085394E">
      <w:pPr>
        <w:numPr>
          <w:ilvl w:val="0"/>
          <w:numId w:val="4"/>
        </w:numPr>
        <w:spacing w:before="120" w:after="120" w:line="360" w:lineRule="auto"/>
        <w:jc w:val="both"/>
      </w:pPr>
      <w:r>
        <w:t>Table 6 compares the distribution of patient origin for inpatient cancer care patients across all Massachusetts providers to the DFCI distribution. DFCI draws relatively more patients from Boston and its surrounding counties. DFCI serves significantly more out-of-state patients than the average Massachusetts hospital—at least 20.5% of its discharges.</w:t>
      </w:r>
      <w:r>
        <w:rPr>
          <w:rStyle w:val="FootnoteReference"/>
        </w:rPr>
        <w:footnoteReference w:id="49"/>
      </w:r>
      <w:r>
        <w:t xml:space="preserve"> While the ICA Questions focus on Massachusetts residents, the substantial number of out-of-state patients served by DFCI is relevant for assessing DFCI’s need calculations and for capacity constraints of the proposed new facility. These issues are more fully addressed in Section X below.</w:t>
      </w:r>
    </w:p>
    <w:p w14:paraId="4D50C8C8" w14:textId="77777777" w:rsidR="0075072D" w:rsidRDefault="0075072D" w:rsidP="002F61A6">
      <w:pPr>
        <w:pStyle w:val="Caption"/>
        <w:keepNext/>
        <w:jc w:val="center"/>
        <w:sectPr w:rsidR="0075072D" w:rsidSect="00E60BED">
          <w:headerReference w:type="default" r:id="rId14"/>
          <w:footerReference w:type="default" r:id="rId15"/>
          <w:headerReference w:type="first" r:id="rId16"/>
          <w:pgSz w:w="12240" w:h="15840"/>
          <w:pgMar w:top="1440" w:right="1440" w:bottom="1440" w:left="1440" w:header="720" w:footer="720" w:gutter="0"/>
          <w:cols w:space="720"/>
          <w:titlePg/>
          <w:docGrid w:linePitch="360"/>
        </w:sectPr>
      </w:pPr>
    </w:p>
    <w:p w14:paraId="770FDDDA" w14:textId="7F807B5C" w:rsidR="0075072D" w:rsidRDefault="002F61A6" w:rsidP="00DD23A1">
      <w:pPr>
        <w:pStyle w:val="Caption"/>
        <w:keepNext/>
        <w:jc w:val="center"/>
      </w:pPr>
      <w:bookmarkStart w:id="24" w:name="_Toc187401777"/>
      <w:r>
        <w:lastRenderedPageBreak/>
        <w:t xml:space="preserve">Table </w:t>
      </w:r>
      <w:fldSimple w:instr=" SEQ Table \* ARABIC ">
        <w:r w:rsidR="0085394E">
          <w:rPr>
            <w:noProof/>
          </w:rPr>
          <w:t>4</w:t>
        </w:r>
      </w:fldSimple>
      <w:r>
        <w:t>: Massachusetts Inpatient Cancer Care Discharges by Hospital, 2022</w:t>
      </w:r>
      <w:r>
        <w:rPr>
          <w:rStyle w:val="FootnoteReference"/>
        </w:rPr>
        <w:footnoteReference w:id="50"/>
      </w:r>
      <w:bookmarkEnd w:id="24"/>
    </w:p>
    <w:tbl>
      <w:tblPr>
        <w:tblW w:w="12950" w:type="dxa"/>
        <w:tblLayout w:type="fixed"/>
        <w:tblLook w:val="04A0" w:firstRow="1" w:lastRow="0" w:firstColumn="1" w:lastColumn="0" w:noHBand="0" w:noVBand="1"/>
      </w:tblPr>
      <w:tblGrid>
        <w:gridCol w:w="2510"/>
        <w:gridCol w:w="4140"/>
        <w:gridCol w:w="1050"/>
        <w:gridCol w:w="1050"/>
        <w:gridCol w:w="1050"/>
        <w:gridCol w:w="1050"/>
        <w:gridCol w:w="1050"/>
        <w:gridCol w:w="1050"/>
      </w:tblGrid>
      <w:tr w:rsidR="00DD23A1" w:rsidRPr="00DD23A1" w14:paraId="2714C094" w14:textId="77777777" w:rsidTr="00017609">
        <w:trPr>
          <w:cantSplit/>
          <w:trHeight w:val="216"/>
          <w:tblHeader/>
        </w:trPr>
        <w:tc>
          <w:tcPr>
            <w:tcW w:w="2510" w:type="dxa"/>
            <w:tcBorders>
              <w:top w:val="single" w:sz="8" w:space="0" w:color="auto"/>
              <w:left w:val="single" w:sz="8" w:space="0" w:color="auto"/>
              <w:bottom w:val="nil"/>
              <w:right w:val="nil"/>
            </w:tcBorders>
            <w:shd w:val="clear" w:color="000000" w:fill="002060"/>
            <w:noWrap/>
            <w:vAlign w:val="bottom"/>
            <w:hideMark/>
          </w:tcPr>
          <w:p w14:paraId="66353DA1" w14:textId="77777777" w:rsidR="00DD23A1" w:rsidRPr="00DD23A1" w:rsidRDefault="00DD23A1" w:rsidP="00DD23A1">
            <w:pPr>
              <w:spacing w:after="0" w:line="240" w:lineRule="auto"/>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 xml:space="preserve">System </w:t>
            </w:r>
          </w:p>
        </w:tc>
        <w:tc>
          <w:tcPr>
            <w:tcW w:w="4140" w:type="dxa"/>
            <w:tcBorders>
              <w:top w:val="single" w:sz="8" w:space="0" w:color="auto"/>
              <w:left w:val="nil"/>
              <w:bottom w:val="nil"/>
              <w:right w:val="nil"/>
            </w:tcBorders>
            <w:shd w:val="clear" w:color="000000" w:fill="002060"/>
            <w:noWrap/>
            <w:vAlign w:val="bottom"/>
            <w:hideMark/>
          </w:tcPr>
          <w:p w14:paraId="238A3191" w14:textId="77777777" w:rsidR="00DD23A1" w:rsidRPr="00DD23A1" w:rsidRDefault="00DD23A1" w:rsidP="00DD23A1">
            <w:pPr>
              <w:spacing w:after="0" w:line="240" w:lineRule="auto"/>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Hospital Name</w:t>
            </w:r>
          </w:p>
        </w:tc>
        <w:tc>
          <w:tcPr>
            <w:tcW w:w="1050" w:type="dxa"/>
            <w:tcBorders>
              <w:top w:val="single" w:sz="8" w:space="0" w:color="auto"/>
              <w:left w:val="nil"/>
              <w:bottom w:val="nil"/>
              <w:right w:val="nil"/>
            </w:tcBorders>
            <w:shd w:val="clear" w:color="000000" w:fill="002060"/>
            <w:noWrap/>
            <w:vAlign w:val="bottom"/>
            <w:hideMark/>
          </w:tcPr>
          <w:p w14:paraId="079C469F" w14:textId="77777777"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 xml:space="preserve"> Discharges </w:t>
            </w:r>
          </w:p>
        </w:tc>
        <w:tc>
          <w:tcPr>
            <w:tcW w:w="1050" w:type="dxa"/>
            <w:tcBorders>
              <w:top w:val="single" w:sz="8" w:space="0" w:color="auto"/>
              <w:left w:val="nil"/>
              <w:bottom w:val="nil"/>
              <w:right w:val="nil"/>
            </w:tcBorders>
            <w:shd w:val="clear" w:color="000000" w:fill="002060"/>
            <w:vAlign w:val="bottom"/>
            <w:hideMark/>
          </w:tcPr>
          <w:p w14:paraId="114DE50E" w14:textId="77777777"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Share of Discharges</w:t>
            </w:r>
          </w:p>
        </w:tc>
        <w:tc>
          <w:tcPr>
            <w:tcW w:w="1050" w:type="dxa"/>
            <w:tcBorders>
              <w:top w:val="single" w:sz="8" w:space="0" w:color="auto"/>
              <w:left w:val="single" w:sz="8" w:space="0" w:color="auto"/>
              <w:bottom w:val="nil"/>
              <w:right w:val="nil"/>
            </w:tcBorders>
            <w:shd w:val="clear" w:color="000000" w:fill="002060"/>
            <w:vAlign w:val="bottom"/>
            <w:hideMark/>
          </w:tcPr>
          <w:p w14:paraId="745912C3" w14:textId="293EA07B"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 xml:space="preserve"> Medical Discharg</w:t>
            </w:r>
            <w:r w:rsidRPr="000F3544">
              <w:rPr>
                <w:rFonts w:ascii="Calibri" w:eastAsia="Times New Roman" w:hAnsi="Calibri" w:cs="Calibri"/>
                <w:b/>
                <w:bCs/>
                <w:color w:val="FFFFFF"/>
                <w:kern w:val="0"/>
                <w:sz w:val="18"/>
                <w:szCs w:val="18"/>
                <w14:ligatures w14:val="none"/>
              </w:rPr>
              <w:t>e</w:t>
            </w:r>
            <w:r w:rsidRPr="00DD23A1">
              <w:rPr>
                <w:rFonts w:ascii="Calibri" w:eastAsia="Times New Roman" w:hAnsi="Calibri" w:cs="Calibri"/>
                <w:b/>
                <w:bCs/>
                <w:color w:val="FFFFFF"/>
                <w:kern w:val="0"/>
                <w:sz w:val="18"/>
                <w:szCs w:val="18"/>
                <w14:ligatures w14:val="none"/>
              </w:rPr>
              <w:t xml:space="preserve">s </w:t>
            </w:r>
          </w:p>
        </w:tc>
        <w:tc>
          <w:tcPr>
            <w:tcW w:w="1050" w:type="dxa"/>
            <w:tcBorders>
              <w:top w:val="single" w:sz="8" w:space="0" w:color="auto"/>
              <w:left w:val="nil"/>
              <w:bottom w:val="nil"/>
              <w:right w:val="single" w:sz="8" w:space="0" w:color="auto"/>
            </w:tcBorders>
            <w:shd w:val="clear" w:color="000000" w:fill="002060"/>
            <w:vAlign w:val="bottom"/>
            <w:hideMark/>
          </w:tcPr>
          <w:p w14:paraId="1831CA63" w14:textId="77777777"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Share of Medical Discharges</w:t>
            </w:r>
          </w:p>
        </w:tc>
        <w:tc>
          <w:tcPr>
            <w:tcW w:w="1050" w:type="dxa"/>
            <w:tcBorders>
              <w:top w:val="single" w:sz="8" w:space="0" w:color="auto"/>
              <w:left w:val="nil"/>
              <w:bottom w:val="nil"/>
              <w:right w:val="nil"/>
            </w:tcBorders>
            <w:shd w:val="clear" w:color="000000" w:fill="002060"/>
            <w:vAlign w:val="bottom"/>
            <w:hideMark/>
          </w:tcPr>
          <w:p w14:paraId="492E0212" w14:textId="77777777"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 xml:space="preserve"> Surgical Discharges </w:t>
            </w:r>
          </w:p>
        </w:tc>
        <w:tc>
          <w:tcPr>
            <w:tcW w:w="1050" w:type="dxa"/>
            <w:tcBorders>
              <w:top w:val="single" w:sz="8" w:space="0" w:color="auto"/>
              <w:left w:val="nil"/>
              <w:bottom w:val="nil"/>
              <w:right w:val="single" w:sz="8" w:space="0" w:color="auto"/>
            </w:tcBorders>
            <w:shd w:val="clear" w:color="000000" w:fill="002060"/>
            <w:vAlign w:val="bottom"/>
            <w:hideMark/>
          </w:tcPr>
          <w:p w14:paraId="051238AC" w14:textId="77777777" w:rsidR="00DD23A1" w:rsidRPr="00DD23A1" w:rsidRDefault="00DD23A1" w:rsidP="00DD23A1">
            <w:pPr>
              <w:spacing w:after="0" w:line="240" w:lineRule="auto"/>
              <w:jc w:val="center"/>
              <w:rPr>
                <w:rFonts w:ascii="Calibri" w:eastAsia="Times New Roman" w:hAnsi="Calibri" w:cs="Calibri"/>
                <w:b/>
                <w:bCs/>
                <w:color w:val="FFFFFF"/>
                <w:kern w:val="0"/>
                <w:sz w:val="18"/>
                <w:szCs w:val="18"/>
                <w14:ligatures w14:val="none"/>
              </w:rPr>
            </w:pPr>
            <w:r w:rsidRPr="00DD23A1">
              <w:rPr>
                <w:rFonts w:ascii="Calibri" w:eastAsia="Times New Roman" w:hAnsi="Calibri" w:cs="Calibri"/>
                <w:b/>
                <w:bCs/>
                <w:color w:val="FFFFFF"/>
                <w:kern w:val="0"/>
                <w:sz w:val="18"/>
                <w:szCs w:val="18"/>
                <w14:ligatures w14:val="none"/>
              </w:rPr>
              <w:t>Share of Surgical Discharges</w:t>
            </w:r>
          </w:p>
        </w:tc>
      </w:tr>
      <w:tr w:rsidR="00DD23A1" w:rsidRPr="00DD23A1" w14:paraId="6B7752BC"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622CBA0A"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4140" w:type="dxa"/>
            <w:tcBorders>
              <w:top w:val="single" w:sz="4" w:space="0" w:color="auto"/>
              <w:left w:val="nil"/>
              <w:bottom w:val="single" w:sz="4" w:space="0" w:color="D9D9D9"/>
              <w:right w:val="nil"/>
            </w:tcBorders>
            <w:shd w:val="clear" w:color="auto" w:fill="auto"/>
            <w:noWrap/>
            <w:vAlign w:val="bottom"/>
            <w:hideMark/>
          </w:tcPr>
          <w:p w14:paraId="68EA0E63"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w:t>
            </w:r>
          </w:p>
        </w:tc>
        <w:tc>
          <w:tcPr>
            <w:tcW w:w="1050" w:type="dxa"/>
            <w:tcBorders>
              <w:top w:val="single" w:sz="4" w:space="0" w:color="auto"/>
              <w:left w:val="nil"/>
              <w:bottom w:val="single" w:sz="4" w:space="0" w:color="D9D9D9"/>
              <w:right w:val="nil"/>
            </w:tcBorders>
            <w:shd w:val="clear" w:color="auto" w:fill="auto"/>
            <w:noWrap/>
            <w:vAlign w:val="bottom"/>
            <w:hideMark/>
          </w:tcPr>
          <w:p w14:paraId="7636D65C"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73,155 </w:t>
            </w:r>
          </w:p>
        </w:tc>
        <w:tc>
          <w:tcPr>
            <w:tcW w:w="1050" w:type="dxa"/>
            <w:tcBorders>
              <w:top w:val="single" w:sz="4" w:space="0" w:color="auto"/>
              <w:left w:val="nil"/>
              <w:bottom w:val="single" w:sz="4" w:space="0" w:color="D9D9D9"/>
              <w:right w:val="nil"/>
            </w:tcBorders>
            <w:shd w:val="clear" w:color="auto" w:fill="auto"/>
            <w:noWrap/>
            <w:vAlign w:val="bottom"/>
            <w:hideMark/>
          </w:tcPr>
          <w:p w14:paraId="30CA84EE"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100%</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645A5B87"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63,576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976254D"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100%</w:t>
            </w:r>
          </w:p>
        </w:tc>
        <w:tc>
          <w:tcPr>
            <w:tcW w:w="1050" w:type="dxa"/>
            <w:tcBorders>
              <w:top w:val="single" w:sz="4" w:space="0" w:color="auto"/>
              <w:left w:val="nil"/>
              <w:bottom w:val="single" w:sz="4" w:space="0" w:color="D9D9D9"/>
              <w:right w:val="nil"/>
            </w:tcBorders>
            <w:shd w:val="clear" w:color="auto" w:fill="auto"/>
            <w:noWrap/>
            <w:vAlign w:val="bottom"/>
            <w:hideMark/>
          </w:tcPr>
          <w:p w14:paraId="4482045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9,579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4AEC6F5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100%</w:t>
            </w:r>
          </w:p>
        </w:tc>
      </w:tr>
      <w:tr w:rsidR="00DD23A1" w:rsidRPr="00DD23A1" w14:paraId="39FAC5DC"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5BADEE1B"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Mass General Brigham</w:t>
            </w:r>
          </w:p>
        </w:tc>
        <w:tc>
          <w:tcPr>
            <w:tcW w:w="4140" w:type="dxa"/>
            <w:tcBorders>
              <w:top w:val="single" w:sz="4" w:space="0" w:color="auto"/>
              <w:left w:val="nil"/>
              <w:bottom w:val="single" w:sz="4" w:space="0" w:color="D9D9D9"/>
              <w:right w:val="nil"/>
            </w:tcBorders>
            <w:shd w:val="clear" w:color="auto" w:fill="auto"/>
            <w:noWrap/>
            <w:vAlign w:val="bottom"/>
            <w:hideMark/>
          </w:tcPr>
          <w:p w14:paraId="3A946CBB"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6B1C237D"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16,656 </w:t>
            </w:r>
          </w:p>
        </w:tc>
        <w:tc>
          <w:tcPr>
            <w:tcW w:w="1050" w:type="dxa"/>
            <w:tcBorders>
              <w:top w:val="single" w:sz="4" w:space="0" w:color="auto"/>
              <w:left w:val="nil"/>
              <w:bottom w:val="single" w:sz="4" w:space="0" w:color="D9D9D9"/>
              <w:right w:val="nil"/>
            </w:tcBorders>
            <w:shd w:val="clear" w:color="auto" w:fill="auto"/>
            <w:noWrap/>
            <w:vAlign w:val="bottom"/>
            <w:hideMark/>
          </w:tcPr>
          <w:p w14:paraId="318A5F48"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22.8%</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2476242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14,377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63559B39"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22.6%</w:t>
            </w:r>
          </w:p>
        </w:tc>
        <w:tc>
          <w:tcPr>
            <w:tcW w:w="1050" w:type="dxa"/>
            <w:tcBorders>
              <w:top w:val="single" w:sz="4" w:space="0" w:color="auto"/>
              <w:left w:val="nil"/>
              <w:bottom w:val="single" w:sz="4" w:space="0" w:color="D9D9D9"/>
              <w:right w:val="nil"/>
            </w:tcBorders>
            <w:shd w:val="clear" w:color="auto" w:fill="auto"/>
            <w:noWrap/>
            <w:vAlign w:val="bottom"/>
            <w:hideMark/>
          </w:tcPr>
          <w:p w14:paraId="6630B63E"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2,279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5CC4EDF"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23.8%</w:t>
            </w:r>
          </w:p>
        </w:tc>
      </w:tr>
      <w:tr w:rsidR="00DD23A1" w:rsidRPr="00DD23A1" w14:paraId="6C83DA14"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648564B5"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Mass General Brigham</w:t>
            </w:r>
          </w:p>
        </w:tc>
        <w:tc>
          <w:tcPr>
            <w:tcW w:w="4140" w:type="dxa"/>
            <w:tcBorders>
              <w:top w:val="nil"/>
              <w:left w:val="nil"/>
              <w:bottom w:val="single" w:sz="4" w:space="0" w:color="D9D9D9"/>
              <w:right w:val="nil"/>
            </w:tcBorders>
            <w:shd w:val="clear" w:color="auto" w:fill="auto"/>
            <w:noWrap/>
            <w:vAlign w:val="bottom"/>
            <w:hideMark/>
          </w:tcPr>
          <w:p w14:paraId="6C756126"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Massachusetts General Hospital</w:t>
            </w:r>
          </w:p>
        </w:tc>
        <w:tc>
          <w:tcPr>
            <w:tcW w:w="1050" w:type="dxa"/>
            <w:tcBorders>
              <w:top w:val="nil"/>
              <w:left w:val="nil"/>
              <w:bottom w:val="single" w:sz="4" w:space="0" w:color="D9D9D9"/>
              <w:right w:val="nil"/>
            </w:tcBorders>
            <w:shd w:val="clear" w:color="auto" w:fill="auto"/>
            <w:noWrap/>
            <w:vAlign w:val="bottom"/>
            <w:hideMark/>
          </w:tcPr>
          <w:p w14:paraId="6E1CD02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8,446 </w:t>
            </w:r>
          </w:p>
        </w:tc>
        <w:tc>
          <w:tcPr>
            <w:tcW w:w="1050" w:type="dxa"/>
            <w:tcBorders>
              <w:top w:val="nil"/>
              <w:left w:val="nil"/>
              <w:bottom w:val="single" w:sz="4" w:space="0" w:color="D9D9D9"/>
              <w:right w:val="nil"/>
            </w:tcBorders>
            <w:shd w:val="clear" w:color="auto" w:fill="auto"/>
            <w:noWrap/>
            <w:vAlign w:val="bottom"/>
            <w:hideMark/>
          </w:tcPr>
          <w:p w14:paraId="6269A6C1"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11.5%</w:t>
            </w:r>
          </w:p>
        </w:tc>
        <w:tc>
          <w:tcPr>
            <w:tcW w:w="1050" w:type="dxa"/>
            <w:tcBorders>
              <w:top w:val="nil"/>
              <w:left w:val="single" w:sz="8" w:space="0" w:color="auto"/>
              <w:bottom w:val="single" w:sz="4" w:space="0" w:color="D9D9D9"/>
              <w:right w:val="nil"/>
            </w:tcBorders>
            <w:shd w:val="clear" w:color="auto" w:fill="auto"/>
            <w:noWrap/>
            <w:vAlign w:val="bottom"/>
            <w:hideMark/>
          </w:tcPr>
          <w:p w14:paraId="0A2F2471"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7,161 </w:t>
            </w:r>
          </w:p>
        </w:tc>
        <w:tc>
          <w:tcPr>
            <w:tcW w:w="1050" w:type="dxa"/>
            <w:tcBorders>
              <w:top w:val="nil"/>
              <w:left w:val="nil"/>
              <w:bottom w:val="single" w:sz="4" w:space="0" w:color="D9D9D9"/>
              <w:right w:val="single" w:sz="8" w:space="0" w:color="auto"/>
            </w:tcBorders>
            <w:shd w:val="clear" w:color="auto" w:fill="auto"/>
            <w:noWrap/>
            <w:vAlign w:val="bottom"/>
            <w:hideMark/>
          </w:tcPr>
          <w:p w14:paraId="4D95ACD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11.3%</w:t>
            </w:r>
          </w:p>
        </w:tc>
        <w:tc>
          <w:tcPr>
            <w:tcW w:w="1050" w:type="dxa"/>
            <w:tcBorders>
              <w:top w:val="nil"/>
              <w:left w:val="nil"/>
              <w:bottom w:val="single" w:sz="4" w:space="0" w:color="D9D9D9"/>
              <w:right w:val="nil"/>
            </w:tcBorders>
            <w:shd w:val="clear" w:color="auto" w:fill="auto"/>
            <w:noWrap/>
            <w:vAlign w:val="bottom"/>
            <w:hideMark/>
          </w:tcPr>
          <w:p w14:paraId="02155B6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1,285 </w:t>
            </w:r>
          </w:p>
        </w:tc>
        <w:tc>
          <w:tcPr>
            <w:tcW w:w="1050" w:type="dxa"/>
            <w:tcBorders>
              <w:top w:val="nil"/>
              <w:left w:val="nil"/>
              <w:bottom w:val="single" w:sz="4" w:space="0" w:color="D9D9D9"/>
              <w:right w:val="single" w:sz="8" w:space="0" w:color="auto"/>
            </w:tcBorders>
            <w:shd w:val="clear" w:color="auto" w:fill="auto"/>
            <w:noWrap/>
            <w:vAlign w:val="bottom"/>
            <w:hideMark/>
          </w:tcPr>
          <w:p w14:paraId="08602BF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13.4%</w:t>
            </w:r>
          </w:p>
        </w:tc>
      </w:tr>
      <w:tr w:rsidR="00DD23A1" w:rsidRPr="00DD23A1" w14:paraId="3BBBB2D8"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1952344F"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Mass General Brigham</w:t>
            </w:r>
          </w:p>
        </w:tc>
        <w:tc>
          <w:tcPr>
            <w:tcW w:w="4140" w:type="dxa"/>
            <w:tcBorders>
              <w:top w:val="nil"/>
              <w:left w:val="nil"/>
              <w:bottom w:val="single" w:sz="4" w:space="0" w:color="D9D9D9"/>
              <w:right w:val="nil"/>
            </w:tcBorders>
            <w:shd w:val="clear" w:color="auto" w:fill="auto"/>
            <w:noWrap/>
            <w:vAlign w:val="bottom"/>
            <w:hideMark/>
          </w:tcPr>
          <w:p w14:paraId="01AD796B"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Brigham and Women's Hospital</w:t>
            </w:r>
          </w:p>
        </w:tc>
        <w:tc>
          <w:tcPr>
            <w:tcW w:w="1050" w:type="dxa"/>
            <w:tcBorders>
              <w:top w:val="nil"/>
              <w:left w:val="nil"/>
              <w:bottom w:val="single" w:sz="4" w:space="0" w:color="D9D9D9"/>
              <w:right w:val="nil"/>
            </w:tcBorders>
            <w:shd w:val="clear" w:color="auto" w:fill="auto"/>
            <w:noWrap/>
            <w:vAlign w:val="bottom"/>
            <w:hideMark/>
          </w:tcPr>
          <w:p w14:paraId="7717B29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3,025 </w:t>
            </w:r>
          </w:p>
        </w:tc>
        <w:tc>
          <w:tcPr>
            <w:tcW w:w="1050" w:type="dxa"/>
            <w:tcBorders>
              <w:top w:val="nil"/>
              <w:left w:val="nil"/>
              <w:bottom w:val="single" w:sz="4" w:space="0" w:color="D9D9D9"/>
              <w:right w:val="nil"/>
            </w:tcBorders>
            <w:shd w:val="clear" w:color="auto" w:fill="auto"/>
            <w:noWrap/>
            <w:vAlign w:val="bottom"/>
            <w:hideMark/>
          </w:tcPr>
          <w:p w14:paraId="632C52C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4.1%</w:t>
            </w:r>
          </w:p>
        </w:tc>
        <w:tc>
          <w:tcPr>
            <w:tcW w:w="1050" w:type="dxa"/>
            <w:tcBorders>
              <w:top w:val="nil"/>
              <w:left w:val="single" w:sz="8" w:space="0" w:color="auto"/>
              <w:bottom w:val="single" w:sz="4" w:space="0" w:color="D9D9D9"/>
              <w:right w:val="nil"/>
            </w:tcBorders>
            <w:shd w:val="clear" w:color="auto" w:fill="auto"/>
            <w:noWrap/>
            <w:vAlign w:val="bottom"/>
            <w:hideMark/>
          </w:tcPr>
          <w:p w14:paraId="36719FE6"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2,836 </w:t>
            </w:r>
          </w:p>
        </w:tc>
        <w:tc>
          <w:tcPr>
            <w:tcW w:w="1050" w:type="dxa"/>
            <w:tcBorders>
              <w:top w:val="nil"/>
              <w:left w:val="nil"/>
              <w:bottom w:val="single" w:sz="4" w:space="0" w:color="D9D9D9"/>
              <w:right w:val="single" w:sz="8" w:space="0" w:color="auto"/>
            </w:tcBorders>
            <w:shd w:val="clear" w:color="auto" w:fill="auto"/>
            <w:noWrap/>
            <w:vAlign w:val="bottom"/>
            <w:hideMark/>
          </w:tcPr>
          <w:p w14:paraId="40100615"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4.5%</w:t>
            </w:r>
          </w:p>
        </w:tc>
        <w:tc>
          <w:tcPr>
            <w:tcW w:w="1050" w:type="dxa"/>
            <w:tcBorders>
              <w:top w:val="nil"/>
              <w:left w:val="nil"/>
              <w:bottom w:val="single" w:sz="4" w:space="0" w:color="D9D9D9"/>
              <w:right w:val="nil"/>
            </w:tcBorders>
            <w:shd w:val="clear" w:color="auto" w:fill="auto"/>
            <w:noWrap/>
            <w:vAlign w:val="bottom"/>
            <w:hideMark/>
          </w:tcPr>
          <w:p w14:paraId="41C63111"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189 </w:t>
            </w:r>
          </w:p>
        </w:tc>
        <w:tc>
          <w:tcPr>
            <w:tcW w:w="1050" w:type="dxa"/>
            <w:tcBorders>
              <w:top w:val="nil"/>
              <w:left w:val="nil"/>
              <w:bottom w:val="single" w:sz="4" w:space="0" w:color="D9D9D9"/>
              <w:right w:val="single" w:sz="8" w:space="0" w:color="auto"/>
            </w:tcBorders>
            <w:shd w:val="clear" w:color="auto" w:fill="auto"/>
            <w:noWrap/>
            <w:vAlign w:val="bottom"/>
            <w:hideMark/>
          </w:tcPr>
          <w:p w14:paraId="6B55200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2.0%</w:t>
            </w:r>
          </w:p>
        </w:tc>
      </w:tr>
      <w:tr w:rsidR="00DD23A1" w:rsidRPr="00DD23A1" w14:paraId="00454014"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2AC8E8C1"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Mass General Brigham</w:t>
            </w:r>
          </w:p>
        </w:tc>
        <w:tc>
          <w:tcPr>
            <w:tcW w:w="4140" w:type="dxa"/>
            <w:tcBorders>
              <w:top w:val="nil"/>
              <w:left w:val="nil"/>
              <w:bottom w:val="single" w:sz="4" w:space="0" w:color="D9D9D9"/>
              <w:right w:val="nil"/>
            </w:tcBorders>
            <w:shd w:val="clear" w:color="auto" w:fill="auto"/>
            <w:noWrap/>
            <w:vAlign w:val="bottom"/>
            <w:hideMark/>
          </w:tcPr>
          <w:p w14:paraId="7895F73F"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North Shore Medical Center - Salem Campus</w:t>
            </w:r>
          </w:p>
        </w:tc>
        <w:tc>
          <w:tcPr>
            <w:tcW w:w="1050" w:type="dxa"/>
            <w:tcBorders>
              <w:top w:val="nil"/>
              <w:left w:val="nil"/>
              <w:bottom w:val="single" w:sz="4" w:space="0" w:color="D9D9D9"/>
              <w:right w:val="nil"/>
            </w:tcBorders>
            <w:shd w:val="clear" w:color="auto" w:fill="auto"/>
            <w:noWrap/>
            <w:vAlign w:val="bottom"/>
            <w:hideMark/>
          </w:tcPr>
          <w:p w14:paraId="2C3B2280"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1,747 </w:t>
            </w:r>
          </w:p>
        </w:tc>
        <w:tc>
          <w:tcPr>
            <w:tcW w:w="1050" w:type="dxa"/>
            <w:tcBorders>
              <w:top w:val="nil"/>
              <w:left w:val="nil"/>
              <w:bottom w:val="single" w:sz="4" w:space="0" w:color="D9D9D9"/>
              <w:right w:val="nil"/>
            </w:tcBorders>
            <w:shd w:val="clear" w:color="auto" w:fill="auto"/>
            <w:noWrap/>
            <w:vAlign w:val="bottom"/>
            <w:hideMark/>
          </w:tcPr>
          <w:p w14:paraId="73A750A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2.4%</w:t>
            </w:r>
          </w:p>
        </w:tc>
        <w:tc>
          <w:tcPr>
            <w:tcW w:w="1050" w:type="dxa"/>
            <w:tcBorders>
              <w:top w:val="nil"/>
              <w:left w:val="single" w:sz="8" w:space="0" w:color="auto"/>
              <w:bottom w:val="single" w:sz="4" w:space="0" w:color="D9D9D9"/>
              <w:right w:val="nil"/>
            </w:tcBorders>
            <w:shd w:val="clear" w:color="auto" w:fill="auto"/>
            <w:noWrap/>
            <w:vAlign w:val="bottom"/>
            <w:hideMark/>
          </w:tcPr>
          <w:p w14:paraId="74CE13C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1,579 </w:t>
            </w:r>
          </w:p>
        </w:tc>
        <w:tc>
          <w:tcPr>
            <w:tcW w:w="1050" w:type="dxa"/>
            <w:tcBorders>
              <w:top w:val="nil"/>
              <w:left w:val="nil"/>
              <w:bottom w:val="single" w:sz="4" w:space="0" w:color="D9D9D9"/>
              <w:right w:val="single" w:sz="8" w:space="0" w:color="auto"/>
            </w:tcBorders>
            <w:shd w:val="clear" w:color="auto" w:fill="auto"/>
            <w:noWrap/>
            <w:vAlign w:val="bottom"/>
            <w:hideMark/>
          </w:tcPr>
          <w:p w14:paraId="20DA602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2.5%</w:t>
            </w:r>
          </w:p>
        </w:tc>
        <w:tc>
          <w:tcPr>
            <w:tcW w:w="1050" w:type="dxa"/>
            <w:tcBorders>
              <w:top w:val="nil"/>
              <w:left w:val="nil"/>
              <w:bottom w:val="single" w:sz="4" w:space="0" w:color="D9D9D9"/>
              <w:right w:val="nil"/>
            </w:tcBorders>
            <w:shd w:val="clear" w:color="auto" w:fill="auto"/>
            <w:noWrap/>
            <w:vAlign w:val="bottom"/>
            <w:hideMark/>
          </w:tcPr>
          <w:p w14:paraId="74A6EF4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168 </w:t>
            </w:r>
          </w:p>
        </w:tc>
        <w:tc>
          <w:tcPr>
            <w:tcW w:w="1050" w:type="dxa"/>
            <w:tcBorders>
              <w:top w:val="nil"/>
              <w:left w:val="nil"/>
              <w:bottom w:val="single" w:sz="4" w:space="0" w:color="D9D9D9"/>
              <w:right w:val="single" w:sz="8" w:space="0" w:color="auto"/>
            </w:tcBorders>
            <w:shd w:val="clear" w:color="auto" w:fill="auto"/>
            <w:noWrap/>
            <w:vAlign w:val="bottom"/>
            <w:hideMark/>
          </w:tcPr>
          <w:p w14:paraId="4335C14B"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1.8%</w:t>
            </w:r>
          </w:p>
        </w:tc>
      </w:tr>
      <w:tr w:rsidR="00DD23A1" w:rsidRPr="00DD23A1" w14:paraId="519E8D3D"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7BB7ECF8"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Mass General Brigham</w:t>
            </w:r>
          </w:p>
        </w:tc>
        <w:tc>
          <w:tcPr>
            <w:tcW w:w="4140" w:type="dxa"/>
            <w:tcBorders>
              <w:top w:val="nil"/>
              <w:left w:val="nil"/>
              <w:bottom w:val="single" w:sz="4" w:space="0" w:color="D9D9D9"/>
              <w:right w:val="nil"/>
            </w:tcBorders>
            <w:shd w:val="clear" w:color="auto" w:fill="auto"/>
            <w:noWrap/>
            <w:vAlign w:val="bottom"/>
            <w:hideMark/>
          </w:tcPr>
          <w:p w14:paraId="5A0ADEA7"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Newton-Wellesley Hospital</w:t>
            </w:r>
          </w:p>
        </w:tc>
        <w:tc>
          <w:tcPr>
            <w:tcW w:w="1050" w:type="dxa"/>
            <w:tcBorders>
              <w:top w:val="nil"/>
              <w:left w:val="nil"/>
              <w:bottom w:val="single" w:sz="4" w:space="0" w:color="D9D9D9"/>
              <w:right w:val="nil"/>
            </w:tcBorders>
            <w:shd w:val="clear" w:color="auto" w:fill="auto"/>
            <w:noWrap/>
            <w:vAlign w:val="bottom"/>
            <w:hideMark/>
          </w:tcPr>
          <w:p w14:paraId="6E0C9EE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1,569 </w:t>
            </w:r>
          </w:p>
        </w:tc>
        <w:tc>
          <w:tcPr>
            <w:tcW w:w="1050" w:type="dxa"/>
            <w:tcBorders>
              <w:top w:val="nil"/>
              <w:left w:val="nil"/>
              <w:bottom w:val="single" w:sz="4" w:space="0" w:color="D9D9D9"/>
              <w:right w:val="nil"/>
            </w:tcBorders>
            <w:shd w:val="clear" w:color="auto" w:fill="auto"/>
            <w:noWrap/>
            <w:vAlign w:val="bottom"/>
            <w:hideMark/>
          </w:tcPr>
          <w:p w14:paraId="753A10B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2.1%</w:t>
            </w:r>
          </w:p>
        </w:tc>
        <w:tc>
          <w:tcPr>
            <w:tcW w:w="1050" w:type="dxa"/>
            <w:tcBorders>
              <w:top w:val="nil"/>
              <w:left w:val="single" w:sz="8" w:space="0" w:color="auto"/>
              <w:bottom w:val="single" w:sz="4" w:space="0" w:color="D9D9D9"/>
              <w:right w:val="nil"/>
            </w:tcBorders>
            <w:shd w:val="clear" w:color="auto" w:fill="auto"/>
            <w:noWrap/>
            <w:vAlign w:val="bottom"/>
            <w:hideMark/>
          </w:tcPr>
          <w:p w14:paraId="4FA0FB4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1,374 </w:t>
            </w:r>
          </w:p>
        </w:tc>
        <w:tc>
          <w:tcPr>
            <w:tcW w:w="1050" w:type="dxa"/>
            <w:tcBorders>
              <w:top w:val="nil"/>
              <w:left w:val="nil"/>
              <w:bottom w:val="single" w:sz="4" w:space="0" w:color="D9D9D9"/>
              <w:right w:val="single" w:sz="8" w:space="0" w:color="auto"/>
            </w:tcBorders>
            <w:shd w:val="clear" w:color="auto" w:fill="auto"/>
            <w:noWrap/>
            <w:vAlign w:val="bottom"/>
            <w:hideMark/>
          </w:tcPr>
          <w:p w14:paraId="6DD58E50"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2.2%</w:t>
            </w:r>
          </w:p>
        </w:tc>
        <w:tc>
          <w:tcPr>
            <w:tcW w:w="1050" w:type="dxa"/>
            <w:tcBorders>
              <w:top w:val="nil"/>
              <w:left w:val="nil"/>
              <w:bottom w:val="single" w:sz="4" w:space="0" w:color="D9D9D9"/>
              <w:right w:val="nil"/>
            </w:tcBorders>
            <w:shd w:val="clear" w:color="auto" w:fill="auto"/>
            <w:noWrap/>
            <w:vAlign w:val="bottom"/>
            <w:hideMark/>
          </w:tcPr>
          <w:p w14:paraId="34C18EFF"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195 </w:t>
            </w:r>
          </w:p>
        </w:tc>
        <w:tc>
          <w:tcPr>
            <w:tcW w:w="1050" w:type="dxa"/>
            <w:tcBorders>
              <w:top w:val="nil"/>
              <w:left w:val="nil"/>
              <w:bottom w:val="single" w:sz="4" w:space="0" w:color="D9D9D9"/>
              <w:right w:val="single" w:sz="8" w:space="0" w:color="auto"/>
            </w:tcBorders>
            <w:shd w:val="clear" w:color="auto" w:fill="auto"/>
            <w:noWrap/>
            <w:vAlign w:val="bottom"/>
            <w:hideMark/>
          </w:tcPr>
          <w:p w14:paraId="009790E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2.0%</w:t>
            </w:r>
          </w:p>
        </w:tc>
      </w:tr>
      <w:tr w:rsidR="00DD23A1" w:rsidRPr="00DD23A1" w14:paraId="5EE69857"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4A9D3427"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Beth Israel Lahey Health</w:t>
            </w:r>
          </w:p>
        </w:tc>
        <w:tc>
          <w:tcPr>
            <w:tcW w:w="4140" w:type="dxa"/>
            <w:tcBorders>
              <w:top w:val="single" w:sz="4" w:space="0" w:color="auto"/>
              <w:left w:val="nil"/>
              <w:bottom w:val="single" w:sz="4" w:space="0" w:color="D9D9D9"/>
              <w:right w:val="nil"/>
            </w:tcBorders>
            <w:shd w:val="clear" w:color="auto" w:fill="auto"/>
            <w:noWrap/>
            <w:vAlign w:val="bottom"/>
            <w:hideMark/>
          </w:tcPr>
          <w:p w14:paraId="0BE69D0E"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2923D03E"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13,768 </w:t>
            </w:r>
          </w:p>
        </w:tc>
        <w:tc>
          <w:tcPr>
            <w:tcW w:w="1050" w:type="dxa"/>
            <w:tcBorders>
              <w:top w:val="single" w:sz="4" w:space="0" w:color="auto"/>
              <w:left w:val="nil"/>
              <w:bottom w:val="single" w:sz="4" w:space="0" w:color="D9D9D9"/>
              <w:right w:val="nil"/>
            </w:tcBorders>
            <w:shd w:val="clear" w:color="auto" w:fill="auto"/>
            <w:noWrap/>
            <w:vAlign w:val="bottom"/>
            <w:hideMark/>
          </w:tcPr>
          <w:p w14:paraId="5DF8B02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18.8%</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288B2CB3"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11,938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E3EA903"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18.8%</w:t>
            </w:r>
          </w:p>
        </w:tc>
        <w:tc>
          <w:tcPr>
            <w:tcW w:w="1050" w:type="dxa"/>
            <w:tcBorders>
              <w:top w:val="single" w:sz="4" w:space="0" w:color="auto"/>
              <w:left w:val="nil"/>
              <w:bottom w:val="single" w:sz="4" w:space="0" w:color="D9D9D9"/>
              <w:right w:val="nil"/>
            </w:tcBorders>
            <w:shd w:val="clear" w:color="auto" w:fill="auto"/>
            <w:noWrap/>
            <w:vAlign w:val="bottom"/>
            <w:hideMark/>
          </w:tcPr>
          <w:p w14:paraId="44E6DE1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1,830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67E1DCF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19.1%</w:t>
            </w:r>
          </w:p>
        </w:tc>
      </w:tr>
      <w:tr w:rsidR="00DD23A1" w:rsidRPr="00DD23A1" w14:paraId="1B161DC7"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4F6F2CAD"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Beth Israel Lahey Health</w:t>
            </w:r>
          </w:p>
        </w:tc>
        <w:tc>
          <w:tcPr>
            <w:tcW w:w="4140" w:type="dxa"/>
            <w:tcBorders>
              <w:top w:val="nil"/>
              <w:left w:val="nil"/>
              <w:bottom w:val="single" w:sz="4" w:space="0" w:color="D9D9D9"/>
              <w:right w:val="nil"/>
            </w:tcBorders>
            <w:shd w:val="clear" w:color="auto" w:fill="auto"/>
            <w:noWrap/>
            <w:vAlign w:val="bottom"/>
            <w:hideMark/>
          </w:tcPr>
          <w:p w14:paraId="7711D857"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Beth Israel Deaconess Medical Center - East Campus</w:t>
            </w:r>
          </w:p>
        </w:tc>
        <w:tc>
          <w:tcPr>
            <w:tcW w:w="1050" w:type="dxa"/>
            <w:tcBorders>
              <w:top w:val="nil"/>
              <w:left w:val="nil"/>
              <w:bottom w:val="single" w:sz="4" w:space="0" w:color="D9D9D9"/>
              <w:right w:val="nil"/>
            </w:tcBorders>
            <w:shd w:val="clear" w:color="auto" w:fill="auto"/>
            <w:noWrap/>
            <w:vAlign w:val="bottom"/>
            <w:hideMark/>
          </w:tcPr>
          <w:p w14:paraId="02A5663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5,653 </w:t>
            </w:r>
          </w:p>
        </w:tc>
        <w:tc>
          <w:tcPr>
            <w:tcW w:w="1050" w:type="dxa"/>
            <w:tcBorders>
              <w:top w:val="nil"/>
              <w:left w:val="nil"/>
              <w:bottom w:val="single" w:sz="4" w:space="0" w:color="D9D9D9"/>
              <w:right w:val="nil"/>
            </w:tcBorders>
            <w:shd w:val="clear" w:color="auto" w:fill="auto"/>
            <w:noWrap/>
            <w:vAlign w:val="bottom"/>
            <w:hideMark/>
          </w:tcPr>
          <w:p w14:paraId="1E4FE38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7.7%</w:t>
            </w:r>
          </w:p>
        </w:tc>
        <w:tc>
          <w:tcPr>
            <w:tcW w:w="1050" w:type="dxa"/>
            <w:tcBorders>
              <w:top w:val="nil"/>
              <w:left w:val="single" w:sz="8" w:space="0" w:color="auto"/>
              <w:bottom w:val="single" w:sz="4" w:space="0" w:color="D9D9D9"/>
              <w:right w:val="nil"/>
            </w:tcBorders>
            <w:shd w:val="clear" w:color="auto" w:fill="auto"/>
            <w:noWrap/>
            <w:vAlign w:val="bottom"/>
            <w:hideMark/>
          </w:tcPr>
          <w:p w14:paraId="79D8F38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4,764 </w:t>
            </w:r>
          </w:p>
        </w:tc>
        <w:tc>
          <w:tcPr>
            <w:tcW w:w="1050" w:type="dxa"/>
            <w:tcBorders>
              <w:top w:val="nil"/>
              <w:left w:val="nil"/>
              <w:bottom w:val="single" w:sz="4" w:space="0" w:color="D9D9D9"/>
              <w:right w:val="single" w:sz="8" w:space="0" w:color="auto"/>
            </w:tcBorders>
            <w:shd w:val="clear" w:color="auto" w:fill="auto"/>
            <w:noWrap/>
            <w:vAlign w:val="bottom"/>
            <w:hideMark/>
          </w:tcPr>
          <w:p w14:paraId="1302B2E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7.5%</w:t>
            </w:r>
          </w:p>
        </w:tc>
        <w:tc>
          <w:tcPr>
            <w:tcW w:w="1050" w:type="dxa"/>
            <w:tcBorders>
              <w:top w:val="nil"/>
              <w:left w:val="nil"/>
              <w:bottom w:val="single" w:sz="4" w:space="0" w:color="D9D9D9"/>
              <w:right w:val="nil"/>
            </w:tcBorders>
            <w:shd w:val="clear" w:color="auto" w:fill="auto"/>
            <w:noWrap/>
            <w:vAlign w:val="bottom"/>
            <w:hideMark/>
          </w:tcPr>
          <w:p w14:paraId="6996C26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889 </w:t>
            </w:r>
          </w:p>
        </w:tc>
        <w:tc>
          <w:tcPr>
            <w:tcW w:w="1050" w:type="dxa"/>
            <w:tcBorders>
              <w:top w:val="nil"/>
              <w:left w:val="nil"/>
              <w:bottom w:val="single" w:sz="4" w:space="0" w:color="D9D9D9"/>
              <w:right w:val="single" w:sz="8" w:space="0" w:color="auto"/>
            </w:tcBorders>
            <w:shd w:val="clear" w:color="auto" w:fill="auto"/>
            <w:noWrap/>
            <w:vAlign w:val="bottom"/>
            <w:hideMark/>
          </w:tcPr>
          <w:p w14:paraId="57ACCBDF"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9.3%</w:t>
            </w:r>
          </w:p>
        </w:tc>
      </w:tr>
      <w:tr w:rsidR="00DD23A1" w:rsidRPr="00DD23A1" w14:paraId="775E6C80"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3A81271F"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Beth Israel Lahey Health</w:t>
            </w:r>
          </w:p>
        </w:tc>
        <w:tc>
          <w:tcPr>
            <w:tcW w:w="4140" w:type="dxa"/>
            <w:tcBorders>
              <w:top w:val="nil"/>
              <w:left w:val="nil"/>
              <w:bottom w:val="single" w:sz="4" w:space="0" w:color="D9D9D9"/>
              <w:right w:val="nil"/>
            </w:tcBorders>
            <w:shd w:val="clear" w:color="auto" w:fill="auto"/>
            <w:noWrap/>
            <w:vAlign w:val="bottom"/>
            <w:hideMark/>
          </w:tcPr>
          <w:p w14:paraId="07C6A336"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Lahey Hospital &amp; Medical Center - Burlington</w:t>
            </w:r>
          </w:p>
        </w:tc>
        <w:tc>
          <w:tcPr>
            <w:tcW w:w="1050" w:type="dxa"/>
            <w:tcBorders>
              <w:top w:val="nil"/>
              <w:left w:val="nil"/>
              <w:bottom w:val="single" w:sz="4" w:space="0" w:color="D9D9D9"/>
              <w:right w:val="nil"/>
            </w:tcBorders>
            <w:shd w:val="clear" w:color="auto" w:fill="auto"/>
            <w:noWrap/>
            <w:vAlign w:val="bottom"/>
            <w:hideMark/>
          </w:tcPr>
          <w:p w14:paraId="6A70050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2,705 </w:t>
            </w:r>
          </w:p>
        </w:tc>
        <w:tc>
          <w:tcPr>
            <w:tcW w:w="1050" w:type="dxa"/>
            <w:tcBorders>
              <w:top w:val="nil"/>
              <w:left w:val="nil"/>
              <w:bottom w:val="single" w:sz="4" w:space="0" w:color="D9D9D9"/>
              <w:right w:val="nil"/>
            </w:tcBorders>
            <w:shd w:val="clear" w:color="auto" w:fill="auto"/>
            <w:noWrap/>
            <w:vAlign w:val="bottom"/>
            <w:hideMark/>
          </w:tcPr>
          <w:p w14:paraId="667D3F58"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3.7%</w:t>
            </w:r>
          </w:p>
        </w:tc>
        <w:tc>
          <w:tcPr>
            <w:tcW w:w="1050" w:type="dxa"/>
            <w:tcBorders>
              <w:top w:val="nil"/>
              <w:left w:val="single" w:sz="8" w:space="0" w:color="auto"/>
              <w:bottom w:val="single" w:sz="4" w:space="0" w:color="D9D9D9"/>
              <w:right w:val="nil"/>
            </w:tcBorders>
            <w:shd w:val="clear" w:color="auto" w:fill="auto"/>
            <w:noWrap/>
            <w:vAlign w:val="bottom"/>
            <w:hideMark/>
          </w:tcPr>
          <w:p w14:paraId="6DF40B7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2,176 </w:t>
            </w:r>
          </w:p>
        </w:tc>
        <w:tc>
          <w:tcPr>
            <w:tcW w:w="1050" w:type="dxa"/>
            <w:tcBorders>
              <w:top w:val="nil"/>
              <w:left w:val="nil"/>
              <w:bottom w:val="single" w:sz="4" w:space="0" w:color="D9D9D9"/>
              <w:right w:val="single" w:sz="8" w:space="0" w:color="auto"/>
            </w:tcBorders>
            <w:shd w:val="clear" w:color="auto" w:fill="auto"/>
            <w:noWrap/>
            <w:vAlign w:val="bottom"/>
            <w:hideMark/>
          </w:tcPr>
          <w:p w14:paraId="46683DF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3.4%</w:t>
            </w:r>
          </w:p>
        </w:tc>
        <w:tc>
          <w:tcPr>
            <w:tcW w:w="1050" w:type="dxa"/>
            <w:tcBorders>
              <w:top w:val="nil"/>
              <w:left w:val="nil"/>
              <w:bottom w:val="single" w:sz="4" w:space="0" w:color="D9D9D9"/>
              <w:right w:val="nil"/>
            </w:tcBorders>
            <w:shd w:val="clear" w:color="auto" w:fill="auto"/>
            <w:noWrap/>
            <w:vAlign w:val="bottom"/>
            <w:hideMark/>
          </w:tcPr>
          <w:p w14:paraId="281E7BC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529 </w:t>
            </w:r>
          </w:p>
        </w:tc>
        <w:tc>
          <w:tcPr>
            <w:tcW w:w="1050" w:type="dxa"/>
            <w:tcBorders>
              <w:top w:val="nil"/>
              <w:left w:val="nil"/>
              <w:bottom w:val="single" w:sz="4" w:space="0" w:color="D9D9D9"/>
              <w:right w:val="single" w:sz="8" w:space="0" w:color="auto"/>
            </w:tcBorders>
            <w:shd w:val="clear" w:color="auto" w:fill="auto"/>
            <w:noWrap/>
            <w:vAlign w:val="bottom"/>
            <w:hideMark/>
          </w:tcPr>
          <w:p w14:paraId="347E967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5.5%</w:t>
            </w:r>
          </w:p>
        </w:tc>
      </w:tr>
      <w:tr w:rsidR="00DD23A1" w:rsidRPr="00DD23A1" w14:paraId="382208D1"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7C756993"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Dana-Farber Cancer Institute</w:t>
            </w:r>
          </w:p>
        </w:tc>
        <w:tc>
          <w:tcPr>
            <w:tcW w:w="4140" w:type="dxa"/>
            <w:tcBorders>
              <w:top w:val="single" w:sz="4" w:space="0" w:color="auto"/>
              <w:left w:val="nil"/>
              <w:bottom w:val="single" w:sz="4" w:space="0" w:color="D9D9D9"/>
              <w:right w:val="nil"/>
            </w:tcBorders>
            <w:shd w:val="clear" w:color="auto" w:fill="auto"/>
            <w:noWrap/>
            <w:vAlign w:val="bottom"/>
            <w:hideMark/>
          </w:tcPr>
          <w:p w14:paraId="3F602F01"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Dana-Farber Cancer Institute</w:t>
            </w:r>
          </w:p>
        </w:tc>
        <w:tc>
          <w:tcPr>
            <w:tcW w:w="1050" w:type="dxa"/>
            <w:tcBorders>
              <w:top w:val="single" w:sz="4" w:space="0" w:color="auto"/>
              <w:left w:val="nil"/>
              <w:bottom w:val="single" w:sz="4" w:space="0" w:color="D9D9D9"/>
              <w:right w:val="nil"/>
            </w:tcBorders>
            <w:shd w:val="clear" w:color="auto" w:fill="auto"/>
            <w:noWrap/>
            <w:vAlign w:val="bottom"/>
            <w:hideMark/>
          </w:tcPr>
          <w:p w14:paraId="67F803E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7,456 </w:t>
            </w:r>
          </w:p>
        </w:tc>
        <w:tc>
          <w:tcPr>
            <w:tcW w:w="1050" w:type="dxa"/>
            <w:tcBorders>
              <w:top w:val="single" w:sz="4" w:space="0" w:color="auto"/>
              <w:left w:val="nil"/>
              <w:bottom w:val="single" w:sz="4" w:space="0" w:color="D9D9D9"/>
              <w:right w:val="nil"/>
            </w:tcBorders>
            <w:shd w:val="clear" w:color="auto" w:fill="auto"/>
            <w:noWrap/>
            <w:vAlign w:val="bottom"/>
            <w:hideMark/>
          </w:tcPr>
          <w:p w14:paraId="30BB1DF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10.2%</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1578A30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5,923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5012524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9.3%</w:t>
            </w:r>
          </w:p>
        </w:tc>
        <w:tc>
          <w:tcPr>
            <w:tcW w:w="1050" w:type="dxa"/>
            <w:tcBorders>
              <w:top w:val="single" w:sz="4" w:space="0" w:color="auto"/>
              <w:left w:val="nil"/>
              <w:bottom w:val="single" w:sz="4" w:space="0" w:color="D9D9D9"/>
              <w:right w:val="nil"/>
            </w:tcBorders>
            <w:shd w:val="clear" w:color="auto" w:fill="auto"/>
            <w:noWrap/>
            <w:vAlign w:val="bottom"/>
            <w:hideMark/>
          </w:tcPr>
          <w:p w14:paraId="69EA48E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1,533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5BFA9B3B"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16.0%</w:t>
            </w:r>
          </w:p>
        </w:tc>
      </w:tr>
      <w:tr w:rsidR="00DD23A1" w:rsidRPr="00DD23A1" w14:paraId="150D609E"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0CB9005D" w14:textId="77777777" w:rsidR="00DD23A1" w:rsidRPr="00DD23A1" w:rsidRDefault="00DD23A1" w:rsidP="00DD23A1">
            <w:pPr>
              <w:spacing w:after="0" w:line="240" w:lineRule="auto"/>
              <w:ind w:firstLineChars="100" w:firstLine="180"/>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Dana-Farber Cancer Institute</w:t>
            </w:r>
          </w:p>
        </w:tc>
        <w:tc>
          <w:tcPr>
            <w:tcW w:w="4140" w:type="dxa"/>
            <w:tcBorders>
              <w:top w:val="nil"/>
              <w:left w:val="nil"/>
              <w:bottom w:val="single" w:sz="4" w:space="0" w:color="D9D9D9"/>
              <w:right w:val="nil"/>
            </w:tcBorders>
            <w:shd w:val="clear" w:color="auto" w:fill="auto"/>
            <w:noWrap/>
            <w:vAlign w:val="bottom"/>
            <w:hideMark/>
          </w:tcPr>
          <w:p w14:paraId="304F995F" w14:textId="77777777" w:rsidR="00DD23A1" w:rsidRPr="00DD23A1" w:rsidRDefault="00DD23A1" w:rsidP="00DD23A1">
            <w:pPr>
              <w:spacing w:after="0" w:line="240" w:lineRule="auto"/>
              <w:ind w:firstLineChars="100" w:firstLine="180"/>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Brigham and Women's Hospital Leased Beds</w:t>
            </w:r>
          </w:p>
        </w:tc>
        <w:tc>
          <w:tcPr>
            <w:tcW w:w="1050" w:type="dxa"/>
            <w:tcBorders>
              <w:top w:val="nil"/>
              <w:left w:val="nil"/>
              <w:bottom w:val="single" w:sz="4" w:space="0" w:color="D9D9D9"/>
              <w:right w:val="nil"/>
            </w:tcBorders>
            <w:shd w:val="clear" w:color="auto" w:fill="auto"/>
            <w:noWrap/>
            <w:vAlign w:val="bottom"/>
            <w:hideMark/>
          </w:tcPr>
          <w:p w14:paraId="78BBA414"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6,434 </w:t>
            </w:r>
          </w:p>
        </w:tc>
        <w:tc>
          <w:tcPr>
            <w:tcW w:w="1050" w:type="dxa"/>
            <w:tcBorders>
              <w:top w:val="nil"/>
              <w:left w:val="nil"/>
              <w:bottom w:val="single" w:sz="4" w:space="0" w:color="D9D9D9"/>
              <w:right w:val="nil"/>
            </w:tcBorders>
            <w:shd w:val="clear" w:color="auto" w:fill="auto"/>
            <w:noWrap/>
            <w:vAlign w:val="bottom"/>
            <w:hideMark/>
          </w:tcPr>
          <w:p w14:paraId="519299E9"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8.8%</w:t>
            </w:r>
          </w:p>
        </w:tc>
        <w:tc>
          <w:tcPr>
            <w:tcW w:w="1050" w:type="dxa"/>
            <w:tcBorders>
              <w:top w:val="nil"/>
              <w:left w:val="single" w:sz="8" w:space="0" w:color="auto"/>
              <w:bottom w:val="single" w:sz="4" w:space="0" w:color="D9D9D9"/>
              <w:right w:val="nil"/>
            </w:tcBorders>
            <w:shd w:val="clear" w:color="auto" w:fill="auto"/>
            <w:noWrap/>
            <w:vAlign w:val="bottom"/>
            <w:hideMark/>
          </w:tcPr>
          <w:p w14:paraId="00276939"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4,919 </w:t>
            </w:r>
          </w:p>
        </w:tc>
        <w:tc>
          <w:tcPr>
            <w:tcW w:w="1050" w:type="dxa"/>
            <w:tcBorders>
              <w:top w:val="nil"/>
              <w:left w:val="nil"/>
              <w:bottom w:val="single" w:sz="4" w:space="0" w:color="D9D9D9"/>
              <w:right w:val="single" w:sz="8" w:space="0" w:color="auto"/>
            </w:tcBorders>
            <w:shd w:val="clear" w:color="auto" w:fill="auto"/>
            <w:noWrap/>
            <w:vAlign w:val="bottom"/>
            <w:hideMark/>
          </w:tcPr>
          <w:p w14:paraId="02FC6090"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7.7%</w:t>
            </w:r>
          </w:p>
        </w:tc>
        <w:tc>
          <w:tcPr>
            <w:tcW w:w="1050" w:type="dxa"/>
            <w:tcBorders>
              <w:top w:val="nil"/>
              <w:left w:val="nil"/>
              <w:bottom w:val="single" w:sz="4" w:space="0" w:color="D9D9D9"/>
              <w:right w:val="nil"/>
            </w:tcBorders>
            <w:shd w:val="clear" w:color="auto" w:fill="auto"/>
            <w:noWrap/>
            <w:vAlign w:val="bottom"/>
            <w:hideMark/>
          </w:tcPr>
          <w:p w14:paraId="27113847"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1,515 </w:t>
            </w:r>
          </w:p>
        </w:tc>
        <w:tc>
          <w:tcPr>
            <w:tcW w:w="1050" w:type="dxa"/>
            <w:tcBorders>
              <w:top w:val="nil"/>
              <w:left w:val="nil"/>
              <w:bottom w:val="single" w:sz="4" w:space="0" w:color="D9D9D9"/>
              <w:right w:val="single" w:sz="8" w:space="0" w:color="auto"/>
            </w:tcBorders>
            <w:shd w:val="clear" w:color="auto" w:fill="auto"/>
            <w:noWrap/>
            <w:vAlign w:val="bottom"/>
            <w:hideMark/>
          </w:tcPr>
          <w:p w14:paraId="5AA8B3FA"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15.8%</w:t>
            </w:r>
          </w:p>
        </w:tc>
      </w:tr>
      <w:tr w:rsidR="00DD23A1" w:rsidRPr="00DD23A1" w14:paraId="7D4049CB"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3D4040A6" w14:textId="77777777" w:rsidR="00DD23A1" w:rsidRPr="00DD23A1" w:rsidRDefault="00DD23A1" w:rsidP="00DD23A1">
            <w:pPr>
              <w:spacing w:after="0" w:line="240" w:lineRule="auto"/>
              <w:ind w:firstLineChars="100" w:firstLine="180"/>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Dana-Farber Cancer Institute</w:t>
            </w:r>
          </w:p>
        </w:tc>
        <w:tc>
          <w:tcPr>
            <w:tcW w:w="4140" w:type="dxa"/>
            <w:tcBorders>
              <w:top w:val="nil"/>
              <w:left w:val="nil"/>
              <w:bottom w:val="single" w:sz="4" w:space="0" w:color="D9D9D9"/>
              <w:right w:val="nil"/>
            </w:tcBorders>
            <w:shd w:val="clear" w:color="auto" w:fill="auto"/>
            <w:noWrap/>
            <w:vAlign w:val="bottom"/>
            <w:hideMark/>
          </w:tcPr>
          <w:p w14:paraId="64FD036F" w14:textId="77777777" w:rsidR="00DD23A1" w:rsidRPr="00DD23A1" w:rsidRDefault="00DD23A1" w:rsidP="00DD23A1">
            <w:pPr>
              <w:spacing w:after="0" w:line="240" w:lineRule="auto"/>
              <w:ind w:firstLineChars="100" w:firstLine="180"/>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Dana-Farber Cancer Institute Licensed Beds</w:t>
            </w:r>
          </w:p>
        </w:tc>
        <w:tc>
          <w:tcPr>
            <w:tcW w:w="1050" w:type="dxa"/>
            <w:tcBorders>
              <w:top w:val="nil"/>
              <w:left w:val="nil"/>
              <w:bottom w:val="single" w:sz="4" w:space="0" w:color="D9D9D9"/>
              <w:right w:val="nil"/>
            </w:tcBorders>
            <w:shd w:val="clear" w:color="auto" w:fill="auto"/>
            <w:noWrap/>
            <w:vAlign w:val="bottom"/>
            <w:hideMark/>
          </w:tcPr>
          <w:p w14:paraId="59799F13"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1,022 </w:t>
            </w:r>
          </w:p>
        </w:tc>
        <w:tc>
          <w:tcPr>
            <w:tcW w:w="1050" w:type="dxa"/>
            <w:tcBorders>
              <w:top w:val="nil"/>
              <w:left w:val="nil"/>
              <w:bottom w:val="single" w:sz="4" w:space="0" w:color="D9D9D9"/>
              <w:right w:val="nil"/>
            </w:tcBorders>
            <w:shd w:val="clear" w:color="auto" w:fill="auto"/>
            <w:noWrap/>
            <w:vAlign w:val="bottom"/>
            <w:hideMark/>
          </w:tcPr>
          <w:p w14:paraId="29D88F5E"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1.4%</w:t>
            </w:r>
          </w:p>
        </w:tc>
        <w:tc>
          <w:tcPr>
            <w:tcW w:w="1050" w:type="dxa"/>
            <w:tcBorders>
              <w:top w:val="nil"/>
              <w:left w:val="single" w:sz="8" w:space="0" w:color="auto"/>
              <w:bottom w:val="single" w:sz="4" w:space="0" w:color="D9D9D9"/>
              <w:right w:val="nil"/>
            </w:tcBorders>
            <w:shd w:val="clear" w:color="auto" w:fill="auto"/>
            <w:noWrap/>
            <w:vAlign w:val="bottom"/>
            <w:hideMark/>
          </w:tcPr>
          <w:p w14:paraId="7400DF77"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1,004 </w:t>
            </w:r>
          </w:p>
        </w:tc>
        <w:tc>
          <w:tcPr>
            <w:tcW w:w="1050" w:type="dxa"/>
            <w:tcBorders>
              <w:top w:val="nil"/>
              <w:left w:val="nil"/>
              <w:bottom w:val="single" w:sz="4" w:space="0" w:color="D9D9D9"/>
              <w:right w:val="single" w:sz="8" w:space="0" w:color="auto"/>
            </w:tcBorders>
            <w:shd w:val="clear" w:color="auto" w:fill="auto"/>
            <w:noWrap/>
            <w:vAlign w:val="bottom"/>
            <w:hideMark/>
          </w:tcPr>
          <w:p w14:paraId="6089BBA9"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1.6%</w:t>
            </w:r>
          </w:p>
        </w:tc>
        <w:tc>
          <w:tcPr>
            <w:tcW w:w="1050" w:type="dxa"/>
            <w:tcBorders>
              <w:top w:val="nil"/>
              <w:left w:val="nil"/>
              <w:bottom w:val="single" w:sz="4" w:space="0" w:color="D9D9D9"/>
              <w:right w:val="nil"/>
            </w:tcBorders>
            <w:shd w:val="clear" w:color="auto" w:fill="auto"/>
            <w:noWrap/>
            <w:vAlign w:val="bottom"/>
            <w:hideMark/>
          </w:tcPr>
          <w:p w14:paraId="1EF11DBC"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 xml:space="preserve">18 </w:t>
            </w:r>
          </w:p>
        </w:tc>
        <w:tc>
          <w:tcPr>
            <w:tcW w:w="1050" w:type="dxa"/>
            <w:tcBorders>
              <w:top w:val="nil"/>
              <w:left w:val="nil"/>
              <w:bottom w:val="single" w:sz="4" w:space="0" w:color="D9D9D9"/>
              <w:right w:val="single" w:sz="8" w:space="0" w:color="auto"/>
            </w:tcBorders>
            <w:shd w:val="clear" w:color="auto" w:fill="auto"/>
            <w:noWrap/>
            <w:vAlign w:val="bottom"/>
            <w:hideMark/>
          </w:tcPr>
          <w:p w14:paraId="230E78E2" w14:textId="77777777" w:rsidR="00DD23A1" w:rsidRPr="00DD23A1" w:rsidRDefault="00DD23A1" w:rsidP="00DD23A1">
            <w:pPr>
              <w:spacing w:after="0" w:line="240" w:lineRule="auto"/>
              <w:jc w:val="center"/>
              <w:rPr>
                <w:rFonts w:ascii="Calibri" w:eastAsia="Times New Roman" w:hAnsi="Calibri" w:cs="Calibri"/>
                <w:i/>
                <w:iCs/>
                <w:kern w:val="0"/>
                <w:sz w:val="18"/>
                <w:szCs w:val="18"/>
                <w14:ligatures w14:val="none"/>
              </w:rPr>
            </w:pPr>
            <w:r w:rsidRPr="00DD23A1">
              <w:rPr>
                <w:rFonts w:ascii="Calibri" w:eastAsia="Times New Roman" w:hAnsi="Calibri" w:cs="Calibri"/>
                <w:i/>
                <w:iCs/>
                <w:kern w:val="0"/>
                <w:sz w:val="18"/>
                <w:szCs w:val="18"/>
                <w14:ligatures w14:val="none"/>
              </w:rPr>
              <w:t>0.2%</w:t>
            </w:r>
          </w:p>
        </w:tc>
      </w:tr>
      <w:tr w:rsidR="00DD23A1" w:rsidRPr="00DD23A1" w14:paraId="16AFF672"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265BECD4"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UMass Memorial Health Care</w:t>
            </w:r>
          </w:p>
        </w:tc>
        <w:tc>
          <w:tcPr>
            <w:tcW w:w="4140" w:type="dxa"/>
            <w:tcBorders>
              <w:top w:val="single" w:sz="4" w:space="0" w:color="auto"/>
              <w:left w:val="nil"/>
              <w:bottom w:val="single" w:sz="4" w:space="0" w:color="D9D9D9"/>
              <w:right w:val="nil"/>
            </w:tcBorders>
            <w:shd w:val="clear" w:color="auto" w:fill="auto"/>
            <w:noWrap/>
            <w:vAlign w:val="bottom"/>
            <w:hideMark/>
          </w:tcPr>
          <w:p w14:paraId="2F995310"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281462AF"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5,072 </w:t>
            </w:r>
          </w:p>
        </w:tc>
        <w:tc>
          <w:tcPr>
            <w:tcW w:w="1050" w:type="dxa"/>
            <w:tcBorders>
              <w:top w:val="single" w:sz="4" w:space="0" w:color="auto"/>
              <w:left w:val="nil"/>
              <w:bottom w:val="single" w:sz="4" w:space="0" w:color="D9D9D9"/>
              <w:right w:val="nil"/>
            </w:tcBorders>
            <w:shd w:val="clear" w:color="auto" w:fill="auto"/>
            <w:noWrap/>
            <w:vAlign w:val="bottom"/>
            <w:hideMark/>
          </w:tcPr>
          <w:p w14:paraId="311A8D3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6.9%</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62A784C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4,380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4F9E1A1D"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6.9%</w:t>
            </w:r>
          </w:p>
        </w:tc>
        <w:tc>
          <w:tcPr>
            <w:tcW w:w="1050" w:type="dxa"/>
            <w:tcBorders>
              <w:top w:val="single" w:sz="4" w:space="0" w:color="auto"/>
              <w:left w:val="nil"/>
              <w:bottom w:val="single" w:sz="4" w:space="0" w:color="D9D9D9"/>
              <w:right w:val="nil"/>
            </w:tcBorders>
            <w:shd w:val="clear" w:color="auto" w:fill="auto"/>
            <w:noWrap/>
            <w:vAlign w:val="bottom"/>
            <w:hideMark/>
          </w:tcPr>
          <w:p w14:paraId="7F5CB77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692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22F7C79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7.2%</w:t>
            </w:r>
          </w:p>
        </w:tc>
      </w:tr>
      <w:tr w:rsidR="00DD23A1" w:rsidRPr="00DD23A1" w14:paraId="283001C3"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778E350C"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UMass Memorial Health Care</w:t>
            </w:r>
          </w:p>
        </w:tc>
        <w:tc>
          <w:tcPr>
            <w:tcW w:w="4140" w:type="dxa"/>
            <w:tcBorders>
              <w:top w:val="nil"/>
              <w:left w:val="nil"/>
              <w:bottom w:val="single" w:sz="4" w:space="0" w:color="D9D9D9"/>
              <w:right w:val="nil"/>
            </w:tcBorders>
            <w:shd w:val="clear" w:color="auto" w:fill="auto"/>
            <w:noWrap/>
            <w:vAlign w:val="bottom"/>
            <w:hideMark/>
          </w:tcPr>
          <w:p w14:paraId="2596120F"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UMass Memorial Medical Center - University Campus</w:t>
            </w:r>
          </w:p>
        </w:tc>
        <w:tc>
          <w:tcPr>
            <w:tcW w:w="1050" w:type="dxa"/>
            <w:tcBorders>
              <w:top w:val="nil"/>
              <w:left w:val="nil"/>
              <w:bottom w:val="single" w:sz="4" w:space="0" w:color="D9D9D9"/>
              <w:right w:val="nil"/>
            </w:tcBorders>
            <w:shd w:val="clear" w:color="auto" w:fill="auto"/>
            <w:noWrap/>
            <w:vAlign w:val="bottom"/>
            <w:hideMark/>
          </w:tcPr>
          <w:p w14:paraId="093F974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2,510 </w:t>
            </w:r>
          </w:p>
        </w:tc>
        <w:tc>
          <w:tcPr>
            <w:tcW w:w="1050" w:type="dxa"/>
            <w:tcBorders>
              <w:top w:val="nil"/>
              <w:left w:val="nil"/>
              <w:bottom w:val="single" w:sz="4" w:space="0" w:color="D9D9D9"/>
              <w:right w:val="nil"/>
            </w:tcBorders>
            <w:shd w:val="clear" w:color="auto" w:fill="auto"/>
            <w:noWrap/>
            <w:vAlign w:val="bottom"/>
            <w:hideMark/>
          </w:tcPr>
          <w:p w14:paraId="679C343F"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3.4%</w:t>
            </w:r>
          </w:p>
        </w:tc>
        <w:tc>
          <w:tcPr>
            <w:tcW w:w="1050" w:type="dxa"/>
            <w:tcBorders>
              <w:top w:val="nil"/>
              <w:left w:val="single" w:sz="8" w:space="0" w:color="auto"/>
              <w:bottom w:val="single" w:sz="4" w:space="0" w:color="D9D9D9"/>
              <w:right w:val="nil"/>
            </w:tcBorders>
            <w:shd w:val="clear" w:color="auto" w:fill="auto"/>
            <w:noWrap/>
            <w:vAlign w:val="bottom"/>
            <w:hideMark/>
          </w:tcPr>
          <w:p w14:paraId="6E8D357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2,398 </w:t>
            </w:r>
          </w:p>
        </w:tc>
        <w:tc>
          <w:tcPr>
            <w:tcW w:w="1050" w:type="dxa"/>
            <w:tcBorders>
              <w:top w:val="nil"/>
              <w:left w:val="nil"/>
              <w:bottom w:val="single" w:sz="4" w:space="0" w:color="D9D9D9"/>
              <w:right w:val="single" w:sz="8" w:space="0" w:color="auto"/>
            </w:tcBorders>
            <w:shd w:val="clear" w:color="auto" w:fill="auto"/>
            <w:noWrap/>
            <w:vAlign w:val="bottom"/>
            <w:hideMark/>
          </w:tcPr>
          <w:p w14:paraId="3A491B9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3.8%</w:t>
            </w:r>
          </w:p>
        </w:tc>
        <w:tc>
          <w:tcPr>
            <w:tcW w:w="1050" w:type="dxa"/>
            <w:tcBorders>
              <w:top w:val="nil"/>
              <w:left w:val="nil"/>
              <w:bottom w:val="single" w:sz="4" w:space="0" w:color="D9D9D9"/>
              <w:right w:val="nil"/>
            </w:tcBorders>
            <w:shd w:val="clear" w:color="auto" w:fill="auto"/>
            <w:noWrap/>
            <w:vAlign w:val="bottom"/>
            <w:hideMark/>
          </w:tcPr>
          <w:p w14:paraId="21B4C91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112 </w:t>
            </w:r>
          </w:p>
        </w:tc>
        <w:tc>
          <w:tcPr>
            <w:tcW w:w="1050" w:type="dxa"/>
            <w:tcBorders>
              <w:top w:val="nil"/>
              <w:left w:val="nil"/>
              <w:bottom w:val="single" w:sz="4" w:space="0" w:color="D9D9D9"/>
              <w:right w:val="single" w:sz="8" w:space="0" w:color="auto"/>
            </w:tcBorders>
            <w:shd w:val="clear" w:color="auto" w:fill="auto"/>
            <w:noWrap/>
            <w:vAlign w:val="bottom"/>
            <w:hideMark/>
          </w:tcPr>
          <w:p w14:paraId="2F92A77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1.2%</w:t>
            </w:r>
          </w:p>
        </w:tc>
      </w:tr>
      <w:tr w:rsidR="00DD23A1" w:rsidRPr="00DD23A1" w14:paraId="6550153F"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54C054C7"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Steward Health Care System</w:t>
            </w:r>
          </w:p>
        </w:tc>
        <w:tc>
          <w:tcPr>
            <w:tcW w:w="4140" w:type="dxa"/>
            <w:tcBorders>
              <w:top w:val="single" w:sz="4" w:space="0" w:color="auto"/>
              <w:left w:val="nil"/>
              <w:bottom w:val="single" w:sz="4" w:space="0" w:color="D9D9D9"/>
              <w:right w:val="nil"/>
            </w:tcBorders>
            <w:shd w:val="clear" w:color="auto" w:fill="auto"/>
            <w:noWrap/>
            <w:vAlign w:val="bottom"/>
            <w:hideMark/>
          </w:tcPr>
          <w:p w14:paraId="7181464F"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077333BF"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4,245 </w:t>
            </w:r>
          </w:p>
        </w:tc>
        <w:tc>
          <w:tcPr>
            <w:tcW w:w="1050" w:type="dxa"/>
            <w:tcBorders>
              <w:top w:val="single" w:sz="4" w:space="0" w:color="auto"/>
              <w:left w:val="nil"/>
              <w:bottom w:val="single" w:sz="4" w:space="0" w:color="D9D9D9"/>
              <w:right w:val="nil"/>
            </w:tcBorders>
            <w:shd w:val="clear" w:color="auto" w:fill="auto"/>
            <w:noWrap/>
            <w:vAlign w:val="bottom"/>
            <w:hideMark/>
          </w:tcPr>
          <w:p w14:paraId="6994E15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5.8%</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0F963807"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3,727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10F0217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5.9%</w:t>
            </w:r>
          </w:p>
        </w:tc>
        <w:tc>
          <w:tcPr>
            <w:tcW w:w="1050" w:type="dxa"/>
            <w:tcBorders>
              <w:top w:val="single" w:sz="4" w:space="0" w:color="auto"/>
              <w:left w:val="nil"/>
              <w:bottom w:val="single" w:sz="4" w:space="0" w:color="D9D9D9"/>
              <w:right w:val="nil"/>
            </w:tcBorders>
            <w:shd w:val="clear" w:color="auto" w:fill="auto"/>
            <w:noWrap/>
            <w:vAlign w:val="bottom"/>
            <w:hideMark/>
          </w:tcPr>
          <w:p w14:paraId="6740793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518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2F76380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5.4%</w:t>
            </w:r>
          </w:p>
        </w:tc>
      </w:tr>
      <w:tr w:rsidR="00DD23A1" w:rsidRPr="00DD23A1" w14:paraId="3BF12844"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4C4BEE46"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Baystate Health</w:t>
            </w:r>
          </w:p>
        </w:tc>
        <w:tc>
          <w:tcPr>
            <w:tcW w:w="4140" w:type="dxa"/>
            <w:tcBorders>
              <w:top w:val="single" w:sz="4" w:space="0" w:color="auto"/>
              <w:left w:val="nil"/>
              <w:bottom w:val="single" w:sz="4" w:space="0" w:color="D9D9D9"/>
              <w:right w:val="nil"/>
            </w:tcBorders>
            <w:shd w:val="clear" w:color="auto" w:fill="auto"/>
            <w:noWrap/>
            <w:vAlign w:val="bottom"/>
            <w:hideMark/>
          </w:tcPr>
          <w:p w14:paraId="1800CBD9"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7199043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3,862 </w:t>
            </w:r>
          </w:p>
        </w:tc>
        <w:tc>
          <w:tcPr>
            <w:tcW w:w="1050" w:type="dxa"/>
            <w:tcBorders>
              <w:top w:val="single" w:sz="4" w:space="0" w:color="auto"/>
              <w:left w:val="nil"/>
              <w:bottom w:val="single" w:sz="4" w:space="0" w:color="D9D9D9"/>
              <w:right w:val="nil"/>
            </w:tcBorders>
            <w:shd w:val="clear" w:color="auto" w:fill="auto"/>
            <w:noWrap/>
            <w:vAlign w:val="bottom"/>
            <w:hideMark/>
          </w:tcPr>
          <w:p w14:paraId="1642CD2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5.3%</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1BC4323F"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3,449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50C86AC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5.4%</w:t>
            </w:r>
          </w:p>
        </w:tc>
        <w:tc>
          <w:tcPr>
            <w:tcW w:w="1050" w:type="dxa"/>
            <w:tcBorders>
              <w:top w:val="single" w:sz="4" w:space="0" w:color="auto"/>
              <w:left w:val="nil"/>
              <w:bottom w:val="single" w:sz="4" w:space="0" w:color="D9D9D9"/>
              <w:right w:val="nil"/>
            </w:tcBorders>
            <w:shd w:val="clear" w:color="auto" w:fill="auto"/>
            <w:noWrap/>
            <w:vAlign w:val="bottom"/>
            <w:hideMark/>
          </w:tcPr>
          <w:p w14:paraId="33B4867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413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2F96817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4.3%</w:t>
            </w:r>
          </w:p>
        </w:tc>
      </w:tr>
      <w:tr w:rsidR="00DD23A1" w:rsidRPr="00DD23A1" w14:paraId="657AE05D"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2DA28C79"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Baystate Health</w:t>
            </w:r>
          </w:p>
        </w:tc>
        <w:tc>
          <w:tcPr>
            <w:tcW w:w="4140" w:type="dxa"/>
            <w:tcBorders>
              <w:top w:val="nil"/>
              <w:left w:val="nil"/>
              <w:bottom w:val="single" w:sz="4" w:space="0" w:color="D9D9D9"/>
              <w:right w:val="nil"/>
            </w:tcBorders>
            <w:shd w:val="clear" w:color="auto" w:fill="auto"/>
            <w:noWrap/>
            <w:vAlign w:val="bottom"/>
            <w:hideMark/>
          </w:tcPr>
          <w:p w14:paraId="4FF3DAA5"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Baystate Medical Center</w:t>
            </w:r>
          </w:p>
        </w:tc>
        <w:tc>
          <w:tcPr>
            <w:tcW w:w="1050" w:type="dxa"/>
            <w:tcBorders>
              <w:top w:val="nil"/>
              <w:left w:val="nil"/>
              <w:bottom w:val="single" w:sz="4" w:space="0" w:color="D9D9D9"/>
              <w:right w:val="nil"/>
            </w:tcBorders>
            <w:shd w:val="clear" w:color="auto" w:fill="auto"/>
            <w:noWrap/>
            <w:vAlign w:val="bottom"/>
            <w:hideMark/>
          </w:tcPr>
          <w:p w14:paraId="5917B9D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3,162 </w:t>
            </w:r>
          </w:p>
        </w:tc>
        <w:tc>
          <w:tcPr>
            <w:tcW w:w="1050" w:type="dxa"/>
            <w:tcBorders>
              <w:top w:val="nil"/>
              <w:left w:val="nil"/>
              <w:bottom w:val="single" w:sz="4" w:space="0" w:color="D9D9D9"/>
              <w:right w:val="nil"/>
            </w:tcBorders>
            <w:shd w:val="clear" w:color="auto" w:fill="auto"/>
            <w:noWrap/>
            <w:vAlign w:val="bottom"/>
            <w:hideMark/>
          </w:tcPr>
          <w:p w14:paraId="7E424FE3"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4.3%</w:t>
            </w:r>
          </w:p>
        </w:tc>
        <w:tc>
          <w:tcPr>
            <w:tcW w:w="1050" w:type="dxa"/>
            <w:tcBorders>
              <w:top w:val="nil"/>
              <w:left w:val="single" w:sz="8" w:space="0" w:color="auto"/>
              <w:bottom w:val="single" w:sz="4" w:space="0" w:color="D9D9D9"/>
              <w:right w:val="nil"/>
            </w:tcBorders>
            <w:shd w:val="clear" w:color="auto" w:fill="auto"/>
            <w:noWrap/>
            <w:vAlign w:val="bottom"/>
            <w:hideMark/>
          </w:tcPr>
          <w:p w14:paraId="50FFBA4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2,762 </w:t>
            </w:r>
          </w:p>
        </w:tc>
        <w:tc>
          <w:tcPr>
            <w:tcW w:w="1050" w:type="dxa"/>
            <w:tcBorders>
              <w:top w:val="nil"/>
              <w:left w:val="nil"/>
              <w:bottom w:val="single" w:sz="4" w:space="0" w:color="D9D9D9"/>
              <w:right w:val="single" w:sz="8" w:space="0" w:color="auto"/>
            </w:tcBorders>
            <w:shd w:val="clear" w:color="auto" w:fill="auto"/>
            <w:noWrap/>
            <w:vAlign w:val="bottom"/>
            <w:hideMark/>
          </w:tcPr>
          <w:p w14:paraId="7D9A886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4.3%</w:t>
            </w:r>
          </w:p>
        </w:tc>
        <w:tc>
          <w:tcPr>
            <w:tcW w:w="1050" w:type="dxa"/>
            <w:tcBorders>
              <w:top w:val="nil"/>
              <w:left w:val="nil"/>
              <w:bottom w:val="single" w:sz="4" w:space="0" w:color="D9D9D9"/>
              <w:right w:val="nil"/>
            </w:tcBorders>
            <w:shd w:val="clear" w:color="auto" w:fill="auto"/>
            <w:noWrap/>
            <w:vAlign w:val="bottom"/>
            <w:hideMark/>
          </w:tcPr>
          <w:p w14:paraId="2C703B0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400 </w:t>
            </w:r>
          </w:p>
        </w:tc>
        <w:tc>
          <w:tcPr>
            <w:tcW w:w="1050" w:type="dxa"/>
            <w:tcBorders>
              <w:top w:val="nil"/>
              <w:left w:val="nil"/>
              <w:bottom w:val="single" w:sz="4" w:space="0" w:color="D9D9D9"/>
              <w:right w:val="single" w:sz="8" w:space="0" w:color="auto"/>
            </w:tcBorders>
            <w:shd w:val="clear" w:color="auto" w:fill="auto"/>
            <w:noWrap/>
            <w:vAlign w:val="bottom"/>
            <w:hideMark/>
          </w:tcPr>
          <w:p w14:paraId="689634F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4.2%</w:t>
            </w:r>
          </w:p>
        </w:tc>
      </w:tr>
      <w:tr w:rsidR="00DD23A1" w:rsidRPr="00DD23A1" w14:paraId="790B1343"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35FE3A8F"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Tufts Medicine</w:t>
            </w:r>
          </w:p>
        </w:tc>
        <w:tc>
          <w:tcPr>
            <w:tcW w:w="4140" w:type="dxa"/>
            <w:tcBorders>
              <w:top w:val="single" w:sz="4" w:space="0" w:color="auto"/>
              <w:left w:val="nil"/>
              <w:bottom w:val="single" w:sz="4" w:space="0" w:color="D9D9D9"/>
              <w:right w:val="nil"/>
            </w:tcBorders>
            <w:shd w:val="clear" w:color="auto" w:fill="auto"/>
            <w:noWrap/>
            <w:vAlign w:val="bottom"/>
            <w:hideMark/>
          </w:tcPr>
          <w:p w14:paraId="75195391"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67A7D6C9"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3,719 </w:t>
            </w:r>
          </w:p>
        </w:tc>
        <w:tc>
          <w:tcPr>
            <w:tcW w:w="1050" w:type="dxa"/>
            <w:tcBorders>
              <w:top w:val="single" w:sz="4" w:space="0" w:color="auto"/>
              <w:left w:val="nil"/>
              <w:bottom w:val="single" w:sz="4" w:space="0" w:color="D9D9D9"/>
              <w:right w:val="nil"/>
            </w:tcBorders>
            <w:shd w:val="clear" w:color="auto" w:fill="auto"/>
            <w:noWrap/>
            <w:vAlign w:val="bottom"/>
            <w:hideMark/>
          </w:tcPr>
          <w:p w14:paraId="2CE7D9A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5.1%</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5594AB9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3,249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438778E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5.1%</w:t>
            </w:r>
          </w:p>
        </w:tc>
        <w:tc>
          <w:tcPr>
            <w:tcW w:w="1050" w:type="dxa"/>
            <w:tcBorders>
              <w:top w:val="single" w:sz="4" w:space="0" w:color="auto"/>
              <w:left w:val="nil"/>
              <w:bottom w:val="single" w:sz="4" w:space="0" w:color="D9D9D9"/>
              <w:right w:val="nil"/>
            </w:tcBorders>
            <w:shd w:val="clear" w:color="auto" w:fill="auto"/>
            <w:noWrap/>
            <w:vAlign w:val="bottom"/>
            <w:hideMark/>
          </w:tcPr>
          <w:p w14:paraId="3F350BFB"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470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119778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4.9%</w:t>
            </w:r>
          </w:p>
        </w:tc>
      </w:tr>
      <w:tr w:rsidR="00DD23A1" w:rsidRPr="00DD23A1" w14:paraId="5478D203"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38EEEB8C"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Tufts Medicine</w:t>
            </w:r>
          </w:p>
        </w:tc>
        <w:tc>
          <w:tcPr>
            <w:tcW w:w="4140" w:type="dxa"/>
            <w:tcBorders>
              <w:top w:val="nil"/>
              <w:left w:val="nil"/>
              <w:bottom w:val="single" w:sz="4" w:space="0" w:color="D9D9D9"/>
              <w:right w:val="nil"/>
            </w:tcBorders>
            <w:shd w:val="clear" w:color="auto" w:fill="auto"/>
            <w:noWrap/>
            <w:vAlign w:val="bottom"/>
            <w:hideMark/>
          </w:tcPr>
          <w:p w14:paraId="40CF3D97"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Tufts Medical Center</w:t>
            </w:r>
          </w:p>
        </w:tc>
        <w:tc>
          <w:tcPr>
            <w:tcW w:w="1050" w:type="dxa"/>
            <w:tcBorders>
              <w:top w:val="nil"/>
              <w:left w:val="nil"/>
              <w:bottom w:val="single" w:sz="4" w:space="0" w:color="D9D9D9"/>
              <w:right w:val="nil"/>
            </w:tcBorders>
            <w:shd w:val="clear" w:color="auto" w:fill="auto"/>
            <w:noWrap/>
            <w:vAlign w:val="bottom"/>
            <w:hideMark/>
          </w:tcPr>
          <w:p w14:paraId="697A9AA0"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1,717 </w:t>
            </w:r>
          </w:p>
        </w:tc>
        <w:tc>
          <w:tcPr>
            <w:tcW w:w="1050" w:type="dxa"/>
            <w:tcBorders>
              <w:top w:val="nil"/>
              <w:left w:val="nil"/>
              <w:bottom w:val="single" w:sz="4" w:space="0" w:color="D9D9D9"/>
              <w:right w:val="nil"/>
            </w:tcBorders>
            <w:shd w:val="clear" w:color="auto" w:fill="auto"/>
            <w:noWrap/>
            <w:vAlign w:val="bottom"/>
            <w:hideMark/>
          </w:tcPr>
          <w:p w14:paraId="1F8AE4F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2.3%</w:t>
            </w:r>
          </w:p>
        </w:tc>
        <w:tc>
          <w:tcPr>
            <w:tcW w:w="1050" w:type="dxa"/>
            <w:tcBorders>
              <w:top w:val="nil"/>
              <w:left w:val="single" w:sz="8" w:space="0" w:color="auto"/>
              <w:bottom w:val="single" w:sz="4" w:space="0" w:color="D9D9D9"/>
              <w:right w:val="nil"/>
            </w:tcBorders>
            <w:shd w:val="clear" w:color="auto" w:fill="auto"/>
            <w:noWrap/>
            <w:vAlign w:val="bottom"/>
            <w:hideMark/>
          </w:tcPr>
          <w:p w14:paraId="2E7F70D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1,418 </w:t>
            </w:r>
          </w:p>
        </w:tc>
        <w:tc>
          <w:tcPr>
            <w:tcW w:w="1050" w:type="dxa"/>
            <w:tcBorders>
              <w:top w:val="nil"/>
              <w:left w:val="nil"/>
              <w:bottom w:val="single" w:sz="4" w:space="0" w:color="D9D9D9"/>
              <w:right w:val="single" w:sz="8" w:space="0" w:color="auto"/>
            </w:tcBorders>
            <w:shd w:val="clear" w:color="auto" w:fill="auto"/>
            <w:noWrap/>
            <w:vAlign w:val="bottom"/>
            <w:hideMark/>
          </w:tcPr>
          <w:p w14:paraId="6A19958A"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2.2%</w:t>
            </w:r>
          </w:p>
        </w:tc>
        <w:tc>
          <w:tcPr>
            <w:tcW w:w="1050" w:type="dxa"/>
            <w:tcBorders>
              <w:top w:val="nil"/>
              <w:left w:val="nil"/>
              <w:bottom w:val="single" w:sz="4" w:space="0" w:color="D9D9D9"/>
              <w:right w:val="nil"/>
            </w:tcBorders>
            <w:shd w:val="clear" w:color="auto" w:fill="auto"/>
            <w:noWrap/>
            <w:vAlign w:val="bottom"/>
            <w:hideMark/>
          </w:tcPr>
          <w:p w14:paraId="728AC55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299 </w:t>
            </w:r>
          </w:p>
        </w:tc>
        <w:tc>
          <w:tcPr>
            <w:tcW w:w="1050" w:type="dxa"/>
            <w:tcBorders>
              <w:top w:val="nil"/>
              <w:left w:val="nil"/>
              <w:bottom w:val="single" w:sz="4" w:space="0" w:color="D9D9D9"/>
              <w:right w:val="single" w:sz="8" w:space="0" w:color="auto"/>
            </w:tcBorders>
            <w:shd w:val="clear" w:color="auto" w:fill="auto"/>
            <w:noWrap/>
            <w:vAlign w:val="bottom"/>
            <w:hideMark/>
          </w:tcPr>
          <w:p w14:paraId="50C2991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3.1%</w:t>
            </w:r>
          </w:p>
        </w:tc>
      </w:tr>
      <w:tr w:rsidR="00DD23A1" w:rsidRPr="00DD23A1" w14:paraId="7C6C5948"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3A1DAD2F"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South Shore Health System</w:t>
            </w:r>
          </w:p>
        </w:tc>
        <w:tc>
          <w:tcPr>
            <w:tcW w:w="4140" w:type="dxa"/>
            <w:tcBorders>
              <w:top w:val="single" w:sz="4" w:space="0" w:color="auto"/>
              <w:left w:val="nil"/>
              <w:bottom w:val="single" w:sz="4" w:space="0" w:color="D9D9D9"/>
              <w:right w:val="nil"/>
            </w:tcBorders>
            <w:shd w:val="clear" w:color="auto" w:fill="auto"/>
            <w:noWrap/>
            <w:vAlign w:val="bottom"/>
            <w:hideMark/>
          </w:tcPr>
          <w:p w14:paraId="1F89B3BA"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00C09D4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3,065 </w:t>
            </w:r>
          </w:p>
        </w:tc>
        <w:tc>
          <w:tcPr>
            <w:tcW w:w="1050" w:type="dxa"/>
            <w:tcBorders>
              <w:top w:val="single" w:sz="4" w:space="0" w:color="auto"/>
              <w:left w:val="nil"/>
              <w:bottom w:val="single" w:sz="4" w:space="0" w:color="D9D9D9"/>
              <w:right w:val="nil"/>
            </w:tcBorders>
            <w:shd w:val="clear" w:color="auto" w:fill="auto"/>
            <w:noWrap/>
            <w:vAlign w:val="bottom"/>
            <w:hideMark/>
          </w:tcPr>
          <w:p w14:paraId="785E2A78"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4.2%</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4F902598"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2,809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67FF2217"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4.4%</w:t>
            </w:r>
          </w:p>
        </w:tc>
        <w:tc>
          <w:tcPr>
            <w:tcW w:w="1050" w:type="dxa"/>
            <w:tcBorders>
              <w:top w:val="single" w:sz="4" w:space="0" w:color="auto"/>
              <w:left w:val="nil"/>
              <w:bottom w:val="single" w:sz="4" w:space="0" w:color="D9D9D9"/>
              <w:right w:val="nil"/>
            </w:tcBorders>
            <w:shd w:val="clear" w:color="auto" w:fill="auto"/>
            <w:noWrap/>
            <w:vAlign w:val="bottom"/>
            <w:hideMark/>
          </w:tcPr>
          <w:p w14:paraId="41CBBF72"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256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407C524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2.7%</w:t>
            </w:r>
          </w:p>
        </w:tc>
      </w:tr>
      <w:tr w:rsidR="00DD23A1" w:rsidRPr="00DD23A1" w14:paraId="6A5C676B"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63AA1EE8"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South Shore Health System</w:t>
            </w:r>
          </w:p>
        </w:tc>
        <w:tc>
          <w:tcPr>
            <w:tcW w:w="4140" w:type="dxa"/>
            <w:tcBorders>
              <w:top w:val="nil"/>
              <w:left w:val="nil"/>
              <w:bottom w:val="single" w:sz="4" w:space="0" w:color="D9D9D9"/>
              <w:right w:val="nil"/>
            </w:tcBorders>
            <w:shd w:val="clear" w:color="auto" w:fill="auto"/>
            <w:noWrap/>
            <w:vAlign w:val="bottom"/>
            <w:hideMark/>
          </w:tcPr>
          <w:p w14:paraId="10709EF3"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South Shore Hospital</w:t>
            </w:r>
          </w:p>
        </w:tc>
        <w:tc>
          <w:tcPr>
            <w:tcW w:w="1050" w:type="dxa"/>
            <w:tcBorders>
              <w:top w:val="nil"/>
              <w:left w:val="nil"/>
              <w:bottom w:val="single" w:sz="4" w:space="0" w:color="D9D9D9"/>
              <w:right w:val="nil"/>
            </w:tcBorders>
            <w:shd w:val="clear" w:color="auto" w:fill="auto"/>
            <w:noWrap/>
            <w:vAlign w:val="bottom"/>
            <w:hideMark/>
          </w:tcPr>
          <w:p w14:paraId="4B8E7CA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3,065 </w:t>
            </w:r>
          </w:p>
        </w:tc>
        <w:tc>
          <w:tcPr>
            <w:tcW w:w="1050" w:type="dxa"/>
            <w:tcBorders>
              <w:top w:val="nil"/>
              <w:left w:val="nil"/>
              <w:bottom w:val="single" w:sz="4" w:space="0" w:color="D9D9D9"/>
              <w:right w:val="nil"/>
            </w:tcBorders>
            <w:shd w:val="clear" w:color="auto" w:fill="auto"/>
            <w:noWrap/>
            <w:vAlign w:val="bottom"/>
            <w:hideMark/>
          </w:tcPr>
          <w:p w14:paraId="3450411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4.2%</w:t>
            </w:r>
          </w:p>
        </w:tc>
        <w:tc>
          <w:tcPr>
            <w:tcW w:w="1050" w:type="dxa"/>
            <w:tcBorders>
              <w:top w:val="nil"/>
              <w:left w:val="single" w:sz="8" w:space="0" w:color="auto"/>
              <w:bottom w:val="single" w:sz="4" w:space="0" w:color="D9D9D9"/>
              <w:right w:val="nil"/>
            </w:tcBorders>
            <w:shd w:val="clear" w:color="auto" w:fill="auto"/>
            <w:noWrap/>
            <w:vAlign w:val="bottom"/>
            <w:hideMark/>
          </w:tcPr>
          <w:p w14:paraId="05DD30C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2,809 </w:t>
            </w:r>
          </w:p>
        </w:tc>
        <w:tc>
          <w:tcPr>
            <w:tcW w:w="1050" w:type="dxa"/>
            <w:tcBorders>
              <w:top w:val="nil"/>
              <w:left w:val="nil"/>
              <w:bottom w:val="single" w:sz="4" w:space="0" w:color="D9D9D9"/>
              <w:right w:val="single" w:sz="8" w:space="0" w:color="auto"/>
            </w:tcBorders>
            <w:shd w:val="clear" w:color="auto" w:fill="auto"/>
            <w:noWrap/>
            <w:vAlign w:val="bottom"/>
            <w:hideMark/>
          </w:tcPr>
          <w:p w14:paraId="11A5D31C"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4.4%</w:t>
            </w:r>
          </w:p>
        </w:tc>
        <w:tc>
          <w:tcPr>
            <w:tcW w:w="1050" w:type="dxa"/>
            <w:tcBorders>
              <w:top w:val="nil"/>
              <w:left w:val="nil"/>
              <w:bottom w:val="single" w:sz="4" w:space="0" w:color="D9D9D9"/>
              <w:right w:val="nil"/>
            </w:tcBorders>
            <w:shd w:val="clear" w:color="auto" w:fill="auto"/>
            <w:noWrap/>
            <w:vAlign w:val="bottom"/>
            <w:hideMark/>
          </w:tcPr>
          <w:p w14:paraId="21A09A36"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256 </w:t>
            </w:r>
          </w:p>
        </w:tc>
        <w:tc>
          <w:tcPr>
            <w:tcW w:w="1050" w:type="dxa"/>
            <w:tcBorders>
              <w:top w:val="nil"/>
              <w:left w:val="nil"/>
              <w:bottom w:val="single" w:sz="4" w:space="0" w:color="D9D9D9"/>
              <w:right w:val="single" w:sz="8" w:space="0" w:color="auto"/>
            </w:tcBorders>
            <w:shd w:val="clear" w:color="auto" w:fill="auto"/>
            <w:noWrap/>
            <w:vAlign w:val="bottom"/>
            <w:hideMark/>
          </w:tcPr>
          <w:p w14:paraId="2948D69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2.7%</w:t>
            </w:r>
          </w:p>
        </w:tc>
      </w:tr>
      <w:tr w:rsidR="00DD23A1" w:rsidRPr="00DD23A1" w14:paraId="5568D7C4"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75F85F8A"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Southcoast Health System</w:t>
            </w:r>
          </w:p>
        </w:tc>
        <w:tc>
          <w:tcPr>
            <w:tcW w:w="4140" w:type="dxa"/>
            <w:tcBorders>
              <w:top w:val="single" w:sz="4" w:space="0" w:color="auto"/>
              <w:left w:val="nil"/>
              <w:bottom w:val="single" w:sz="4" w:space="0" w:color="D9D9D9"/>
              <w:right w:val="nil"/>
            </w:tcBorders>
            <w:shd w:val="clear" w:color="auto" w:fill="auto"/>
            <w:noWrap/>
            <w:vAlign w:val="bottom"/>
            <w:hideMark/>
          </w:tcPr>
          <w:p w14:paraId="54763202"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556960C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2,244 </w:t>
            </w:r>
          </w:p>
        </w:tc>
        <w:tc>
          <w:tcPr>
            <w:tcW w:w="1050" w:type="dxa"/>
            <w:tcBorders>
              <w:top w:val="single" w:sz="4" w:space="0" w:color="auto"/>
              <w:left w:val="nil"/>
              <w:bottom w:val="single" w:sz="4" w:space="0" w:color="D9D9D9"/>
              <w:right w:val="nil"/>
            </w:tcBorders>
            <w:shd w:val="clear" w:color="auto" w:fill="auto"/>
            <w:noWrap/>
            <w:vAlign w:val="bottom"/>
            <w:hideMark/>
          </w:tcPr>
          <w:p w14:paraId="46B1806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3.1%</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2298341B"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2,019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4413C23B"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3.2%</w:t>
            </w:r>
          </w:p>
        </w:tc>
        <w:tc>
          <w:tcPr>
            <w:tcW w:w="1050" w:type="dxa"/>
            <w:tcBorders>
              <w:top w:val="single" w:sz="4" w:space="0" w:color="auto"/>
              <w:left w:val="nil"/>
              <w:bottom w:val="single" w:sz="4" w:space="0" w:color="D9D9D9"/>
              <w:right w:val="nil"/>
            </w:tcBorders>
            <w:shd w:val="clear" w:color="auto" w:fill="auto"/>
            <w:noWrap/>
            <w:vAlign w:val="bottom"/>
            <w:hideMark/>
          </w:tcPr>
          <w:p w14:paraId="450F23C8"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225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0DC7B08"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2.3%</w:t>
            </w:r>
          </w:p>
        </w:tc>
      </w:tr>
      <w:tr w:rsidR="00DD23A1" w:rsidRPr="00DD23A1" w14:paraId="77F658BD"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322A6FC4"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Boston Medical Center</w:t>
            </w:r>
          </w:p>
        </w:tc>
        <w:tc>
          <w:tcPr>
            <w:tcW w:w="4140" w:type="dxa"/>
            <w:tcBorders>
              <w:top w:val="single" w:sz="4" w:space="0" w:color="auto"/>
              <w:left w:val="nil"/>
              <w:bottom w:val="single" w:sz="4" w:space="0" w:color="D9D9D9"/>
              <w:right w:val="nil"/>
            </w:tcBorders>
            <w:shd w:val="clear" w:color="auto" w:fill="auto"/>
            <w:noWrap/>
            <w:vAlign w:val="bottom"/>
            <w:hideMark/>
          </w:tcPr>
          <w:p w14:paraId="210E8BD2"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4616B40E"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2,225 </w:t>
            </w:r>
          </w:p>
        </w:tc>
        <w:tc>
          <w:tcPr>
            <w:tcW w:w="1050" w:type="dxa"/>
            <w:tcBorders>
              <w:top w:val="single" w:sz="4" w:space="0" w:color="auto"/>
              <w:left w:val="nil"/>
              <w:bottom w:val="single" w:sz="4" w:space="0" w:color="D9D9D9"/>
              <w:right w:val="nil"/>
            </w:tcBorders>
            <w:shd w:val="clear" w:color="auto" w:fill="auto"/>
            <w:noWrap/>
            <w:vAlign w:val="bottom"/>
            <w:hideMark/>
          </w:tcPr>
          <w:p w14:paraId="700662D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3.0%</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400A9F3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1,920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728A8AA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3.0%</w:t>
            </w:r>
          </w:p>
        </w:tc>
        <w:tc>
          <w:tcPr>
            <w:tcW w:w="1050" w:type="dxa"/>
            <w:tcBorders>
              <w:top w:val="single" w:sz="4" w:space="0" w:color="auto"/>
              <w:left w:val="nil"/>
              <w:bottom w:val="single" w:sz="4" w:space="0" w:color="D9D9D9"/>
              <w:right w:val="nil"/>
            </w:tcBorders>
            <w:shd w:val="clear" w:color="auto" w:fill="auto"/>
            <w:noWrap/>
            <w:vAlign w:val="bottom"/>
            <w:hideMark/>
          </w:tcPr>
          <w:p w14:paraId="47F5C657"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305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3AC6CEBF"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3.2%</w:t>
            </w:r>
          </w:p>
        </w:tc>
      </w:tr>
      <w:tr w:rsidR="00DD23A1" w:rsidRPr="00DD23A1" w14:paraId="5285914C"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40B74551"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Boston Medical Center</w:t>
            </w:r>
          </w:p>
        </w:tc>
        <w:tc>
          <w:tcPr>
            <w:tcW w:w="4140" w:type="dxa"/>
            <w:tcBorders>
              <w:top w:val="nil"/>
              <w:left w:val="nil"/>
              <w:bottom w:val="single" w:sz="4" w:space="0" w:color="D9D9D9"/>
              <w:right w:val="nil"/>
            </w:tcBorders>
            <w:shd w:val="clear" w:color="auto" w:fill="auto"/>
            <w:noWrap/>
            <w:vAlign w:val="bottom"/>
            <w:hideMark/>
          </w:tcPr>
          <w:p w14:paraId="51EB1B9A" w14:textId="77777777" w:rsidR="00DD23A1" w:rsidRPr="00DD23A1" w:rsidRDefault="00DD23A1" w:rsidP="00DD23A1">
            <w:pPr>
              <w:spacing w:after="0" w:line="240" w:lineRule="auto"/>
              <w:rPr>
                <w:rFonts w:ascii="Calibri" w:eastAsia="Times New Roman" w:hAnsi="Calibri" w:cs="Calibri"/>
                <w:kern w:val="0"/>
                <w:sz w:val="18"/>
                <w:szCs w:val="18"/>
                <w:lang w:val="pt-BR"/>
                <w14:ligatures w14:val="none"/>
              </w:rPr>
            </w:pPr>
            <w:r w:rsidRPr="00DD23A1">
              <w:rPr>
                <w:rFonts w:ascii="Calibri" w:eastAsia="Times New Roman" w:hAnsi="Calibri" w:cs="Calibri"/>
                <w:kern w:val="0"/>
                <w:sz w:val="18"/>
                <w:szCs w:val="18"/>
                <w:lang w:val="pt-BR"/>
                <w14:ligatures w14:val="none"/>
              </w:rPr>
              <w:t>Boston Medical Center - Menino Pavilion Campus</w:t>
            </w:r>
          </w:p>
        </w:tc>
        <w:tc>
          <w:tcPr>
            <w:tcW w:w="1050" w:type="dxa"/>
            <w:tcBorders>
              <w:top w:val="nil"/>
              <w:left w:val="nil"/>
              <w:bottom w:val="single" w:sz="4" w:space="0" w:color="D9D9D9"/>
              <w:right w:val="nil"/>
            </w:tcBorders>
            <w:shd w:val="clear" w:color="auto" w:fill="auto"/>
            <w:noWrap/>
            <w:vAlign w:val="bottom"/>
            <w:hideMark/>
          </w:tcPr>
          <w:p w14:paraId="438EC15B"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2,225 </w:t>
            </w:r>
          </w:p>
        </w:tc>
        <w:tc>
          <w:tcPr>
            <w:tcW w:w="1050" w:type="dxa"/>
            <w:tcBorders>
              <w:top w:val="nil"/>
              <w:left w:val="nil"/>
              <w:bottom w:val="single" w:sz="4" w:space="0" w:color="D9D9D9"/>
              <w:right w:val="nil"/>
            </w:tcBorders>
            <w:shd w:val="clear" w:color="auto" w:fill="auto"/>
            <w:noWrap/>
            <w:vAlign w:val="bottom"/>
            <w:hideMark/>
          </w:tcPr>
          <w:p w14:paraId="569C94CD"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3.0%</w:t>
            </w:r>
          </w:p>
        </w:tc>
        <w:tc>
          <w:tcPr>
            <w:tcW w:w="1050" w:type="dxa"/>
            <w:tcBorders>
              <w:top w:val="nil"/>
              <w:left w:val="single" w:sz="8" w:space="0" w:color="auto"/>
              <w:bottom w:val="single" w:sz="4" w:space="0" w:color="D9D9D9"/>
              <w:right w:val="nil"/>
            </w:tcBorders>
            <w:shd w:val="clear" w:color="auto" w:fill="auto"/>
            <w:noWrap/>
            <w:vAlign w:val="bottom"/>
            <w:hideMark/>
          </w:tcPr>
          <w:p w14:paraId="50056705"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1,920 </w:t>
            </w:r>
          </w:p>
        </w:tc>
        <w:tc>
          <w:tcPr>
            <w:tcW w:w="1050" w:type="dxa"/>
            <w:tcBorders>
              <w:top w:val="nil"/>
              <w:left w:val="nil"/>
              <w:bottom w:val="single" w:sz="4" w:space="0" w:color="D9D9D9"/>
              <w:right w:val="single" w:sz="8" w:space="0" w:color="auto"/>
            </w:tcBorders>
            <w:shd w:val="clear" w:color="auto" w:fill="auto"/>
            <w:noWrap/>
            <w:vAlign w:val="bottom"/>
            <w:hideMark/>
          </w:tcPr>
          <w:p w14:paraId="7A4E0FE4"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3.0%</w:t>
            </w:r>
          </w:p>
        </w:tc>
        <w:tc>
          <w:tcPr>
            <w:tcW w:w="1050" w:type="dxa"/>
            <w:tcBorders>
              <w:top w:val="nil"/>
              <w:left w:val="nil"/>
              <w:bottom w:val="single" w:sz="4" w:space="0" w:color="D9D9D9"/>
              <w:right w:val="nil"/>
            </w:tcBorders>
            <w:shd w:val="clear" w:color="auto" w:fill="auto"/>
            <w:noWrap/>
            <w:vAlign w:val="bottom"/>
            <w:hideMark/>
          </w:tcPr>
          <w:p w14:paraId="1FC49F4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305 </w:t>
            </w:r>
          </w:p>
        </w:tc>
        <w:tc>
          <w:tcPr>
            <w:tcW w:w="1050" w:type="dxa"/>
            <w:tcBorders>
              <w:top w:val="nil"/>
              <w:left w:val="nil"/>
              <w:bottom w:val="single" w:sz="4" w:space="0" w:color="D9D9D9"/>
              <w:right w:val="single" w:sz="8" w:space="0" w:color="auto"/>
            </w:tcBorders>
            <w:shd w:val="clear" w:color="auto" w:fill="auto"/>
            <w:noWrap/>
            <w:vAlign w:val="bottom"/>
            <w:hideMark/>
          </w:tcPr>
          <w:p w14:paraId="55204861"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3.2%</w:t>
            </w:r>
          </w:p>
        </w:tc>
      </w:tr>
      <w:tr w:rsidR="00DD23A1" w:rsidRPr="00DD23A1" w14:paraId="210668E7"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6923E534"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Cape Cod Healthcare</w:t>
            </w:r>
          </w:p>
        </w:tc>
        <w:tc>
          <w:tcPr>
            <w:tcW w:w="4140" w:type="dxa"/>
            <w:tcBorders>
              <w:top w:val="single" w:sz="4" w:space="0" w:color="auto"/>
              <w:left w:val="nil"/>
              <w:bottom w:val="single" w:sz="4" w:space="0" w:color="D9D9D9"/>
              <w:right w:val="nil"/>
            </w:tcBorders>
            <w:shd w:val="clear" w:color="auto" w:fill="auto"/>
            <w:noWrap/>
            <w:vAlign w:val="bottom"/>
            <w:hideMark/>
          </w:tcPr>
          <w:p w14:paraId="211CD881"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6AAA93D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2,026 </w:t>
            </w:r>
          </w:p>
        </w:tc>
        <w:tc>
          <w:tcPr>
            <w:tcW w:w="1050" w:type="dxa"/>
            <w:tcBorders>
              <w:top w:val="single" w:sz="4" w:space="0" w:color="auto"/>
              <w:left w:val="nil"/>
              <w:bottom w:val="single" w:sz="4" w:space="0" w:color="D9D9D9"/>
              <w:right w:val="nil"/>
            </w:tcBorders>
            <w:shd w:val="clear" w:color="auto" w:fill="auto"/>
            <w:noWrap/>
            <w:vAlign w:val="bottom"/>
            <w:hideMark/>
          </w:tcPr>
          <w:p w14:paraId="2CF5B9A7"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2.8%</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69E017C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1,868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54FC2A05"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2.9%</w:t>
            </w:r>
          </w:p>
        </w:tc>
        <w:tc>
          <w:tcPr>
            <w:tcW w:w="1050" w:type="dxa"/>
            <w:tcBorders>
              <w:top w:val="single" w:sz="4" w:space="0" w:color="auto"/>
              <w:left w:val="nil"/>
              <w:bottom w:val="single" w:sz="4" w:space="0" w:color="D9D9D9"/>
              <w:right w:val="nil"/>
            </w:tcBorders>
            <w:shd w:val="clear" w:color="auto" w:fill="auto"/>
            <w:noWrap/>
            <w:vAlign w:val="bottom"/>
            <w:hideMark/>
          </w:tcPr>
          <w:p w14:paraId="68E4D2A9"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158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2D729D39"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1.6%</w:t>
            </w:r>
          </w:p>
        </w:tc>
      </w:tr>
      <w:tr w:rsidR="00DD23A1" w:rsidRPr="00DD23A1" w14:paraId="7A156C8E" w14:textId="77777777" w:rsidTr="00017609">
        <w:trPr>
          <w:cantSplit/>
          <w:trHeight w:val="259"/>
        </w:trPr>
        <w:tc>
          <w:tcPr>
            <w:tcW w:w="2510" w:type="dxa"/>
            <w:tcBorders>
              <w:top w:val="nil"/>
              <w:left w:val="single" w:sz="8" w:space="0" w:color="auto"/>
              <w:bottom w:val="single" w:sz="4" w:space="0" w:color="D9D9D9"/>
              <w:right w:val="nil"/>
            </w:tcBorders>
            <w:shd w:val="clear" w:color="auto" w:fill="auto"/>
            <w:noWrap/>
            <w:vAlign w:val="bottom"/>
            <w:hideMark/>
          </w:tcPr>
          <w:p w14:paraId="0DF32D8E"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Cape Cod Healthcare</w:t>
            </w:r>
          </w:p>
        </w:tc>
        <w:tc>
          <w:tcPr>
            <w:tcW w:w="4140" w:type="dxa"/>
            <w:tcBorders>
              <w:top w:val="nil"/>
              <w:left w:val="nil"/>
              <w:bottom w:val="single" w:sz="4" w:space="0" w:color="D9D9D9"/>
              <w:right w:val="nil"/>
            </w:tcBorders>
            <w:shd w:val="clear" w:color="auto" w:fill="auto"/>
            <w:noWrap/>
            <w:vAlign w:val="bottom"/>
            <w:hideMark/>
          </w:tcPr>
          <w:p w14:paraId="45274693" w14:textId="77777777" w:rsidR="00DD23A1" w:rsidRPr="00DD23A1" w:rsidRDefault="00DD23A1" w:rsidP="00DD23A1">
            <w:pPr>
              <w:spacing w:after="0" w:line="240" w:lineRule="auto"/>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Cape Cod Hospital</w:t>
            </w:r>
          </w:p>
        </w:tc>
        <w:tc>
          <w:tcPr>
            <w:tcW w:w="1050" w:type="dxa"/>
            <w:tcBorders>
              <w:top w:val="nil"/>
              <w:left w:val="nil"/>
              <w:bottom w:val="single" w:sz="4" w:space="0" w:color="D9D9D9"/>
              <w:right w:val="nil"/>
            </w:tcBorders>
            <w:shd w:val="clear" w:color="auto" w:fill="auto"/>
            <w:noWrap/>
            <w:vAlign w:val="bottom"/>
            <w:hideMark/>
          </w:tcPr>
          <w:p w14:paraId="0ECB52C4"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1,470 </w:t>
            </w:r>
          </w:p>
        </w:tc>
        <w:tc>
          <w:tcPr>
            <w:tcW w:w="1050" w:type="dxa"/>
            <w:tcBorders>
              <w:top w:val="nil"/>
              <w:left w:val="nil"/>
              <w:bottom w:val="single" w:sz="4" w:space="0" w:color="D9D9D9"/>
              <w:right w:val="nil"/>
            </w:tcBorders>
            <w:shd w:val="clear" w:color="auto" w:fill="auto"/>
            <w:noWrap/>
            <w:vAlign w:val="bottom"/>
            <w:hideMark/>
          </w:tcPr>
          <w:p w14:paraId="2932E91E"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2.0%</w:t>
            </w:r>
          </w:p>
        </w:tc>
        <w:tc>
          <w:tcPr>
            <w:tcW w:w="1050" w:type="dxa"/>
            <w:tcBorders>
              <w:top w:val="nil"/>
              <w:left w:val="single" w:sz="8" w:space="0" w:color="auto"/>
              <w:bottom w:val="single" w:sz="4" w:space="0" w:color="D9D9D9"/>
              <w:right w:val="nil"/>
            </w:tcBorders>
            <w:shd w:val="clear" w:color="auto" w:fill="auto"/>
            <w:noWrap/>
            <w:vAlign w:val="bottom"/>
            <w:hideMark/>
          </w:tcPr>
          <w:p w14:paraId="2125FB6B"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1,344 </w:t>
            </w:r>
          </w:p>
        </w:tc>
        <w:tc>
          <w:tcPr>
            <w:tcW w:w="1050" w:type="dxa"/>
            <w:tcBorders>
              <w:top w:val="nil"/>
              <w:left w:val="nil"/>
              <w:bottom w:val="single" w:sz="4" w:space="0" w:color="D9D9D9"/>
              <w:right w:val="single" w:sz="8" w:space="0" w:color="auto"/>
            </w:tcBorders>
            <w:shd w:val="clear" w:color="auto" w:fill="auto"/>
            <w:noWrap/>
            <w:vAlign w:val="bottom"/>
            <w:hideMark/>
          </w:tcPr>
          <w:p w14:paraId="492AF157"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2.1%</w:t>
            </w:r>
          </w:p>
        </w:tc>
        <w:tc>
          <w:tcPr>
            <w:tcW w:w="1050" w:type="dxa"/>
            <w:tcBorders>
              <w:top w:val="nil"/>
              <w:left w:val="nil"/>
              <w:bottom w:val="single" w:sz="4" w:space="0" w:color="D9D9D9"/>
              <w:right w:val="nil"/>
            </w:tcBorders>
            <w:shd w:val="clear" w:color="auto" w:fill="auto"/>
            <w:noWrap/>
            <w:vAlign w:val="bottom"/>
            <w:hideMark/>
          </w:tcPr>
          <w:p w14:paraId="0F797CA9"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 xml:space="preserve">126 </w:t>
            </w:r>
          </w:p>
        </w:tc>
        <w:tc>
          <w:tcPr>
            <w:tcW w:w="1050" w:type="dxa"/>
            <w:tcBorders>
              <w:top w:val="nil"/>
              <w:left w:val="nil"/>
              <w:bottom w:val="single" w:sz="4" w:space="0" w:color="D9D9D9"/>
              <w:right w:val="single" w:sz="8" w:space="0" w:color="auto"/>
            </w:tcBorders>
            <w:shd w:val="clear" w:color="auto" w:fill="auto"/>
            <w:noWrap/>
            <w:vAlign w:val="bottom"/>
            <w:hideMark/>
          </w:tcPr>
          <w:p w14:paraId="42B02202" w14:textId="77777777" w:rsidR="00DD23A1" w:rsidRPr="00DD23A1" w:rsidRDefault="00DD23A1" w:rsidP="00DD23A1">
            <w:pPr>
              <w:spacing w:after="0" w:line="240" w:lineRule="auto"/>
              <w:jc w:val="center"/>
              <w:rPr>
                <w:rFonts w:ascii="Calibri" w:eastAsia="Times New Roman" w:hAnsi="Calibri" w:cs="Calibri"/>
                <w:kern w:val="0"/>
                <w:sz w:val="18"/>
                <w:szCs w:val="18"/>
                <w14:ligatures w14:val="none"/>
              </w:rPr>
            </w:pPr>
            <w:r w:rsidRPr="00DD23A1">
              <w:rPr>
                <w:rFonts w:ascii="Calibri" w:eastAsia="Times New Roman" w:hAnsi="Calibri" w:cs="Calibri"/>
                <w:kern w:val="0"/>
                <w:sz w:val="18"/>
                <w:szCs w:val="18"/>
                <w14:ligatures w14:val="none"/>
              </w:rPr>
              <w:t>1.3%</w:t>
            </w:r>
          </w:p>
        </w:tc>
      </w:tr>
      <w:tr w:rsidR="00DD23A1" w:rsidRPr="00DD23A1" w14:paraId="2FC09D78" w14:textId="77777777" w:rsidTr="00017609">
        <w:trPr>
          <w:cantSplit/>
          <w:trHeight w:val="259"/>
        </w:trPr>
        <w:tc>
          <w:tcPr>
            <w:tcW w:w="2510" w:type="dxa"/>
            <w:tcBorders>
              <w:top w:val="single" w:sz="4" w:space="0" w:color="auto"/>
              <w:left w:val="single" w:sz="8" w:space="0" w:color="auto"/>
              <w:bottom w:val="single" w:sz="4" w:space="0" w:color="D9D9D9"/>
              <w:right w:val="nil"/>
            </w:tcBorders>
            <w:shd w:val="clear" w:color="auto" w:fill="auto"/>
            <w:noWrap/>
            <w:vAlign w:val="bottom"/>
            <w:hideMark/>
          </w:tcPr>
          <w:p w14:paraId="22F28EE1"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Tenet Healthcare</w:t>
            </w:r>
          </w:p>
        </w:tc>
        <w:tc>
          <w:tcPr>
            <w:tcW w:w="4140" w:type="dxa"/>
            <w:tcBorders>
              <w:top w:val="single" w:sz="4" w:space="0" w:color="auto"/>
              <w:left w:val="nil"/>
              <w:bottom w:val="single" w:sz="4" w:space="0" w:color="D9D9D9"/>
              <w:right w:val="nil"/>
            </w:tcBorders>
            <w:shd w:val="clear" w:color="auto" w:fill="auto"/>
            <w:noWrap/>
            <w:vAlign w:val="bottom"/>
            <w:hideMark/>
          </w:tcPr>
          <w:p w14:paraId="4E601AFD"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4" w:space="0" w:color="D9D9D9"/>
              <w:right w:val="nil"/>
            </w:tcBorders>
            <w:shd w:val="clear" w:color="auto" w:fill="auto"/>
            <w:noWrap/>
            <w:vAlign w:val="bottom"/>
            <w:hideMark/>
          </w:tcPr>
          <w:p w14:paraId="57F8402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1,763 </w:t>
            </w:r>
          </w:p>
        </w:tc>
        <w:tc>
          <w:tcPr>
            <w:tcW w:w="1050" w:type="dxa"/>
            <w:tcBorders>
              <w:top w:val="single" w:sz="4" w:space="0" w:color="auto"/>
              <w:left w:val="nil"/>
              <w:bottom w:val="single" w:sz="4" w:space="0" w:color="D9D9D9"/>
              <w:right w:val="nil"/>
            </w:tcBorders>
            <w:shd w:val="clear" w:color="auto" w:fill="auto"/>
            <w:noWrap/>
            <w:vAlign w:val="bottom"/>
            <w:hideMark/>
          </w:tcPr>
          <w:p w14:paraId="69C2667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2.4%</w:t>
            </w:r>
          </w:p>
        </w:tc>
        <w:tc>
          <w:tcPr>
            <w:tcW w:w="1050" w:type="dxa"/>
            <w:tcBorders>
              <w:top w:val="single" w:sz="4" w:space="0" w:color="auto"/>
              <w:left w:val="single" w:sz="8" w:space="0" w:color="auto"/>
              <w:bottom w:val="single" w:sz="4" w:space="0" w:color="D9D9D9"/>
              <w:right w:val="nil"/>
            </w:tcBorders>
            <w:shd w:val="clear" w:color="auto" w:fill="auto"/>
            <w:noWrap/>
            <w:vAlign w:val="bottom"/>
            <w:hideMark/>
          </w:tcPr>
          <w:p w14:paraId="61E0FF6D"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1,530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0FB3D48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2.4%</w:t>
            </w:r>
          </w:p>
        </w:tc>
        <w:tc>
          <w:tcPr>
            <w:tcW w:w="1050" w:type="dxa"/>
            <w:tcBorders>
              <w:top w:val="single" w:sz="4" w:space="0" w:color="auto"/>
              <w:left w:val="nil"/>
              <w:bottom w:val="single" w:sz="4" w:space="0" w:color="D9D9D9"/>
              <w:right w:val="nil"/>
            </w:tcBorders>
            <w:shd w:val="clear" w:color="auto" w:fill="auto"/>
            <w:noWrap/>
            <w:vAlign w:val="bottom"/>
            <w:hideMark/>
          </w:tcPr>
          <w:p w14:paraId="00ED60BE"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233 </w:t>
            </w:r>
          </w:p>
        </w:tc>
        <w:tc>
          <w:tcPr>
            <w:tcW w:w="1050" w:type="dxa"/>
            <w:tcBorders>
              <w:top w:val="single" w:sz="4" w:space="0" w:color="auto"/>
              <w:left w:val="nil"/>
              <w:bottom w:val="single" w:sz="4" w:space="0" w:color="D9D9D9"/>
              <w:right w:val="single" w:sz="8" w:space="0" w:color="auto"/>
            </w:tcBorders>
            <w:shd w:val="clear" w:color="auto" w:fill="auto"/>
            <w:noWrap/>
            <w:vAlign w:val="bottom"/>
            <w:hideMark/>
          </w:tcPr>
          <w:p w14:paraId="2DA50BC0"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2.4%</w:t>
            </w:r>
          </w:p>
        </w:tc>
      </w:tr>
      <w:tr w:rsidR="00DD23A1" w:rsidRPr="00DD23A1" w14:paraId="641B3C90" w14:textId="77777777" w:rsidTr="00017609">
        <w:trPr>
          <w:cantSplit/>
          <w:trHeight w:val="259"/>
        </w:trPr>
        <w:tc>
          <w:tcPr>
            <w:tcW w:w="2510" w:type="dxa"/>
            <w:tcBorders>
              <w:top w:val="single" w:sz="4" w:space="0" w:color="auto"/>
              <w:left w:val="single" w:sz="8" w:space="0" w:color="auto"/>
              <w:bottom w:val="single" w:sz="8" w:space="0" w:color="auto"/>
              <w:right w:val="nil"/>
            </w:tcBorders>
            <w:shd w:val="clear" w:color="auto" w:fill="auto"/>
            <w:noWrap/>
            <w:vAlign w:val="bottom"/>
            <w:hideMark/>
          </w:tcPr>
          <w:p w14:paraId="0B65C5F9"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Other Health Systems</w:t>
            </w:r>
          </w:p>
        </w:tc>
        <w:tc>
          <w:tcPr>
            <w:tcW w:w="4140" w:type="dxa"/>
            <w:tcBorders>
              <w:top w:val="single" w:sz="4" w:space="0" w:color="auto"/>
              <w:left w:val="nil"/>
              <w:bottom w:val="single" w:sz="8" w:space="0" w:color="auto"/>
              <w:right w:val="nil"/>
            </w:tcBorders>
            <w:shd w:val="clear" w:color="auto" w:fill="auto"/>
            <w:noWrap/>
            <w:vAlign w:val="bottom"/>
            <w:hideMark/>
          </w:tcPr>
          <w:p w14:paraId="5A689438" w14:textId="77777777" w:rsidR="00DD23A1" w:rsidRPr="00DD23A1" w:rsidRDefault="00DD23A1" w:rsidP="00DD23A1">
            <w:pPr>
              <w:spacing w:after="0" w:line="240" w:lineRule="auto"/>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Total</w:t>
            </w:r>
          </w:p>
        </w:tc>
        <w:tc>
          <w:tcPr>
            <w:tcW w:w="1050" w:type="dxa"/>
            <w:tcBorders>
              <w:top w:val="single" w:sz="4" w:space="0" w:color="auto"/>
              <w:left w:val="nil"/>
              <w:bottom w:val="single" w:sz="8" w:space="0" w:color="auto"/>
              <w:right w:val="nil"/>
            </w:tcBorders>
            <w:shd w:val="clear" w:color="auto" w:fill="auto"/>
            <w:noWrap/>
            <w:vAlign w:val="bottom"/>
            <w:hideMark/>
          </w:tcPr>
          <w:p w14:paraId="790B17B9"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7,054 </w:t>
            </w:r>
          </w:p>
        </w:tc>
        <w:tc>
          <w:tcPr>
            <w:tcW w:w="1050" w:type="dxa"/>
            <w:tcBorders>
              <w:top w:val="single" w:sz="4" w:space="0" w:color="auto"/>
              <w:left w:val="nil"/>
              <w:bottom w:val="single" w:sz="8" w:space="0" w:color="auto"/>
              <w:right w:val="nil"/>
            </w:tcBorders>
            <w:shd w:val="clear" w:color="auto" w:fill="auto"/>
            <w:noWrap/>
            <w:vAlign w:val="bottom"/>
            <w:hideMark/>
          </w:tcPr>
          <w:p w14:paraId="399A019A"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9.6%</w:t>
            </w:r>
          </w:p>
        </w:tc>
        <w:tc>
          <w:tcPr>
            <w:tcW w:w="1050" w:type="dxa"/>
            <w:tcBorders>
              <w:top w:val="single" w:sz="4" w:space="0" w:color="auto"/>
              <w:left w:val="single" w:sz="8" w:space="0" w:color="auto"/>
              <w:bottom w:val="single" w:sz="8" w:space="0" w:color="auto"/>
              <w:right w:val="nil"/>
            </w:tcBorders>
            <w:shd w:val="clear" w:color="auto" w:fill="auto"/>
            <w:noWrap/>
            <w:vAlign w:val="bottom"/>
            <w:hideMark/>
          </w:tcPr>
          <w:p w14:paraId="643C5246"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6,257 </w:t>
            </w:r>
          </w:p>
        </w:tc>
        <w:tc>
          <w:tcPr>
            <w:tcW w:w="1050" w:type="dxa"/>
            <w:tcBorders>
              <w:top w:val="single" w:sz="4" w:space="0" w:color="auto"/>
              <w:left w:val="nil"/>
              <w:bottom w:val="single" w:sz="8" w:space="0" w:color="auto"/>
              <w:right w:val="single" w:sz="8" w:space="0" w:color="auto"/>
            </w:tcBorders>
            <w:shd w:val="clear" w:color="auto" w:fill="auto"/>
            <w:noWrap/>
            <w:vAlign w:val="bottom"/>
            <w:hideMark/>
          </w:tcPr>
          <w:p w14:paraId="792D45C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9.9%</w:t>
            </w:r>
          </w:p>
        </w:tc>
        <w:tc>
          <w:tcPr>
            <w:tcW w:w="1050" w:type="dxa"/>
            <w:tcBorders>
              <w:top w:val="single" w:sz="4" w:space="0" w:color="auto"/>
              <w:left w:val="nil"/>
              <w:bottom w:val="single" w:sz="8" w:space="0" w:color="auto"/>
              <w:right w:val="nil"/>
            </w:tcBorders>
            <w:shd w:val="clear" w:color="auto" w:fill="auto"/>
            <w:noWrap/>
            <w:vAlign w:val="bottom"/>
            <w:hideMark/>
          </w:tcPr>
          <w:p w14:paraId="58DA06C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 xml:space="preserve">797 </w:t>
            </w:r>
          </w:p>
        </w:tc>
        <w:tc>
          <w:tcPr>
            <w:tcW w:w="1050" w:type="dxa"/>
            <w:tcBorders>
              <w:top w:val="single" w:sz="4" w:space="0" w:color="auto"/>
              <w:left w:val="nil"/>
              <w:bottom w:val="single" w:sz="8" w:space="0" w:color="auto"/>
              <w:right w:val="single" w:sz="8" w:space="0" w:color="auto"/>
            </w:tcBorders>
            <w:shd w:val="clear" w:color="auto" w:fill="auto"/>
            <w:noWrap/>
            <w:vAlign w:val="bottom"/>
            <w:hideMark/>
          </w:tcPr>
          <w:p w14:paraId="3F420DE1" w14:textId="77777777" w:rsidR="00DD23A1" w:rsidRPr="00DD23A1" w:rsidRDefault="00DD23A1" w:rsidP="00DD23A1">
            <w:pPr>
              <w:spacing w:after="0" w:line="240" w:lineRule="auto"/>
              <w:jc w:val="center"/>
              <w:rPr>
                <w:rFonts w:ascii="Calibri" w:eastAsia="Times New Roman" w:hAnsi="Calibri" w:cs="Calibri"/>
                <w:b/>
                <w:bCs/>
                <w:kern w:val="0"/>
                <w:sz w:val="18"/>
                <w:szCs w:val="18"/>
                <w14:ligatures w14:val="none"/>
              </w:rPr>
            </w:pPr>
            <w:r w:rsidRPr="00DD23A1">
              <w:rPr>
                <w:rFonts w:ascii="Calibri" w:eastAsia="Times New Roman" w:hAnsi="Calibri" w:cs="Calibri"/>
                <w:b/>
                <w:bCs/>
                <w:kern w:val="0"/>
                <w:sz w:val="18"/>
                <w:szCs w:val="18"/>
                <w14:ligatures w14:val="none"/>
              </w:rPr>
              <w:t>7.1%</w:t>
            </w:r>
          </w:p>
        </w:tc>
      </w:tr>
    </w:tbl>
    <w:p w14:paraId="2F338C1B" w14:textId="77777777" w:rsidR="00DD23A1" w:rsidRDefault="00DD23A1" w:rsidP="00DD23A1">
      <w:pPr>
        <w:spacing w:before="120" w:after="120" w:line="360" w:lineRule="auto"/>
        <w:jc w:val="both"/>
        <w:sectPr w:rsidR="00DD23A1" w:rsidSect="00AB4D0F">
          <w:pgSz w:w="15840" w:h="12240" w:orient="landscape"/>
          <w:pgMar w:top="1440" w:right="1440" w:bottom="1440" w:left="1440" w:header="720" w:footer="720" w:gutter="0"/>
          <w:cols w:space="720"/>
          <w:docGrid w:linePitch="360"/>
        </w:sectPr>
      </w:pPr>
    </w:p>
    <w:p w14:paraId="28A2399C" w14:textId="1EC8E8A3" w:rsidR="00AB290B" w:rsidRDefault="00AB290B" w:rsidP="000366B8">
      <w:pPr>
        <w:pStyle w:val="Caption"/>
        <w:keepNext/>
        <w:jc w:val="center"/>
      </w:pPr>
      <w:bookmarkStart w:id="25" w:name="_Toc187401778"/>
      <w:r w:rsidRPr="000366B8">
        <w:lastRenderedPageBreak/>
        <w:t>Table</w:t>
      </w:r>
      <w:r>
        <w:t xml:space="preserve"> </w:t>
      </w:r>
      <w:fldSimple w:instr=" SEQ Table \* ARABIC ">
        <w:r w:rsidR="0085394E">
          <w:rPr>
            <w:noProof/>
          </w:rPr>
          <w:t>5</w:t>
        </w:r>
      </w:fldSimple>
      <w:r>
        <w:t>: Inpatient Cancer Care Patients Treated at BWH Location by Bed License Holder and Attending Physician Affiliation, 2022</w:t>
      </w:r>
      <w:r>
        <w:rPr>
          <w:rStyle w:val="FootnoteReference"/>
        </w:rPr>
        <w:footnoteReference w:id="51"/>
      </w:r>
      <w:bookmarkEnd w:id="25"/>
    </w:p>
    <w:tbl>
      <w:tblPr>
        <w:tblW w:w="8940" w:type="dxa"/>
        <w:tblLayout w:type="fixed"/>
        <w:tblLook w:val="04A0" w:firstRow="1" w:lastRow="0" w:firstColumn="1" w:lastColumn="0" w:noHBand="0" w:noVBand="1"/>
      </w:tblPr>
      <w:tblGrid>
        <w:gridCol w:w="4130"/>
        <w:gridCol w:w="1603"/>
        <w:gridCol w:w="1603"/>
        <w:gridCol w:w="1604"/>
      </w:tblGrid>
      <w:tr w:rsidR="00B84321" w:rsidRPr="00B84321" w14:paraId="7F09FC6D" w14:textId="77777777" w:rsidTr="00017609">
        <w:trPr>
          <w:cantSplit/>
          <w:trHeight w:val="590"/>
          <w:tblHeader/>
        </w:trPr>
        <w:tc>
          <w:tcPr>
            <w:tcW w:w="4130" w:type="dxa"/>
            <w:tcBorders>
              <w:top w:val="single" w:sz="8" w:space="0" w:color="auto"/>
              <w:left w:val="single" w:sz="8" w:space="0" w:color="auto"/>
              <w:bottom w:val="single" w:sz="8" w:space="0" w:color="auto"/>
              <w:right w:val="nil"/>
            </w:tcBorders>
            <w:shd w:val="clear" w:color="000000" w:fill="002060"/>
            <w:vAlign w:val="bottom"/>
            <w:hideMark/>
          </w:tcPr>
          <w:p w14:paraId="08E836A1" w14:textId="0E5CE9ED" w:rsidR="00B84321" w:rsidRPr="00B84321" w:rsidRDefault="000366B8" w:rsidP="00B84321">
            <w:pPr>
              <w:spacing w:after="0" w:line="240" w:lineRule="auto"/>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Patient Type</w:t>
            </w:r>
          </w:p>
        </w:tc>
        <w:tc>
          <w:tcPr>
            <w:tcW w:w="1603" w:type="dxa"/>
            <w:tcBorders>
              <w:top w:val="single" w:sz="8" w:space="0" w:color="auto"/>
              <w:left w:val="single" w:sz="8" w:space="0" w:color="auto"/>
              <w:bottom w:val="single" w:sz="8" w:space="0" w:color="auto"/>
              <w:right w:val="nil"/>
            </w:tcBorders>
            <w:shd w:val="clear" w:color="000000" w:fill="002060"/>
            <w:vAlign w:val="bottom"/>
            <w:hideMark/>
          </w:tcPr>
          <w:p w14:paraId="4F846B5F" w14:textId="7695783E" w:rsidR="00B84321" w:rsidRPr="00B84321" w:rsidRDefault="000366B8" w:rsidP="00B84321">
            <w:pPr>
              <w:spacing w:after="0" w:line="240" w:lineRule="auto"/>
              <w:jc w:val="center"/>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Discharges</w:t>
            </w:r>
          </w:p>
        </w:tc>
        <w:tc>
          <w:tcPr>
            <w:tcW w:w="1603" w:type="dxa"/>
            <w:tcBorders>
              <w:top w:val="single" w:sz="8" w:space="0" w:color="auto"/>
              <w:left w:val="nil"/>
              <w:bottom w:val="single" w:sz="8" w:space="0" w:color="auto"/>
              <w:right w:val="nil"/>
            </w:tcBorders>
            <w:shd w:val="clear" w:color="000000" w:fill="002060"/>
            <w:vAlign w:val="bottom"/>
          </w:tcPr>
          <w:p w14:paraId="28C4BE46" w14:textId="5B0DBC3F" w:rsidR="00B84321" w:rsidRPr="00B84321" w:rsidRDefault="000366B8" w:rsidP="000366B8">
            <w:pPr>
              <w:spacing w:after="0" w:line="240" w:lineRule="auto"/>
              <w:jc w:val="center"/>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Length of Stay (days)</w:t>
            </w:r>
          </w:p>
        </w:tc>
        <w:tc>
          <w:tcPr>
            <w:tcW w:w="1604" w:type="dxa"/>
            <w:tcBorders>
              <w:top w:val="single" w:sz="8" w:space="0" w:color="auto"/>
              <w:left w:val="nil"/>
              <w:bottom w:val="single" w:sz="8" w:space="0" w:color="auto"/>
              <w:right w:val="single" w:sz="8" w:space="0" w:color="auto"/>
            </w:tcBorders>
            <w:shd w:val="clear" w:color="000000" w:fill="002060"/>
            <w:vAlign w:val="bottom"/>
            <w:hideMark/>
          </w:tcPr>
          <w:p w14:paraId="2617EDC9" w14:textId="6D7E8BF4" w:rsidR="00B84321" w:rsidRPr="00B84321" w:rsidRDefault="000366B8" w:rsidP="000366B8">
            <w:pPr>
              <w:spacing w:after="0" w:line="240" w:lineRule="auto"/>
              <w:jc w:val="center"/>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Average Daily Census (beds)</w:t>
            </w:r>
          </w:p>
        </w:tc>
      </w:tr>
      <w:tr w:rsidR="00B84321" w:rsidRPr="00B84321" w14:paraId="468BCBED" w14:textId="77777777" w:rsidTr="00017609">
        <w:trPr>
          <w:cantSplit/>
          <w:trHeight w:val="300"/>
        </w:trPr>
        <w:tc>
          <w:tcPr>
            <w:tcW w:w="4130" w:type="dxa"/>
            <w:tcBorders>
              <w:top w:val="nil"/>
              <w:left w:val="single" w:sz="8" w:space="0" w:color="auto"/>
              <w:bottom w:val="dashed" w:sz="4" w:space="0" w:color="auto"/>
              <w:right w:val="single" w:sz="8" w:space="0" w:color="auto"/>
            </w:tcBorders>
            <w:shd w:val="clear" w:color="auto" w:fill="auto"/>
            <w:noWrap/>
            <w:vAlign w:val="bottom"/>
            <w:hideMark/>
          </w:tcPr>
          <w:p w14:paraId="3D25DB95" w14:textId="38599C3B" w:rsidR="00B84321" w:rsidRPr="00B84321" w:rsidRDefault="00B84321" w:rsidP="00B84321">
            <w:pPr>
              <w:spacing w:after="0" w:line="240" w:lineRule="auto"/>
              <w:rPr>
                <w:rFonts w:ascii="Calibri" w:eastAsia="Times New Roman" w:hAnsi="Calibri" w:cs="Calibri"/>
                <w:kern w:val="0"/>
                <w:lang w:val="fr-FR"/>
                <w14:ligatures w14:val="none"/>
              </w:rPr>
            </w:pPr>
            <w:r w:rsidRPr="00B84321">
              <w:rPr>
                <w:rFonts w:ascii="Calibri" w:eastAsia="Times New Roman" w:hAnsi="Calibri" w:cs="Calibri"/>
                <w:kern w:val="0"/>
                <w:lang w:val="fr-FR"/>
                <w14:ligatures w14:val="none"/>
              </w:rPr>
              <w:t>BWH Cancer Patients (non-DFCI attending)</w:t>
            </w:r>
          </w:p>
        </w:tc>
        <w:tc>
          <w:tcPr>
            <w:tcW w:w="1603" w:type="dxa"/>
            <w:tcBorders>
              <w:top w:val="nil"/>
              <w:left w:val="nil"/>
              <w:bottom w:val="dashed" w:sz="4" w:space="0" w:color="auto"/>
              <w:right w:val="nil"/>
            </w:tcBorders>
            <w:shd w:val="clear" w:color="auto" w:fill="auto"/>
            <w:noWrap/>
            <w:vAlign w:val="bottom"/>
            <w:hideMark/>
          </w:tcPr>
          <w:p w14:paraId="7065B1E0" w14:textId="4E80B704"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3, 025</w:t>
            </w:r>
          </w:p>
        </w:tc>
        <w:tc>
          <w:tcPr>
            <w:tcW w:w="1603" w:type="dxa"/>
            <w:tcBorders>
              <w:top w:val="nil"/>
              <w:left w:val="nil"/>
              <w:bottom w:val="dashed" w:sz="4" w:space="0" w:color="auto"/>
              <w:right w:val="nil"/>
            </w:tcBorders>
          </w:tcPr>
          <w:p w14:paraId="6B8647E8" w14:textId="44DAFDC4"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24, 900</w:t>
            </w:r>
          </w:p>
        </w:tc>
        <w:tc>
          <w:tcPr>
            <w:tcW w:w="1604" w:type="dxa"/>
            <w:tcBorders>
              <w:top w:val="nil"/>
              <w:left w:val="nil"/>
              <w:bottom w:val="dashed" w:sz="4" w:space="0" w:color="auto"/>
              <w:right w:val="single" w:sz="8" w:space="0" w:color="auto"/>
            </w:tcBorders>
            <w:shd w:val="clear" w:color="auto" w:fill="auto"/>
            <w:noWrap/>
            <w:vAlign w:val="bottom"/>
            <w:hideMark/>
          </w:tcPr>
          <w:p w14:paraId="0865DAE9" w14:textId="47AFD9A8"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68</w:t>
            </w:r>
          </w:p>
        </w:tc>
      </w:tr>
      <w:tr w:rsidR="00B84321" w:rsidRPr="00B84321" w14:paraId="01697438" w14:textId="77777777" w:rsidTr="00017609">
        <w:trPr>
          <w:cantSplit/>
          <w:trHeight w:val="300"/>
        </w:trPr>
        <w:tc>
          <w:tcPr>
            <w:tcW w:w="4130" w:type="dxa"/>
            <w:tcBorders>
              <w:top w:val="nil"/>
              <w:left w:val="single" w:sz="8" w:space="0" w:color="auto"/>
              <w:bottom w:val="dashed" w:sz="4" w:space="0" w:color="auto"/>
              <w:right w:val="single" w:sz="8" w:space="0" w:color="auto"/>
            </w:tcBorders>
            <w:shd w:val="clear" w:color="auto" w:fill="auto"/>
            <w:noWrap/>
            <w:vAlign w:val="bottom"/>
            <w:hideMark/>
          </w:tcPr>
          <w:p w14:paraId="7C1B0E2C" w14:textId="2F2ADBA2" w:rsidR="00B84321" w:rsidRPr="00B84321" w:rsidRDefault="00B84321" w:rsidP="00B84321">
            <w:pPr>
              <w:spacing w:after="0" w:line="240" w:lineRule="auto"/>
              <w:rPr>
                <w:rFonts w:ascii="Calibri" w:eastAsia="Times New Roman" w:hAnsi="Calibri" w:cs="Calibri"/>
                <w:kern w:val="0"/>
                <w14:ligatures w14:val="none"/>
              </w:rPr>
            </w:pPr>
            <w:r>
              <w:rPr>
                <w:rFonts w:ascii="Calibri" w:eastAsia="Times New Roman" w:hAnsi="Calibri" w:cs="Calibri"/>
                <w:kern w:val="0"/>
                <w14:ligatures w14:val="none"/>
              </w:rPr>
              <w:t>DFCI Cancer Patients (BWH Leased Beds)</w:t>
            </w:r>
          </w:p>
        </w:tc>
        <w:tc>
          <w:tcPr>
            <w:tcW w:w="1603" w:type="dxa"/>
            <w:tcBorders>
              <w:top w:val="nil"/>
              <w:left w:val="single" w:sz="8" w:space="0" w:color="auto"/>
              <w:bottom w:val="dashed" w:sz="4" w:space="0" w:color="auto"/>
              <w:right w:val="nil"/>
            </w:tcBorders>
            <w:shd w:val="clear" w:color="auto" w:fill="auto"/>
            <w:noWrap/>
            <w:vAlign w:val="bottom"/>
            <w:hideMark/>
          </w:tcPr>
          <w:p w14:paraId="34FBAE56" w14:textId="0F2B2C27"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6, 434</w:t>
            </w:r>
          </w:p>
        </w:tc>
        <w:tc>
          <w:tcPr>
            <w:tcW w:w="1603" w:type="dxa"/>
            <w:tcBorders>
              <w:top w:val="nil"/>
              <w:left w:val="nil"/>
              <w:bottom w:val="dashed" w:sz="4" w:space="0" w:color="auto"/>
              <w:right w:val="nil"/>
            </w:tcBorders>
          </w:tcPr>
          <w:p w14:paraId="18597198" w14:textId="0FC8A4B5"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49, 714</w:t>
            </w:r>
          </w:p>
        </w:tc>
        <w:tc>
          <w:tcPr>
            <w:tcW w:w="1604" w:type="dxa"/>
            <w:tcBorders>
              <w:top w:val="nil"/>
              <w:left w:val="nil"/>
              <w:bottom w:val="dashed" w:sz="4" w:space="0" w:color="auto"/>
              <w:right w:val="single" w:sz="8" w:space="0" w:color="auto"/>
            </w:tcBorders>
            <w:shd w:val="clear" w:color="auto" w:fill="auto"/>
            <w:noWrap/>
            <w:vAlign w:val="bottom"/>
            <w:hideMark/>
          </w:tcPr>
          <w:p w14:paraId="365BF8ED" w14:textId="1574DF54"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136</w:t>
            </w:r>
          </w:p>
        </w:tc>
      </w:tr>
      <w:tr w:rsidR="00B84321" w:rsidRPr="00B84321" w14:paraId="55259A5C" w14:textId="77777777" w:rsidTr="00017609">
        <w:trPr>
          <w:cantSplit/>
          <w:trHeight w:val="300"/>
        </w:trPr>
        <w:tc>
          <w:tcPr>
            <w:tcW w:w="4130" w:type="dxa"/>
            <w:tcBorders>
              <w:top w:val="nil"/>
              <w:left w:val="single" w:sz="8" w:space="0" w:color="auto"/>
              <w:bottom w:val="single" w:sz="4" w:space="0" w:color="auto"/>
              <w:right w:val="single" w:sz="8" w:space="0" w:color="auto"/>
            </w:tcBorders>
            <w:shd w:val="clear" w:color="auto" w:fill="auto"/>
            <w:noWrap/>
            <w:vAlign w:val="bottom"/>
            <w:hideMark/>
          </w:tcPr>
          <w:p w14:paraId="459C2CD5" w14:textId="2C6E94C8" w:rsidR="00B84321" w:rsidRPr="00B84321" w:rsidRDefault="00B84321" w:rsidP="00B84321">
            <w:pPr>
              <w:spacing w:after="0" w:line="240" w:lineRule="auto"/>
              <w:rPr>
                <w:rFonts w:ascii="Calibri" w:eastAsia="Times New Roman" w:hAnsi="Calibri" w:cs="Calibri"/>
                <w:kern w:val="0"/>
                <w14:ligatures w14:val="none"/>
              </w:rPr>
            </w:pPr>
            <w:r>
              <w:rPr>
                <w:rFonts w:ascii="Calibri" w:eastAsia="Times New Roman" w:hAnsi="Calibri" w:cs="Calibri"/>
                <w:kern w:val="0"/>
                <w14:ligatures w14:val="none"/>
              </w:rPr>
              <w:t>DFCI Cancer Patients (DFCI Licensed Beds)</w:t>
            </w:r>
          </w:p>
        </w:tc>
        <w:tc>
          <w:tcPr>
            <w:tcW w:w="1603" w:type="dxa"/>
            <w:tcBorders>
              <w:top w:val="nil"/>
              <w:left w:val="single" w:sz="8" w:space="0" w:color="auto"/>
              <w:bottom w:val="single" w:sz="4" w:space="0" w:color="auto"/>
              <w:right w:val="nil"/>
            </w:tcBorders>
            <w:shd w:val="clear" w:color="auto" w:fill="auto"/>
            <w:noWrap/>
            <w:vAlign w:val="bottom"/>
            <w:hideMark/>
          </w:tcPr>
          <w:p w14:paraId="1370D2D5" w14:textId="2E358636"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1, 022</w:t>
            </w:r>
          </w:p>
        </w:tc>
        <w:tc>
          <w:tcPr>
            <w:tcW w:w="1603" w:type="dxa"/>
            <w:tcBorders>
              <w:top w:val="nil"/>
              <w:left w:val="nil"/>
              <w:bottom w:val="single" w:sz="4" w:space="0" w:color="auto"/>
              <w:right w:val="nil"/>
            </w:tcBorders>
          </w:tcPr>
          <w:p w14:paraId="306EAD9B" w14:textId="4DED6582"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7, 188</w:t>
            </w:r>
          </w:p>
        </w:tc>
        <w:tc>
          <w:tcPr>
            <w:tcW w:w="1604" w:type="dxa"/>
            <w:tcBorders>
              <w:top w:val="nil"/>
              <w:left w:val="nil"/>
              <w:bottom w:val="single" w:sz="4" w:space="0" w:color="auto"/>
              <w:right w:val="single" w:sz="8" w:space="0" w:color="auto"/>
            </w:tcBorders>
            <w:shd w:val="clear" w:color="auto" w:fill="auto"/>
            <w:noWrap/>
            <w:vAlign w:val="bottom"/>
            <w:hideMark/>
          </w:tcPr>
          <w:p w14:paraId="6A54E016" w14:textId="22B898EE" w:rsidR="00B84321" w:rsidRPr="00B84321" w:rsidRDefault="000366B8" w:rsidP="00B84321">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20</w:t>
            </w:r>
          </w:p>
        </w:tc>
      </w:tr>
      <w:tr w:rsidR="000366B8" w:rsidRPr="00B84321" w14:paraId="13D04779" w14:textId="77777777" w:rsidTr="00017609">
        <w:trPr>
          <w:cantSplit/>
          <w:trHeight w:val="300"/>
        </w:trPr>
        <w:tc>
          <w:tcPr>
            <w:tcW w:w="41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A06DAE8" w14:textId="5D7016B6" w:rsidR="000366B8" w:rsidRPr="000366B8" w:rsidRDefault="000366B8" w:rsidP="00B84321">
            <w:pPr>
              <w:spacing w:after="0" w:line="240" w:lineRule="auto"/>
              <w:rPr>
                <w:rFonts w:ascii="Calibri" w:eastAsia="Times New Roman" w:hAnsi="Calibri" w:cs="Calibri"/>
                <w:b/>
                <w:bCs/>
                <w:kern w:val="0"/>
                <w14:ligatures w14:val="none"/>
              </w:rPr>
            </w:pPr>
            <w:r w:rsidRPr="000366B8">
              <w:rPr>
                <w:rFonts w:ascii="Calibri" w:eastAsia="Times New Roman" w:hAnsi="Calibri" w:cs="Calibri"/>
                <w:b/>
                <w:bCs/>
                <w:kern w:val="0"/>
                <w14:ligatures w14:val="none"/>
              </w:rPr>
              <w:t>Total</w:t>
            </w:r>
          </w:p>
        </w:tc>
        <w:tc>
          <w:tcPr>
            <w:tcW w:w="1603" w:type="dxa"/>
            <w:tcBorders>
              <w:top w:val="single" w:sz="4" w:space="0" w:color="auto"/>
              <w:left w:val="single" w:sz="8" w:space="0" w:color="auto"/>
              <w:bottom w:val="single" w:sz="4" w:space="0" w:color="auto"/>
              <w:right w:val="nil"/>
            </w:tcBorders>
            <w:shd w:val="clear" w:color="auto" w:fill="auto"/>
            <w:noWrap/>
            <w:vAlign w:val="bottom"/>
          </w:tcPr>
          <w:p w14:paraId="5408D73D" w14:textId="2A1C840B" w:rsidR="000366B8" w:rsidRPr="000366B8" w:rsidRDefault="000366B8" w:rsidP="00B84321">
            <w:pPr>
              <w:spacing w:after="0" w:line="240" w:lineRule="auto"/>
              <w:jc w:val="center"/>
              <w:rPr>
                <w:rFonts w:ascii="Calibri" w:eastAsia="Times New Roman" w:hAnsi="Calibri" w:cs="Calibri"/>
                <w:b/>
                <w:bCs/>
                <w:kern w:val="0"/>
                <w14:ligatures w14:val="none"/>
              </w:rPr>
            </w:pPr>
            <w:r w:rsidRPr="000366B8">
              <w:rPr>
                <w:rFonts w:ascii="Calibri" w:eastAsia="Times New Roman" w:hAnsi="Calibri" w:cs="Calibri"/>
                <w:b/>
                <w:bCs/>
                <w:kern w:val="0"/>
                <w14:ligatures w14:val="none"/>
              </w:rPr>
              <w:t>10, 481</w:t>
            </w:r>
          </w:p>
        </w:tc>
        <w:tc>
          <w:tcPr>
            <w:tcW w:w="1603" w:type="dxa"/>
            <w:tcBorders>
              <w:top w:val="single" w:sz="4" w:space="0" w:color="auto"/>
              <w:left w:val="nil"/>
              <w:bottom w:val="single" w:sz="4" w:space="0" w:color="auto"/>
              <w:right w:val="nil"/>
            </w:tcBorders>
          </w:tcPr>
          <w:p w14:paraId="72361AA5" w14:textId="538E08B6" w:rsidR="000366B8" w:rsidRPr="000366B8" w:rsidRDefault="000366B8" w:rsidP="00B84321">
            <w:pPr>
              <w:spacing w:after="0" w:line="240" w:lineRule="auto"/>
              <w:jc w:val="center"/>
              <w:rPr>
                <w:rFonts w:ascii="Calibri" w:eastAsia="Times New Roman" w:hAnsi="Calibri" w:cs="Calibri"/>
                <w:b/>
                <w:bCs/>
                <w:kern w:val="0"/>
                <w14:ligatures w14:val="none"/>
              </w:rPr>
            </w:pPr>
            <w:r>
              <w:rPr>
                <w:rFonts w:ascii="Calibri" w:eastAsia="Times New Roman" w:hAnsi="Calibri" w:cs="Calibri"/>
                <w:b/>
                <w:bCs/>
                <w:kern w:val="0"/>
                <w14:ligatures w14:val="none"/>
              </w:rPr>
              <w:t>81, 802</w:t>
            </w:r>
          </w:p>
        </w:tc>
        <w:tc>
          <w:tcPr>
            <w:tcW w:w="1604" w:type="dxa"/>
            <w:tcBorders>
              <w:top w:val="single" w:sz="4" w:space="0" w:color="auto"/>
              <w:left w:val="nil"/>
              <w:bottom w:val="single" w:sz="4" w:space="0" w:color="auto"/>
              <w:right w:val="single" w:sz="4" w:space="0" w:color="auto"/>
            </w:tcBorders>
            <w:shd w:val="clear" w:color="auto" w:fill="auto"/>
            <w:noWrap/>
            <w:vAlign w:val="bottom"/>
          </w:tcPr>
          <w:p w14:paraId="20A923D4" w14:textId="2810504D" w:rsidR="000366B8" w:rsidRPr="000366B8" w:rsidRDefault="000366B8" w:rsidP="00B84321">
            <w:pPr>
              <w:spacing w:after="0" w:line="240" w:lineRule="auto"/>
              <w:jc w:val="center"/>
              <w:rPr>
                <w:rFonts w:ascii="Calibri" w:eastAsia="Times New Roman" w:hAnsi="Calibri" w:cs="Calibri"/>
                <w:b/>
                <w:bCs/>
                <w:kern w:val="0"/>
                <w14:ligatures w14:val="none"/>
              </w:rPr>
            </w:pPr>
            <w:r>
              <w:rPr>
                <w:rFonts w:ascii="Calibri" w:eastAsia="Times New Roman" w:hAnsi="Calibri" w:cs="Calibri"/>
                <w:b/>
                <w:bCs/>
                <w:kern w:val="0"/>
                <w14:ligatures w14:val="none"/>
              </w:rPr>
              <w:t>224</w:t>
            </w:r>
          </w:p>
        </w:tc>
      </w:tr>
    </w:tbl>
    <w:p w14:paraId="2D309AC6" w14:textId="77777777" w:rsidR="00B84321" w:rsidRDefault="00B84321" w:rsidP="00520A3B">
      <w:pPr>
        <w:spacing w:before="120" w:after="120" w:line="360" w:lineRule="auto"/>
        <w:jc w:val="center"/>
      </w:pPr>
    </w:p>
    <w:p w14:paraId="415BF198" w14:textId="738B345D" w:rsidR="003E60B8" w:rsidRDefault="002F61A6" w:rsidP="003E60B8">
      <w:pPr>
        <w:pStyle w:val="Caption"/>
        <w:keepNext/>
        <w:jc w:val="center"/>
      </w:pPr>
      <w:bookmarkStart w:id="26" w:name="_Toc187401779"/>
      <w:r>
        <w:t xml:space="preserve">Table </w:t>
      </w:r>
      <w:fldSimple w:instr=" SEQ Table \* ARABIC ">
        <w:r w:rsidR="0085394E">
          <w:rPr>
            <w:noProof/>
          </w:rPr>
          <w:t>6</w:t>
        </w:r>
      </w:fldSimple>
      <w:r>
        <w:t xml:space="preserve">: Inpatient Cancer </w:t>
      </w:r>
      <w:r w:rsidR="00C22865">
        <w:t xml:space="preserve">Care </w:t>
      </w:r>
      <w:r>
        <w:t>Discharges by Patient Origin</w:t>
      </w:r>
      <w:r>
        <w:rPr>
          <w:rStyle w:val="FootnoteReference"/>
        </w:rPr>
        <w:footnoteReference w:id="52"/>
      </w:r>
      <w:bookmarkEnd w:id="26"/>
      <w:r w:rsidR="008A099B" w:rsidRPr="008A099B">
        <w:t xml:space="preserve"> </w:t>
      </w:r>
    </w:p>
    <w:tbl>
      <w:tblPr>
        <w:tblW w:w="4687" w:type="dxa"/>
        <w:jc w:val="center"/>
        <w:tblLayout w:type="fixed"/>
        <w:tblLook w:val="04A0" w:firstRow="1" w:lastRow="0" w:firstColumn="1" w:lastColumn="0" w:noHBand="0" w:noVBand="1"/>
      </w:tblPr>
      <w:tblGrid>
        <w:gridCol w:w="2347"/>
        <w:gridCol w:w="1170"/>
        <w:gridCol w:w="1170"/>
      </w:tblGrid>
      <w:tr w:rsidR="003E60B8" w:rsidRPr="003E60B8" w14:paraId="5A6B7D06" w14:textId="77777777" w:rsidTr="00017609">
        <w:trPr>
          <w:cantSplit/>
          <w:trHeight w:val="290"/>
          <w:tblHeader/>
          <w:jc w:val="center"/>
        </w:trPr>
        <w:tc>
          <w:tcPr>
            <w:tcW w:w="2347" w:type="dxa"/>
            <w:tcBorders>
              <w:top w:val="single" w:sz="8" w:space="0" w:color="auto"/>
              <w:left w:val="single" w:sz="8" w:space="0" w:color="auto"/>
              <w:bottom w:val="nil"/>
              <w:right w:val="nil"/>
            </w:tcBorders>
            <w:shd w:val="clear" w:color="000000" w:fill="002060"/>
            <w:noWrap/>
            <w:vAlign w:val="bottom"/>
            <w:hideMark/>
          </w:tcPr>
          <w:p w14:paraId="7F50352C" w14:textId="77777777" w:rsidR="003E60B8" w:rsidRPr="003E60B8" w:rsidRDefault="003E60B8" w:rsidP="003E60B8">
            <w:pPr>
              <w:spacing w:after="0" w:line="240" w:lineRule="auto"/>
              <w:rPr>
                <w:rFonts w:ascii="Calibri" w:eastAsia="Times New Roman" w:hAnsi="Calibri" w:cs="Calibri"/>
                <w:b/>
                <w:bCs/>
                <w:color w:val="FFFFFF"/>
                <w:kern w:val="0"/>
                <w14:ligatures w14:val="none"/>
              </w:rPr>
            </w:pPr>
            <w:r w:rsidRPr="003E60B8">
              <w:rPr>
                <w:rFonts w:ascii="Calibri" w:eastAsia="Times New Roman" w:hAnsi="Calibri" w:cs="Calibri"/>
                <w:b/>
                <w:bCs/>
                <w:color w:val="FFFFFF"/>
                <w:kern w:val="0"/>
                <w14:ligatures w14:val="none"/>
              </w:rPr>
              <w:t> </w:t>
            </w:r>
          </w:p>
        </w:tc>
        <w:tc>
          <w:tcPr>
            <w:tcW w:w="1170" w:type="dxa"/>
            <w:tcBorders>
              <w:top w:val="single" w:sz="8" w:space="0" w:color="auto"/>
              <w:left w:val="nil"/>
              <w:bottom w:val="nil"/>
              <w:right w:val="nil"/>
            </w:tcBorders>
            <w:shd w:val="clear" w:color="000000" w:fill="002060"/>
            <w:noWrap/>
            <w:vAlign w:val="bottom"/>
            <w:hideMark/>
          </w:tcPr>
          <w:p w14:paraId="4314DAD6" w14:textId="77777777" w:rsidR="003E60B8" w:rsidRPr="003E60B8" w:rsidRDefault="003E60B8" w:rsidP="003E60B8">
            <w:pPr>
              <w:spacing w:after="0" w:line="240" w:lineRule="auto"/>
              <w:jc w:val="center"/>
              <w:rPr>
                <w:rFonts w:ascii="Calibri" w:eastAsia="Times New Roman" w:hAnsi="Calibri" w:cs="Calibri"/>
                <w:b/>
                <w:bCs/>
                <w:color w:val="FFFFFF"/>
                <w:kern w:val="0"/>
                <w14:ligatures w14:val="none"/>
              </w:rPr>
            </w:pPr>
            <w:r w:rsidRPr="003E60B8">
              <w:rPr>
                <w:rFonts w:ascii="Calibri" w:eastAsia="Times New Roman" w:hAnsi="Calibri" w:cs="Calibri"/>
                <w:b/>
                <w:bCs/>
                <w:color w:val="FFFFFF"/>
                <w:kern w:val="0"/>
                <w14:ligatures w14:val="none"/>
              </w:rPr>
              <w:t>Statewide</w:t>
            </w:r>
          </w:p>
        </w:tc>
        <w:tc>
          <w:tcPr>
            <w:tcW w:w="1170" w:type="dxa"/>
            <w:tcBorders>
              <w:top w:val="single" w:sz="8" w:space="0" w:color="auto"/>
              <w:left w:val="nil"/>
              <w:bottom w:val="nil"/>
              <w:right w:val="single" w:sz="8" w:space="0" w:color="auto"/>
            </w:tcBorders>
            <w:shd w:val="clear" w:color="000000" w:fill="002060"/>
            <w:noWrap/>
            <w:vAlign w:val="bottom"/>
            <w:hideMark/>
          </w:tcPr>
          <w:p w14:paraId="121C1558" w14:textId="77777777" w:rsidR="003E60B8" w:rsidRPr="003E60B8" w:rsidRDefault="003E60B8" w:rsidP="003E60B8">
            <w:pPr>
              <w:spacing w:after="0" w:line="240" w:lineRule="auto"/>
              <w:jc w:val="center"/>
              <w:rPr>
                <w:rFonts w:ascii="Calibri" w:eastAsia="Times New Roman" w:hAnsi="Calibri" w:cs="Calibri"/>
                <w:b/>
                <w:bCs/>
                <w:color w:val="FFFFFF"/>
                <w:kern w:val="0"/>
                <w14:ligatures w14:val="none"/>
              </w:rPr>
            </w:pPr>
            <w:r w:rsidRPr="003E60B8">
              <w:rPr>
                <w:rFonts w:ascii="Calibri" w:eastAsia="Times New Roman" w:hAnsi="Calibri" w:cs="Calibri"/>
                <w:b/>
                <w:bCs/>
                <w:color w:val="FFFFFF"/>
                <w:kern w:val="0"/>
                <w14:ligatures w14:val="none"/>
              </w:rPr>
              <w:t>DFCI</w:t>
            </w:r>
          </w:p>
        </w:tc>
      </w:tr>
      <w:tr w:rsidR="003E60B8" w:rsidRPr="003E60B8" w14:paraId="1B72043D" w14:textId="77777777" w:rsidTr="00017609">
        <w:trPr>
          <w:cantSplit/>
          <w:trHeight w:val="290"/>
          <w:jc w:val="center"/>
        </w:trPr>
        <w:tc>
          <w:tcPr>
            <w:tcW w:w="2347" w:type="dxa"/>
            <w:tcBorders>
              <w:top w:val="nil"/>
              <w:left w:val="single" w:sz="8" w:space="0" w:color="auto"/>
              <w:bottom w:val="single" w:sz="4" w:space="0" w:color="auto"/>
              <w:right w:val="nil"/>
            </w:tcBorders>
            <w:shd w:val="clear" w:color="auto" w:fill="auto"/>
            <w:noWrap/>
            <w:vAlign w:val="center"/>
            <w:hideMark/>
          </w:tcPr>
          <w:p w14:paraId="68A847E3" w14:textId="77777777" w:rsidR="003E60B8" w:rsidRPr="003E60B8" w:rsidRDefault="003E60B8" w:rsidP="003E60B8">
            <w:pPr>
              <w:spacing w:after="0" w:line="240" w:lineRule="auto"/>
              <w:rPr>
                <w:rFonts w:ascii="Calibri" w:eastAsia="Times New Roman" w:hAnsi="Calibri" w:cs="Calibri"/>
                <w:kern w:val="0"/>
                <w14:ligatures w14:val="none"/>
              </w:rPr>
            </w:pPr>
            <w:r w:rsidRPr="003E60B8">
              <w:rPr>
                <w:rFonts w:ascii="Calibri" w:eastAsia="Times New Roman" w:hAnsi="Calibri" w:cs="Calibri"/>
                <w:kern w:val="0"/>
                <w14:ligatures w14:val="none"/>
              </w:rPr>
              <w:t>Massachusetts</w:t>
            </w:r>
          </w:p>
        </w:tc>
        <w:tc>
          <w:tcPr>
            <w:tcW w:w="1170" w:type="dxa"/>
            <w:tcBorders>
              <w:top w:val="nil"/>
              <w:left w:val="nil"/>
              <w:bottom w:val="single" w:sz="4" w:space="0" w:color="auto"/>
              <w:right w:val="nil"/>
            </w:tcBorders>
            <w:shd w:val="clear" w:color="auto" w:fill="auto"/>
            <w:noWrap/>
            <w:vAlign w:val="center"/>
            <w:hideMark/>
          </w:tcPr>
          <w:p w14:paraId="1ADAC135"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90.2%</w:t>
            </w:r>
          </w:p>
        </w:tc>
        <w:tc>
          <w:tcPr>
            <w:tcW w:w="1170" w:type="dxa"/>
            <w:tcBorders>
              <w:top w:val="nil"/>
              <w:left w:val="nil"/>
              <w:bottom w:val="single" w:sz="4" w:space="0" w:color="auto"/>
              <w:right w:val="single" w:sz="8" w:space="0" w:color="auto"/>
            </w:tcBorders>
            <w:shd w:val="clear" w:color="auto" w:fill="auto"/>
            <w:noWrap/>
            <w:vAlign w:val="center"/>
            <w:hideMark/>
          </w:tcPr>
          <w:p w14:paraId="5532DDC0"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74.5%</w:t>
            </w:r>
          </w:p>
        </w:tc>
      </w:tr>
      <w:tr w:rsidR="003E60B8" w:rsidRPr="003E60B8" w14:paraId="711E6FC5" w14:textId="77777777" w:rsidTr="00017609">
        <w:trPr>
          <w:cantSplit/>
          <w:trHeight w:val="289"/>
          <w:jc w:val="center"/>
        </w:trPr>
        <w:tc>
          <w:tcPr>
            <w:tcW w:w="2347" w:type="dxa"/>
            <w:tcBorders>
              <w:top w:val="dashed" w:sz="4" w:space="0" w:color="auto"/>
              <w:left w:val="single" w:sz="8" w:space="0" w:color="auto"/>
              <w:bottom w:val="dashed" w:sz="4" w:space="0" w:color="auto"/>
              <w:right w:val="nil"/>
            </w:tcBorders>
            <w:shd w:val="clear" w:color="auto" w:fill="auto"/>
            <w:noWrap/>
            <w:vAlign w:val="center"/>
            <w:hideMark/>
          </w:tcPr>
          <w:p w14:paraId="00196ACF"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Middlesex County</w:t>
            </w:r>
          </w:p>
        </w:tc>
        <w:tc>
          <w:tcPr>
            <w:tcW w:w="1170" w:type="dxa"/>
            <w:tcBorders>
              <w:top w:val="dashed" w:sz="4" w:space="0" w:color="auto"/>
              <w:left w:val="nil"/>
              <w:bottom w:val="dashed" w:sz="4" w:space="0" w:color="auto"/>
              <w:right w:val="nil"/>
            </w:tcBorders>
            <w:shd w:val="clear" w:color="auto" w:fill="auto"/>
            <w:noWrap/>
            <w:vAlign w:val="center"/>
            <w:hideMark/>
          </w:tcPr>
          <w:p w14:paraId="6A234816"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18.4%</w:t>
            </w:r>
          </w:p>
        </w:tc>
        <w:tc>
          <w:tcPr>
            <w:tcW w:w="1170" w:type="dxa"/>
            <w:tcBorders>
              <w:top w:val="dashed" w:sz="4" w:space="0" w:color="auto"/>
              <w:left w:val="nil"/>
              <w:bottom w:val="dashed" w:sz="4" w:space="0" w:color="auto"/>
              <w:right w:val="single" w:sz="8" w:space="0" w:color="auto"/>
            </w:tcBorders>
            <w:shd w:val="clear" w:color="auto" w:fill="auto"/>
            <w:noWrap/>
            <w:vAlign w:val="center"/>
            <w:hideMark/>
          </w:tcPr>
          <w:p w14:paraId="6691595F"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15.3%</w:t>
            </w:r>
          </w:p>
        </w:tc>
      </w:tr>
      <w:tr w:rsidR="003E60B8" w:rsidRPr="003E60B8" w14:paraId="34F335D6"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37B2C5BD"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Essex County</w:t>
            </w:r>
          </w:p>
        </w:tc>
        <w:tc>
          <w:tcPr>
            <w:tcW w:w="1170" w:type="dxa"/>
            <w:tcBorders>
              <w:top w:val="nil"/>
              <w:left w:val="nil"/>
              <w:bottom w:val="dashed" w:sz="4" w:space="0" w:color="auto"/>
              <w:right w:val="nil"/>
            </w:tcBorders>
            <w:shd w:val="clear" w:color="auto" w:fill="auto"/>
            <w:noWrap/>
            <w:vAlign w:val="center"/>
            <w:hideMark/>
          </w:tcPr>
          <w:p w14:paraId="6058B029"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11.0%</w:t>
            </w:r>
          </w:p>
        </w:tc>
        <w:tc>
          <w:tcPr>
            <w:tcW w:w="1170" w:type="dxa"/>
            <w:tcBorders>
              <w:top w:val="nil"/>
              <w:left w:val="nil"/>
              <w:bottom w:val="dashed" w:sz="4" w:space="0" w:color="auto"/>
              <w:right w:val="single" w:sz="8" w:space="0" w:color="auto"/>
            </w:tcBorders>
            <w:shd w:val="clear" w:color="auto" w:fill="auto"/>
            <w:noWrap/>
            <w:vAlign w:val="center"/>
            <w:hideMark/>
          </w:tcPr>
          <w:p w14:paraId="456B0031"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6.2%</w:t>
            </w:r>
          </w:p>
        </w:tc>
      </w:tr>
      <w:tr w:rsidR="003E60B8" w:rsidRPr="003E60B8" w14:paraId="0D8ACE20"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71652B01"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Worcester County</w:t>
            </w:r>
          </w:p>
        </w:tc>
        <w:tc>
          <w:tcPr>
            <w:tcW w:w="1170" w:type="dxa"/>
            <w:tcBorders>
              <w:top w:val="nil"/>
              <w:left w:val="nil"/>
              <w:bottom w:val="dashed" w:sz="4" w:space="0" w:color="auto"/>
              <w:right w:val="nil"/>
            </w:tcBorders>
            <w:shd w:val="clear" w:color="auto" w:fill="auto"/>
            <w:noWrap/>
            <w:vAlign w:val="center"/>
            <w:hideMark/>
          </w:tcPr>
          <w:p w14:paraId="512FC484"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10.4%</w:t>
            </w:r>
          </w:p>
        </w:tc>
        <w:tc>
          <w:tcPr>
            <w:tcW w:w="1170" w:type="dxa"/>
            <w:tcBorders>
              <w:top w:val="nil"/>
              <w:left w:val="nil"/>
              <w:bottom w:val="dashed" w:sz="4" w:space="0" w:color="auto"/>
              <w:right w:val="single" w:sz="8" w:space="0" w:color="auto"/>
            </w:tcBorders>
            <w:shd w:val="clear" w:color="auto" w:fill="auto"/>
            <w:noWrap/>
            <w:vAlign w:val="center"/>
            <w:hideMark/>
          </w:tcPr>
          <w:p w14:paraId="3092DF3C"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6.7%</w:t>
            </w:r>
          </w:p>
        </w:tc>
      </w:tr>
      <w:tr w:rsidR="003E60B8" w:rsidRPr="003E60B8" w14:paraId="279BE427"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2112667C"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Norfolk County</w:t>
            </w:r>
          </w:p>
        </w:tc>
        <w:tc>
          <w:tcPr>
            <w:tcW w:w="1170" w:type="dxa"/>
            <w:tcBorders>
              <w:top w:val="nil"/>
              <w:left w:val="nil"/>
              <w:bottom w:val="dashed" w:sz="4" w:space="0" w:color="auto"/>
              <w:right w:val="nil"/>
            </w:tcBorders>
            <w:shd w:val="clear" w:color="auto" w:fill="auto"/>
            <w:noWrap/>
            <w:vAlign w:val="center"/>
            <w:hideMark/>
          </w:tcPr>
          <w:p w14:paraId="59F27A1D"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10.2%</w:t>
            </w:r>
          </w:p>
        </w:tc>
        <w:tc>
          <w:tcPr>
            <w:tcW w:w="1170" w:type="dxa"/>
            <w:tcBorders>
              <w:top w:val="nil"/>
              <w:left w:val="nil"/>
              <w:bottom w:val="dashed" w:sz="4" w:space="0" w:color="auto"/>
              <w:right w:val="single" w:sz="8" w:space="0" w:color="auto"/>
            </w:tcBorders>
            <w:shd w:val="clear" w:color="auto" w:fill="auto"/>
            <w:noWrap/>
            <w:vAlign w:val="center"/>
            <w:hideMark/>
          </w:tcPr>
          <w:p w14:paraId="464386EC"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13.0%</w:t>
            </w:r>
          </w:p>
        </w:tc>
      </w:tr>
      <w:tr w:rsidR="003E60B8" w:rsidRPr="003E60B8" w14:paraId="75E8E4B2"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228C6C89"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Suffolk County</w:t>
            </w:r>
          </w:p>
        </w:tc>
        <w:tc>
          <w:tcPr>
            <w:tcW w:w="1170" w:type="dxa"/>
            <w:tcBorders>
              <w:top w:val="nil"/>
              <w:left w:val="nil"/>
              <w:bottom w:val="dashed" w:sz="4" w:space="0" w:color="auto"/>
              <w:right w:val="nil"/>
            </w:tcBorders>
            <w:shd w:val="clear" w:color="auto" w:fill="auto"/>
            <w:noWrap/>
            <w:vAlign w:val="center"/>
            <w:hideMark/>
          </w:tcPr>
          <w:p w14:paraId="002C7860"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9.4%</w:t>
            </w:r>
          </w:p>
        </w:tc>
        <w:tc>
          <w:tcPr>
            <w:tcW w:w="1170" w:type="dxa"/>
            <w:tcBorders>
              <w:top w:val="nil"/>
              <w:left w:val="nil"/>
              <w:bottom w:val="dashed" w:sz="4" w:space="0" w:color="auto"/>
              <w:right w:val="single" w:sz="8" w:space="0" w:color="auto"/>
            </w:tcBorders>
            <w:shd w:val="clear" w:color="auto" w:fill="auto"/>
            <w:noWrap/>
            <w:vAlign w:val="center"/>
            <w:hideMark/>
          </w:tcPr>
          <w:p w14:paraId="45129B9E"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10.2%</w:t>
            </w:r>
          </w:p>
        </w:tc>
      </w:tr>
      <w:tr w:rsidR="003E60B8" w:rsidRPr="003E60B8" w14:paraId="1682C79E"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029A8943"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Plymouth County</w:t>
            </w:r>
          </w:p>
        </w:tc>
        <w:tc>
          <w:tcPr>
            <w:tcW w:w="1170" w:type="dxa"/>
            <w:tcBorders>
              <w:top w:val="nil"/>
              <w:left w:val="nil"/>
              <w:bottom w:val="dashed" w:sz="4" w:space="0" w:color="auto"/>
              <w:right w:val="nil"/>
            </w:tcBorders>
            <w:shd w:val="clear" w:color="auto" w:fill="auto"/>
            <w:noWrap/>
            <w:vAlign w:val="center"/>
            <w:hideMark/>
          </w:tcPr>
          <w:p w14:paraId="7D9087E8"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8.6%</w:t>
            </w:r>
          </w:p>
        </w:tc>
        <w:tc>
          <w:tcPr>
            <w:tcW w:w="1170" w:type="dxa"/>
            <w:tcBorders>
              <w:top w:val="nil"/>
              <w:left w:val="nil"/>
              <w:bottom w:val="dashed" w:sz="4" w:space="0" w:color="auto"/>
              <w:right w:val="single" w:sz="8" w:space="0" w:color="auto"/>
            </w:tcBorders>
            <w:shd w:val="clear" w:color="auto" w:fill="auto"/>
            <w:noWrap/>
            <w:vAlign w:val="center"/>
            <w:hideMark/>
          </w:tcPr>
          <w:p w14:paraId="2CBAD4CF"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8.0%</w:t>
            </w:r>
          </w:p>
        </w:tc>
      </w:tr>
      <w:tr w:rsidR="003E60B8" w:rsidRPr="003E60B8" w14:paraId="06D4C6D0"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3230B7A4"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Bristol County</w:t>
            </w:r>
          </w:p>
        </w:tc>
        <w:tc>
          <w:tcPr>
            <w:tcW w:w="1170" w:type="dxa"/>
            <w:tcBorders>
              <w:top w:val="nil"/>
              <w:left w:val="nil"/>
              <w:bottom w:val="dashed" w:sz="4" w:space="0" w:color="auto"/>
              <w:right w:val="nil"/>
            </w:tcBorders>
            <w:shd w:val="clear" w:color="auto" w:fill="auto"/>
            <w:noWrap/>
            <w:vAlign w:val="center"/>
            <w:hideMark/>
          </w:tcPr>
          <w:p w14:paraId="1201CDBF"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7.3%</w:t>
            </w:r>
          </w:p>
        </w:tc>
        <w:tc>
          <w:tcPr>
            <w:tcW w:w="1170" w:type="dxa"/>
            <w:tcBorders>
              <w:top w:val="nil"/>
              <w:left w:val="nil"/>
              <w:bottom w:val="dashed" w:sz="4" w:space="0" w:color="auto"/>
              <w:right w:val="single" w:sz="8" w:space="0" w:color="auto"/>
            </w:tcBorders>
            <w:shd w:val="clear" w:color="auto" w:fill="auto"/>
            <w:noWrap/>
            <w:vAlign w:val="center"/>
            <w:hideMark/>
          </w:tcPr>
          <w:p w14:paraId="6A3ED095"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6.7%</w:t>
            </w:r>
          </w:p>
        </w:tc>
      </w:tr>
      <w:tr w:rsidR="003E60B8" w:rsidRPr="003E60B8" w14:paraId="559573B5"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2BDBD582"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Hampden County</w:t>
            </w:r>
          </w:p>
        </w:tc>
        <w:tc>
          <w:tcPr>
            <w:tcW w:w="1170" w:type="dxa"/>
            <w:tcBorders>
              <w:top w:val="nil"/>
              <w:left w:val="nil"/>
              <w:bottom w:val="dashed" w:sz="4" w:space="0" w:color="auto"/>
              <w:right w:val="nil"/>
            </w:tcBorders>
            <w:shd w:val="clear" w:color="auto" w:fill="auto"/>
            <w:noWrap/>
            <w:vAlign w:val="center"/>
            <w:hideMark/>
          </w:tcPr>
          <w:p w14:paraId="2B9A9BB1"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5.8%</w:t>
            </w:r>
          </w:p>
        </w:tc>
        <w:tc>
          <w:tcPr>
            <w:tcW w:w="1170" w:type="dxa"/>
            <w:tcBorders>
              <w:top w:val="nil"/>
              <w:left w:val="nil"/>
              <w:bottom w:val="dashed" w:sz="4" w:space="0" w:color="auto"/>
              <w:right w:val="single" w:sz="8" w:space="0" w:color="auto"/>
            </w:tcBorders>
            <w:shd w:val="clear" w:color="auto" w:fill="auto"/>
            <w:noWrap/>
            <w:vAlign w:val="center"/>
            <w:hideMark/>
          </w:tcPr>
          <w:p w14:paraId="6553A95E"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2.0%</w:t>
            </w:r>
          </w:p>
        </w:tc>
      </w:tr>
      <w:tr w:rsidR="003E60B8" w:rsidRPr="003E60B8" w14:paraId="0829698A"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6184CA8F"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Barnstable County</w:t>
            </w:r>
          </w:p>
        </w:tc>
        <w:tc>
          <w:tcPr>
            <w:tcW w:w="1170" w:type="dxa"/>
            <w:tcBorders>
              <w:top w:val="nil"/>
              <w:left w:val="nil"/>
              <w:bottom w:val="dashed" w:sz="4" w:space="0" w:color="auto"/>
              <w:right w:val="nil"/>
            </w:tcBorders>
            <w:shd w:val="clear" w:color="auto" w:fill="auto"/>
            <w:noWrap/>
            <w:vAlign w:val="center"/>
            <w:hideMark/>
          </w:tcPr>
          <w:p w14:paraId="3E5BA7B1"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4.1%</w:t>
            </w:r>
          </w:p>
        </w:tc>
        <w:tc>
          <w:tcPr>
            <w:tcW w:w="1170" w:type="dxa"/>
            <w:tcBorders>
              <w:top w:val="nil"/>
              <w:left w:val="nil"/>
              <w:bottom w:val="dashed" w:sz="4" w:space="0" w:color="auto"/>
              <w:right w:val="single" w:sz="8" w:space="0" w:color="auto"/>
            </w:tcBorders>
            <w:shd w:val="clear" w:color="auto" w:fill="auto"/>
            <w:noWrap/>
            <w:vAlign w:val="center"/>
            <w:hideMark/>
          </w:tcPr>
          <w:p w14:paraId="5D3CFFAD"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4.1%</w:t>
            </w:r>
          </w:p>
        </w:tc>
      </w:tr>
      <w:tr w:rsidR="003E60B8" w:rsidRPr="003E60B8" w14:paraId="7467B8A5"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37C296DE"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Berkshire County</w:t>
            </w:r>
          </w:p>
        </w:tc>
        <w:tc>
          <w:tcPr>
            <w:tcW w:w="1170" w:type="dxa"/>
            <w:tcBorders>
              <w:top w:val="nil"/>
              <w:left w:val="nil"/>
              <w:bottom w:val="dashed" w:sz="4" w:space="0" w:color="auto"/>
              <w:right w:val="nil"/>
            </w:tcBorders>
            <w:shd w:val="clear" w:color="auto" w:fill="auto"/>
            <w:noWrap/>
            <w:vAlign w:val="center"/>
            <w:hideMark/>
          </w:tcPr>
          <w:p w14:paraId="3F22A448"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1.9%</w:t>
            </w:r>
          </w:p>
        </w:tc>
        <w:tc>
          <w:tcPr>
            <w:tcW w:w="1170" w:type="dxa"/>
            <w:tcBorders>
              <w:top w:val="nil"/>
              <w:left w:val="nil"/>
              <w:bottom w:val="dashed" w:sz="4" w:space="0" w:color="auto"/>
              <w:right w:val="single" w:sz="8" w:space="0" w:color="auto"/>
            </w:tcBorders>
            <w:shd w:val="clear" w:color="auto" w:fill="auto"/>
            <w:noWrap/>
            <w:vAlign w:val="center"/>
            <w:hideMark/>
          </w:tcPr>
          <w:p w14:paraId="2F052BA2"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1.0%</w:t>
            </w:r>
          </w:p>
        </w:tc>
      </w:tr>
      <w:tr w:rsidR="003E60B8" w:rsidRPr="003E60B8" w14:paraId="5EB8F084"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4A238721"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Hampshire County</w:t>
            </w:r>
          </w:p>
        </w:tc>
        <w:tc>
          <w:tcPr>
            <w:tcW w:w="1170" w:type="dxa"/>
            <w:tcBorders>
              <w:top w:val="nil"/>
              <w:left w:val="nil"/>
              <w:bottom w:val="dashed" w:sz="4" w:space="0" w:color="auto"/>
              <w:right w:val="nil"/>
            </w:tcBorders>
            <w:shd w:val="clear" w:color="auto" w:fill="auto"/>
            <w:noWrap/>
            <w:vAlign w:val="center"/>
            <w:hideMark/>
          </w:tcPr>
          <w:p w14:paraId="5003DA20"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1.7%</w:t>
            </w:r>
          </w:p>
        </w:tc>
        <w:tc>
          <w:tcPr>
            <w:tcW w:w="1170" w:type="dxa"/>
            <w:tcBorders>
              <w:top w:val="nil"/>
              <w:left w:val="nil"/>
              <w:bottom w:val="dashed" w:sz="4" w:space="0" w:color="auto"/>
              <w:right w:val="single" w:sz="8" w:space="0" w:color="auto"/>
            </w:tcBorders>
            <w:shd w:val="clear" w:color="auto" w:fill="auto"/>
            <w:noWrap/>
            <w:vAlign w:val="center"/>
            <w:hideMark/>
          </w:tcPr>
          <w:p w14:paraId="3ED3CEFF"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0.7%</w:t>
            </w:r>
          </w:p>
        </w:tc>
      </w:tr>
      <w:tr w:rsidR="003E60B8" w:rsidRPr="003E60B8" w14:paraId="4E77299D"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77EFD6A9"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Franklin County</w:t>
            </w:r>
          </w:p>
        </w:tc>
        <w:tc>
          <w:tcPr>
            <w:tcW w:w="1170" w:type="dxa"/>
            <w:tcBorders>
              <w:top w:val="nil"/>
              <w:left w:val="nil"/>
              <w:bottom w:val="dashed" w:sz="4" w:space="0" w:color="auto"/>
              <w:right w:val="nil"/>
            </w:tcBorders>
            <w:shd w:val="clear" w:color="auto" w:fill="auto"/>
            <w:noWrap/>
            <w:vAlign w:val="center"/>
            <w:hideMark/>
          </w:tcPr>
          <w:p w14:paraId="470B0203"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0.9%</w:t>
            </w:r>
          </w:p>
        </w:tc>
        <w:tc>
          <w:tcPr>
            <w:tcW w:w="1170" w:type="dxa"/>
            <w:tcBorders>
              <w:top w:val="nil"/>
              <w:left w:val="nil"/>
              <w:bottom w:val="dashed" w:sz="4" w:space="0" w:color="auto"/>
              <w:right w:val="single" w:sz="8" w:space="0" w:color="auto"/>
            </w:tcBorders>
            <w:shd w:val="clear" w:color="auto" w:fill="auto"/>
            <w:noWrap/>
            <w:vAlign w:val="center"/>
            <w:hideMark/>
          </w:tcPr>
          <w:p w14:paraId="0C59073B"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0.3%</w:t>
            </w:r>
          </w:p>
        </w:tc>
      </w:tr>
      <w:tr w:rsidR="003E60B8" w:rsidRPr="003E60B8" w14:paraId="723B32F7"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4C845B4E"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Dukes County</w:t>
            </w:r>
          </w:p>
        </w:tc>
        <w:tc>
          <w:tcPr>
            <w:tcW w:w="1170" w:type="dxa"/>
            <w:tcBorders>
              <w:top w:val="nil"/>
              <w:left w:val="nil"/>
              <w:bottom w:val="dashed" w:sz="4" w:space="0" w:color="auto"/>
              <w:right w:val="nil"/>
            </w:tcBorders>
            <w:shd w:val="clear" w:color="auto" w:fill="auto"/>
            <w:noWrap/>
            <w:vAlign w:val="center"/>
            <w:hideMark/>
          </w:tcPr>
          <w:p w14:paraId="0CAF8F10"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0.3%</w:t>
            </w:r>
          </w:p>
        </w:tc>
        <w:tc>
          <w:tcPr>
            <w:tcW w:w="1170" w:type="dxa"/>
            <w:tcBorders>
              <w:top w:val="nil"/>
              <w:left w:val="nil"/>
              <w:bottom w:val="dashed" w:sz="4" w:space="0" w:color="auto"/>
              <w:right w:val="single" w:sz="8" w:space="0" w:color="auto"/>
            </w:tcBorders>
            <w:shd w:val="clear" w:color="auto" w:fill="auto"/>
            <w:noWrap/>
            <w:vAlign w:val="center"/>
            <w:hideMark/>
          </w:tcPr>
          <w:p w14:paraId="4610167A"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r>
      <w:tr w:rsidR="003E60B8" w:rsidRPr="003E60B8" w14:paraId="0C23A2AF"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641F161B"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Nantucket County</w:t>
            </w:r>
          </w:p>
        </w:tc>
        <w:tc>
          <w:tcPr>
            <w:tcW w:w="1170" w:type="dxa"/>
            <w:tcBorders>
              <w:top w:val="nil"/>
              <w:left w:val="nil"/>
              <w:bottom w:val="dashed" w:sz="4" w:space="0" w:color="auto"/>
              <w:right w:val="nil"/>
            </w:tcBorders>
            <w:shd w:val="clear" w:color="auto" w:fill="auto"/>
            <w:noWrap/>
            <w:vAlign w:val="center"/>
            <w:hideMark/>
          </w:tcPr>
          <w:p w14:paraId="179FE4B3"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0.2%</w:t>
            </w:r>
          </w:p>
        </w:tc>
        <w:tc>
          <w:tcPr>
            <w:tcW w:w="1170" w:type="dxa"/>
            <w:tcBorders>
              <w:top w:val="nil"/>
              <w:left w:val="nil"/>
              <w:bottom w:val="dashed" w:sz="4" w:space="0" w:color="auto"/>
              <w:right w:val="single" w:sz="8" w:space="0" w:color="auto"/>
            </w:tcBorders>
            <w:shd w:val="clear" w:color="auto" w:fill="auto"/>
            <w:noWrap/>
            <w:vAlign w:val="center"/>
            <w:hideMark/>
          </w:tcPr>
          <w:p w14:paraId="6C15672A"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r>
      <w:tr w:rsidR="003E60B8" w:rsidRPr="003E60B8" w14:paraId="2F13F5E6" w14:textId="77777777" w:rsidTr="00017609">
        <w:trPr>
          <w:cantSplit/>
          <w:trHeight w:val="289"/>
          <w:jc w:val="center"/>
        </w:trPr>
        <w:tc>
          <w:tcPr>
            <w:tcW w:w="2347" w:type="dxa"/>
            <w:tcBorders>
              <w:top w:val="nil"/>
              <w:left w:val="single" w:sz="8" w:space="0" w:color="auto"/>
              <w:bottom w:val="dashed" w:sz="4" w:space="0" w:color="auto"/>
              <w:right w:val="nil"/>
            </w:tcBorders>
            <w:shd w:val="clear" w:color="auto" w:fill="auto"/>
            <w:noWrap/>
            <w:vAlign w:val="center"/>
            <w:hideMark/>
          </w:tcPr>
          <w:p w14:paraId="4E24C0C1"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Windham County</w:t>
            </w:r>
          </w:p>
        </w:tc>
        <w:tc>
          <w:tcPr>
            <w:tcW w:w="1170" w:type="dxa"/>
            <w:tcBorders>
              <w:top w:val="nil"/>
              <w:left w:val="nil"/>
              <w:bottom w:val="dashed" w:sz="4" w:space="0" w:color="auto"/>
              <w:right w:val="nil"/>
            </w:tcBorders>
            <w:shd w:val="clear" w:color="auto" w:fill="auto"/>
            <w:noWrap/>
            <w:vAlign w:val="center"/>
            <w:hideMark/>
          </w:tcPr>
          <w:p w14:paraId="73039A41"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c>
          <w:tcPr>
            <w:tcW w:w="1170" w:type="dxa"/>
            <w:tcBorders>
              <w:top w:val="nil"/>
              <w:left w:val="nil"/>
              <w:bottom w:val="dashed" w:sz="4" w:space="0" w:color="auto"/>
              <w:right w:val="single" w:sz="8" w:space="0" w:color="auto"/>
            </w:tcBorders>
            <w:shd w:val="clear" w:color="auto" w:fill="auto"/>
            <w:noWrap/>
            <w:vAlign w:val="center"/>
            <w:hideMark/>
          </w:tcPr>
          <w:p w14:paraId="6C41B043"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r>
      <w:tr w:rsidR="003E60B8" w:rsidRPr="003E60B8" w14:paraId="20A9EE95" w14:textId="77777777" w:rsidTr="00017609">
        <w:trPr>
          <w:cantSplit/>
          <w:trHeight w:val="289"/>
          <w:jc w:val="center"/>
        </w:trPr>
        <w:tc>
          <w:tcPr>
            <w:tcW w:w="2347" w:type="dxa"/>
            <w:tcBorders>
              <w:top w:val="nil"/>
              <w:left w:val="single" w:sz="8" w:space="0" w:color="auto"/>
              <w:bottom w:val="single" w:sz="8" w:space="0" w:color="auto"/>
              <w:right w:val="nil"/>
            </w:tcBorders>
            <w:shd w:val="clear" w:color="auto" w:fill="auto"/>
            <w:noWrap/>
            <w:vAlign w:val="center"/>
            <w:hideMark/>
          </w:tcPr>
          <w:p w14:paraId="2BCD4043" w14:textId="77777777" w:rsidR="003E60B8" w:rsidRPr="003E60B8" w:rsidRDefault="003E60B8" w:rsidP="003E60B8">
            <w:pPr>
              <w:spacing w:after="0" w:line="240" w:lineRule="auto"/>
              <w:ind w:firstLineChars="200" w:firstLine="440"/>
              <w:rPr>
                <w:rFonts w:ascii="Calibri" w:eastAsia="Times New Roman" w:hAnsi="Calibri" w:cs="Calibri"/>
                <w:i/>
                <w:iCs/>
                <w:kern w:val="0"/>
                <w14:ligatures w14:val="none"/>
              </w:rPr>
            </w:pPr>
            <w:r w:rsidRPr="003E60B8">
              <w:rPr>
                <w:rFonts w:ascii="Calibri" w:eastAsia="Times New Roman" w:hAnsi="Calibri" w:cs="Calibri"/>
                <w:i/>
                <w:iCs/>
                <w:kern w:val="0"/>
                <w14:ligatures w14:val="none"/>
              </w:rPr>
              <w:t>Unknown County</w:t>
            </w:r>
          </w:p>
        </w:tc>
        <w:tc>
          <w:tcPr>
            <w:tcW w:w="1170" w:type="dxa"/>
            <w:tcBorders>
              <w:top w:val="nil"/>
              <w:left w:val="nil"/>
              <w:bottom w:val="single" w:sz="8" w:space="0" w:color="auto"/>
              <w:right w:val="nil"/>
            </w:tcBorders>
            <w:shd w:val="clear" w:color="auto" w:fill="auto"/>
            <w:noWrap/>
            <w:vAlign w:val="center"/>
            <w:hideMark/>
          </w:tcPr>
          <w:p w14:paraId="7C271DA8"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c>
          <w:tcPr>
            <w:tcW w:w="1170" w:type="dxa"/>
            <w:tcBorders>
              <w:top w:val="nil"/>
              <w:left w:val="nil"/>
              <w:bottom w:val="single" w:sz="8" w:space="0" w:color="auto"/>
              <w:right w:val="single" w:sz="8" w:space="0" w:color="auto"/>
            </w:tcBorders>
            <w:shd w:val="clear" w:color="auto" w:fill="auto"/>
            <w:noWrap/>
            <w:vAlign w:val="center"/>
            <w:hideMark/>
          </w:tcPr>
          <w:p w14:paraId="03A9B5A3"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w:t>
            </w:r>
          </w:p>
        </w:tc>
      </w:tr>
      <w:tr w:rsidR="003E60B8" w:rsidRPr="003E60B8" w14:paraId="3F847AAB" w14:textId="77777777" w:rsidTr="00017609">
        <w:trPr>
          <w:cantSplit/>
          <w:trHeight w:val="289"/>
          <w:jc w:val="center"/>
        </w:trPr>
        <w:tc>
          <w:tcPr>
            <w:tcW w:w="2347" w:type="dxa"/>
            <w:tcBorders>
              <w:top w:val="nil"/>
              <w:left w:val="single" w:sz="8" w:space="0" w:color="auto"/>
              <w:bottom w:val="single" w:sz="4" w:space="0" w:color="auto"/>
              <w:right w:val="nil"/>
            </w:tcBorders>
            <w:shd w:val="clear" w:color="auto" w:fill="auto"/>
            <w:noWrap/>
            <w:vAlign w:val="center"/>
            <w:hideMark/>
          </w:tcPr>
          <w:p w14:paraId="32327EBB" w14:textId="77777777" w:rsidR="003E60B8" w:rsidRPr="003E60B8" w:rsidRDefault="003E60B8" w:rsidP="003E60B8">
            <w:pPr>
              <w:spacing w:after="0" w:line="240" w:lineRule="auto"/>
              <w:rPr>
                <w:rFonts w:ascii="Calibri" w:eastAsia="Times New Roman" w:hAnsi="Calibri" w:cs="Calibri"/>
                <w:kern w:val="0"/>
                <w14:ligatures w14:val="none"/>
              </w:rPr>
            </w:pPr>
            <w:r w:rsidRPr="003E60B8">
              <w:rPr>
                <w:rFonts w:ascii="Calibri" w:eastAsia="Times New Roman" w:hAnsi="Calibri" w:cs="Calibri"/>
                <w:kern w:val="0"/>
                <w14:ligatures w14:val="none"/>
              </w:rPr>
              <w:t>Out of State</w:t>
            </w:r>
          </w:p>
        </w:tc>
        <w:tc>
          <w:tcPr>
            <w:tcW w:w="1170" w:type="dxa"/>
            <w:tcBorders>
              <w:top w:val="nil"/>
              <w:left w:val="nil"/>
              <w:bottom w:val="single" w:sz="4" w:space="0" w:color="auto"/>
              <w:right w:val="nil"/>
            </w:tcBorders>
            <w:shd w:val="clear" w:color="auto" w:fill="auto"/>
            <w:noWrap/>
            <w:vAlign w:val="center"/>
            <w:hideMark/>
          </w:tcPr>
          <w:p w14:paraId="5634930A"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8.0%</w:t>
            </w:r>
          </w:p>
        </w:tc>
        <w:tc>
          <w:tcPr>
            <w:tcW w:w="1170" w:type="dxa"/>
            <w:tcBorders>
              <w:top w:val="nil"/>
              <w:left w:val="nil"/>
              <w:bottom w:val="single" w:sz="4" w:space="0" w:color="auto"/>
              <w:right w:val="single" w:sz="8" w:space="0" w:color="auto"/>
            </w:tcBorders>
            <w:shd w:val="clear" w:color="auto" w:fill="auto"/>
            <w:noWrap/>
            <w:vAlign w:val="center"/>
            <w:hideMark/>
          </w:tcPr>
          <w:p w14:paraId="39F9CEEF"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20.5%</w:t>
            </w:r>
          </w:p>
        </w:tc>
      </w:tr>
      <w:tr w:rsidR="003E60B8" w:rsidRPr="003E60B8" w14:paraId="134271F8" w14:textId="77777777" w:rsidTr="00017609">
        <w:trPr>
          <w:cantSplit/>
          <w:trHeight w:val="289"/>
          <w:jc w:val="center"/>
        </w:trPr>
        <w:tc>
          <w:tcPr>
            <w:tcW w:w="2347" w:type="dxa"/>
            <w:tcBorders>
              <w:top w:val="nil"/>
              <w:left w:val="single" w:sz="8" w:space="0" w:color="auto"/>
              <w:bottom w:val="double" w:sz="4" w:space="0" w:color="auto"/>
              <w:right w:val="nil"/>
            </w:tcBorders>
            <w:shd w:val="clear" w:color="auto" w:fill="auto"/>
            <w:noWrap/>
            <w:vAlign w:val="center"/>
            <w:hideMark/>
          </w:tcPr>
          <w:p w14:paraId="5862D5C6" w14:textId="77777777" w:rsidR="003E60B8" w:rsidRPr="003E60B8" w:rsidRDefault="003E60B8" w:rsidP="003E60B8">
            <w:pPr>
              <w:spacing w:after="0" w:line="240" w:lineRule="auto"/>
              <w:rPr>
                <w:rFonts w:ascii="Calibri" w:eastAsia="Times New Roman" w:hAnsi="Calibri" w:cs="Calibri"/>
                <w:kern w:val="0"/>
                <w14:ligatures w14:val="none"/>
              </w:rPr>
            </w:pPr>
            <w:r w:rsidRPr="003E60B8">
              <w:rPr>
                <w:rFonts w:ascii="Calibri" w:eastAsia="Times New Roman" w:hAnsi="Calibri" w:cs="Calibri"/>
                <w:kern w:val="0"/>
                <w14:ligatures w14:val="none"/>
              </w:rPr>
              <w:t>Unknown State</w:t>
            </w:r>
          </w:p>
        </w:tc>
        <w:tc>
          <w:tcPr>
            <w:tcW w:w="1170" w:type="dxa"/>
            <w:tcBorders>
              <w:top w:val="nil"/>
              <w:left w:val="nil"/>
              <w:bottom w:val="double" w:sz="4" w:space="0" w:color="auto"/>
              <w:right w:val="nil"/>
            </w:tcBorders>
            <w:shd w:val="clear" w:color="auto" w:fill="auto"/>
            <w:noWrap/>
            <w:vAlign w:val="center"/>
            <w:hideMark/>
          </w:tcPr>
          <w:p w14:paraId="62AFFD18"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1.7%</w:t>
            </w:r>
          </w:p>
        </w:tc>
        <w:tc>
          <w:tcPr>
            <w:tcW w:w="1170" w:type="dxa"/>
            <w:tcBorders>
              <w:top w:val="nil"/>
              <w:left w:val="nil"/>
              <w:bottom w:val="double" w:sz="4" w:space="0" w:color="auto"/>
              <w:right w:val="single" w:sz="8" w:space="0" w:color="auto"/>
            </w:tcBorders>
            <w:shd w:val="clear" w:color="auto" w:fill="auto"/>
            <w:noWrap/>
            <w:vAlign w:val="center"/>
            <w:hideMark/>
          </w:tcPr>
          <w:p w14:paraId="148D7EB4" w14:textId="77777777" w:rsidR="003E60B8" w:rsidRPr="003E60B8" w:rsidRDefault="003E60B8" w:rsidP="003E60B8">
            <w:pPr>
              <w:spacing w:after="0" w:line="240" w:lineRule="auto"/>
              <w:jc w:val="center"/>
              <w:rPr>
                <w:rFonts w:ascii="Calibri" w:eastAsia="Times New Roman" w:hAnsi="Calibri" w:cs="Calibri"/>
                <w:kern w:val="0"/>
                <w14:ligatures w14:val="none"/>
              </w:rPr>
            </w:pPr>
            <w:r w:rsidRPr="003E60B8">
              <w:rPr>
                <w:rFonts w:ascii="Calibri" w:eastAsia="Times New Roman" w:hAnsi="Calibri" w:cs="Calibri"/>
                <w:kern w:val="0"/>
                <w14:ligatures w14:val="none"/>
              </w:rPr>
              <w:t>5.1%</w:t>
            </w:r>
          </w:p>
        </w:tc>
      </w:tr>
      <w:tr w:rsidR="003E60B8" w:rsidRPr="003E60B8" w14:paraId="61042F62" w14:textId="77777777" w:rsidTr="00017609">
        <w:trPr>
          <w:cantSplit/>
          <w:trHeight w:val="289"/>
          <w:jc w:val="center"/>
        </w:trPr>
        <w:tc>
          <w:tcPr>
            <w:tcW w:w="2347" w:type="dxa"/>
            <w:tcBorders>
              <w:top w:val="double" w:sz="4" w:space="0" w:color="auto"/>
              <w:left w:val="single" w:sz="8" w:space="0" w:color="auto"/>
              <w:bottom w:val="single" w:sz="8" w:space="0" w:color="auto"/>
              <w:right w:val="nil"/>
            </w:tcBorders>
            <w:shd w:val="clear" w:color="auto" w:fill="auto"/>
            <w:noWrap/>
            <w:vAlign w:val="center"/>
            <w:hideMark/>
          </w:tcPr>
          <w:p w14:paraId="771B01DF" w14:textId="77777777" w:rsidR="003E60B8" w:rsidRPr="003E60B8" w:rsidRDefault="003E60B8" w:rsidP="003E60B8">
            <w:pPr>
              <w:spacing w:after="0" w:line="240" w:lineRule="auto"/>
              <w:rPr>
                <w:rFonts w:ascii="Calibri" w:eastAsia="Times New Roman" w:hAnsi="Calibri" w:cs="Calibri"/>
                <w:b/>
                <w:bCs/>
                <w:kern w:val="0"/>
                <w14:ligatures w14:val="none"/>
              </w:rPr>
            </w:pPr>
            <w:r w:rsidRPr="003E60B8">
              <w:rPr>
                <w:rFonts w:ascii="Calibri" w:eastAsia="Times New Roman" w:hAnsi="Calibri" w:cs="Calibri"/>
                <w:b/>
                <w:bCs/>
                <w:kern w:val="0"/>
                <w14:ligatures w14:val="none"/>
              </w:rPr>
              <w:t>Total</w:t>
            </w:r>
          </w:p>
        </w:tc>
        <w:tc>
          <w:tcPr>
            <w:tcW w:w="1170" w:type="dxa"/>
            <w:tcBorders>
              <w:top w:val="double" w:sz="4" w:space="0" w:color="auto"/>
              <w:left w:val="nil"/>
              <w:bottom w:val="single" w:sz="8" w:space="0" w:color="auto"/>
              <w:right w:val="nil"/>
            </w:tcBorders>
            <w:shd w:val="clear" w:color="auto" w:fill="auto"/>
            <w:noWrap/>
            <w:vAlign w:val="center"/>
            <w:hideMark/>
          </w:tcPr>
          <w:p w14:paraId="6223AC7D" w14:textId="77777777" w:rsidR="003E60B8" w:rsidRPr="003E60B8" w:rsidRDefault="003E60B8" w:rsidP="003E60B8">
            <w:pPr>
              <w:spacing w:after="0" w:line="240" w:lineRule="auto"/>
              <w:jc w:val="center"/>
              <w:rPr>
                <w:rFonts w:ascii="Calibri" w:eastAsia="Times New Roman" w:hAnsi="Calibri" w:cs="Calibri"/>
                <w:b/>
                <w:bCs/>
                <w:kern w:val="0"/>
                <w14:ligatures w14:val="none"/>
              </w:rPr>
            </w:pPr>
            <w:r w:rsidRPr="003E60B8">
              <w:rPr>
                <w:rFonts w:ascii="Calibri" w:eastAsia="Times New Roman" w:hAnsi="Calibri" w:cs="Calibri"/>
                <w:b/>
                <w:bCs/>
                <w:kern w:val="0"/>
                <w14:ligatures w14:val="none"/>
              </w:rPr>
              <w:t>100.0%</w:t>
            </w:r>
          </w:p>
        </w:tc>
        <w:tc>
          <w:tcPr>
            <w:tcW w:w="1170" w:type="dxa"/>
            <w:tcBorders>
              <w:top w:val="double" w:sz="4" w:space="0" w:color="auto"/>
              <w:left w:val="nil"/>
              <w:bottom w:val="single" w:sz="8" w:space="0" w:color="auto"/>
              <w:right w:val="single" w:sz="8" w:space="0" w:color="auto"/>
            </w:tcBorders>
            <w:shd w:val="clear" w:color="auto" w:fill="auto"/>
            <w:noWrap/>
            <w:vAlign w:val="center"/>
            <w:hideMark/>
          </w:tcPr>
          <w:p w14:paraId="0D9D2795" w14:textId="77777777" w:rsidR="003E60B8" w:rsidRPr="003E60B8" w:rsidRDefault="003E60B8" w:rsidP="003E60B8">
            <w:pPr>
              <w:spacing w:after="0" w:line="240" w:lineRule="auto"/>
              <w:jc w:val="center"/>
              <w:rPr>
                <w:rFonts w:ascii="Calibri" w:eastAsia="Times New Roman" w:hAnsi="Calibri" w:cs="Calibri"/>
                <w:b/>
                <w:bCs/>
                <w:kern w:val="0"/>
                <w14:ligatures w14:val="none"/>
              </w:rPr>
            </w:pPr>
            <w:r w:rsidRPr="003E60B8">
              <w:rPr>
                <w:rFonts w:ascii="Calibri" w:eastAsia="Times New Roman" w:hAnsi="Calibri" w:cs="Calibri"/>
                <w:b/>
                <w:bCs/>
                <w:kern w:val="0"/>
                <w14:ligatures w14:val="none"/>
              </w:rPr>
              <w:t>100.0%</w:t>
            </w:r>
          </w:p>
        </w:tc>
      </w:tr>
    </w:tbl>
    <w:p w14:paraId="0270183D" w14:textId="6A405724" w:rsidR="00A54CEE" w:rsidRDefault="00A54CEE" w:rsidP="007A6977">
      <w:pPr>
        <w:spacing w:line="360" w:lineRule="auto"/>
      </w:pPr>
    </w:p>
    <w:p w14:paraId="59A6B7D8" w14:textId="0973E6E2" w:rsidR="00520A3B" w:rsidRDefault="00640BE1" w:rsidP="00517B7D">
      <w:pPr>
        <w:numPr>
          <w:ilvl w:val="0"/>
          <w:numId w:val="4"/>
        </w:numPr>
        <w:spacing w:before="120" w:after="120" w:line="360" w:lineRule="auto"/>
        <w:jc w:val="both"/>
      </w:pPr>
      <w:r>
        <w:t xml:space="preserve">Table </w:t>
      </w:r>
      <w:r w:rsidR="009502AD">
        <w:t>7</w:t>
      </w:r>
      <w:r>
        <w:t xml:space="preserve"> provides the demographic profiles for DFCI’s and other inpatient cancer care providers’ patient panels. </w:t>
      </w:r>
      <w:r w:rsidR="00517B7D">
        <w:t xml:space="preserve">DFCI serves a, on average, younger (and therefore more likely to be commercially insured) patient population than the state average. Its share of patients with Medicaid and its racial and ethnic patient distributions are in line with state averages. The selected hospitals in Table </w:t>
      </w:r>
      <w:r w:rsidR="00AB290B">
        <w:t>7</w:t>
      </w:r>
      <w:r w:rsidR="00517B7D">
        <w:t xml:space="preserve">, </w:t>
      </w:r>
      <w:r w:rsidR="00517B7D">
        <w:lastRenderedPageBreak/>
        <w:t xml:space="preserve">including </w:t>
      </w:r>
      <w:r w:rsidR="00517B7D" w:rsidRPr="00517B7D">
        <w:t>DFCI, have a higher than state-average acuity and length of stay</w:t>
      </w:r>
      <w:r w:rsidR="00517B7D">
        <w:t xml:space="preserve">, driven primarily by </w:t>
      </w:r>
      <w:r w:rsidR="00495C95">
        <w:t>the hospital</w:t>
      </w:r>
      <w:r w:rsidR="00517B7D">
        <w:t xml:space="preserve"> providing care to a higher share of surgical patients.</w:t>
      </w:r>
      <w:r w:rsidR="00EA363D">
        <w:t xml:space="preserve"> Table </w:t>
      </w:r>
      <w:r w:rsidR="00AB290B">
        <w:t>8</w:t>
      </w:r>
      <w:r w:rsidR="00EA363D">
        <w:t xml:space="preserve"> provides the payor mix for the health systems with the largest shares of inpatient cancer care in Massachusetts. UMass Memorial Health Care provides relatively more care to Medicaid patients, and Steward Health Care System and Baystate Health provide more care to other government and self-pay patients than the state average. </w:t>
      </w:r>
    </w:p>
    <w:p w14:paraId="7D3C525D" w14:textId="172AE0D1" w:rsidR="00355C4A" w:rsidRDefault="00355C4A" w:rsidP="00355C4A">
      <w:pPr>
        <w:numPr>
          <w:ilvl w:val="0"/>
          <w:numId w:val="4"/>
        </w:numPr>
        <w:spacing w:before="120" w:after="120" w:line="360" w:lineRule="auto"/>
        <w:jc w:val="both"/>
      </w:pPr>
      <w:r w:rsidRPr="00817F1F">
        <w:t>FTI’s analyses of CHIA utilization data for the state by pay</w:t>
      </w:r>
      <w:r>
        <w:t>o</w:t>
      </w:r>
      <w:r w:rsidRPr="00817F1F">
        <w:t xml:space="preserve">r and </w:t>
      </w:r>
      <w:r>
        <w:t xml:space="preserve">by other </w:t>
      </w:r>
      <w:r w:rsidRPr="00817F1F">
        <w:t xml:space="preserve">available demographic characteristics are </w:t>
      </w:r>
      <w:r>
        <w:t xml:space="preserve">generally </w:t>
      </w:r>
      <w:r w:rsidRPr="00817F1F">
        <w:t xml:space="preserve">consistent with </w:t>
      </w:r>
      <w:r>
        <w:t xml:space="preserve">DFCI’s reported patient panel profiles </w:t>
      </w:r>
      <w:r w:rsidRPr="00817F1F">
        <w:t xml:space="preserve">in </w:t>
      </w:r>
      <w:r w:rsidR="00D155D1">
        <w:t>its</w:t>
      </w:r>
      <w:r>
        <w:t xml:space="preserve"> Application and </w:t>
      </w:r>
      <w:r w:rsidRPr="00817F1F">
        <w:t>responses to D</w:t>
      </w:r>
      <w:r>
        <w:t>PH</w:t>
      </w:r>
      <w:r w:rsidRPr="00817F1F">
        <w:t>.</w:t>
      </w:r>
    </w:p>
    <w:p w14:paraId="4AE6404D" w14:textId="243716AB" w:rsidR="0062776D" w:rsidRDefault="00FD37A2" w:rsidP="006256A8">
      <w:pPr>
        <w:pStyle w:val="Caption"/>
        <w:keepNext/>
        <w:jc w:val="center"/>
      </w:pPr>
      <w:bookmarkStart w:id="27" w:name="_Toc187401780"/>
      <w:r>
        <w:t xml:space="preserve">Table </w:t>
      </w:r>
      <w:fldSimple w:instr=" SEQ Table \* ARABIC ">
        <w:r w:rsidR="0085394E">
          <w:rPr>
            <w:noProof/>
          </w:rPr>
          <w:t>7</w:t>
        </w:r>
      </w:fldSimple>
      <w:r>
        <w:t xml:space="preserve">: </w:t>
      </w:r>
      <w:r w:rsidRPr="00BC3215">
        <w:t>Demographic Characteristics of Inpatient Cancer Care Patients by Health System</w:t>
      </w:r>
      <w:r>
        <w:rPr>
          <w:rStyle w:val="FootnoteReference"/>
        </w:rPr>
        <w:footnoteReference w:id="53"/>
      </w:r>
      <w:bookmarkEnd w:id="27"/>
    </w:p>
    <w:tbl>
      <w:tblPr>
        <w:tblW w:w="7830" w:type="dxa"/>
        <w:jc w:val="center"/>
        <w:tblLayout w:type="fixed"/>
        <w:tblLook w:val="04A0" w:firstRow="1" w:lastRow="0" w:firstColumn="1" w:lastColumn="0" w:noHBand="0" w:noVBand="1"/>
      </w:tblPr>
      <w:tblGrid>
        <w:gridCol w:w="1017"/>
        <w:gridCol w:w="2313"/>
        <w:gridCol w:w="1125"/>
        <w:gridCol w:w="1125"/>
        <w:gridCol w:w="1125"/>
        <w:gridCol w:w="1125"/>
      </w:tblGrid>
      <w:tr w:rsidR="006E0C1B" w:rsidRPr="00A814F3" w14:paraId="6F9291D6" w14:textId="77777777" w:rsidTr="00342FA6">
        <w:trPr>
          <w:cantSplit/>
          <w:trHeight w:val="196"/>
          <w:tblHeader/>
          <w:jc w:val="center"/>
        </w:trPr>
        <w:tc>
          <w:tcPr>
            <w:tcW w:w="1017" w:type="dxa"/>
            <w:tcBorders>
              <w:top w:val="single" w:sz="8" w:space="0" w:color="auto"/>
              <w:left w:val="single" w:sz="8" w:space="0" w:color="auto"/>
              <w:bottom w:val="nil"/>
              <w:right w:val="nil"/>
            </w:tcBorders>
            <w:shd w:val="clear" w:color="000000" w:fill="002060"/>
            <w:noWrap/>
            <w:vAlign w:val="bottom"/>
            <w:hideMark/>
          </w:tcPr>
          <w:p w14:paraId="3682FF0D" w14:textId="77777777" w:rsidR="00A814F3" w:rsidRPr="00A814F3" w:rsidRDefault="00A814F3" w:rsidP="00A814F3">
            <w:pPr>
              <w:spacing w:after="0" w:line="240" w:lineRule="auto"/>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 </w:t>
            </w:r>
          </w:p>
        </w:tc>
        <w:tc>
          <w:tcPr>
            <w:tcW w:w="2313" w:type="dxa"/>
            <w:tcBorders>
              <w:top w:val="single" w:sz="8" w:space="0" w:color="auto"/>
              <w:left w:val="nil"/>
              <w:bottom w:val="nil"/>
              <w:right w:val="nil"/>
            </w:tcBorders>
            <w:shd w:val="clear" w:color="000000" w:fill="002060"/>
            <w:noWrap/>
            <w:vAlign w:val="bottom"/>
            <w:hideMark/>
          </w:tcPr>
          <w:p w14:paraId="5A7F6B24" w14:textId="77777777" w:rsidR="00A814F3" w:rsidRPr="00A814F3" w:rsidRDefault="00A814F3" w:rsidP="00A814F3">
            <w:pPr>
              <w:spacing w:after="0" w:line="240" w:lineRule="auto"/>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 </w:t>
            </w:r>
          </w:p>
        </w:tc>
        <w:tc>
          <w:tcPr>
            <w:tcW w:w="1125" w:type="dxa"/>
            <w:tcBorders>
              <w:top w:val="single" w:sz="8" w:space="0" w:color="auto"/>
              <w:left w:val="nil"/>
              <w:bottom w:val="nil"/>
              <w:right w:val="nil"/>
            </w:tcBorders>
            <w:shd w:val="clear" w:color="000000" w:fill="002060"/>
            <w:noWrap/>
            <w:vAlign w:val="bottom"/>
            <w:hideMark/>
          </w:tcPr>
          <w:p w14:paraId="653E209D" w14:textId="77777777" w:rsidR="00A814F3" w:rsidRPr="00A814F3" w:rsidRDefault="00A814F3" w:rsidP="00A814F3">
            <w:pPr>
              <w:spacing w:after="0" w:line="240" w:lineRule="auto"/>
              <w:jc w:val="center"/>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State</w:t>
            </w:r>
          </w:p>
        </w:tc>
        <w:tc>
          <w:tcPr>
            <w:tcW w:w="1125" w:type="dxa"/>
            <w:tcBorders>
              <w:top w:val="single" w:sz="8" w:space="0" w:color="auto"/>
              <w:left w:val="nil"/>
              <w:bottom w:val="nil"/>
              <w:right w:val="nil"/>
            </w:tcBorders>
            <w:shd w:val="clear" w:color="000000" w:fill="002060"/>
            <w:noWrap/>
            <w:vAlign w:val="bottom"/>
            <w:hideMark/>
          </w:tcPr>
          <w:p w14:paraId="1B760D64" w14:textId="77777777" w:rsidR="00A814F3" w:rsidRPr="00A814F3" w:rsidRDefault="00A814F3" w:rsidP="00A814F3">
            <w:pPr>
              <w:spacing w:after="0" w:line="240" w:lineRule="auto"/>
              <w:jc w:val="center"/>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DFCI</w:t>
            </w:r>
          </w:p>
        </w:tc>
        <w:tc>
          <w:tcPr>
            <w:tcW w:w="1125" w:type="dxa"/>
            <w:tcBorders>
              <w:top w:val="single" w:sz="8" w:space="0" w:color="auto"/>
              <w:left w:val="nil"/>
              <w:bottom w:val="nil"/>
              <w:right w:val="nil"/>
            </w:tcBorders>
            <w:shd w:val="clear" w:color="000000" w:fill="002060"/>
            <w:noWrap/>
            <w:vAlign w:val="bottom"/>
            <w:hideMark/>
          </w:tcPr>
          <w:p w14:paraId="1AEC6D74" w14:textId="77777777" w:rsidR="00A814F3" w:rsidRPr="00A814F3" w:rsidRDefault="00A814F3" w:rsidP="00A814F3">
            <w:pPr>
              <w:spacing w:after="0" w:line="240" w:lineRule="auto"/>
              <w:jc w:val="center"/>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BWH</w:t>
            </w:r>
          </w:p>
        </w:tc>
        <w:tc>
          <w:tcPr>
            <w:tcW w:w="1125" w:type="dxa"/>
            <w:tcBorders>
              <w:top w:val="single" w:sz="8" w:space="0" w:color="auto"/>
              <w:left w:val="nil"/>
              <w:bottom w:val="nil"/>
              <w:right w:val="single" w:sz="8" w:space="0" w:color="auto"/>
            </w:tcBorders>
            <w:shd w:val="clear" w:color="000000" w:fill="002060"/>
            <w:noWrap/>
            <w:vAlign w:val="bottom"/>
            <w:hideMark/>
          </w:tcPr>
          <w:p w14:paraId="7B2FB07C" w14:textId="77777777" w:rsidR="00A814F3" w:rsidRPr="00A814F3" w:rsidRDefault="00A814F3" w:rsidP="00A814F3">
            <w:pPr>
              <w:spacing w:after="0" w:line="240" w:lineRule="auto"/>
              <w:jc w:val="center"/>
              <w:rPr>
                <w:rFonts w:ascii="Calibri" w:eastAsia="Times New Roman" w:hAnsi="Calibri" w:cs="Calibri"/>
                <w:b/>
                <w:bCs/>
                <w:color w:val="FFFFFF"/>
                <w:kern w:val="0"/>
                <w14:ligatures w14:val="none"/>
              </w:rPr>
            </w:pPr>
            <w:r w:rsidRPr="00A814F3">
              <w:rPr>
                <w:rFonts w:ascii="Calibri" w:eastAsia="Times New Roman" w:hAnsi="Calibri" w:cs="Calibri"/>
                <w:b/>
                <w:bCs/>
                <w:color w:val="FFFFFF"/>
                <w:kern w:val="0"/>
                <w14:ligatures w14:val="none"/>
              </w:rPr>
              <w:t>BIDMC</w:t>
            </w:r>
          </w:p>
        </w:tc>
      </w:tr>
      <w:tr w:rsidR="00A814F3" w:rsidRPr="00A814F3" w14:paraId="1DD859CD" w14:textId="77777777" w:rsidTr="00342FA6">
        <w:trPr>
          <w:cantSplit/>
          <w:trHeight w:val="245"/>
          <w:jc w:val="center"/>
        </w:trPr>
        <w:tc>
          <w:tcPr>
            <w:tcW w:w="1017"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64F1A445"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Age</w:t>
            </w:r>
          </w:p>
        </w:tc>
        <w:tc>
          <w:tcPr>
            <w:tcW w:w="2313" w:type="dxa"/>
            <w:tcBorders>
              <w:top w:val="single" w:sz="8" w:space="0" w:color="auto"/>
              <w:left w:val="nil"/>
              <w:bottom w:val="single" w:sz="4" w:space="0" w:color="E7E6E6"/>
              <w:right w:val="nil"/>
            </w:tcBorders>
            <w:shd w:val="clear" w:color="auto" w:fill="auto"/>
            <w:noWrap/>
            <w:vAlign w:val="bottom"/>
            <w:hideMark/>
          </w:tcPr>
          <w:p w14:paraId="2537C9B4"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18-34</w:t>
            </w:r>
          </w:p>
        </w:tc>
        <w:tc>
          <w:tcPr>
            <w:tcW w:w="1125" w:type="dxa"/>
            <w:tcBorders>
              <w:top w:val="single" w:sz="8" w:space="0" w:color="auto"/>
              <w:left w:val="nil"/>
              <w:bottom w:val="single" w:sz="4" w:space="0" w:color="E7E6E6"/>
              <w:right w:val="nil"/>
            </w:tcBorders>
            <w:shd w:val="clear" w:color="auto" w:fill="auto"/>
            <w:noWrap/>
            <w:vAlign w:val="bottom"/>
            <w:hideMark/>
          </w:tcPr>
          <w:p w14:paraId="6841C1A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c>
          <w:tcPr>
            <w:tcW w:w="1125" w:type="dxa"/>
            <w:tcBorders>
              <w:top w:val="single" w:sz="8" w:space="0" w:color="auto"/>
              <w:left w:val="nil"/>
              <w:bottom w:val="single" w:sz="4" w:space="0" w:color="E7E6E6"/>
              <w:right w:val="nil"/>
            </w:tcBorders>
            <w:shd w:val="clear" w:color="auto" w:fill="auto"/>
            <w:noWrap/>
            <w:vAlign w:val="bottom"/>
            <w:hideMark/>
          </w:tcPr>
          <w:p w14:paraId="3DAFE80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w:t>
            </w:r>
          </w:p>
        </w:tc>
        <w:tc>
          <w:tcPr>
            <w:tcW w:w="1125" w:type="dxa"/>
            <w:tcBorders>
              <w:top w:val="single" w:sz="8" w:space="0" w:color="auto"/>
              <w:left w:val="nil"/>
              <w:bottom w:val="single" w:sz="4" w:space="0" w:color="E7E6E6"/>
              <w:right w:val="nil"/>
            </w:tcBorders>
            <w:shd w:val="clear" w:color="auto" w:fill="auto"/>
            <w:noWrap/>
            <w:vAlign w:val="bottom"/>
            <w:hideMark/>
          </w:tcPr>
          <w:p w14:paraId="2065611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c>
          <w:tcPr>
            <w:tcW w:w="1125" w:type="dxa"/>
            <w:tcBorders>
              <w:top w:val="single" w:sz="8" w:space="0" w:color="auto"/>
              <w:left w:val="nil"/>
              <w:bottom w:val="single" w:sz="4" w:space="0" w:color="E7E6E6"/>
              <w:right w:val="single" w:sz="8" w:space="0" w:color="auto"/>
            </w:tcBorders>
            <w:shd w:val="clear" w:color="auto" w:fill="auto"/>
            <w:noWrap/>
            <w:vAlign w:val="bottom"/>
            <w:hideMark/>
          </w:tcPr>
          <w:p w14:paraId="6C4B3FB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r>
      <w:tr w:rsidR="00A814F3" w:rsidRPr="00A814F3" w14:paraId="7A7FB8E4" w14:textId="77777777" w:rsidTr="00342FA6">
        <w:trPr>
          <w:cantSplit/>
          <w:trHeight w:val="245"/>
          <w:jc w:val="center"/>
        </w:trPr>
        <w:tc>
          <w:tcPr>
            <w:tcW w:w="1017" w:type="dxa"/>
            <w:vMerge/>
            <w:tcBorders>
              <w:top w:val="single" w:sz="8" w:space="0" w:color="auto"/>
              <w:left w:val="single" w:sz="8" w:space="0" w:color="auto"/>
              <w:bottom w:val="single" w:sz="8" w:space="0" w:color="000000"/>
              <w:right w:val="nil"/>
            </w:tcBorders>
            <w:vAlign w:val="center"/>
            <w:hideMark/>
          </w:tcPr>
          <w:p w14:paraId="0FF9CCF1"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7D37E741"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35-54</w:t>
            </w:r>
          </w:p>
        </w:tc>
        <w:tc>
          <w:tcPr>
            <w:tcW w:w="1125" w:type="dxa"/>
            <w:tcBorders>
              <w:top w:val="nil"/>
              <w:left w:val="nil"/>
              <w:bottom w:val="single" w:sz="4" w:space="0" w:color="E7E6E6"/>
              <w:right w:val="nil"/>
            </w:tcBorders>
            <w:shd w:val="clear" w:color="auto" w:fill="auto"/>
            <w:noWrap/>
            <w:vAlign w:val="bottom"/>
            <w:hideMark/>
          </w:tcPr>
          <w:p w14:paraId="64AFA12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11%</w:t>
            </w:r>
          </w:p>
        </w:tc>
        <w:tc>
          <w:tcPr>
            <w:tcW w:w="1125" w:type="dxa"/>
            <w:tcBorders>
              <w:top w:val="nil"/>
              <w:left w:val="nil"/>
              <w:bottom w:val="single" w:sz="4" w:space="0" w:color="E7E6E6"/>
              <w:right w:val="nil"/>
            </w:tcBorders>
            <w:shd w:val="clear" w:color="auto" w:fill="auto"/>
            <w:noWrap/>
            <w:vAlign w:val="bottom"/>
            <w:hideMark/>
          </w:tcPr>
          <w:p w14:paraId="40C6F8D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19%</w:t>
            </w:r>
          </w:p>
        </w:tc>
        <w:tc>
          <w:tcPr>
            <w:tcW w:w="1125" w:type="dxa"/>
            <w:tcBorders>
              <w:top w:val="nil"/>
              <w:left w:val="nil"/>
              <w:bottom w:val="single" w:sz="4" w:space="0" w:color="E7E6E6"/>
              <w:right w:val="nil"/>
            </w:tcBorders>
            <w:shd w:val="clear" w:color="auto" w:fill="auto"/>
            <w:noWrap/>
            <w:vAlign w:val="bottom"/>
            <w:hideMark/>
          </w:tcPr>
          <w:p w14:paraId="2C4614F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12%</w:t>
            </w:r>
          </w:p>
        </w:tc>
        <w:tc>
          <w:tcPr>
            <w:tcW w:w="1125" w:type="dxa"/>
            <w:tcBorders>
              <w:top w:val="nil"/>
              <w:left w:val="nil"/>
              <w:bottom w:val="single" w:sz="4" w:space="0" w:color="E7E6E6"/>
              <w:right w:val="single" w:sz="8" w:space="0" w:color="auto"/>
            </w:tcBorders>
            <w:shd w:val="clear" w:color="auto" w:fill="auto"/>
            <w:noWrap/>
            <w:vAlign w:val="bottom"/>
            <w:hideMark/>
          </w:tcPr>
          <w:p w14:paraId="17A044E5"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13%</w:t>
            </w:r>
          </w:p>
        </w:tc>
      </w:tr>
      <w:tr w:rsidR="00A814F3" w:rsidRPr="00A814F3" w14:paraId="328221DA" w14:textId="77777777" w:rsidTr="00342FA6">
        <w:trPr>
          <w:cantSplit/>
          <w:trHeight w:val="245"/>
          <w:jc w:val="center"/>
        </w:trPr>
        <w:tc>
          <w:tcPr>
            <w:tcW w:w="1017" w:type="dxa"/>
            <w:vMerge/>
            <w:tcBorders>
              <w:top w:val="single" w:sz="8" w:space="0" w:color="auto"/>
              <w:left w:val="single" w:sz="8" w:space="0" w:color="auto"/>
              <w:bottom w:val="single" w:sz="8" w:space="0" w:color="000000"/>
              <w:right w:val="nil"/>
            </w:tcBorders>
            <w:vAlign w:val="center"/>
            <w:hideMark/>
          </w:tcPr>
          <w:p w14:paraId="10E4E968"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38DB07E2"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55-64</w:t>
            </w:r>
          </w:p>
        </w:tc>
        <w:tc>
          <w:tcPr>
            <w:tcW w:w="1125" w:type="dxa"/>
            <w:tcBorders>
              <w:top w:val="nil"/>
              <w:left w:val="nil"/>
              <w:bottom w:val="single" w:sz="4" w:space="0" w:color="E7E6E6"/>
              <w:right w:val="nil"/>
            </w:tcBorders>
            <w:shd w:val="clear" w:color="auto" w:fill="auto"/>
            <w:noWrap/>
            <w:vAlign w:val="bottom"/>
            <w:hideMark/>
          </w:tcPr>
          <w:p w14:paraId="45CA3F6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20%</w:t>
            </w:r>
          </w:p>
        </w:tc>
        <w:tc>
          <w:tcPr>
            <w:tcW w:w="1125" w:type="dxa"/>
            <w:tcBorders>
              <w:top w:val="nil"/>
              <w:left w:val="nil"/>
              <w:bottom w:val="single" w:sz="4" w:space="0" w:color="E7E6E6"/>
              <w:right w:val="nil"/>
            </w:tcBorders>
            <w:shd w:val="clear" w:color="auto" w:fill="auto"/>
            <w:noWrap/>
            <w:vAlign w:val="bottom"/>
            <w:hideMark/>
          </w:tcPr>
          <w:p w14:paraId="7AEFCF4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24%</w:t>
            </w:r>
          </w:p>
        </w:tc>
        <w:tc>
          <w:tcPr>
            <w:tcW w:w="1125" w:type="dxa"/>
            <w:tcBorders>
              <w:top w:val="nil"/>
              <w:left w:val="nil"/>
              <w:bottom w:val="single" w:sz="4" w:space="0" w:color="E7E6E6"/>
              <w:right w:val="nil"/>
            </w:tcBorders>
            <w:shd w:val="clear" w:color="auto" w:fill="auto"/>
            <w:noWrap/>
            <w:vAlign w:val="bottom"/>
            <w:hideMark/>
          </w:tcPr>
          <w:p w14:paraId="5CF0983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22%</w:t>
            </w:r>
          </w:p>
        </w:tc>
        <w:tc>
          <w:tcPr>
            <w:tcW w:w="1125" w:type="dxa"/>
            <w:tcBorders>
              <w:top w:val="nil"/>
              <w:left w:val="nil"/>
              <w:bottom w:val="single" w:sz="4" w:space="0" w:color="E7E6E6"/>
              <w:right w:val="single" w:sz="8" w:space="0" w:color="auto"/>
            </w:tcBorders>
            <w:shd w:val="clear" w:color="auto" w:fill="auto"/>
            <w:noWrap/>
            <w:vAlign w:val="bottom"/>
            <w:hideMark/>
          </w:tcPr>
          <w:p w14:paraId="150D18E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23%</w:t>
            </w:r>
          </w:p>
        </w:tc>
      </w:tr>
      <w:tr w:rsidR="00A814F3" w:rsidRPr="00A814F3" w14:paraId="2A1D70DE" w14:textId="77777777" w:rsidTr="00342FA6">
        <w:trPr>
          <w:cantSplit/>
          <w:trHeight w:val="245"/>
          <w:jc w:val="center"/>
        </w:trPr>
        <w:tc>
          <w:tcPr>
            <w:tcW w:w="1017" w:type="dxa"/>
            <w:vMerge/>
            <w:tcBorders>
              <w:top w:val="single" w:sz="8" w:space="0" w:color="auto"/>
              <w:left w:val="single" w:sz="8" w:space="0" w:color="auto"/>
              <w:bottom w:val="single" w:sz="8" w:space="0" w:color="000000"/>
              <w:right w:val="nil"/>
            </w:tcBorders>
            <w:vAlign w:val="center"/>
            <w:hideMark/>
          </w:tcPr>
          <w:p w14:paraId="4559754C"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13F5BAEE"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65-74</w:t>
            </w:r>
          </w:p>
        </w:tc>
        <w:tc>
          <w:tcPr>
            <w:tcW w:w="1125" w:type="dxa"/>
            <w:tcBorders>
              <w:top w:val="nil"/>
              <w:left w:val="nil"/>
              <w:bottom w:val="single" w:sz="4" w:space="0" w:color="E7E6E6"/>
              <w:right w:val="nil"/>
            </w:tcBorders>
            <w:shd w:val="clear" w:color="auto" w:fill="auto"/>
            <w:noWrap/>
            <w:vAlign w:val="bottom"/>
            <w:hideMark/>
          </w:tcPr>
          <w:p w14:paraId="5510F98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30%</w:t>
            </w:r>
          </w:p>
        </w:tc>
        <w:tc>
          <w:tcPr>
            <w:tcW w:w="1125" w:type="dxa"/>
            <w:tcBorders>
              <w:top w:val="nil"/>
              <w:left w:val="nil"/>
              <w:bottom w:val="single" w:sz="4" w:space="0" w:color="E7E6E6"/>
              <w:right w:val="nil"/>
            </w:tcBorders>
            <w:shd w:val="clear" w:color="auto" w:fill="auto"/>
            <w:noWrap/>
            <w:vAlign w:val="bottom"/>
            <w:hideMark/>
          </w:tcPr>
          <w:p w14:paraId="07418B4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32%</w:t>
            </w:r>
          </w:p>
        </w:tc>
        <w:tc>
          <w:tcPr>
            <w:tcW w:w="1125" w:type="dxa"/>
            <w:tcBorders>
              <w:top w:val="nil"/>
              <w:left w:val="nil"/>
              <w:bottom w:val="single" w:sz="4" w:space="0" w:color="E7E6E6"/>
              <w:right w:val="nil"/>
            </w:tcBorders>
            <w:shd w:val="clear" w:color="auto" w:fill="auto"/>
            <w:noWrap/>
            <w:vAlign w:val="bottom"/>
            <w:hideMark/>
          </w:tcPr>
          <w:p w14:paraId="788A125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31%</w:t>
            </w:r>
          </w:p>
        </w:tc>
        <w:tc>
          <w:tcPr>
            <w:tcW w:w="1125" w:type="dxa"/>
            <w:tcBorders>
              <w:top w:val="nil"/>
              <w:left w:val="nil"/>
              <w:bottom w:val="single" w:sz="4" w:space="0" w:color="E7E6E6"/>
              <w:right w:val="single" w:sz="8" w:space="0" w:color="auto"/>
            </w:tcBorders>
            <w:shd w:val="clear" w:color="auto" w:fill="auto"/>
            <w:noWrap/>
            <w:vAlign w:val="bottom"/>
            <w:hideMark/>
          </w:tcPr>
          <w:p w14:paraId="63ED853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32%</w:t>
            </w:r>
          </w:p>
        </w:tc>
      </w:tr>
      <w:tr w:rsidR="00A814F3" w:rsidRPr="00A814F3" w14:paraId="4FAC638A" w14:textId="77777777" w:rsidTr="00342FA6">
        <w:trPr>
          <w:cantSplit/>
          <w:trHeight w:val="245"/>
          <w:jc w:val="center"/>
        </w:trPr>
        <w:tc>
          <w:tcPr>
            <w:tcW w:w="1017" w:type="dxa"/>
            <w:vMerge/>
            <w:tcBorders>
              <w:top w:val="single" w:sz="8" w:space="0" w:color="auto"/>
              <w:left w:val="single" w:sz="8" w:space="0" w:color="auto"/>
              <w:bottom w:val="single" w:sz="8" w:space="0" w:color="000000"/>
              <w:right w:val="nil"/>
            </w:tcBorders>
            <w:vAlign w:val="center"/>
            <w:hideMark/>
          </w:tcPr>
          <w:p w14:paraId="467FCA37"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2F7D8A74"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75+</w:t>
            </w:r>
          </w:p>
        </w:tc>
        <w:tc>
          <w:tcPr>
            <w:tcW w:w="1125" w:type="dxa"/>
            <w:tcBorders>
              <w:top w:val="nil"/>
              <w:left w:val="nil"/>
              <w:bottom w:val="single" w:sz="4" w:space="0" w:color="E7E6E6"/>
              <w:right w:val="nil"/>
            </w:tcBorders>
            <w:shd w:val="clear" w:color="auto" w:fill="auto"/>
            <w:noWrap/>
            <w:vAlign w:val="bottom"/>
            <w:hideMark/>
          </w:tcPr>
          <w:p w14:paraId="7E35623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33%</w:t>
            </w:r>
          </w:p>
        </w:tc>
        <w:tc>
          <w:tcPr>
            <w:tcW w:w="1125" w:type="dxa"/>
            <w:tcBorders>
              <w:top w:val="nil"/>
              <w:left w:val="nil"/>
              <w:bottom w:val="single" w:sz="4" w:space="0" w:color="E7E6E6"/>
              <w:right w:val="nil"/>
            </w:tcBorders>
            <w:shd w:val="clear" w:color="auto" w:fill="auto"/>
            <w:noWrap/>
            <w:vAlign w:val="bottom"/>
            <w:hideMark/>
          </w:tcPr>
          <w:p w14:paraId="6107107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19%</w:t>
            </w:r>
          </w:p>
        </w:tc>
        <w:tc>
          <w:tcPr>
            <w:tcW w:w="1125" w:type="dxa"/>
            <w:tcBorders>
              <w:top w:val="nil"/>
              <w:left w:val="nil"/>
              <w:bottom w:val="single" w:sz="4" w:space="0" w:color="E7E6E6"/>
              <w:right w:val="nil"/>
            </w:tcBorders>
            <w:shd w:val="clear" w:color="auto" w:fill="auto"/>
            <w:noWrap/>
            <w:vAlign w:val="bottom"/>
            <w:hideMark/>
          </w:tcPr>
          <w:p w14:paraId="671039C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28%</w:t>
            </w:r>
          </w:p>
        </w:tc>
        <w:tc>
          <w:tcPr>
            <w:tcW w:w="1125" w:type="dxa"/>
            <w:tcBorders>
              <w:top w:val="nil"/>
              <w:left w:val="nil"/>
              <w:bottom w:val="single" w:sz="4" w:space="0" w:color="E7E6E6"/>
              <w:right w:val="single" w:sz="8" w:space="0" w:color="auto"/>
            </w:tcBorders>
            <w:shd w:val="clear" w:color="auto" w:fill="auto"/>
            <w:noWrap/>
            <w:vAlign w:val="bottom"/>
            <w:hideMark/>
          </w:tcPr>
          <w:p w14:paraId="7485E4E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27%</w:t>
            </w:r>
          </w:p>
        </w:tc>
      </w:tr>
      <w:tr w:rsidR="00A814F3" w:rsidRPr="00A814F3" w14:paraId="04174159" w14:textId="77777777" w:rsidTr="00342FA6">
        <w:trPr>
          <w:cantSplit/>
          <w:trHeight w:val="245"/>
          <w:jc w:val="center"/>
        </w:trPr>
        <w:tc>
          <w:tcPr>
            <w:tcW w:w="1017" w:type="dxa"/>
            <w:vMerge/>
            <w:tcBorders>
              <w:top w:val="single" w:sz="8" w:space="0" w:color="auto"/>
              <w:left w:val="single" w:sz="8" w:space="0" w:color="auto"/>
              <w:bottom w:val="single" w:sz="4" w:space="0" w:color="auto"/>
              <w:right w:val="nil"/>
            </w:tcBorders>
            <w:vAlign w:val="center"/>
            <w:hideMark/>
          </w:tcPr>
          <w:p w14:paraId="23738053"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auto"/>
              <w:right w:val="nil"/>
            </w:tcBorders>
            <w:shd w:val="clear" w:color="auto" w:fill="auto"/>
            <w:noWrap/>
            <w:vAlign w:val="bottom"/>
            <w:hideMark/>
          </w:tcPr>
          <w:p w14:paraId="210EA5CE"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Unknown Age</w:t>
            </w:r>
          </w:p>
        </w:tc>
        <w:tc>
          <w:tcPr>
            <w:tcW w:w="1125" w:type="dxa"/>
            <w:tcBorders>
              <w:top w:val="nil"/>
              <w:left w:val="nil"/>
              <w:bottom w:val="single" w:sz="4" w:space="0" w:color="auto"/>
              <w:right w:val="nil"/>
            </w:tcBorders>
            <w:shd w:val="clear" w:color="auto" w:fill="auto"/>
            <w:noWrap/>
            <w:vAlign w:val="bottom"/>
            <w:hideMark/>
          </w:tcPr>
          <w:p w14:paraId="49FB8569"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w:t>
            </w:r>
          </w:p>
        </w:tc>
        <w:tc>
          <w:tcPr>
            <w:tcW w:w="1125" w:type="dxa"/>
            <w:tcBorders>
              <w:top w:val="nil"/>
              <w:left w:val="nil"/>
              <w:bottom w:val="single" w:sz="4" w:space="0" w:color="auto"/>
              <w:right w:val="nil"/>
            </w:tcBorders>
            <w:shd w:val="clear" w:color="auto" w:fill="auto"/>
            <w:noWrap/>
            <w:vAlign w:val="bottom"/>
            <w:hideMark/>
          </w:tcPr>
          <w:p w14:paraId="5139E21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w:t>
            </w:r>
          </w:p>
        </w:tc>
        <w:tc>
          <w:tcPr>
            <w:tcW w:w="1125" w:type="dxa"/>
            <w:tcBorders>
              <w:top w:val="nil"/>
              <w:left w:val="nil"/>
              <w:bottom w:val="single" w:sz="4" w:space="0" w:color="auto"/>
              <w:right w:val="nil"/>
            </w:tcBorders>
            <w:shd w:val="clear" w:color="auto" w:fill="auto"/>
            <w:noWrap/>
            <w:vAlign w:val="bottom"/>
            <w:hideMark/>
          </w:tcPr>
          <w:p w14:paraId="34A44BA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w:t>
            </w:r>
          </w:p>
        </w:tc>
        <w:tc>
          <w:tcPr>
            <w:tcW w:w="1125" w:type="dxa"/>
            <w:tcBorders>
              <w:top w:val="nil"/>
              <w:left w:val="nil"/>
              <w:bottom w:val="single" w:sz="4" w:space="0" w:color="auto"/>
              <w:right w:val="single" w:sz="8" w:space="0" w:color="auto"/>
            </w:tcBorders>
            <w:shd w:val="clear" w:color="auto" w:fill="auto"/>
            <w:noWrap/>
            <w:vAlign w:val="bottom"/>
            <w:hideMark/>
          </w:tcPr>
          <w:p w14:paraId="1DF611D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r>
      <w:tr w:rsidR="00A814F3" w:rsidRPr="00A814F3" w14:paraId="793AA2CC" w14:textId="77777777" w:rsidTr="00342FA6">
        <w:trPr>
          <w:cantSplit/>
          <w:trHeight w:val="245"/>
          <w:jc w:val="center"/>
        </w:trPr>
        <w:tc>
          <w:tcPr>
            <w:tcW w:w="1017" w:type="dxa"/>
            <w:vMerge w:val="restart"/>
            <w:tcBorders>
              <w:top w:val="single" w:sz="4" w:space="0" w:color="auto"/>
              <w:left w:val="single" w:sz="4" w:space="0" w:color="auto"/>
              <w:bottom w:val="single" w:sz="4" w:space="0" w:color="E7E6E6"/>
              <w:right w:val="nil"/>
            </w:tcBorders>
            <w:shd w:val="clear" w:color="auto" w:fill="auto"/>
            <w:noWrap/>
            <w:vAlign w:val="center"/>
            <w:hideMark/>
          </w:tcPr>
          <w:p w14:paraId="0B329773"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Sex</w:t>
            </w:r>
          </w:p>
        </w:tc>
        <w:tc>
          <w:tcPr>
            <w:tcW w:w="2313" w:type="dxa"/>
            <w:tcBorders>
              <w:top w:val="single" w:sz="4" w:space="0" w:color="auto"/>
              <w:left w:val="nil"/>
              <w:bottom w:val="single" w:sz="4" w:space="0" w:color="E7E6E6"/>
              <w:right w:val="nil"/>
            </w:tcBorders>
            <w:shd w:val="clear" w:color="auto" w:fill="auto"/>
            <w:noWrap/>
            <w:vAlign w:val="bottom"/>
            <w:hideMark/>
          </w:tcPr>
          <w:p w14:paraId="2EE8DF62"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Female</w:t>
            </w:r>
          </w:p>
        </w:tc>
        <w:tc>
          <w:tcPr>
            <w:tcW w:w="1125" w:type="dxa"/>
            <w:tcBorders>
              <w:top w:val="single" w:sz="4" w:space="0" w:color="auto"/>
              <w:left w:val="nil"/>
              <w:bottom w:val="single" w:sz="4" w:space="0" w:color="E7E6E6"/>
              <w:right w:val="nil"/>
            </w:tcBorders>
            <w:shd w:val="clear" w:color="auto" w:fill="auto"/>
            <w:noWrap/>
            <w:vAlign w:val="bottom"/>
            <w:hideMark/>
          </w:tcPr>
          <w:p w14:paraId="36CE8CD1"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48%</w:t>
            </w:r>
          </w:p>
        </w:tc>
        <w:tc>
          <w:tcPr>
            <w:tcW w:w="1125" w:type="dxa"/>
            <w:tcBorders>
              <w:top w:val="single" w:sz="4" w:space="0" w:color="auto"/>
              <w:left w:val="nil"/>
              <w:bottom w:val="single" w:sz="4" w:space="0" w:color="E7E6E6"/>
              <w:right w:val="nil"/>
            </w:tcBorders>
            <w:shd w:val="clear" w:color="auto" w:fill="auto"/>
            <w:noWrap/>
            <w:vAlign w:val="bottom"/>
            <w:hideMark/>
          </w:tcPr>
          <w:p w14:paraId="2CFCFC14"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52%</w:t>
            </w:r>
          </w:p>
        </w:tc>
        <w:tc>
          <w:tcPr>
            <w:tcW w:w="1125" w:type="dxa"/>
            <w:tcBorders>
              <w:top w:val="single" w:sz="4" w:space="0" w:color="auto"/>
              <w:left w:val="nil"/>
              <w:bottom w:val="single" w:sz="4" w:space="0" w:color="E7E6E6"/>
              <w:right w:val="nil"/>
            </w:tcBorders>
            <w:shd w:val="clear" w:color="auto" w:fill="auto"/>
            <w:noWrap/>
            <w:vAlign w:val="bottom"/>
            <w:hideMark/>
          </w:tcPr>
          <w:p w14:paraId="005F500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50%</w:t>
            </w:r>
          </w:p>
        </w:tc>
        <w:tc>
          <w:tcPr>
            <w:tcW w:w="1125" w:type="dxa"/>
            <w:tcBorders>
              <w:top w:val="single" w:sz="4" w:space="0" w:color="auto"/>
              <w:left w:val="nil"/>
              <w:bottom w:val="single" w:sz="4" w:space="0" w:color="E7E6E6"/>
              <w:right w:val="single" w:sz="4" w:space="0" w:color="auto"/>
            </w:tcBorders>
            <w:shd w:val="clear" w:color="auto" w:fill="auto"/>
            <w:noWrap/>
            <w:vAlign w:val="bottom"/>
            <w:hideMark/>
          </w:tcPr>
          <w:p w14:paraId="638ED2D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49%</w:t>
            </w:r>
          </w:p>
        </w:tc>
      </w:tr>
      <w:tr w:rsidR="00A814F3" w:rsidRPr="00A814F3" w14:paraId="6BD6A9D4" w14:textId="77777777" w:rsidTr="00342FA6">
        <w:trPr>
          <w:cantSplit/>
          <w:trHeight w:val="245"/>
          <w:jc w:val="center"/>
        </w:trPr>
        <w:tc>
          <w:tcPr>
            <w:tcW w:w="1017" w:type="dxa"/>
            <w:vMerge/>
            <w:tcBorders>
              <w:top w:val="single" w:sz="4" w:space="0" w:color="E7E6E6"/>
              <w:left w:val="single" w:sz="4" w:space="0" w:color="auto"/>
              <w:bottom w:val="single" w:sz="4" w:space="0" w:color="auto"/>
              <w:right w:val="nil"/>
            </w:tcBorders>
            <w:vAlign w:val="center"/>
            <w:hideMark/>
          </w:tcPr>
          <w:p w14:paraId="59845289"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single" w:sz="4" w:space="0" w:color="E7E6E6"/>
              <w:left w:val="nil"/>
              <w:bottom w:val="single" w:sz="4" w:space="0" w:color="auto"/>
              <w:right w:val="nil"/>
            </w:tcBorders>
            <w:shd w:val="clear" w:color="auto" w:fill="auto"/>
            <w:noWrap/>
            <w:vAlign w:val="bottom"/>
            <w:hideMark/>
          </w:tcPr>
          <w:p w14:paraId="445F374C"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Male</w:t>
            </w:r>
          </w:p>
        </w:tc>
        <w:tc>
          <w:tcPr>
            <w:tcW w:w="1125" w:type="dxa"/>
            <w:tcBorders>
              <w:top w:val="single" w:sz="4" w:space="0" w:color="E7E6E6"/>
              <w:left w:val="nil"/>
              <w:bottom w:val="single" w:sz="4" w:space="0" w:color="auto"/>
              <w:right w:val="nil"/>
            </w:tcBorders>
            <w:shd w:val="clear" w:color="auto" w:fill="auto"/>
            <w:noWrap/>
            <w:vAlign w:val="bottom"/>
            <w:hideMark/>
          </w:tcPr>
          <w:p w14:paraId="13D93D2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52%</w:t>
            </w:r>
          </w:p>
        </w:tc>
        <w:tc>
          <w:tcPr>
            <w:tcW w:w="1125" w:type="dxa"/>
            <w:tcBorders>
              <w:top w:val="single" w:sz="4" w:space="0" w:color="E7E6E6"/>
              <w:left w:val="nil"/>
              <w:bottom w:val="single" w:sz="4" w:space="0" w:color="auto"/>
              <w:right w:val="nil"/>
            </w:tcBorders>
            <w:shd w:val="clear" w:color="auto" w:fill="auto"/>
            <w:noWrap/>
            <w:vAlign w:val="bottom"/>
            <w:hideMark/>
          </w:tcPr>
          <w:p w14:paraId="100C7D4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48%</w:t>
            </w:r>
          </w:p>
        </w:tc>
        <w:tc>
          <w:tcPr>
            <w:tcW w:w="1125" w:type="dxa"/>
            <w:tcBorders>
              <w:top w:val="single" w:sz="4" w:space="0" w:color="E7E6E6"/>
              <w:left w:val="nil"/>
              <w:bottom w:val="single" w:sz="4" w:space="0" w:color="auto"/>
              <w:right w:val="nil"/>
            </w:tcBorders>
            <w:shd w:val="clear" w:color="auto" w:fill="auto"/>
            <w:noWrap/>
            <w:vAlign w:val="bottom"/>
            <w:hideMark/>
          </w:tcPr>
          <w:p w14:paraId="4A2FD54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50%</w:t>
            </w:r>
          </w:p>
        </w:tc>
        <w:tc>
          <w:tcPr>
            <w:tcW w:w="1125" w:type="dxa"/>
            <w:tcBorders>
              <w:top w:val="single" w:sz="4" w:space="0" w:color="E7E6E6"/>
              <w:left w:val="nil"/>
              <w:bottom w:val="single" w:sz="4" w:space="0" w:color="auto"/>
              <w:right w:val="single" w:sz="4" w:space="0" w:color="auto"/>
            </w:tcBorders>
            <w:shd w:val="clear" w:color="auto" w:fill="auto"/>
            <w:noWrap/>
            <w:vAlign w:val="bottom"/>
            <w:hideMark/>
          </w:tcPr>
          <w:p w14:paraId="2815EA9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51%</w:t>
            </w:r>
          </w:p>
        </w:tc>
      </w:tr>
      <w:tr w:rsidR="00A814F3" w:rsidRPr="00A814F3" w14:paraId="1E6C5ADE" w14:textId="77777777" w:rsidTr="00342FA6">
        <w:trPr>
          <w:cantSplit/>
          <w:trHeight w:val="245"/>
          <w:jc w:val="center"/>
        </w:trPr>
        <w:tc>
          <w:tcPr>
            <w:tcW w:w="1017" w:type="dxa"/>
            <w:vMerge w:val="restart"/>
            <w:tcBorders>
              <w:top w:val="single" w:sz="4" w:space="0" w:color="auto"/>
              <w:left w:val="single" w:sz="8" w:space="0" w:color="auto"/>
              <w:bottom w:val="single" w:sz="8" w:space="0" w:color="000000"/>
              <w:right w:val="nil"/>
            </w:tcBorders>
            <w:shd w:val="clear" w:color="auto" w:fill="auto"/>
            <w:vAlign w:val="center"/>
            <w:hideMark/>
          </w:tcPr>
          <w:p w14:paraId="253E2294"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Payor Type</w:t>
            </w:r>
          </w:p>
        </w:tc>
        <w:tc>
          <w:tcPr>
            <w:tcW w:w="2313" w:type="dxa"/>
            <w:tcBorders>
              <w:top w:val="single" w:sz="4" w:space="0" w:color="auto"/>
              <w:left w:val="nil"/>
              <w:bottom w:val="single" w:sz="4" w:space="0" w:color="E7E6E6"/>
              <w:right w:val="nil"/>
            </w:tcBorders>
            <w:shd w:val="clear" w:color="auto" w:fill="auto"/>
            <w:noWrap/>
            <w:vAlign w:val="bottom"/>
            <w:hideMark/>
          </w:tcPr>
          <w:p w14:paraId="5BC14548"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Medicare</w:t>
            </w:r>
          </w:p>
        </w:tc>
        <w:tc>
          <w:tcPr>
            <w:tcW w:w="1125" w:type="dxa"/>
            <w:tcBorders>
              <w:top w:val="single" w:sz="4" w:space="0" w:color="auto"/>
              <w:left w:val="nil"/>
              <w:bottom w:val="single" w:sz="4" w:space="0" w:color="E7E6E6"/>
              <w:right w:val="nil"/>
            </w:tcBorders>
            <w:shd w:val="clear" w:color="auto" w:fill="auto"/>
            <w:noWrap/>
            <w:vAlign w:val="bottom"/>
            <w:hideMark/>
          </w:tcPr>
          <w:p w14:paraId="208BB9D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63%</w:t>
            </w:r>
          </w:p>
        </w:tc>
        <w:tc>
          <w:tcPr>
            <w:tcW w:w="1125" w:type="dxa"/>
            <w:tcBorders>
              <w:top w:val="single" w:sz="4" w:space="0" w:color="auto"/>
              <w:left w:val="nil"/>
              <w:bottom w:val="single" w:sz="4" w:space="0" w:color="E7E6E6"/>
              <w:right w:val="nil"/>
            </w:tcBorders>
            <w:shd w:val="clear" w:color="auto" w:fill="auto"/>
            <w:noWrap/>
            <w:vAlign w:val="bottom"/>
            <w:hideMark/>
          </w:tcPr>
          <w:p w14:paraId="2B6643E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49%</w:t>
            </w:r>
          </w:p>
        </w:tc>
        <w:tc>
          <w:tcPr>
            <w:tcW w:w="1125" w:type="dxa"/>
            <w:tcBorders>
              <w:top w:val="single" w:sz="4" w:space="0" w:color="auto"/>
              <w:left w:val="nil"/>
              <w:bottom w:val="single" w:sz="4" w:space="0" w:color="E7E6E6"/>
              <w:right w:val="nil"/>
            </w:tcBorders>
            <w:shd w:val="clear" w:color="auto" w:fill="auto"/>
            <w:noWrap/>
            <w:vAlign w:val="bottom"/>
            <w:hideMark/>
          </w:tcPr>
          <w:p w14:paraId="0D47CEF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60%</w:t>
            </w:r>
          </w:p>
        </w:tc>
        <w:tc>
          <w:tcPr>
            <w:tcW w:w="1125" w:type="dxa"/>
            <w:tcBorders>
              <w:top w:val="single" w:sz="4" w:space="0" w:color="auto"/>
              <w:left w:val="nil"/>
              <w:bottom w:val="single" w:sz="4" w:space="0" w:color="E7E6E6"/>
              <w:right w:val="single" w:sz="8" w:space="0" w:color="auto"/>
            </w:tcBorders>
            <w:shd w:val="clear" w:color="auto" w:fill="auto"/>
            <w:noWrap/>
            <w:vAlign w:val="bottom"/>
            <w:hideMark/>
          </w:tcPr>
          <w:p w14:paraId="16DC59C3"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59%</w:t>
            </w:r>
          </w:p>
        </w:tc>
      </w:tr>
      <w:tr w:rsidR="00A814F3" w:rsidRPr="00A814F3" w14:paraId="5E5ADEFA" w14:textId="77777777" w:rsidTr="00342FA6">
        <w:trPr>
          <w:cantSplit/>
          <w:trHeight w:val="245"/>
          <w:jc w:val="center"/>
        </w:trPr>
        <w:tc>
          <w:tcPr>
            <w:tcW w:w="1017" w:type="dxa"/>
            <w:vMerge/>
            <w:tcBorders>
              <w:top w:val="nil"/>
              <w:left w:val="single" w:sz="8" w:space="0" w:color="auto"/>
              <w:bottom w:val="single" w:sz="8" w:space="0" w:color="000000"/>
              <w:right w:val="nil"/>
            </w:tcBorders>
            <w:vAlign w:val="center"/>
            <w:hideMark/>
          </w:tcPr>
          <w:p w14:paraId="3DE6C5FF"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5946AF30"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Commercial</w:t>
            </w:r>
          </w:p>
        </w:tc>
        <w:tc>
          <w:tcPr>
            <w:tcW w:w="1125" w:type="dxa"/>
            <w:tcBorders>
              <w:top w:val="nil"/>
              <w:left w:val="nil"/>
              <w:bottom w:val="single" w:sz="4" w:space="0" w:color="E7E6E6"/>
              <w:right w:val="nil"/>
            </w:tcBorders>
            <w:shd w:val="clear" w:color="auto" w:fill="auto"/>
            <w:noWrap/>
            <w:vAlign w:val="bottom"/>
            <w:hideMark/>
          </w:tcPr>
          <w:p w14:paraId="07BB9F54"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21%</w:t>
            </w:r>
          </w:p>
        </w:tc>
        <w:tc>
          <w:tcPr>
            <w:tcW w:w="1125" w:type="dxa"/>
            <w:tcBorders>
              <w:top w:val="nil"/>
              <w:left w:val="nil"/>
              <w:bottom w:val="single" w:sz="4" w:space="0" w:color="E7E6E6"/>
              <w:right w:val="nil"/>
            </w:tcBorders>
            <w:shd w:val="clear" w:color="auto" w:fill="auto"/>
            <w:noWrap/>
            <w:vAlign w:val="bottom"/>
            <w:hideMark/>
          </w:tcPr>
          <w:p w14:paraId="43DC19A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38%</w:t>
            </w:r>
          </w:p>
        </w:tc>
        <w:tc>
          <w:tcPr>
            <w:tcW w:w="1125" w:type="dxa"/>
            <w:tcBorders>
              <w:top w:val="nil"/>
              <w:left w:val="nil"/>
              <w:bottom w:val="single" w:sz="4" w:space="0" w:color="E7E6E6"/>
              <w:right w:val="nil"/>
            </w:tcBorders>
            <w:shd w:val="clear" w:color="auto" w:fill="auto"/>
            <w:noWrap/>
            <w:vAlign w:val="bottom"/>
            <w:hideMark/>
          </w:tcPr>
          <w:p w14:paraId="6DD10816"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27%</w:t>
            </w:r>
          </w:p>
        </w:tc>
        <w:tc>
          <w:tcPr>
            <w:tcW w:w="1125" w:type="dxa"/>
            <w:tcBorders>
              <w:top w:val="nil"/>
              <w:left w:val="nil"/>
              <w:bottom w:val="single" w:sz="4" w:space="0" w:color="E7E6E6"/>
              <w:right w:val="single" w:sz="8" w:space="0" w:color="auto"/>
            </w:tcBorders>
            <w:shd w:val="clear" w:color="auto" w:fill="auto"/>
            <w:noWrap/>
            <w:vAlign w:val="bottom"/>
            <w:hideMark/>
          </w:tcPr>
          <w:p w14:paraId="07302DD4"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25%</w:t>
            </w:r>
          </w:p>
        </w:tc>
      </w:tr>
      <w:tr w:rsidR="00A814F3" w:rsidRPr="00A814F3" w14:paraId="520ED4E6" w14:textId="77777777" w:rsidTr="00342FA6">
        <w:trPr>
          <w:cantSplit/>
          <w:trHeight w:val="245"/>
          <w:jc w:val="center"/>
        </w:trPr>
        <w:tc>
          <w:tcPr>
            <w:tcW w:w="1017" w:type="dxa"/>
            <w:vMerge/>
            <w:tcBorders>
              <w:top w:val="nil"/>
              <w:left w:val="single" w:sz="8" w:space="0" w:color="auto"/>
              <w:bottom w:val="single" w:sz="8" w:space="0" w:color="000000"/>
              <w:right w:val="nil"/>
            </w:tcBorders>
            <w:vAlign w:val="center"/>
            <w:hideMark/>
          </w:tcPr>
          <w:p w14:paraId="5F29092A"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4451831F"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Medicaid</w:t>
            </w:r>
          </w:p>
        </w:tc>
        <w:tc>
          <w:tcPr>
            <w:tcW w:w="1125" w:type="dxa"/>
            <w:tcBorders>
              <w:top w:val="nil"/>
              <w:left w:val="nil"/>
              <w:bottom w:val="single" w:sz="4" w:space="0" w:color="E7E6E6"/>
              <w:right w:val="nil"/>
            </w:tcBorders>
            <w:shd w:val="clear" w:color="auto" w:fill="auto"/>
            <w:noWrap/>
            <w:vAlign w:val="bottom"/>
            <w:hideMark/>
          </w:tcPr>
          <w:p w14:paraId="0620279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w:t>
            </w:r>
          </w:p>
        </w:tc>
        <w:tc>
          <w:tcPr>
            <w:tcW w:w="1125" w:type="dxa"/>
            <w:tcBorders>
              <w:top w:val="nil"/>
              <w:left w:val="nil"/>
              <w:bottom w:val="single" w:sz="4" w:space="0" w:color="E7E6E6"/>
              <w:right w:val="nil"/>
            </w:tcBorders>
            <w:shd w:val="clear" w:color="auto" w:fill="auto"/>
            <w:noWrap/>
            <w:vAlign w:val="bottom"/>
            <w:hideMark/>
          </w:tcPr>
          <w:p w14:paraId="1A9A76F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w:t>
            </w:r>
          </w:p>
        </w:tc>
        <w:tc>
          <w:tcPr>
            <w:tcW w:w="1125" w:type="dxa"/>
            <w:tcBorders>
              <w:top w:val="nil"/>
              <w:left w:val="nil"/>
              <w:bottom w:val="single" w:sz="4" w:space="0" w:color="E7E6E6"/>
              <w:right w:val="nil"/>
            </w:tcBorders>
            <w:shd w:val="clear" w:color="auto" w:fill="auto"/>
            <w:noWrap/>
            <w:vAlign w:val="bottom"/>
            <w:hideMark/>
          </w:tcPr>
          <w:p w14:paraId="32D379D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8%</w:t>
            </w:r>
          </w:p>
        </w:tc>
        <w:tc>
          <w:tcPr>
            <w:tcW w:w="1125" w:type="dxa"/>
            <w:tcBorders>
              <w:top w:val="nil"/>
              <w:left w:val="nil"/>
              <w:bottom w:val="single" w:sz="4" w:space="0" w:color="E7E6E6"/>
              <w:right w:val="single" w:sz="8" w:space="0" w:color="auto"/>
            </w:tcBorders>
            <w:shd w:val="clear" w:color="auto" w:fill="auto"/>
            <w:noWrap/>
            <w:vAlign w:val="bottom"/>
            <w:hideMark/>
          </w:tcPr>
          <w:p w14:paraId="75F4F959"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w:t>
            </w:r>
          </w:p>
        </w:tc>
      </w:tr>
      <w:tr w:rsidR="00A814F3" w:rsidRPr="00A814F3" w14:paraId="021D9609" w14:textId="77777777" w:rsidTr="00342FA6">
        <w:trPr>
          <w:cantSplit/>
          <w:trHeight w:val="245"/>
          <w:jc w:val="center"/>
        </w:trPr>
        <w:tc>
          <w:tcPr>
            <w:tcW w:w="1017" w:type="dxa"/>
            <w:vMerge/>
            <w:tcBorders>
              <w:top w:val="nil"/>
              <w:left w:val="single" w:sz="8" w:space="0" w:color="auto"/>
              <w:bottom w:val="single" w:sz="8" w:space="0" w:color="000000"/>
              <w:right w:val="nil"/>
            </w:tcBorders>
            <w:vAlign w:val="center"/>
            <w:hideMark/>
          </w:tcPr>
          <w:p w14:paraId="1E0A6847"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104F34C7"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Self-Pay/Other</w:t>
            </w:r>
          </w:p>
        </w:tc>
        <w:tc>
          <w:tcPr>
            <w:tcW w:w="1125" w:type="dxa"/>
            <w:tcBorders>
              <w:top w:val="nil"/>
              <w:left w:val="nil"/>
              <w:bottom w:val="single" w:sz="4" w:space="0" w:color="E7E6E6"/>
              <w:right w:val="nil"/>
            </w:tcBorders>
            <w:shd w:val="clear" w:color="auto" w:fill="auto"/>
            <w:noWrap/>
            <w:vAlign w:val="bottom"/>
            <w:hideMark/>
          </w:tcPr>
          <w:p w14:paraId="49A8669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c>
          <w:tcPr>
            <w:tcW w:w="1125" w:type="dxa"/>
            <w:tcBorders>
              <w:top w:val="nil"/>
              <w:left w:val="nil"/>
              <w:bottom w:val="single" w:sz="4" w:space="0" w:color="E7E6E6"/>
              <w:right w:val="nil"/>
            </w:tcBorders>
            <w:shd w:val="clear" w:color="auto" w:fill="auto"/>
            <w:noWrap/>
            <w:vAlign w:val="bottom"/>
            <w:hideMark/>
          </w:tcPr>
          <w:p w14:paraId="5C75C1A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c>
          <w:tcPr>
            <w:tcW w:w="1125" w:type="dxa"/>
            <w:tcBorders>
              <w:top w:val="nil"/>
              <w:left w:val="nil"/>
              <w:bottom w:val="single" w:sz="4" w:space="0" w:color="E7E6E6"/>
              <w:right w:val="nil"/>
            </w:tcBorders>
            <w:shd w:val="clear" w:color="auto" w:fill="auto"/>
            <w:noWrap/>
            <w:vAlign w:val="bottom"/>
            <w:hideMark/>
          </w:tcPr>
          <w:p w14:paraId="2C93AA25"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c>
          <w:tcPr>
            <w:tcW w:w="1125" w:type="dxa"/>
            <w:tcBorders>
              <w:top w:val="nil"/>
              <w:left w:val="nil"/>
              <w:bottom w:val="single" w:sz="4" w:space="0" w:color="E7E6E6"/>
              <w:right w:val="single" w:sz="8" w:space="0" w:color="auto"/>
            </w:tcBorders>
            <w:shd w:val="clear" w:color="auto" w:fill="auto"/>
            <w:noWrap/>
            <w:vAlign w:val="bottom"/>
            <w:hideMark/>
          </w:tcPr>
          <w:p w14:paraId="37F30BE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r>
      <w:tr w:rsidR="00A814F3" w:rsidRPr="00A814F3" w14:paraId="4F2774BE" w14:textId="77777777" w:rsidTr="00342FA6">
        <w:trPr>
          <w:cantSplit/>
          <w:trHeight w:val="245"/>
          <w:jc w:val="center"/>
        </w:trPr>
        <w:tc>
          <w:tcPr>
            <w:tcW w:w="1017" w:type="dxa"/>
            <w:vMerge/>
            <w:tcBorders>
              <w:top w:val="nil"/>
              <w:left w:val="single" w:sz="8" w:space="0" w:color="auto"/>
              <w:bottom w:val="single" w:sz="4" w:space="0" w:color="auto"/>
              <w:right w:val="nil"/>
            </w:tcBorders>
            <w:vAlign w:val="center"/>
            <w:hideMark/>
          </w:tcPr>
          <w:p w14:paraId="44119250"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auto"/>
              <w:right w:val="nil"/>
            </w:tcBorders>
            <w:shd w:val="clear" w:color="auto" w:fill="auto"/>
            <w:noWrap/>
            <w:vAlign w:val="bottom"/>
            <w:hideMark/>
          </w:tcPr>
          <w:p w14:paraId="7126E5FF"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Other Government</w:t>
            </w:r>
          </w:p>
        </w:tc>
        <w:tc>
          <w:tcPr>
            <w:tcW w:w="1125" w:type="dxa"/>
            <w:tcBorders>
              <w:top w:val="nil"/>
              <w:left w:val="nil"/>
              <w:bottom w:val="single" w:sz="4" w:space="0" w:color="auto"/>
              <w:right w:val="nil"/>
            </w:tcBorders>
            <w:shd w:val="clear" w:color="auto" w:fill="auto"/>
            <w:noWrap/>
            <w:vAlign w:val="bottom"/>
            <w:hideMark/>
          </w:tcPr>
          <w:p w14:paraId="7C525DC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c>
          <w:tcPr>
            <w:tcW w:w="1125" w:type="dxa"/>
            <w:tcBorders>
              <w:top w:val="nil"/>
              <w:left w:val="nil"/>
              <w:bottom w:val="single" w:sz="4" w:space="0" w:color="auto"/>
              <w:right w:val="nil"/>
            </w:tcBorders>
            <w:shd w:val="clear" w:color="auto" w:fill="auto"/>
            <w:noWrap/>
            <w:vAlign w:val="bottom"/>
            <w:hideMark/>
          </w:tcPr>
          <w:p w14:paraId="7EE5462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c>
          <w:tcPr>
            <w:tcW w:w="1125" w:type="dxa"/>
            <w:tcBorders>
              <w:top w:val="nil"/>
              <w:left w:val="nil"/>
              <w:bottom w:val="single" w:sz="4" w:space="0" w:color="auto"/>
              <w:right w:val="nil"/>
            </w:tcBorders>
            <w:shd w:val="clear" w:color="auto" w:fill="auto"/>
            <w:noWrap/>
            <w:vAlign w:val="bottom"/>
            <w:hideMark/>
          </w:tcPr>
          <w:p w14:paraId="3CC2424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w:t>
            </w:r>
          </w:p>
        </w:tc>
        <w:tc>
          <w:tcPr>
            <w:tcW w:w="1125" w:type="dxa"/>
            <w:tcBorders>
              <w:top w:val="nil"/>
              <w:left w:val="nil"/>
              <w:bottom w:val="single" w:sz="4" w:space="0" w:color="auto"/>
              <w:right w:val="single" w:sz="8" w:space="0" w:color="auto"/>
            </w:tcBorders>
            <w:shd w:val="clear" w:color="auto" w:fill="auto"/>
            <w:noWrap/>
            <w:vAlign w:val="bottom"/>
            <w:hideMark/>
          </w:tcPr>
          <w:p w14:paraId="0375897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w:t>
            </w:r>
          </w:p>
        </w:tc>
      </w:tr>
      <w:tr w:rsidR="00A814F3" w:rsidRPr="00A814F3" w14:paraId="16D7A565" w14:textId="77777777" w:rsidTr="00342FA6">
        <w:trPr>
          <w:cantSplit/>
          <w:trHeight w:val="245"/>
          <w:jc w:val="center"/>
        </w:trPr>
        <w:tc>
          <w:tcPr>
            <w:tcW w:w="1017" w:type="dxa"/>
            <w:vMerge w:val="restart"/>
            <w:tcBorders>
              <w:top w:val="single" w:sz="4" w:space="0" w:color="auto"/>
              <w:left w:val="single" w:sz="4" w:space="0" w:color="auto"/>
              <w:bottom w:val="nil"/>
              <w:right w:val="nil"/>
            </w:tcBorders>
            <w:shd w:val="clear" w:color="auto" w:fill="auto"/>
            <w:noWrap/>
            <w:vAlign w:val="center"/>
            <w:hideMark/>
          </w:tcPr>
          <w:p w14:paraId="37B6870C"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Race</w:t>
            </w:r>
          </w:p>
        </w:tc>
        <w:tc>
          <w:tcPr>
            <w:tcW w:w="2313" w:type="dxa"/>
            <w:tcBorders>
              <w:top w:val="single" w:sz="4" w:space="0" w:color="auto"/>
              <w:left w:val="nil"/>
              <w:bottom w:val="single" w:sz="4" w:space="0" w:color="E7E6E6"/>
              <w:right w:val="nil"/>
            </w:tcBorders>
            <w:shd w:val="clear" w:color="auto" w:fill="auto"/>
            <w:noWrap/>
            <w:vAlign w:val="bottom"/>
            <w:hideMark/>
          </w:tcPr>
          <w:p w14:paraId="7067B205"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White</w:t>
            </w:r>
          </w:p>
        </w:tc>
        <w:tc>
          <w:tcPr>
            <w:tcW w:w="1125" w:type="dxa"/>
            <w:tcBorders>
              <w:top w:val="single" w:sz="4" w:space="0" w:color="auto"/>
              <w:left w:val="nil"/>
              <w:bottom w:val="single" w:sz="4" w:space="0" w:color="E7E6E6"/>
              <w:right w:val="nil"/>
            </w:tcBorders>
            <w:shd w:val="clear" w:color="auto" w:fill="auto"/>
            <w:noWrap/>
            <w:vAlign w:val="bottom"/>
            <w:hideMark/>
          </w:tcPr>
          <w:p w14:paraId="552561C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83%</w:t>
            </w:r>
          </w:p>
        </w:tc>
        <w:tc>
          <w:tcPr>
            <w:tcW w:w="1125" w:type="dxa"/>
            <w:tcBorders>
              <w:top w:val="single" w:sz="4" w:space="0" w:color="auto"/>
              <w:left w:val="nil"/>
              <w:bottom w:val="single" w:sz="4" w:space="0" w:color="E7E6E6"/>
              <w:right w:val="nil"/>
            </w:tcBorders>
            <w:shd w:val="clear" w:color="auto" w:fill="auto"/>
            <w:noWrap/>
            <w:vAlign w:val="bottom"/>
            <w:hideMark/>
          </w:tcPr>
          <w:p w14:paraId="1624E1C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82%</w:t>
            </w:r>
          </w:p>
        </w:tc>
        <w:tc>
          <w:tcPr>
            <w:tcW w:w="1125" w:type="dxa"/>
            <w:tcBorders>
              <w:top w:val="single" w:sz="4" w:space="0" w:color="auto"/>
              <w:left w:val="nil"/>
              <w:bottom w:val="single" w:sz="4" w:space="0" w:color="E7E6E6"/>
              <w:right w:val="nil"/>
            </w:tcBorders>
            <w:shd w:val="clear" w:color="auto" w:fill="auto"/>
            <w:noWrap/>
            <w:vAlign w:val="bottom"/>
            <w:hideMark/>
          </w:tcPr>
          <w:p w14:paraId="1FF6DBB3"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79%</w:t>
            </w:r>
          </w:p>
        </w:tc>
        <w:tc>
          <w:tcPr>
            <w:tcW w:w="1125" w:type="dxa"/>
            <w:tcBorders>
              <w:top w:val="single" w:sz="4" w:space="0" w:color="auto"/>
              <w:left w:val="nil"/>
              <w:bottom w:val="single" w:sz="4" w:space="0" w:color="E7E6E6"/>
              <w:right w:val="single" w:sz="4" w:space="0" w:color="auto"/>
            </w:tcBorders>
            <w:shd w:val="clear" w:color="auto" w:fill="auto"/>
            <w:noWrap/>
            <w:vAlign w:val="bottom"/>
            <w:hideMark/>
          </w:tcPr>
          <w:p w14:paraId="5C57294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68%</w:t>
            </w:r>
          </w:p>
        </w:tc>
      </w:tr>
      <w:tr w:rsidR="00A814F3" w:rsidRPr="00A814F3" w14:paraId="1026F0F7" w14:textId="77777777" w:rsidTr="00342FA6">
        <w:trPr>
          <w:cantSplit/>
          <w:trHeight w:val="245"/>
          <w:jc w:val="center"/>
        </w:trPr>
        <w:tc>
          <w:tcPr>
            <w:tcW w:w="1017" w:type="dxa"/>
            <w:vMerge/>
            <w:tcBorders>
              <w:top w:val="nil"/>
              <w:left w:val="single" w:sz="4" w:space="0" w:color="auto"/>
              <w:bottom w:val="nil"/>
              <w:right w:val="nil"/>
            </w:tcBorders>
            <w:vAlign w:val="center"/>
            <w:hideMark/>
          </w:tcPr>
          <w:p w14:paraId="69F0DF4B"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58B324A6"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Black/African American</w:t>
            </w:r>
          </w:p>
        </w:tc>
        <w:tc>
          <w:tcPr>
            <w:tcW w:w="1125" w:type="dxa"/>
            <w:tcBorders>
              <w:top w:val="nil"/>
              <w:left w:val="nil"/>
              <w:bottom w:val="single" w:sz="4" w:space="0" w:color="E7E6E6"/>
              <w:right w:val="nil"/>
            </w:tcBorders>
            <w:shd w:val="clear" w:color="auto" w:fill="auto"/>
            <w:noWrap/>
            <w:vAlign w:val="bottom"/>
            <w:hideMark/>
          </w:tcPr>
          <w:p w14:paraId="6B91DD6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7%</w:t>
            </w:r>
          </w:p>
        </w:tc>
        <w:tc>
          <w:tcPr>
            <w:tcW w:w="1125" w:type="dxa"/>
            <w:tcBorders>
              <w:top w:val="nil"/>
              <w:left w:val="nil"/>
              <w:bottom w:val="single" w:sz="4" w:space="0" w:color="E7E6E6"/>
              <w:right w:val="nil"/>
            </w:tcBorders>
            <w:shd w:val="clear" w:color="auto" w:fill="auto"/>
            <w:noWrap/>
            <w:vAlign w:val="bottom"/>
            <w:hideMark/>
          </w:tcPr>
          <w:p w14:paraId="55E898B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7%</w:t>
            </w:r>
          </w:p>
        </w:tc>
        <w:tc>
          <w:tcPr>
            <w:tcW w:w="1125" w:type="dxa"/>
            <w:tcBorders>
              <w:top w:val="nil"/>
              <w:left w:val="nil"/>
              <w:bottom w:val="single" w:sz="4" w:space="0" w:color="E7E6E6"/>
              <w:right w:val="nil"/>
            </w:tcBorders>
            <w:shd w:val="clear" w:color="auto" w:fill="auto"/>
            <w:noWrap/>
            <w:vAlign w:val="bottom"/>
            <w:hideMark/>
          </w:tcPr>
          <w:p w14:paraId="57381AC5"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11%</w:t>
            </w:r>
          </w:p>
        </w:tc>
        <w:tc>
          <w:tcPr>
            <w:tcW w:w="1125" w:type="dxa"/>
            <w:tcBorders>
              <w:top w:val="nil"/>
              <w:left w:val="nil"/>
              <w:bottom w:val="single" w:sz="4" w:space="0" w:color="E7E6E6"/>
              <w:right w:val="single" w:sz="4" w:space="0" w:color="auto"/>
            </w:tcBorders>
            <w:shd w:val="clear" w:color="auto" w:fill="auto"/>
            <w:noWrap/>
            <w:vAlign w:val="bottom"/>
            <w:hideMark/>
          </w:tcPr>
          <w:p w14:paraId="1E67D36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14%</w:t>
            </w:r>
          </w:p>
        </w:tc>
      </w:tr>
      <w:tr w:rsidR="00A814F3" w:rsidRPr="00A814F3" w14:paraId="1CF97360" w14:textId="77777777" w:rsidTr="00342FA6">
        <w:trPr>
          <w:cantSplit/>
          <w:trHeight w:val="245"/>
          <w:jc w:val="center"/>
        </w:trPr>
        <w:tc>
          <w:tcPr>
            <w:tcW w:w="1017" w:type="dxa"/>
            <w:vMerge/>
            <w:tcBorders>
              <w:top w:val="nil"/>
              <w:left w:val="single" w:sz="4" w:space="0" w:color="auto"/>
              <w:bottom w:val="nil"/>
              <w:right w:val="nil"/>
            </w:tcBorders>
            <w:vAlign w:val="center"/>
            <w:hideMark/>
          </w:tcPr>
          <w:p w14:paraId="40F6EA94"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5B92081B"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Asian</w:t>
            </w:r>
          </w:p>
        </w:tc>
        <w:tc>
          <w:tcPr>
            <w:tcW w:w="1125" w:type="dxa"/>
            <w:tcBorders>
              <w:top w:val="nil"/>
              <w:left w:val="nil"/>
              <w:bottom w:val="single" w:sz="4" w:space="0" w:color="E7E6E6"/>
              <w:right w:val="nil"/>
            </w:tcBorders>
            <w:shd w:val="clear" w:color="auto" w:fill="auto"/>
            <w:noWrap/>
            <w:vAlign w:val="bottom"/>
            <w:hideMark/>
          </w:tcPr>
          <w:p w14:paraId="0C4DD39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c>
          <w:tcPr>
            <w:tcW w:w="1125" w:type="dxa"/>
            <w:tcBorders>
              <w:top w:val="nil"/>
              <w:left w:val="nil"/>
              <w:bottom w:val="single" w:sz="4" w:space="0" w:color="E7E6E6"/>
              <w:right w:val="nil"/>
            </w:tcBorders>
            <w:shd w:val="clear" w:color="auto" w:fill="auto"/>
            <w:noWrap/>
            <w:vAlign w:val="bottom"/>
            <w:hideMark/>
          </w:tcPr>
          <w:p w14:paraId="20BA40C3"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w:t>
            </w:r>
          </w:p>
        </w:tc>
        <w:tc>
          <w:tcPr>
            <w:tcW w:w="1125" w:type="dxa"/>
            <w:tcBorders>
              <w:top w:val="nil"/>
              <w:left w:val="nil"/>
              <w:bottom w:val="single" w:sz="4" w:space="0" w:color="E7E6E6"/>
              <w:right w:val="nil"/>
            </w:tcBorders>
            <w:shd w:val="clear" w:color="auto" w:fill="auto"/>
            <w:noWrap/>
            <w:vAlign w:val="bottom"/>
            <w:hideMark/>
          </w:tcPr>
          <w:p w14:paraId="24533F93"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c>
          <w:tcPr>
            <w:tcW w:w="1125" w:type="dxa"/>
            <w:tcBorders>
              <w:top w:val="nil"/>
              <w:left w:val="nil"/>
              <w:bottom w:val="single" w:sz="4" w:space="0" w:color="E7E6E6"/>
              <w:right w:val="single" w:sz="4" w:space="0" w:color="auto"/>
            </w:tcBorders>
            <w:shd w:val="clear" w:color="auto" w:fill="auto"/>
            <w:noWrap/>
            <w:vAlign w:val="bottom"/>
            <w:hideMark/>
          </w:tcPr>
          <w:p w14:paraId="28BAAFDD"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w:t>
            </w:r>
          </w:p>
        </w:tc>
      </w:tr>
      <w:tr w:rsidR="00A814F3" w:rsidRPr="00A814F3" w14:paraId="567E0A22" w14:textId="77777777" w:rsidTr="00342FA6">
        <w:trPr>
          <w:cantSplit/>
          <w:trHeight w:val="245"/>
          <w:jc w:val="center"/>
        </w:trPr>
        <w:tc>
          <w:tcPr>
            <w:tcW w:w="1017" w:type="dxa"/>
            <w:vMerge/>
            <w:tcBorders>
              <w:top w:val="nil"/>
              <w:left w:val="single" w:sz="4" w:space="0" w:color="auto"/>
              <w:bottom w:val="single" w:sz="4" w:space="0" w:color="auto"/>
              <w:right w:val="nil"/>
            </w:tcBorders>
            <w:vAlign w:val="center"/>
            <w:hideMark/>
          </w:tcPr>
          <w:p w14:paraId="28CBE54B"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auto"/>
              <w:right w:val="nil"/>
            </w:tcBorders>
            <w:shd w:val="clear" w:color="auto" w:fill="auto"/>
            <w:noWrap/>
            <w:vAlign w:val="bottom"/>
            <w:hideMark/>
          </w:tcPr>
          <w:p w14:paraId="312849A9"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Other</w:t>
            </w:r>
          </w:p>
        </w:tc>
        <w:tc>
          <w:tcPr>
            <w:tcW w:w="1125" w:type="dxa"/>
            <w:tcBorders>
              <w:top w:val="nil"/>
              <w:left w:val="nil"/>
              <w:bottom w:val="single" w:sz="4" w:space="0" w:color="auto"/>
              <w:right w:val="nil"/>
            </w:tcBorders>
            <w:shd w:val="clear" w:color="auto" w:fill="auto"/>
            <w:noWrap/>
            <w:vAlign w:val="bottom"/>
            <w:hideMark/>
          </w:tcPr>
          <w:p w14:paraId="719EA2F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w:t>
            </w:r>
          </w:p>
        </w:tc>
        <w:tc>
          <w:tcPr>
            <w:tcW w:w="1125" w:type="dxa"/>
            <w:tcBorders>
              <w:top w:val="nil"/>
              <w:left w:val="nil"/>
              <w:bottom w:val="single" w:sz="4" w:space="0" w:color="auto"/>
              <w:right w:val="nil"/>
            </w:tcBorders>
            <w:shd w:val="clear" w:color="auto" w:fill="auto"/>
            <w:noWrap/>
            <w:vAlign w:val="bottom"/>
            <w:hideMark/>
          </w:tcPr>
          <w:p w14:paraId="6DDE13D9"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w:t>
            </w:r>
          </w:p>
        </w:tc>
        <w:tc>
          <w:tcPr>
            <w:tcW w:w="1125" w:type="dxa"/>
            <w:tcBorders>
              <w:top w:val="nil"/>
              <w:left w:val="nil"/>
              <w:bottom w:val="single" w:sz="4" w:space="0" w:color="auto"/>
              <w:right w:val="nil"/>
            </w:tcBorders>
            <w:shd w:val="clear" w:color="auto" w:fill="auto"/>
            <w:noWrap/>
            <w:vAlign w:val="bottom"/>
            <w:hideMark/>
          </w:tcPr>
          <w:p w14:paraId="7BAC686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w:t>
            </w:r>
          </w:p>
        </w:tc>
        <w:tc>
          <w:tcPr>
            <w:tcW w:w="1125" w:type="dxa"/>
            <w:tcBorders>
              <w:top w:val="nil"/>
              <w:left w:val="nil"/>
              <w:bottom w:val="single" w:sz="4" w:space="0" w:color="auto"/>
              <w:right w:val="single" w:sz="4" w:space="0" w:color="auto"/>
            </w:tcBorders>
            <w:shd w:val="clear" w:color="auto" w:fill="auto"/>
            <w:noWrap/>
            <w:vAlign w:val="bottom"/>
            <w:hideMark/>
          </w:tcPr>
          <w:p w14:paraId="202F6D3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w:t>
            </w:r>
          </w:p>
        </w:tc>
      </w:tr>
      <w:tr w:rsidR="00A814F3" w:rsidRPr="00A814F3" w14:paraId="47CDA8F9" w14:textId="77777777" w:rsidTr="00342FA6">
        <w:trPr>
          <w:cantSplit/>
          <w:trHeight w:val="245"/>
          <w:jc w:val="center"/>
        </w:trPr>
        <w:tc>
          <w:tcPr>
            <w:tcW w:w="1017" w:type="dxa"/>
            <w:vMerge w:val="restart"/>
            <w:tcBorders>
              <w:top w:val="single" w:sz="4" w:space="0" w:color="auto"/>
              <w:left w:val="single" w:sz="4" w:space="0" w:color="auto"/>
              <w:bottom w:val="single" w:sz="4" w:space="0" w:color="E7E6E6"/>
              <w:right w:val="nil"/>
            </w:tcBorders>
            <w:shd w:val="clear" w:color="auto" w:fill="auto"/>
            <w:noWrap/>
            <w:vAlign w:val="center"/>
            <w:hideMark/>
          </w:tcPr>
          <w:p w14:paraId="3C579FCE"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Ethnicity</w:t>
            </w:r>
          </w:p>
        </w:tc>
        <w:tc>
          <w:tcPr>
            <w:tcW w:w="2313" w:type="dxa"/>
            <w:tcBorders>
              <w:top w:val="single" w:sz="4" w:space="0" w:color="auto"/>
              <w:left w:val="nil"/>
              <w:bottom w:val="single" w:sz="4" w:space="0" w:color="E7E6E6"/>
              <w:right w:val="nil"/>
            </w:tcBorders>
            <w:shd w:val="clear" w:color="auto" w:fill="auto"/>
            <w:noWrap/>
            <w:vAlign w:val="bottom"/>
            <w:hideMark/>
          </w:tcPr>
          <w:p w14:paraId="089A796E"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Non-Hispanic</w:t>
            </w:r>
          </w:p>
        </w:tc>
        <w:tc>
          <w:tcPr>
            <w:tcW w:w="1125" w:type="dxa"/>
            <w:tcBorders>
              <w:top w:val="single" w:sz="4" w:space="0" w:color="auto"/>
              <w:left w:val="nil"/>
              <w:bottom w:val="single" w:sz="4" w:space="0" w:color="E7E6E6"/>
              <w:right w:val="nil"/>
            </w:tcBorders>
            <w:shd w:val="clear" w:color="auto" w:fill="auto"/>
            <w:noWrap/>
            <w:vAlign w:val="bottom"/>
            <w:hideMark/>
          </w:tcPr>
          <w:p w14:paraId="2931316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94%</w:t>
            </w:r>
          </w:p>
        </w:tc>
        <w:tc>
          <w:tcPr>
            <w:tcW w:w="1125" w:type="dxa"/>
            <w:tcBorders>
              <w:top w:val="single" w:sz="4" w:space="0" w:color="auto"/>
              <w:left w:val="nil"/>
              <w:bottom w:val="single" w:sz="4" w:space="0" w:color="E7E6E6"/>
              <w:right w:val="nil"/>
            </w:tcBorders>
            <w:shd w:val="clear" w:color="auto" w:fill="auto"/>
            <w:noWrap/>
            <w:vAlign w:val="bottom"/>
            <w:hideMark/>
          </w:tcPr>
          <w:p w14:paraId="5F40F7F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94%</w:t>
            </w:r>
          </w:p>
        </w:tc>
        <w:tc>
          <w:tcPr>
            <w:tcW w:w="1125" w:type="dxa"/>
            <w:tcBorders>
              <w:top w:val="single" w:sz="4" w:space="0" w:color="auto"/>
              <w:left w:val="nil"/>
              <w:bottom w:val="single" w:sz="4" w:space="0" w:color="E7E6E6"/>
              <w:right w:val="nil"/>
            </w:tcBorders>
            <w:shd w:val="clear" w:color="auto" w:fill="auto"/>
            <w:noWrap/>
            <w:vAlign w:val="bottom"/>
            <w:hideMark/>
          </w:tcPr>
          <w:p w14:paraId="5A7667E5"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94%</w:t>
            </w:r>
          </w:p>
        </w:tc>
        <w:tc>
          <w:tcPr>
            <w:tcW w:w="1125" w:type="dxa"/>
            <w:tcBorders>
              <w:top w:val="single" w:sz="4" w:space="0" w:color="auto"/>
              <w:left w:val="nil"/>
              <w:bottom w:val="single" w:sz="4" w:space="0" w:color="E7E6E6"/>
              <w:right w:val="single" w:sz="4" w:space="0" w:color="auto"/>
            </w:tcBorders>
            <w:shd w:val="clear" w:color="auto" w:fill="auto"/>
            <w:noWrap/>
            <w:vAlign w:val="bottom"/>
            <w:hideMark/>
          </w:tcPr>
          <w:p w14:paraId="0B7CA4DF"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94%</w:t>
            </w:r>
          </w:p>
        </w:tc>
      </w:tr>
      <w:tr w:rsidR="00A814F3" w:rsidRPr="00A814F3" w14:paraId="41E9EBA1" w14:textId="77777777" w:rsidTr="00342FA6">
        <w:trPr>
          <w:cantSplit/>
          <w:trHeight w:val="245"/>
          <w:jc w:val="center"/>
        </w:trPr>
        <w:tc>
          <w:tcPr>
            <w:tcW w:w="1017" w:type="dxa"/>
            <w:vMerge/>
            <w:tcBorders>
              <w:top w:val="single" w:sz="4" w:space="0" w:color="E7E6E6"/>
              <w:left w:val="single" w:sz="4" w:space="0" w:color="auto"/>
              <w:bottom w:val="single" w:sz="4" w:space="0" w:color="auto"/>
              <w:right w:val="nil"/>
            </w:tcBorders>
            <w:vAlign w:val="center"/>
            <w:hideMark/>
          </w:tcPr>
          <w:p w14:paraId="37D82782"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single" w:sz="4" w:space="0" w:color="E7E6E6"/>
              <w:left w:val="nil"/>
              <w:bottom w:val="single" w:sz="4" w:space="0" w:color="auto"/>
              <w:right w:val="nil"/>
            </w:tcBorders>
            <w:shd w:val="clear" w:color="auto" w:fill="auto"/>
            <w:noWrap/>
            <w:vAlign w:val="bottom"/>
            <w:hideMark/>
          </w:tcPr>
          <w:p w14:paraId="7A7071E7"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Hispanic</w:t>
            </w:r>
          </w:p>
        </w:tc>
        <w:tc>
          <w:tcPr>
            <w:tcW w:w="1125" w:type="dxa"/>
            <w:tcBorders>
              <w:top w:val="single" w:sz="4" w:space="0" w:color="E7E6E6"/>
              <w:left w:val="nil"/>
              <w:bottom w:val="single" w:sz="4" w:space="0" w:color="auto"/>
              <w:right w:val="nil"/>
            </w:tcBorders>
            <w:shd w:val="clear" w:color="auto" w:fill="auto"/>
            <w:noWrap/>
            <w:vAlign w:val="bottom"/>
            <w:hideMark/>
          </w:tcPr>
          <w:p w14:paraId="46CE964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w:t>
            </w:r>
          </w:p>
        </w:tc>
        <w:tc>
          <w:tcPr>
            <w:tcW w:w="1125" w:type="dxa"/>
            <w:tcBorders>
              <w:top w:val="single" w:sz="4" w:space="0" w:color="E7E6E6"/>
              <w:left w:val="nil"/>
              <w:bottom w:val="single" w:sz="4" w:space="0" w:color="auto"/>
              <w:right w:val="nil"/>
            </w:tcBorders>
            <w:shd w:val="clear" w:color="auto" w:fill="auto"/>
            <w:noWrap/>
            <w:vAlign w:val="bottom"/>
            <w:hideMark/>
          </w:tcPr>
          <w:p w14:paraId="7E6879F5"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w:t>
            </w:r>
          </w:p>
        </w:tc>
        <w:tc>
          <w:tcPr>
            <w:tcW w:w="1125" w:type="dxa"/>
            <w:tcBorders>
              <w:top w:val="single" w:sz="4" w:space="0" w:color="E7E6E6"/>
              <w:left w:val="nil"/>
              <w:bottom w:val="single" w:sz="4" w:space="0" w:color="auto"/>
              <w:right w:val="nil"/>
            </w:tcBorders>
            <w:shd w:val="clear" w:color="auto" w:fill="auto"/>
            <w:noWrap/>
            <w:vAlign w:val="bottom"/>
            <w:hideMark/>
          </w:tcPr>
          <w:p w14:paraId="091BAD7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w:t>
            </w:r>
          </w:p>
        </w:tc>
        <w:tc>
          <w:tcPr>
            <w:tcW w:w="1125" w:type="dxa"/>
            <w:tcBorders>
              <w:top w:val="single" w:sz="4" w:space="0" w:color="E7E6E6"/>
              <w:left w:val="nil"/>
              <w:bottom w:val="single" w:sz="4" w:space="0" w:color="auto"/>
              <w:right w:val="single" w:sz="4" w:space="0" w:color="auto"/>
            </w:tcBorders>
            <w:shd w:val="clear" w:color="auto" w:fill="auto"/>
            <w:noWrap/>
            <w:vAlign w:val="bottom"/>
            <w:hideMark/>
          </w:tcPr>
          <w:p w14:paraId="05DB1CB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w:t>
            </w:r>
          </w:p>
        </w:tc>
      </w:tr>
      <w:tr w:rsidR="00A814F3" w:rsidRPr="00A814F3" w14:paraId="28102A4A" w14:textId="77777777" w:rsidTr="00342FA6">
        <w:trPr>
          <w:cantSplit/>
          <w:trHeight w:val="245"/>
          <w:jc w:val="center"/>
        </w:trPr>
        <w:tc>
          <w:tcPr>
            <w:tcW w:w="1017" w:type="dxa"/>
            <w:vMerge w:val="restart"/>
            <w:tcBorders>
              <w:top w:val="single" w:sz="4" w:space="0" w:color="auto"/>
              <w:left w:val="single" w:sz="8" w:space="0" w:color="auto"/>
              <w:bottom w:val="single" w:sz="8" w:space="0" w:color="000000"/>
              <w:right w:val="nil"/>
            </w:tcBorders>
            <w:shd w:val="clear" w:color="auto" w:fill="auto"/>
            <w:vAlign w:val="center"/>
            <w:hideMark/>
          </w:tcPr>
          <w:p w14:paraId="46015415"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DRG Weight</w:t>
            </w:r>
          </w:p>
        </w:tc>
        <w:tc>
          <w:tcPr>
            <w:tcW w:w="2313" w:type="dxa"/>
            <w:tcBorders>
              <w:top w:val="single" w:sz="4" w:space="0" w:color="auto"/>
              <w:left w:val="nil"/>
              <w:bottom w:val="single" w:sz="4" w:space="0" w:color="E7E6E6"/>
              <w:right w:val="nil"/>
            </w:tcBorders>
            <w:shd w:val="clear" w:color="auto" w:fill="auto"/>
            <w:noWrap/>
            <w:vAlign w:val="bottom"/>
            <w:hideMark/>
          </w:tcPr>
          <w:p w14:paraId="3C03863E"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0-1</w:t>
            </w:r>
          </w:p>
        </w:tc>
        <w:tc>
          <w:tcPr>
            <w:tcW w:w="1125" w:type="dxa"/>
            <w:tcBorders>
              <w:top w:val="single" w:sz="4" w:space="0" w:color="auto"/>
              <w:left w:val="nil"/>
              <w:bottom w:val="single" w:sz="4" w:space="0" w:color="E7E6E6"/>
              <w:right w:val="nil"/>
            </w:tcBorders>
            <w:shd w:val="clear" w:color="auto" w:fill="auto"/>
            <w:noWrap/>
            <w:vAlign w:val="bottom"/>
            <w:hideMark/>
          </w:tcPr>
          <w:p w14:paraId="6E41BF7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16%</w:t>
            </w:r>
          </w:p>
        </w:tc>
        <w:tc>
          <w:tcPr>
            <w:tcW w:w="1125" w:type="dxa"/>
            <w:tcBorders>
              <w:top w:val="single" w:sz="4" w:space="0" w:color="auto"/>
              <w:left w:val="nil"/>
              <w:bottom w:val="single" w:sz="4" w:space="0" w:color="E7E6E6"/>
              <w:right w:val="nil"/>
            </w:tcBorders>
            <w:shd w:val="clear" w:color="auto" w:fill="auto"/>
            <w:noWrap/>
            <w:vAlign w:val="bottom"/>
            <w:hideMark/>
          </w:tcPr>
          <w:p w14:paraId="6B5BAC0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12%</w:t>
            </w:r>
          </w:p>
        </w:tc>
        <w:tc>
          <w:tcPr>
            <w:tcW w:w="1125" w:type="dxa"/>
            <w:tcBorders>
              <w:top w:val="single" w:sz="4" w:space="0" w:color="auto"/>
              <w:left w:val="nil"/>
              <w:bottom w:val="single" w:sz="4" w:space="0" w:color="E7E6E6"/>
              <w:right w:val="nil"/>
            </w:tcBorders>
            <w:shd w:val="clear" w:color="auto" w:fill="auto"/>
            <w:noWrap/>
            <w:vAlign w:val="bottom"/>
            <w:hideMark/>
          </w:tcPr>
          <w:p w14:paraId="36E42499"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18%</w:t>
            </w:r>
          </w:p>
        </w:tc>
        <w:tc>
          <w:tcPr>
            <w:tcW w:w="1125" w:type="dxa"/>
            <w:tcBorders>
              <w:top w:val="single" w:sz="4" w:space="0" w:color="auto"/>
              <w:left w:val="nil"/>
              <w:bottom w:val="single" w:sz="4" w:space="0" w:color="E7E6E6"/>
              <w:right w:val="single" w:sz="8" w:space="0" w:color="auto"/>
            </w:tcBorders>
            <w:shd w:val="clear" w:color="auto" w:fill="auto"/>
            <w:noWrap/>
            <w:vAlign w:val="bottom"/>
            <w:hideMark/>
          </w:tcPr>
          <w:p w14:paraId="695CCC2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12%</w:t>
            </w:r>
          </w:p>
        </w:tc>
      </w:tr>
      <w:tr w:rsidR="00A814F3" w:rsidRPr="00A814F3" w14:paraId="59A8783D" w14:textId="77777777" w:rsidTr="00342FA6">
        <w:trPr>
          <w:cantSplit/>
          <w:trHeight w:val="245"/>
          <w:jc w:val="center"/>
        </w:trPr>
        <w:tc>
          <w:tcPr>
            <w:tcW w:w="1017" w:type="dxa"/>
            <w:vMerge/>
            <w:tcBorders>
              <w:top w:val="nil"/>
              <w:left w:val="single" w:sz="8" w:space="0" w:color="auto"/>
              <w:bottom w:val="single" w:sz="8" w:space="0" w:color="000000"/>
              <w:right w:val="nil"/>
            </w:tcBorders>
            <w:vAlign w:val="center"/>
            <w:hideMark/>
          </w:tcPr>
          <w:p w14:paraId="0F332EFB"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4" w:space="0" w:color="E7E6E6"/>
              <w:right w:val="nil"/>
            </w:tcBorders>
            <w:shd w:val="clear" w:color="auto" w:fill="auto"/>
            <w:noWrap/>
            <w:vAlign w:val="bottom"/>
            <w:hideMark/>
          </w:tcPr>
          <w:p w14:paraId="399DFB59"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1-2</w:t>
            </w:r>
          </w:p>
        </w:tc>
        <w:tc>
          <w:tcPr>
            <w:tcW w:w="1125" w:type="dxa"/>
            <w:tcBorders>
              <w:top w:val="nil"/>
              <w:left w:val="nil"/>
              <w:bottom w:val="single" w:sz="4" w:space="0" w:color="E7E6E6"/>
              <w:right w:val="nil"/>
            </w:tcBorders>
            <w:shd w:val="clear" w:color="auto" w:fill="auto"/>
            <w:noWrap/>
            <w:vAlign w:val="bottom"/>
            <w:hideMark/>
          </w:tcPr>
          <w:p w14:paraId="7CC04697"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57%</w:t>
            </w:r>
          </w:p>
        </w:tc>
        <w:tc>
          <w:tcPr>
            <w:tcW w:w="1125" w:type="dxa"/>
            <w:tcBorders>
              <w:top w:val="nil"/>
              <w:left w:val="nil"/>
              <w:bottom w:val="single" w:sz="4" w:space="0" w:color="E7E6E6"/>
              <w:right w:val="nil"/>
            </w:tcBorders>
            <w:shd w:val="clear" w:color="auto" w:fill="auto"/>
            <w:noWrap/>
            <w:vAlign w:val="bottom"/>
            <w:hideMark/>
          </w:tcPr>
          <w:p w14:paraId="7761171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48%</w:t>
            </w:r>
          </w:p>
        </w:tc>
        <w:tc>
          <w:tcPr>
            <w:tcW w:w="1125" w:type="dxa"/>
            <w:tcBorders>
              <w:top w:val="nil"/>
              <w:left w:val="nil"/>
              <w:bottom w:val="single" w:sz="4" w:space="0" w:color="E7E6E6"/>
              <w:right w:val="nil"/>
            </w:tcBorders>
            <w:shd w:val="clear" w:color="auto" w:fill="auto"/>
            <w:noWrap/>
            <w:vAlign w:val="bottom"/>
            <w:hideMark/>
          </w:tcPr>
          <w:p w14:paraId="62BF166E"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48%</w:t>
            </w:r>
          </w:p>
        </w:tc>
        <w:tc>
          <w:tcPr>
            <w:tcW w:w="1125" w:type="dxa"/>
            <w:tcBorders>
              <w:top w:val="nil"/>
              <w:left w:val="nil"/>
              <w:bottom w:val="single" w:sz="4" w:space="0" w:color="E7E6E6"/>
              <w:right w:val="single" w:sz="8" w:space="0" w:color="auto"/>
            </w:tcBorders>
            <w:shd w:val="clear" w:color="auto" w:fill="auto"/>
            <w:noWrap/>
            <w:vAlign w:val="bottom"/>
            <w:hideMark/>
          </w:tcPr>
          <w:p w14:paraId="57CC74C4"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50%</w:t>
            </w:r>
          </w:p>
        </w:tc>
      </w:tr>
      <w:tr w:rsidR="00A814F3" w:rsidRPr="00A814F3" w14:paraId="62E9A38B" w14:textId="77777777" w:rsidTr="00342FA6">
        <w:trPr>
          <w:cantSplit/>
          <w:trHeight w:val="245"/>
          <w:jc w:val="center"/>
        </w:trPr>
        <w:tc>
          <w:tcPr>
            <w:tcW w:w="1017" w:type="dxa"/>
            <w:vMerge/>
            <w:tcBorders>
              <w:top w:val="nil"/>
              <w:left w:val="single" w:sz="8" w:space="0" w:color="auto"/>
              <w:bottom w:val="single" w:sz="8" w:space="0" w:color="000000"/>
              <w:right w:val="nil"/>
            </w:tcBorders>
            <w:vAlign w:val="center"/>
            <w:hideMark/>
          </w:tcPr>
          <w:p w14:paraId="2F19B1B9"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p>
        </w:tc>
        <w:tc>
          <w:tcPr>
            <w:tcW w:w="2313" w:type="dxa"/>
            <w:tcBorders>
              <w:top w:val="nil"/>
              <w:left w:val="nil"/>
              <w:bottom w:val="single" w:sz="8" w:space="0" w:color="auto"/>
              <w:right w:val="nil"/>
            </w:tcBorders>
            <w:shd w:val="clear" w:color="auto" w:fill="auto"/>
            <w:noWrap/>
            <w:vAlign w:val="bottom"/>
            <w:hideMark/>
          </w:tcPr>
          <w:p w14:paraId="07C3DFD3"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w:t>
            </w:r>
          </w:p>
        </w:tc>
        <w:tc>
          <w:tcPr>
            <w:tcW w:w="1125" w:type="dxa"/>
            <w:tcBorders>
              <w:top w:val="nil"/>
              <w:left w:val="nil"/>
              <w:bottom w:val="single" w:sz="8" w:space="0" w:color="auto"/>
              <w:right w:val="nil"/>
            </w:tcBorders>
            <w:shd w:val="clear" w:color="auto" w:fill="auto"/>
            <w:noWrap/>
            <w:vAlign w:val="bottom"/>
            <w:hideMark/>
          </w:tcPr>
          <w:p w14:paraId="006E5E6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27%</w:t>
            </w:r>
          </w:p>
        </w:tc>
        <w:tc>
          <w:tcPr>
            <w:tcW w:w="1125" w:type="dxa"/>
            <w:tcBorders>
              <w:top w:val="nil"/>
              <w:left w:val="nil"/>
              <w:bottom w:val="single" w:sz="8" w:space="0" w:color="auto"/>
              <w:right w:val="nil"/>
            </w:tcBorders>
            <w:shd w:val="clear" w:color="auto" w:fill="auto"/>
            <w:noWrap/>
            <w:vAlign w:val="bottom"/>
            <w:hideMark/>
          </w:tcPr>
          <w:p w14:paraId="252914A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40%</w:t>
            </w:r>
          </w:p>
        </w:tc>
        <w:tc>
          <w:tcPr>
            <w:tcW w:w="1125" w:type="dxa"/>
            <w:tcBorders>
              <w:top w:val="nil"/>
              <w:left w:val="nil"/>
              <w:bottom w:val="single" w:sz="8" w:space="0" w:color="auto"/>
              <w:right w:val="nil"/>
            </w:tcBorders>
            <w:shd w:val="clear" w:color="auto" w:fill="auto"/>
            <w:noWrap/>
            <w:vAlign w:val="bottom"/>
            <w:hideMark/>
          </w:tcPr>
          <w:p w14:paraId="34090B3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33%</w:t>
            </w:r>
          </w:p>
        </w:tc>
        <w:tc>
          <w:tcPr>
            <w:tcW w:w="1125" w:type="dxa"/>
            <w:tcBorders>
              <w:top w:val="nil"/>
              <w:left w:val="nil"/>
              <w:bottom w:val="single" w:sz="8" w:space="0" w:color="auto"/>
              <w:right w:val="single" w:sz="8" w:space="0" w:color="auto"/>
            </w:tcBorders>
            <w:shd w:val="clear" w:color="auto" w:fill="auto"/>
            <w:noWrap/>
            <w:vAlign w:val="bottom"/>
            <w:hideMark/>
          </w:tcPr>
          <w:p w14:paraId="5A0091E3"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38%</w:t>
            </w:r>
          </w:p>
        </w:tc>
      </w:tr>
      <w:tr w:rsidR="00A814F3" w:rsidRPr="00A814F3" w14:paraId="05EF1196" w14:textId="77777777" w:rsidTr="00342FA6">
        <w:trPr>
          <w:cantSplit/>
          <w:trHeight w:val="245"/>
          <w:jc w:val="center"/>
        </w:trPr>
        <w:tc>
          <w:tcPr>
            <w:tcW w:w="1017" w:type="dxa"/>
            <w:tcBorders>
              <w:top w:val="nil"/>
              <w:left w:val="single" w:sz="8" w:space="0" w:color="auto"/>
              <w:bottom w:val="single" w:sz="4" w:space="0" w:color="E7E6E6"/>
              <w:right w:val="nil"/>
            </w:tcBorders>
            <w:shd w:val="clear" w:color="auto" w:fill="auto"/>
            <w:noWrap/>
            <w:vAlign w:val="center"/>
            <w:hideMark/>
          </w:tcPr>
          <w:p w14:paraId="3833E736"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 </w:t>
            </w:r>
          </w:p>
        </w:tc>
        <w:tc>
          <w:tcPr>
            <w:tcW w:w="2313" w:type="dxa"/>
            <w:tcBorders>
              <w:top w:val="nil"/>
              <w:left w:val="nil"/>
              <w:bottom w:val="single" w:sz="4" w:space="0" w:color="E7E6E6"/>
              <w:right w:val="nil"/>
            </w:tcBorders>
            <w:shd w:val="clear" w:color="auto" w:fill="auto"/>
            <w:noWrap/>
            <w:vAlign w:val="bottom"/>
            <w:hideMark/>
          </w:tcPr>
          <w:p w14:paraId="3A39C2AE"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Case Mix Index</w:t>
            </w:r>
          </w:p>
        </w:tc>
        <w:tc>
          <w:tcPr>
            <w:tcW w:w="1125" w:type="dxa"/>
            <w:tcBorders>
              <w:top w:val="nil"/>
              <w:left w:val="nil"/>
              <w:bottom w:val="single" w:sz="4" w:space="0" w:color="E7E6E6"/>
              <w:right w:val="nil"/>
            </w:tcBorders>
            <w:shd w:val="clear" w:color="auto" w:fill="auto"/>
            <w:noWrap/>
            <w:vAlign w:val="bottom"/>
            <w:hideMark/>
          </w:tcPr>
          <w:p w14:paraId="54EE72A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2.1</w:t>
            </w:r>
          </w:p>
        </w:tc>
        <w:tc>
          <w:tcPr>
            <w:tcW w:w="1125" w:type="dxa"/>
            <w:tcBorders>
              <w:top w:val="nil"/>
              <w:left w:val="nil"/>
              <w:bottom w:val="single" w:sz="4" w:space="0" w:color="E7E6E6"/>
              <w:right w:val="nil"/>
            </w:tcBorders>
            <w:shd w:val="clear" w:color="auto" w:fill="auto"/>
            <w:noWrap/>
            <w:vAlign w:val="bottom"/>
            <w:hideMark/>
          </w:tcPr>
          <w:p w14:paraId="5AB1BB59"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2.6</w:t>
            </w:r>
          </w:p>
        </w:tc>
        <w:tc>
          <w:tcPr>
            <w:tcW w:w="1125" w:type="dxa"/>
            <w:tcBorders>
              <w:top w:val="nil"/>
              <w:left w:val="nil"/>
              <w:bottom w:val="single" w:sz="4" w:space="0" w:color="E7E6E6"/>
              <w:right w:val="nil"/>
            </w:tcBorders>
            <w:shd w:val="clear" w:color="auto" w:fill="auto"/>
            <w:noWrap/>
            <w:vAlign w:val="bottom"/>
            <w:hideMark/>
          </w:tcPr>
          <w:p w14:paraId="6F6D2C2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2.7</w:t>
            </w:r>
          </w:p>
        </w:tc>
        <w:tc>
          <w:tcPr>
            <w:tcW w:w="1125" w:type="dxa"/>
            <w:tcBorders>
              <w:top w:val="nil"/>
              <w:left w:val="nil"/>
              <w:bottom w:val="single" w:sz="4" w:space="0" w:color="E7E6E6"/>
              <w:right w:val="single" w:sz="8" w:space="0" w:color="auto"/>
            </w:tcBorders>
            <w:shd w:val="clear" w:color="auto" w:fill="auto"/>
            <w:noWrap/>
            <w:vAlign w:val="bottom"/>
            <w:hideMark/>
          </w:tcPr>
          <w:p w14:paraId="4A42F648"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2.5</w:t>
            </w:r>
          </w:p>
        </w:tc>
      </w:tr>
      <w:tr w:rsidR="00A814F3" w:rsidRPr="00A814F3" w14:paraId="59ABF238" w14:textId="77777777" w:rsidTr="00342FA6">
        <w:trPr>
          <w:cantSplit/>
          <w:trHeight w:val="245"/>
          <w:jc w:val="center"/>
        </w:trPr>
        <w:tc>
          <w:tcPr>
            <w:tcW w:w="1017" w:type="dxa"/>
            <w:tcBorders>
              <w:top w:val="nil"/>
              <w:left w:val="single" w:sz="8" w:space="0" w:color="auto"/>
              <w:bottom w:val="single" w:sz="4" w:space="0" w:color="E7E6E6"/>
              <w:right w:val="nil"/>
            </w:tcBorders>
            <w:shd w:val="clear" w:color="auto" w:fill="auto"/>
            <w:noWrap/>
            <w:vAlign w:val="center"/>
            <w:hideMark/>
          </w:tcPr>
          <w:p w14:paraId="3F824A69"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 </w:t>
            </w:r>
          </w:p>
        </w:tc>
        <w:tc>
          <w:tcPr>
            <w:tcW w:w="2313" w:type="dxa"/>
            <w:tcBorders>
              <w:top w:val="nil"/>
              <w:left w:val="nil"/>
              <w:bottom w:val="single" w:sz="4" w:space="0" w:color="E7E6E6"/>
              <w:right w:val="nil"/>
            </w:tcBorders>
            <w:shd w:val="clear" w:color="auto" w:fill="auto"/>
            <w:noWrap/>
            <w:vAlign w:val="bottom"/>
            <w:hideMark/>
          </w:tcPr>
          <w:p w14:paraId="046D6A5A"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Average Length of Stay</w:t>
            </w:r>
          </w:p>
        </w:tc>
        <w:tc>
          <w:tcPr>
            <w:tcW w:w="1125" w:type="dxa"/>
            <w:tcBorders>
              <w:top w:val="nil"/>
              <w:left w:val="nil"/>
              <w:bottom w:val="single" w:sz="4" w:space="0" w:color="E7E6E6"/>
              <w:right w:val="nil"/>
            </w:tcBorders>
            <w:shd w:val="clear" w:color="auto" w:fill="auto"/>
            <w:noWrap/>
            <w:vAlign w:val="bottom"/>
            <w:hideMark/>
          </w:tcPr>
          <w:p w14:paraId="7495A7C1"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6.9</w:t>
            </w:r>
          </w:p>
        </w:tc>
        <w:tc>
          <w:tcPr>
            <w:tcW w:w="1125" w:type="dxa"/>
            <w:tcBorders>
              <w:top w:val="nil"/>
              <w:left w:val="nil"/>
              <w:bottom w:val="single" w:sz="4" w:space="0" w:color="E7E6E6"/>
              <w:right w:val="nil"/>
            </w:tcBorders>
            <w:shd w:val="clear" w:color="auto" w:fill="auto"/>
            <w:noWrap/>
            <w:vAlign w:val="bottom"/>
            <w:hideMark/>
          </w:tcPr>
          <w:p w14:paraId="2C5185A2"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7.6</w:t>
            </w:r>
          </w:p>
        </w:tc>
        <w:tc>
          <w:tcPr>
            <w:tcW w:w="1125" w:type="dxa"/>
            <w:tcBorders>
              <w:top w:val="nil"/>
              <w:left w:val="nil"/>
              <w:bottom w:val="single" w:sz="4" w:space="0" w:color="E7E6E6"/>
              <w:right w:val="nil"/>
            </w:tcBorders>
            <w:shd w:val="clear" w:color="auto" w:fill="auto"/>
            <w:noWrap/>
            <w:vAlign w:val="bottom"/>
            <w:hideMark/>
          </w:tcPr>
          <w:p w14:paraId="4E806EB1"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8.2</w:t>
            </w:r>
          </w:p>
        </w:tc>
        <w:tc>
          <w:tcPr>
            <w:tcW w:w="1125" w:type="dxa"/>
            <w:tcBorders>
              <w:top w:val="nil"/>
              <w:left w:val="nil"/>
              <w:bottom w:val="single" w:sz="4" w:space="0" w:color="E7E6E6"/>
              <w:right w:val="single" w:sz="8" w:space="0" w:color="auto"/>
            </w:tcBorders>
            <w:shd w:val="clear" w:color="auto" w:fill="auto"/>
            <w:noWrap/>
            <w:vAlign w:val="bottom"/>
            <w:hideMark/>
          </w:tcPr>
          <w:p w14:paraId="30236A26"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8.8</w:t>
            </w:r>
          </w:p>
        </w:tc>
      </w:tr>
      <w:tr w:rsidR="00A814F3" w:rsidRPr="00A814F3" w14:paraId="7ACAF984" w14:textId="77777777" w:rsidTr="00342FA6">
        <w:trPr>
          <w:cantSplit/>
          <w:trHeight w:val="245"/>
          <w:jc w:val="center"/>
        </w:trPr>
        <w:tc>
          <w:tcPr>
            <w:tcW w:w="1017" w:type="dxa"/>
            <w:tcBorders>
              <w:top w:val="nil"/>
              <w:left w:val="single" w:sz="8" w:space="0" w:color="auto"/>
              <w:bottom w:val="double" w:sz="6" w:space="0" w:color="auto"/>
              <w:right w:val="nil"/>
            </w:tcBorders>
            <w:shd w:val="clear" w:color="auto" w:fill="auto"/>
            <w:noWrap/>
            <w:vAlign w:val="center"/>
            <w:hideMark/>
          </w:tcPr>
          <w:p w14:paraId="347833F3" w14:textId="77777777" w:rsidR="00A814F3" w:rsidRPr="00A814F3" w:rsidRDefault="00A814F3" w:rsidP="00A814F3">
            <w:pPr>
              <w:spacing w:after="0" w:line="240" w:lineRule="auto"/>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 </w:t>
            </w:r>
          </w:p>
        </w:tc>
        <w:tc>
          <w:tcPr>
            <w:tcW w:w="2313" w:type="dxa"/>
            <w:tcBorders>
              <w:top w:val="nil"/>
              <w:left w:val="nil"/>
              <w:bottom w:val="double" w:sz="6" w:space="0" w:color="auto"/>
              <w:right w:val="nil"/>
            </w:tcBorders>
            <w:shd w:val="clear" w:color="auto" w:fill="auto"/>
            <w:noWrap/>
            <w:vAlign w:val="bottom"/>
            <w:hideMark/>
          </w:tcPr>
          <w:p w14:paraId="026DB072"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Average Daily Census</w:t>
            </w:r>
          </w:p>
        </w:tc>
        <w:tc>
          <w:tcPr>
            <w:tcW w:w="1125" w:type="dxa"/>
            <w:tcBorders>
              <w:top w:val="nil"/>
              <w:left w:val="nil"/>
              <w:bottom w:val="double" w:sz="6" w:space="0" w:color="auto"/>
              <w:right w:val="nil"/>
            </w:tcBorders>
            <w:shd w:val="clear" w:color="auto" w:fill="auto"/>
            <w:noWrap/>
            <w:vAlign w:val="bottom"/>
            <w:hideMark/>
          </w:tcPr>
          <w:p w14:paraId="4516BD9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1,380</w:t>
            </w:r>
          </w:p>
        </w:tc>
        <w:tc>
          <w:tcPr>
            <w:tcW w:w="1125" w:type="dxa"/>
            <w:tcBorders>
              <w:top w:val="nil"/>
              <w:left w:val="nil"/>
              <w:bottom w:val="double" w:sz="6" w:space="0" w:color="auto"/>
              <w:right w:val="nil"/>
            </w:tcBorders>
            <w:shd w:val="clear" w:color="auto" w:fill="auto"/>
            <w:noWrap/>
            <w:vAlign w:val="bottom"/>
            <w:hideMark/>
          </w:tcPr>
          <w:p w14:paraId="1474EC5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156</w:t>
            </w:r>
          </w:p>
        </w:tc>
        <w:tc>
          <w:tcPr>
            <w:tcW w:w="1125" w:type="dxa"/>
            <w:tcBorders>
              <w:top w:val="nil"/>
              <w:left w:val="nil"/>
              <w:bottom w:val="double" w:sz="6" w:space="0" w:color="auto"/>
              <w:right w:val="nil"/>
            </w:tcBorders>
            <w:shd w:val="clear" w:color="auto" w:fill="auto"/>
            <w:noWrap/>
            <w:vAlign w:val="bottom"/>
            <w:hideMark/>
          </w:tcPr>
          <w:p w14:paraId="649C3201"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68</w:t>
            </w:r>
          </w:p>
        </w:tc>
        <w:tc>
          <w:tcPr>
            <w:tcW w:w="1125" w:type="dxa"/>
            <w:tcBorders>
              <w:top w:val="nil"/>
              <w:left w:val="nil"/>
              <w:bottom w:val="double" w:sz="6" w:space="0" w:color="auto"/>
              <w:right w:val="single" w:sz="8" w:space="0" w:color="auto"/>
            </w:tcBorders>
            <w:shd w:val="clear" w:color="auto" w:fill="auto"/>
            <w:noWrap/>
            <w:vAlign w:val="bottom"/>
            <w:hideMark/>
          </w:tcPr>
          <w:p w14:paraId="57372D2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137</w:t>
            </w:r>
          </w:p>
        </w:tc>
      </w:tr>
      <w:tr w:rsidR="00A814F3" w:rsidRPr="00A814F3" w14:paraId="0193313F" w14:textId="77777777" w:rsidTr="00342FA6">
        <w:trPr>
          <w:cantSplit/>
          <w:trHeight w:val="245"/>
          <w:jc w:val="center"/>
        </w:trPr>
        <w:tc>
          <w:tcPr>
            <w:tcW w:w="1017" w:type="dxa"/>
            <w:tcBorders>
              <w:top w:val="nil"/>
              <w:left w:val="single" w:sz="8" w:space="0" w:color="auto"/>
              <w:bottom w:val="single" w:sz="8" w:space="0" w:color="auto"/>
              <w:right w:val="nil"/>
            </w:tcBorders>
            <w:shd w:val="clear" w:color="auto" w:fill="auto"/>
            <w:noWrap/>
            <w:vAlign w:val="center"/>
            <w:hideMark/>
          </w:tcPr>
          <w:p w14:paraId="57D33570" w14:textId="77777777" w:rsidR="00A814F3" w:rsidRPr="00A814F3" w:rsidRDefault="00A814F3" w:rsidP="00A814F3">
            <w:pPr>
              <w:spacing w:after="0" w:line="240" w:lineRule="auto"/>
              <w:jc w:val="center"/>
              <w:rPr>
                <w:rFonts w:ascii="Calibri" w:eastAsia="Times New Roman" w:hAnsi="Calibri" w:cs="Calibri"/>
                <w:b/>
                <w:bCs/>
                <w:kern w:val="0"/>
                <w:sz w:val="21"/>
                <w:szCs w:val="21"/>
                <w14:ligatures w14:val="none"/>
              </w:rPr>
            </w:pPr>
            <w:r w:rsidRPr="00A814F3">
              <w:rPr>
                <w:rFonts w:ascii="Calibri" w:eastAsia="Times New Roman" w:hAnsi="Calibri" w:cs="Calibri"/>
                <w:b/>
                <w:bCs/>
                <w:kern w:val="0"/>
                <w:sz w:val="21"/>
                <w:szCs w:val="21"/>
                <w14:ligatures w14:val="none"/>
              </w:rPr>
              <w:t>Total</w:t>
            </w:r>
          </w:p>
        </w:tc>
        <w:tc>
          <w:tcPr>
            <w:tcW w:w="2313" w:type="dxa"/>
            <w:tcBorders>
              <w:top w:val="nil"/>
              <w:left w:val="nil"/>
              <w:bottom w:val="single" w:sz="8" w:space="0" w:color="auto"/>
              <w:right w:val="nil"/>
            </w:tcBorders>
            <w:shd w:val="clear" w:color="auto" w:fill="auto"/>
            <w:noWrap/>
            <w:vAlign w:val="bottom"/>
            <w:hideMark/>
          </w:tcPr>
          <w:p w14:paraId="5CB5E686" w14:textId="77777777" w:rsidR="00A814F3" w:rsidRPr="00A814F3" w:rsidRDefault="00A814F3" w:rsidP="00A814F3">
            <w:pPr>
              <w:spacing w:after="0" w:line="240" w:lineRule="auto"/>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Total</w:t>
            </w:r>
          </w:p>
        </w:tc>
        <w:tc>
          <w:tcPr>
            <w:tcW w:w="1125" w:type="dxa"/>
            <w:tcBorders>
              <w:top w:val="nil"/>
              <w:left w:val="nil"/>
              <w:bottom w:val="single" w:sz="8" w:space="0" w:color="auto"/>
              <w:right w:val="nil"/>
            </w:tcBorders>
            <w:shd w:val="clear" w:color="auto" w:fill="auto"/>
            <w:noWrap/>
            <w:vAlign w:val="bottom"/>
            <w:hideMark/>
          </w:tcPr>
          <w:p w14:paraId="49597E8B"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100%</w:t>
            </w:r>
          </w:p>
        </w:tc>
        <w:tc>
          <w:tcPr>
            <w:tcW w:w="1125" w:type="dxa"/>
            <w:tcBorders>
              <w:top w:val="nil"/>
              <w:left w:val="nil"/>
              <w:bottom w:val="single" w:sz="8" w:space="0" w:color="auto"/>
              <w:right w:val="nil"/>
            </w:tcBorders>
            <w:shd w:val="clear" w:color="auto" w:fill="auto"/>
            <w:noWrap/>
            <w:vAlign w:val="bottom"/>
            <w:hideMark/>
          </w:tcPr>
          <w:p w14:paraId="09586880"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100%</w:t>
            </w:r>
          </w:p>
        </w:tc>
        <w:tc>
          <w:tcPr>
            <w:tcW w:w="1125" w:type="dxa"/>
            <w:tcBorders>
              <w:top w:val="nil"/>
              <w:left w:val="nil"/>
              <w:bottom w:val="single" w:sz="8" w:space="0" w:color="auto"/>
              <w:right w:val="nil"/>
            </w:tcBorders>
            <w:shd w:val="clear" w:color="auto" w:fill="auto"/>
            <w:noWrap/>
            <w:vAlign w:val="bottom"/>
            <w:hideMark/>
          </w:tcPr>
          <w:p w14:paraId="1FADAD5A"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100%</w:t>
            </w:r>
          </w:p>
        </w:tc>
        <w:tc>
          <w:tcPr>
            <w:tcW w:w="1125" w:type="dxa"/>
            <w:tcBorders>
              <w:top w:val="nil"/>
              <w:left w:val="nil"/>
              <w:bottom w:val="single" w:sz="8" w:space="0" w:color="auto"/>
              <w:right w:val="single" w:sz="8" w:space="0" w:color="auto"/>
            </w:tcBorders>
            <w:shd w:val="clear" w:color="auto" w:fill="auto"/>
            <w:noWrap/>
            <w:vAlign w:val="bottom"/>
            <w:hideMark/>
          </w:tcPr>
          <w:p w14:paraId="64E007AC" w14:textId="77777777" w:rsidR="00A814F3" w:rsidRPr="00A814F3" w:rsidRDefault="00A814F3" w:rsidP="00A814F3">
            <w:pPr>
              <w:spacing w:after="0" w:line="240" w:lineRule="auto"/>
              <w:jc w:val="center"/>
              <w:rPr>
                <w:rFonts w:ascii="Calibri" w:eastAsia="Times New Roman" w:hAnsi="Calibri" w:cs="Calibri"/>
                <w:kern w:val="0"/>
                <w:sz w:val="21"/>
                <w:szCs w:val="21"/>
                <w14:ligatures w14:val="none"/>
              </w:rPr>
            </w:pPr>
            <w:r w:rsidRPr="00A814F3">
              <w:rPr>
                <w:rFonts w:ascii="Calibri" w:eastAsia="Times New Roman" w:hAnsi="Calibri" w:cs="Calibri"/>
                <w:kern w:val="0"/>
                <w:sz w:val="21"/>
                <w:szCs w:val="21"/>
                <w14:ligatures w14:val="none"/>
              </w:rPr>
              <w:t>100%</w:t>
            </w:r>
          </w:p>
        </w:tc>
      </w:tr>
    </w:tbl>
    <w:p w14:paraId="3BBF591D" w14:textId="77777777" w:rsidR="00A814F3" w:rsidRDefault="00A814F3" w:rsidP="00C748CC">
      <w:pPr>
        <w:spacing w:after="0" w:line="360" w:lineRule="auto"/>
        <w:jc w:val="center"/>
      </w:pPr>
    </w:p>
    <w:p w14:paraId="429A30D9" w14:textId="1E96F6A4" w:rsidR="00EA363D" w:rsidRDefault="00EA363D" w:rsidP="00B84321">
      <w:pPr>
        <w:pStyle w:val="Caption"/>
        <w:keepNext/>
        <w:jc w:val="center"/>
      </w:pPr>
      <w:bookmarkStart w:id="28" w:name="_Toc187401781"/>
      <w:r>
        <w:lastRenderedPageBreak/>
        <w:t xml:space="preserve">Table </w:t>
      </w:r>
      <w:fldSimple w:instr=" SEQ Table \* ARABIC ">
        <w:r w:rsidR="0085394E">
          <w:rPr>
            <w:noProof/>
          </w:rPr>
          <w:t>8</w:t>
        </w:r>
      </w:fldSimple>
      <w:r>
        <w:t>: Massachusetts Inpatient Cancer Care Discharges, Shares, and Payor Mix by System</w:t>
      </w:r>
      <w:r w:rsidR="00AB290B">
        <w:t xml:space="preserve"> and Select Hospitals</w:t>
      </w:r>
      <w:r>
        <w:rPr>
          <w:rStyle w:val="FootnoteReference"/>
        </w:rPr>
        <w:footnoteReference w:id="54"/>
      </w:r>
      <w:bookmarkEnd w:id="28"/>
    </w:p>
    <w:tbl>
      <w:tblPr>
        <w:tblW w:w="0" w:type="auto"/>
        <w:jc w:val="center"/>
        <w:tblLook w:val="04A0" w:firstRow="1" w:lastRow="0" w:firstColumn="1" w:lastColumn="0" w:noHBand="0" w:noVBand="1"/>
      </w:tblPr>
      <w:tblGrid>
        <w:gridCol w:w="3355"/>
        <w:gridCol w:w="1108"/>
        <w:gridCol w:w="821"/>
        <w:gridCol w:w="1182"/>
        <w:gridCol w:w="982"/>
        <w:gridCol w:w="966"/>
        <w:gridCol w:w="714"/>
      </w:tblGrid>
      <w:tr w:rsidR="006E0C1B" w:rsidRPr="006E0C1B" w14:paraId="334CD81F" w14:textId="77777777" w:rsidTr="00342FA6">
        <w:trPr>
          <w:cantSplit/>
          <w:trHeight w:val="169"/>
          <w:tblHeader/>
          <w:jc w:val="center"/>
        </w:trPr>
        <w:tc>
          <w:tcPr>
            <w:tcW w:w="0" w:type="auto"/>
            <w:tcBorders>
              <w:top w:val="single" w:sz="8" w:space="0" w:color="auto"/>
              <w:left w:val="single" w:sz="8" w:space="0" w:color="auto"/>
              <w:bottom w:val="nil"/>
              <w:right w:val="nil"/>
            </w:tcBorders>
            <w:shd w:val="clear" w:color="000000" w:fill="002060"/>
            <w:noWrap/>
            <w:vAlign w:val="bottom"/>
            <w:hideMark/>
          </w:tcPr>
          <w:p w14:paraId="7686579E"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 </w:t>
            </w:r>
          </w:p>
        </w:tc>
        <w:tc>
          <w:tcPr>
            <w:tcW w:w="0" w:type="auto"/>
            <w:tcBorders>
              <w:top w:val="single" w:sz="8" w:space="0" w:color="auto"/>
              <w:left w:val="single" w:sz="4" w:space="0" w:color="auto"/>
              <w:bottom w:val="nil"/>
              <w:right w:val="nil"/>
            </w:tcBorders>
            <w:shd w:val="clear" w:color="000000" w:fill="002060"/>
            <w:noWrap/>
            <w:vAlign w:val="bottom"/>
            <w:hideMark/>
          </w:tcPr>
          <w:p w14:paraId="1ADC3BF1"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 </w:t>
            </w:r>
          </w:p>
        </w:tc>
        <w:tc>
          <w:tcPr>
            <w:tcW w:w="0" w:type="auto"/>
            <w:tcBorders>
              <w:top w:val="single" w:sz="8" w:space="0" w:color="auto"/>
              <w:left w:val="nil"/>
              <w:bottom w:val="nil"/>
              <w:right w:val="single" w:sz="4" w:space="0" w:color="auto"/>
            </w:tcBorders>
            <w:shd w:val="clear" w:color="000000" w:fill="002060"/>
            <w:noWrap/>
            <w:vAlign w:val="bottom"/>
            <w:hideMark/>
          </w:tcPr>
          <w:p w14:paraId="0DF443A0"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 </w:t>
            </w:r>
          </w:p>
        </w:tc>
        <w:tc>
          <w:tcPr>
            <w:tcW w:w="0" w:type="auto"/>
            <w:gridSpan w:val="4"/>
            <w:tcBorders>
              <w:top w:val="single" w:sz="8" w:space="0" w:color="auto"/>
              <w:left w:val="nil"/>
              <w:bottom w:val="nil"/>
              <w:right w:val="single" w:sz="8" w:space="0" w:color="000000"/>
            </w:tcBorders>
            <w:shd w:val="clear" w:color="000000" w:fill="002060"/>
            <w:noWrap/>
            <w:vAlign w:val="center"/>
            <w:hideMark/>
          </w:tcPr>
          <w:p w14:paraId="6ED31801" w14:textId="77777777" w:rsidR="006E0C1B" w:rsidRPr="006E0C1B" w:rsidRDefault="006E0C1B" w:rsidP="006E0C1B">
            <w:pPr>
              <w:spacing w:after="0" w:line="240" w:lineRule="auto"/>
              <w:jc w:val="center"/>
              <w:rPr>
                <w:rFonts w:ascii="Calibri" w:eastAsia="Times New Roman" w:hAnsi="Calibri" w:cs="Calibri"/>
                <w:b/>
                <w:bCs/>
                <w:color w:val="FFFFFF"/>
                <w:kern w:val="0"/>
                <w:sz w:val="20"/>
                <w:szCs w:val="20"/>
                <w14:ligatures w14:val="none"/>
              </w:rPr>
            </w:pPr>
            <w:r w:rsidRPr="006E0C1B">
              <w:rPr>
                <w:rFonts w:ascii="Calibri" w:eastAsia="Times New Roman" w:hAnsi="Calibri" w:cs="Calibri"/>
                <w:b/>
                <w:bCs/>
                <w:color w:val="FFFFFF"/>
                <w:kern w:val="0"/>
                <w:sz w:val="20"/>
                <w:szCs w:val="20"/>
                <w14:ligatures w14:val="none"/>
              </w:rPr>
              <w:t>Payor Mix</w:t>
            </w:r>
          </w:p>
        </w:tc>
      </w:tr>
      <w:tr w:rsidR="00B84321" w:rsidRPr="006E0C1B" w14:paraId="0D4F9A3A" w14:textId="77777777" w:rsidTr="00342FA6">
        <w:trPr>
          <w:cantSplit/>
          <w:trHeight w:val="189"/>
          <w:tblHeader/>
          <w:jc w:val="center"/>
        </w:trPr>
        <w:tc>
          <w:tcPr>
            <w:tcW w:w="0" w:type="auto"/>
            <w:tcBorders>
              <w:top w:val="nil"/>
              <w:left w:val="single" w:sz="8" w:space="0" w:color="auto"/>
              <w:bottom w:val="nil"/>
              <w:right w:val="nil"/>
            </w:tcBorders>
            <w:shd w:val="clear" w:color="000000" w:fill="002060"/>
            <w:noWrap/>
            <w:vAlign w:val="bottom"/>
            <w:hideMark/>
          </w:tcPr>
          <w:p w14:paraId="260BFD8C" w14:textId="77777777" w:rsidR="006E0C1B" w:rsidRPr="006E0C1B" w:rsidRDefault="006E0C1B" w:rsidP="006E0C1B">
            <w:pPr>
              <w:spacing w:after="0" w:line="240" w:lineRule="auto"/>
              <w:rPr>
                <w:rFonts w:ascii="Calibri" w:eastAsia="Times New Roman" w:hAnsi="Calibri" w:cs="Calibri"/>
                <w:b/>
                <w:bCs/>
                <w:color w:val="FFFFFF"/>
                <w:kern w:val="0"/>
                <w:sz w:val="20"/>
                <w:szCs w:val="20"/>
                <w14:ligatures w14:val="none"/>
              </w:rPr>
            </w:pPr>
            <w:r w:rsidRPr="006E0C1B">
              <w:rPr>
                <w:rFonts w:ascii="Calibri" w:eastAsia="Times New Roman" w:hAnsi="Calibri" w:cs="Calibri"/>
                <w:b/>
                <w:bCs/>
                <w:color w:val="FFFFFF"/>
                <w:kern w:val="0"/>
                <w:sz w:val="20"/>
                <w:szCs w:val="20"/>
                <w14:ligatures w14:val="none"/>
              </w:rPr>
              <w:t>System Name</w:t>
            </w:r>
          </w:p>
        </w:tc>
        <w:tc>
          <w:tcPr>
            <w:tcW w:w="0" w:type="auto"/>
            <w:tcBorders>
              <w:top w:val="nil"/>
              <w:left w:val="single" w:sz="4" w:space="0" w:color="auto"/>
              <w:bottom w:val="nil"/>
              <w:right w:val="nil"/>
            </w:tcBorders>
            <w:shd w:val="clear" w:color="000000" w:fill="002060"/>
            <w:vAlign w:val="bottom"/>
            <w:hideMark/>
          </w:tcPr>
          <w:p w14:paraId="350AA6FF" w14:textId="77777777" w:rsidR="006E0C1B" w:rsidRPr="006E0C1B" w:rsidRDefault="006E0C1B" w:rsidP="006E0C1B">
            <w:pPr>
              <w:spacing w:after="0" w:line="240" w:lineRule="auto"/>
              <w:jc w:val="center"/>
              <w:rPr>
                <w:rFonts w:ascii="Calibri" w:eastAsia="Times New Roman" w:hAnsi="Calibri" w:cs="Calibri"/>
                <w:b/>
                <w:bCs/>
                <w:color w:val="FFFFFF"/>
                <w:kern w:val="0"/>
                <w:sz w:val="20"/>
                <w:szCs w:val="20"/>
                <w14:ligatures w14:val="none"/>
              </w:rPr>
            </w:pPr>
            <w:r w:rsidRPr="006E0C1B">
              <w:rPr>
                <w:rFonts w:ascii="Calibri" w:eastAsia="Times New Roman" w:hAnsi="Calibri" w:cs="Calibri"/>
                <w:b/>
                <w:bCs/>
                <w:color w:val="FFFFFF"/>
                <w:kern w:val="0"/>
                <w:sz w:val="20"/>
                <w:szCs w:val="20"/>
                <w14:ligatures w14:val="none"/>
              </w:rPr>
              <w:t>Discharges</w:t>
            </w:r>
          </w:p>
        </w:tc>
        <w:tc>
          <w:tcPr>
            <w:tcW w:w="0" w:type="auto"/>
            <w:tcBorders>
              <w:top w:val="nil"/>
              <w:left w:val="nil"/>
              <w:bottom w:val="nil"/>
              <w:right w:val="single" w:sz="4" w:space="0" w:color="auto"/>
            </w:tcBorders>
            <w:shd w:val="clear" w:color="000000" w:fill="002060"/>
            <w:vAlign w:val="bottom"/>
            <w:hideMark/>
          </w:tcPr>
          <w:p w14:paraId="74B554E2" w14:textId="77777777" w:rsidR="006E0C1B" w:rsidRPr="006E0C1B" w:rsidRDefault="006E0C1B" w:rsidP="006E0C1B">
            <w:pPr>
              <w:spacing w:after="0" w:line="240" w:lineRule="auto"/>
              <w:jc w:val="center"/>
              <w:rPr>
                <w:rFonts w:ascii="Calibri" w:eastAsia="Times New Roman" w:hAnsi="Calibri" w:cs="Calibri"/>
                <w:b/>
                <w:bCs/>
                <w:color w:val="FFFFFF"/>
                <w:kern w:val="0"/>
                <w:sz w:val="20"/>
                <w:szCs w:val="20"/>
                <w14:ligatures w14:val="none"/>
              </w:rPr>
            </w:pPr>
            <w:r w:rsidRPr="006E0C1B">
              <w:rPr>
                <w:rFonts w:ascii="Calibri" w:eastAsia="Times New Roman" w:hAnsi="Calibri" w:cs="Calibri"/>
                <w:b/>
                <w:bCs/>
                <w:color w:val="FFFFFF"/>
                <w:kern w:val="0"/>
                <w:sz w:val="20"/>
                <w:szCs w:val="20"/>
                <w14:ligatures w14:val="none"/>
              </w:rPr>
              <w:t>Share</w:t>
            </w:r>
          </w:p>
        </w:tc>
        <w:tc>
          <w:tcPr>
            <w:tcW w:w="0" w:type="auto"/>
            <w:tcBorders>
              <w:top w:val="nil"/>
              <w:left w:val="nil"/>
              <w:bottom w:val="nil"/>
              <w:right w:val="nil"/>
            </w:tcBorders>
            <w:shd w:val="clear" w:color="000000" w:fill="002060"/>
            <w:noWrap/>
            <w:vAlign w:val="bottom"/>
            <w:hideMark/>
          </w:tcPr>
          <w:p w14:paraId="6B86508B" w14:textId="77777777" w:rsidR="006E0C1B" w:rsidRPr="006E0C1B" w:rsidRDefault="006E0C1B" w:rsidP="006E0C1B">
            <w:pPr>
              <w:spacing w:after="0" w:line="240" w:lineRule="auto"/>
              <w:jc w:val="center"/>
              <w:rPr>
                <w:rFonts w:ascii="Calibri" w:eastAsia="Times New Roman" w:hAnsi="Calibri" w:cs="Calibri"/>
                <w:i/>
                <w:iCs/>
                <w:color w:val="FFFFFF"/>
                <w:kern w:val="0"/>
                <w:sz w:val="20"/>
                <w:szCs w:val="20"/>
                <w14:ligatures w14:val="none"/>
              </w:rPr>
            </w:pPr>
            <w:r w:rsidRPr="006E0C1B">
              <w:rPr>
                <w:rFonts w:ascii="Calibri" w:eastAsia="Times New Roman" w:hAnsi="Calibri" w:cs="Calibri"/>
                <w:i/>
                <w:iCs/>
                <w:color w:val="FFFFFF"/>
                <w:kern w:val="0"/>
                <w:sz w:val="20"/>
                <w:szCs w:val="20"/>
                <w14:ligatures w14:val="none"/>
              </w:rPr>
              <w:t>Commercial</w:t>
            </w:r>
          </w:p>
        </w:tc>
        <w:tc>
          <w:tcPr>
            <w:tcW w:w="0" w:type="auto"/>
            <w:tcBorders>
              <w:top w:val="nil"/>
              <w:left w:val="nil"/>
              <w:bottom w:val="nil"/>
              <w:right w:val="nil"/>
            </w:tcBorders>
            <w:shd w:val="clear" w:color="000000" w:fill="002060"/>
            <w:noWrap/>
            <w:vAlign w:val="bottom"/>
            <w:hideMark/>
          </w:tcPr>
          <w:p w14:paraId="1ACCDACF" w14:textId="77777777" w:rsidR="006E0C1B" w:rsidRPr="006E0C1B" w:rsidRDefault="006E0C1B" w:rsidP="006E0C1B">
            <w:pPr>
              <w:spacing w:after="0" w:line="240" w:lineRule="auto"/>
              <w:jc w:val="center"/>
              <w:rPr>
                <w:rFonts w:ascii="Calibri" w:eastAsia="Times New Roman" w:hAnsi="Calibri" w:cs="Calibri"/>
                <w:i/>
                <w:iCs/>
                <w:color w:val="FFFFFF"/>
                <w:kern w:val="0"/>
                <w:sz w:val="20"/>
                <w:szCs w:val="20"/>
                <w14:ligatures w14:val="none"/>
              </w:rPr>
            </w:pPr>
            <w:r w:rsidRPr="006E0C1B">
              <w:rPr>
                <w:rFonts w:ascii="Calibri" w:eastAsia="Times New Roman" w:hAnsi="Calibri" w:cs="Calibri"/>
                <w:i/>
                <w:iCs/>
                <w:color w:val="FFFFFF"/>
                <w:kern w:val="0"/>
                <w:sz w:val="20"/>
                <w:szCs w:val="20"/>
                <w14:ligatures w14:val="none"/>
              </w:rPr>
              <w:t>Medicare</w:t>
            </w:r>
          </w:p>
        </w:tc>
        <w:tc>
          <w:tcPr>
            <w:tcW w:w="0" w:type="auto"/>
            <w:tcBorders>
              <w:top w:val="nil"/>
              <w:left w:val="nil"/>
              <w:bottom w:val="nil"/>
              <w:right w:val="nil"/>
            </w:tcBorders>
            <w:shd w:val="clear" w:color="000000" w:fill="002060"/>
            <w:noWrap/>
            <w:vAlign w:val="bottom"/>
            <w:hideMark/>
          </w:tcPr>
          <w:p w14:paraId="3FF309D8" w14:textId="77777777" w:rsidR="006E0C1B" w:rsidRPr="006E0C1B" w:rsidRDefault="006E0C1B" w:rsidP="006E0C1B">
            <w:pPr>
              <w:spacing w:after="0" w:line="240" w:lineRule="auto"/>
              <w:jc w:val="center"/>
              <w:rPr>
                <w:rFonts w:ascii="Calibri" w:eastAsia="Times New Roman" w:hAnsi="Calibri" w:cs="Calibri"/>
                <w:i/>
                <w:iCs/>
                <w:color w:val="FFFFFF"/>
                <w:kern w:val="0"/>
                <w:sz w:val="20"/>
                <w:szCs w:val="20"/>
                <w14:ligatures w14:val="none"/>
              </w:rPr>
            </w:pPr>
            <w:r w:rsidRPr="006E0C1B">
              <w:rPr>
                <w:rFonts w:ascii="Calibri" w:eastAsia="Times New Roman" w:hAnsi="Calibri" w:cs="Calibri"/>
                <w:i/>
                <w:iCs/>
                <w:color w:val="FFFFFF"/>
                <w:kern w:val="0"/>
                <w:sz w:val="20"/>
                <w:szCs w:val="20"/>
                <w14:ligatures w14:val="none"/>
              </w:rPr>
              <w:t>Medicaid</w:t>
            </w:r>
          </w:p>
        </w:tc>
        <w:tc>
          <w:tcPr>
            <w:tcW w:w="0" w:type="auto"/>
            <w:tcBorders>
              <w:top w:val="nil"/>
              <w:left w:val="nil"/>
              <w:bottom w:val="nil"/>
              <w:right w:val="single" w:sz="8" w:space="0" w:color="auto"/>
            </w:tcBorders>
            <w:shd w:val="clear" w:color="000000" w:fill="002060"/>
            <w:noWrap/>
            <w:vAlign w:val="bottom"/>
            <w:hideMark/>
          </w:tcPr>
          <w:p w14:paraId="69CD8AB8" w14:textId="77777777" w:rsidR="006E0C1B" w:rsidRPr="006E0C1B" w:rsidRDefault="006E0C1B" w:rsidP="006E0C1B">
            <w:pPr>
              <w:spacing w:after="0" w:line="240" w:lineRule="auto"/>
              <w:jc w:val="center"/>
              <w:rPr>
                <w:rFonts w:ascii="Calibri" w:eastAsia="Times New Roman" w:hAnsi="Calibri" w:cs="Calibri"/>
                <w:i/>
                <w:iCs/>
                <w:color w:val="FFFFFF"/>
                <w:kern w:val="0"/>
                <w:sz w:val="20"/>
                <w:szCs w:val="20"/>
                <w14:ligatures w14:val="none"/>
              </w:rPr>
            </w:pPr>
            <w:r w:rsidRPr="006E0C1B">
              <w:rPr>
                <w:rFonts w:ascii="Calibri" w:eastAsia="Times New Roman" w:hAnsi="Calibri" w:cs="Calibri"/>
                <w:i/>
                <w:iCs/>
                <w:color w:val="FFFFFF"/>
                <w:kern w:val="0"/>
                <w:sz w:val="20"/>
                <w:szCs w:val="20"/>
                <w14:ligatures w14:val="none"/>
              </w:rPr>
              <w:t>Other</w:t>
            </w:r>
          </w:p>
        </w:tc>
      </w:tr>
      <w:tr w:rsidR="006E0C1B" w:rsidRPr="006E0C1B" w14:paraId="61306559" w14:textId="77777777" w:rsidTr="00342FA6">
        <w:trPr>
          <w:cantSplit/>
          <w:trHeight w:val="230"/>
          <w:jc w:val="center"/>
        </w:trPr>
        <w:tc>
          <w:tcPr>
            <w:tcW w:w="0" w:type="auto"/>
            <w:tcBorders>
              <w:top w:val="nil"/>
              <w:left w:val="single" w:sz="8" w:space="0" w:color="auto"/>
              <w:bottom w:val="single" w:sz="4" w:space="0" w:color="auto"/>
              <w:right w:val="nil"/>
            </w:tcBorders>
            <w:shd w:val="clear" w:color="auto" w:fill="auto"/>
            <w:noWrap/>
            <w:vAlign w:val="bottom"/>
            <w:hideMark/>
          </w:tcPr>
          <w:p w14:paraId="41DC4D55" w14:textId="77777777" w:rsidR="006E0C1B" w:rsidRPr="006E0C1B" w:rsidRDefault="006E0C1B" w:rsidP="006E0C1B">
            <w:pPr>
              <w:spacing w:after="0" w:line="240" w:lineRule="auto"/>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Statewide</w:t>
            </w:r>
          </w:p>
        </w:tc>
        <w:tc>
          <w:tcPr>
            <w:tcW w:w="0" w:type="auto"/>
            <w:tcBorders>
              <w:top w:val="nil"/>
              <w:left w:val="single" w:sz="4" w:space="0" w:color="auto"/>
              <w:bottom w:val="single" w:sz="4" w:space="0" w:color="auto"/>
              <w:right w:val="nil"/>
            </w:tcBorders>
            <w:shd w:val="clear" w:color="auto" w:fill="auto"/>
            <w:noWrap/>
            <w:vAlign w:val="bottom"/>
            <w:hideMark/>
          </w:tcPr>
          <w:p w14:paraId="3B8F7A70"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73,155</w:t>
            </w:r>
          </w:p>
        </w:tc>
        <w:tc>
          <w:tcPr>
            <w:tcW w:w="0" w:type="auto"/>
            <w:tcBorders>
              <w:top w:val="nil"/>
              <w:left w:val="nil"/>
              <w:bottom w:val="single" w:sz="4" w:space="0" w:color="auto"/>
              <w:right w:val="single" w:sz="4" w:space="0" w:color="auto"/>
            </w:tcBorders>
            <w:shd w:val="clear" w:color="auto" w:fill="auto"/>
            <w:noWrap/>
            <w:vAlign w:val="bottom"/>
            <w:hideMark/>
          </w:tcPr>
          <w:p w14:paraId="0A58FC3F"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100.0%</w:t>
            </w:r>
          </w:p>
        </w:tc>
        <w:tc>
          <w:tcPr>
            <w:tcW w:w="0" w:type="auto"/>
            <w:tcBorders>
              <w:top w:val="nil"/>
              <w:left w:val="nil"/>
              <w:bottom w:val="single" w:sz="4" w:space="0" w:color="auto"/>
              <w:right w:val="nil"/>
            </w:tcBorders>
            <w:shd w:val="clear" w:color="auto" w:fill="auto"/>
            <w:noWrap/>
            <w:vAlign w:val="bottom"/>
            <w:hideMark/>
          </w:tcPr>
          <w:p w14:paraId="12D1C366"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21.4%</w:t>
            </w:r>
          </w:p>
        </w:tc>
        <w:tc>
          <w:tcPr>
            <w:tcW w:w="0" w:type="auto"/>
            <w:tcBorders>
              <w:top w:val="nil"/>
              <w:left w:val="nil"/>
              <w:bottom w:val="single" w:sz="4" w:space="0" w:color="auto"/>
              <w:right w:val="nil"/>
            </w:tcBorders>
            <w:shd w:val="clear" w:color="auto" w:fill="auto"/>
            <w:noWrap/>
            <w:vAlign w:val="bottom"/>
            <w:hideMark/>
          </w:tcPr>
          <w:p w14:paraId="1441D09C"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63.2%</w:t>
            </w:r>
          </w:p>
        </w:tc>
        <w:tc>
          <w:tcPr>
            <w:tcW w:w="0" w:type="auto"/>
            <w:tcBorders>
              <w:top w:val="nil"/>
              <w:left w:val="nil"/>
              <w:bottom w:val="single" w:sz="4" w:space="0" w:color="auto"/>
              <w:right w:val="nil"/>
            </w:tcBorders>
            <w:shd w:val="clear" w:color="auto" w:fill="auto"/>
            <w:noWrap/>
            <w:vAlign w:val="bottom"/>
            <w:hideMark/>
          </w:tcPr>
          <w:p w14:paraId="3BECBF1F"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9.5%</w:t>
            </w:r>
          </w:p>
        </w:tc>
        <w:tc>
          <w:tcPr>
            <w:tcW w:w="0" w:type="auto"/>
            <w:tcBorders>
              <w:top w:val="nil"/>
              <w:left w:val="nil"/>
              <w:bottom w:val="single" w:sz="4" w:space="0" w:color="auto"/>
              <w:right w:val="single" w:sz="8" w:space="0" w:color="auto"/>
            </w:tcBorders>
            <w:shd w:val="clear" w:color="auto" w:fill="auto"/>
            <w:noWrap/>
            <w:vAlign w:val="bottom"/>
            <w:hideMark/>
          </w:tcPr>
          <w:p w14:paraId="046CE8EC" w14:textId="77777777" w:rsidR="006E0C1B" w:rsidRPr="006E0C1B" w:rsidRDefault="006E0C1B" w:rsidP="006E0C1B">
            <w:pPr>
              <w:spacing w:after="0" w:line="240" w:lineRule="auto"/>
              <w:jc w:val="center"/>
              <w:rPr>
                <w:rFonts w:ascii="Calibri" w:eastAsia="Times New Roman" w:hAnsi="Calibri" w:cs="Calibri"/>
                <w:b/>
                <w:bCs/>
                <w:kern w:val="0"/>
                <w:sz w:val="20"/>
                <w:szCs w:val="20"/>
                <w14:ligatures w14:val="none"/>
              </w:rPr>
            </w:pPr>
            <w:r w:rsidRPr="006E0C1B">
              <w:rPr>
                <w:rFonts w:ascii="Calibri" w:eastAsia="Times New Roman" w:hAnsi="Calibri" w:cs="Calibri"/>
                <w:b/>
                <w:bCs/>
                <w:kern w:val="0"/>
                <w:sz w:val="20"/>
                <w:szCs w:val="20"/>
                <w14:ligatures w14:val="none"/>
              </w:rPr>
              <w:t>5.8%</w:t>
            </w:r>
          </w:p>
        </w:tc>
      </w:tr>
      <w:tr w:rsidR="006E0C1B" w:rsidRPr="006E0C1B" w14:paraId="5147F1A3"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18ACE957"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Mass General Brigham</w:t>
            </w:r>
          </w:p>
        </w:tc>
        <w:tc>
          <w:tcPr>
            <w:tcW w:w="0" w:type="auto"/>
            <w:tcBorders>
              <w:top w:val="nil"/>
              <w:left w:val="single" w:sz="4" w:space="0" w:color="auto"/>
              <w:bottom w:val="single" w:sz="4" w:space="0" w:color="D9D9D9"/>
              <w:right w:val="nil"/>
            </w:tcBorders>
            <w:shd w:val="clear" w:color="auto" w:fill="auto"/>
            <w:noWrap/>
            <w:vAlign w:val="bottom"/>
            <w:hideMark/>
          </w:tcPr>
          <w:p w14:paraId="3C80788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16,656</w:t>
            </w:r>
          </w:p>
        </w:tc>
        <w:tc>
          <w:tcPr>
            <w:tcW w:w="0" w:type="auto"/>
            <w:tcBorders>
              <w:top w:val="nil"/>
              <w:left w:val="nil"/>
              <w:bottom w:val="single" w:sz="4" w:space="0" w:color="D9D9D9"/>
              <w:right w:val="single" w:sz="4" w:space="0" w:color="auto"/>
            </w:tcBorders>
            <w:shd w:val="clear" w:color="auto" w:fill="auto"/>
            <w:noWrap/>
            <w:vAlign w:val="bottom"/>
            <w:hideMark/>
          </w:tcPr>
          <w:p w14:paraId="279DEA81"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22.8%</w:t>
            </w:r>
          </w:p>
        </w:tc>
        <w:tc>
          <w:tcPr>
            <w:tcW w:w="0" w:type="auto"/>
            <w:tcBorders>
              <w:top w:val="nil"/>
              <w:left w:val="nil"/>
              <w:bottom w:val="single" w:sz="4" w:space="0" w:color="D9D9D9"/>
              <w:right w:val="nil"/>
            </w:tcBorders>
            <w:shd w:val="clear" w:color="auto" w:fill="auto"/>
            <w:noWrap/>
            <w:vAlign w:val="bottom"/>
            <w:hideMark/>
          </w:tcPr>
          <w:p w14:paraId="703A278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25.8%</w:t>
            </w:r>
          </w:p>
        </w:tc>
        <w:tc>
          <w:tcPr>
            <w:tcW w:w="0" w:type="auto"/>
            <w:tcBorders>
              <w:top w:val="nil"/>
              <w:left w:val="nil"/>
              <w:bottom w:val="single" w:sz="4" w:space="0" w:color="D9D9D9"/>
              <w:right w:val="nil"/>
            </w:tcBorders>
            <w:shd w:val="clear" w:color="auto" w:fill="auto"/>
            <w:noWrap/>
            <w:vAlign w:val="bottom"/>
            <w:hideMark/>
          </w:tcPr>
          <w:p w14:paraId="020C8AD8"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61.1%</w:t>
            </w:r>
          </w:p>
        </w:tc>
        <w:tc>
          <w:tcPr>
            <w:tcW w:w="0" w:type="auto"/>
            <w:tcBorders>
              <w:top w:val="nil"/>
              <w:left w:val="nil"/>
              <w:bottom w:val="single" w:sz="4" w:space="0" w:color="D9D9D9"/>
              <w:right w:val="nil"/>
            </w:tcBorders>
            <w:shd w:val="clear" w:color="auto" w:fill="auto"/>
            <w:noWrap/>
            <w:vAlign w:val="bottom"/>
            <w:hideMark/>
          </w:tcPr>
          <w:p w14:paraId="3637378B"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8.4%</w:t>
            </w:r>
          </w:p>
        </w:tc>
        <w:tc>
          <w:tcPr>
            <w:tcW w:w="0" w:type="auto"/>
            <w:tcBorders>
              <w:top w:val="nil"/>
              <w:left w:val="nil"/>
              <w:bottom w:val="single" w:sz="4" w:space="0" w:color="D9D9D9"/>
              <w:right w:val="single" w:sz="8" w:space="0" w:color="auto"/>
            </w:tcBorders>
            <w:shd w:val="clear" w:color="auto" w:fill="auto"/>
            <w:noWrap/>
            <w:vAlign w:val="bottom"/>
            <w:hideMark/>
          </w:tcPr>
          <w:p w14:paraId="7F5A9661"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4.7%</w:t>
            </w:r>
          </w:p>
        </w:tc>
      </w:tr>
      <w:tr w:rsidR="00B84321" w:rsidRPr="006E0C1B" w14:paraId="66545310" w14:textId="77777777" w:rsidTr="00342FA6">
        <w:trPr>
          <w:cantSplit/>
          <w:trHeight w:val="230"/>
          <w:jc w:val="center"/>
        </w:trPr>
        <w:tc>
          <w:tcPr>
            <w:tcW w:w="0" w:type="auto"/>
            <w:tcBorders>
              <w:top w:val="nil"/>
              <w:left w:val="single" w:sz="8" w:space="0" w:color="auto"/>
              <w:bottom w:val="single" w:sz="4" w:space="0" w:color="D9D9D9"/>
              <w:right w:val="nil"/>
            </w:tcBorders>
            <w:shd w:val="clear" w:color="000000" w:fill="F2F2F2"/>
            <w:noWrap/>
            <w:vAlign w:val="bottom"/>
            <w:hideMark/>
          </w:tcPr>
          <w:p w14:paraId="500DD15B" w14:textId="77777777" w:rsidR="006E0C1B" w:rsidRPr="006E0C1B" w:rsidRDefault="006E0C1B" w:rsidP="006E0C1B">
            <w:pPr>
              <w:spacing w:after="0" w:line="240" w:lineRule="auto"/>
              <w:ind w:firstLineChars="50" w:firstLine="100"/>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Massachusetts General Hospital</w:t>
            </w:r>
          </w:p>
        </w:tc>
        <w:tc>
          <w:tcPr>
            <w:tcW w:w="0" w:type="auto"/>
            <w:tcBorders>
              <w:top w:val="nil"/>
              <w:left w:val="single" w:sz="4" w:space="0" w:color="auto"/>
              <w:bottom w:val="single" w:sz="4" w:space="0" w:color="D9D9D9"/>
              <w:right w:val="nil"/>
            </w:tcBorders>
            <w:shd w:val="clear" w:color="000000" w:fill="F2F2F2"/>
            <w:noWrap/>
            <w:vAlign w:val="bottom"/>
            <w:hideMark/>
          </w:tcPr>
          <w:p w14:paraId="3D25736A"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8,446</w:t>
            </w:r>
          </w:p>
        </w:tc>
        <w:tc>
          <w:tcPr>
            <w:tcW w:w="0" w:type="auto"/>
            <w:tcBorders>
              <w:top w:val="nil"/>
              <w:left w:val="nil"/>
              <w:bottom w:val="single" w:sz="4" w:space="0" w:color="D9D9D9"/>
              <w:right w:val="single" w:sz="4" w:space="0" w:color="auto"/>
            </w:tcBorders>
            <w:shd w:val="clear" w:color="000000" w:fill="F2F2F2"/>
            <w:noWrap/>
            <w:vAlign w:val="bottom"/>
            <w:hideMark/>
          </w:tcPr>
          <w:p w14:paraId="60C97DCD"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11.5%</w:t>
            </w:r>
          </w:p>
        </w:tc>
        <w:tc>
          <w:tcPr>
            <w:tcW w:w="0" w:type="auto"/>
            <w:tcBorders>
              <w:top w:val="nil"/>
              <w:left w:val="nil"/>
              <w:bottom w:val="single" w:sz="4" w:space="0" w:color="D9D9D9"/>
              <w:right w:val="nil"/>
            </w:tcBorders>
            <w:shd w:val="clear" w:color="000000" w:fill="F2F2F2"/>
            <w:noWrap/>
            <w:vAlign w:val="bottom"/>
            <w:hideMark/>
          </w:tcPr>
          <w:p w14:paraId="2CEC0893"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29.4%</w:t>
            </w:r>
          </w:p>
        </w:tc>
        <w:tc>
          <w:tcPr>
            <w:tcW w:w="0" w:type="auto"/>
            <w:tcBorders>
              <w:top w:val="nil"/>
              <w:left w:val="nil"/>
              <w:bottom w:val="single" w:sz="4" w:space="0" w:color="D9D9D9"/>
              <w:right w:val="nil"/>
            </w:tcBorders>
            <w:shd w:val="clear" w:color="000000" w:fill="F2F2F2"/>
            <w:noWrap/>
            <w:vAlign w:val="bottom"/>
            <w:hideMark/>
          </w:tcPr>
          <w:p w14:paraId="7611C6D7"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56.2%</w:t>
            </w:r>
          </w:p>
        </w:tc>
        <w:tc>
          <w:tcPr>
            <w:tcW w:w="0" w:type="auto"/>
            <w:tcBorders>
              <w:top w:val="nil"/>
              <w:left w:val="nil"/>
              <w:bottom w:val="single" w:sz="4" w:space="0" w:color="D9D9D9"/>
              <w:right w:val="nil"/>
            </w:tcBorders>
            <w:shd w:val="clear" w:color="000000" w:fill="F2F2F2"/>
            <w:noWrap/>
            <w:vAlign w:val="bottom"/>
            <w:hideMark/>
          </w:tcPr>
          <w:p w14:paraId="23062556"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10.3%</w:t>
            </w:r>
          </w:p>
        </w:tc>
        <w:tc>
          <w:tcPr>
            <w:tcW w:w="0" w:type="auto"/>
            <w:tcBorders>
              <w:top w:val="nil"/>
              <w:left w:val="nil"/>
              <w:bottom w:val="single" w:sz="4" w:space="0" w:color="D9D9D9"/>
              <w:right w:val="single" w:sz="8" w:space="0" w:color="auto"/>
            </w:tcBorders>
            <w:shd w:val="clear" w:color="000000" w:fill="F2F2F2"/>
            <w:noWrap/>
            <w:vAlign w:val="bottom"/>
            <w:hideMark/>
          </w:tcPr>
          <w:p w14:paraId="3DD31834"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4.1%</w:t>
            </w:r>
          </w:p>
        </w:tc>
      </w:tr>
      <w:tr w:rsidR="00B84321" w:rsidRPr="006E0C1B" w14:paraId="128A121D" w14:textId="77777777" w:rsidTr="00342FA6">
        <w:trPr>
          <w:cantSplit/>
          <w:trHeight w:val="230"/>
          <w:jc w:val="center"/>
        </w:trPr>
        <w:tc>
          <w:tcPr>
            <w:tcW w:w="0" w:type="auto"/>
            <w:tcBorders>
              <w:top w:val="nil"/>
              <w:left w:val="single" w:sz="8" w:space="0" w:color="auto"/>
              <w:bottom w:val="single" w:sz="4" w:space="0" w:color="D9D9D9"/>
              <w:right w:val="nil"/>
            </w:tcBorders>
            <w:shd w:val="clear" w:color="000000" w:fill="F2F2F2"/>
            <w:noWrap/>
            <w:vAlign w:val="bottom"/>
            <w:hideMark/>
          </w:tcPr>
          <w:p w14:paraId="4C03744A" w14:textId="77777777" w:rsidR="006E0C1B" w:rsidRPr="006E0C1B" w:rsidRDefault="006E0C1B" w:rsidP="006E0C1B">
            <w:pPr>
              <w:spacing w:after="0" w:line="240" w:lineRule="auto"/>
              <w:ind w:firstLineChars="50" w:firstLine="100"/>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Brigham and Women's Hospital</w:t>
            </w:r>
          </w:p>
        </w:tc>
        <w:tc>
          <w:tcPr>
            <w:tcW w:w="0" w:type="auto"/>
            <w:tcBorders>
              <w:top w:val="nil"/>
              <w:left w:val="single" w:sz="4" w:space="0" w:color="auto"/>
              <w:bottom w:val="single" w:sz="4" w:space="0" w:color="D9D9D9"/>
              <w:right w:val="nil"/>
            </w:tcBorders>
            <w:shd w:val="clear" w:color="000000" w:fill="F2F2F2"/>
            <w:noWrap/>
            <w:vAlign w:val="bottom"/>
            <w:hideMark/>
          </w:tcPr>
          <w:p w14:paraId="3B910ECE"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3,025</w:t>
            </w:r>
          </w:p>
        </w:tc>
        <w:tc>
          <w:tcPr>
            <w:tcW w:w="0" w:type="auto"/>
            <w:tcBorders>
              <w:top w:val="nil"/>
              <w:left w:val="nil"/>
              <w:bottom w:val="single" w:sz="4" w:space="0" w:color="D9D9D9"/>
              <w:right w:val="single" w:sz="4" w:space="0" w:color="auto"/>
            </w:tcBorders>
            <w:shd w:val="clear" w:color="000000" w:fill="F2F2F2"/>
            <w:noWrap/>
            <w:vAlign w:val="bottom"/>
            <w:hideMark/>
          </w:tcPr>
          <w:p w14:paraId="46F1B918"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4.1%</w:t>
            </w:r>
          </w:p>
        </w:tc>
        <w:tc>
          <w:tcPr>
            <w:tcW w:w="0" w:type="auto"/>
            <w:tcBorders>
              <w:top w:val="nil"/>
              <w:left w:val="nil"/>
              <w:bottom w:val="single" w:sz="4" w:space="0" w:color="D9D9D9"/>
              <w:right w:val="nil"/>
            </w:tcBorders>
            <w:shd w:val="clear" w:color="000000" w:fill="F2F2F2"/>
            <w:noWrap/>
            <w:vAlign w:val="bottom"/>
            <w:hideMark/>
          </w:tcPr>
          <w:p w14:paraId="4256B9C4"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27.4%</w:t>
            </w:r>
          </w:p>
        </w:tc>
        <w:tc>
          <w:tcPr>
            <w:tcW w:w="0" w:type="auto"/>
            <w:tcBorders>
              <w:top w:val="nil"/>
              <w:left w:val="nil"/>
              <w:bottom w:val="single" w:sz="4" w:space="0" w:color="D9D9D9"/>
              <w:right w:val="nil"/>
            </w:tcBorders>
            <w:shd w:val="clear" w:color="000000" w:fill="F2F2F2"/>
            <w:noWrap/>
            <w:vAlign w:val="bottom"/>
            <w:hideMark/>
          </w:tcPr>
          <w:p w14:paraId="14216B33"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59.6%</w:t>
            </w:r>
          </w:p>
        </w:tc>
        <w:tc>
          <w:tcPr>
            <w:tcW w:w="0" w:type="auto"/>
            <w:tcBorders>
              <w:top w:val="nil"/>
              <w:left w:val="nil"/>
              <w:bottom w:val="single" w:sz="4" w:space="0" w:color="D9D9D9"/>
              <w:right w:val="nil"/>
            </w:tcBorders>
            <w:shd w:val="clear" w:color="000000" w:fill="F2F2F2"/>
            <w:noWrap/>
            <w:vAlign w:val="bottom"/>
            <w:hideMark/>
          </w:tcPr>
          <w:p w14:paraId="611A3295"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8.4%</w:t>
            </w:r>
          </w:p>
        </w:tc>
        <w:tc>
          <w:tcPr>
            <w:tcW w:w="0" w:type="auto"/>
            <w:tcBorders>
              <w:top w:val="nil"/>
              <w:left w:val="nil"/>
              <w:bottom w:val="single" w:sz="4" w:space="0" w:color="D9D9D9"/>
              <w:right w:val="single" w:sz="8" w:space="0" w:color="auto"/>
            </w:tcBorders>
            <w:shd w:val="clear" w:color="000000" w:fill="F2F2F2"/>
            <w:noWrap/>
            <w:vAlign w:val="bottom"/>
            <w:hideMark/>
          </w:tcPr>
          <w:p w14:paraId="45135AAA"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4.5%</w:t>
            </w:r>
          </w:p>
        </w:tc>
      </w:tr>
      <w:tr w:rsidR="006E0C1B" w:rsidRPr="006E0C1B" w14:paraId="5E3B542E"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55E59AA8"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Beth Israel Lahey Health</w:t>
            </w:r>
          </w:p>
        </w:tc>
        <w:tc>
          <w:tcPr>
            <w:tcW w:w="0" w:type="auto"/>
            <w:tcBorders>
              <w:top w:val="nil"/>
              <w:left w:val="single" w:sz="4" w:space="0" w:color="auto"/>
              <w:bottom w:val="single" w:sz="4" w:space="0" w:color="D9D9D9"/>
              <w:right w:val="nil"/>
            </w:tcBorders>
            <w:shd w:val="clear" w:color="auto" w:fill="auto"/>
            <w:noWrap/>
            <w:vAlign w:val="bottom"/>
            <w:hideMark/>
          </w:tcPr>
          <w:p w14:paraId="646AFABE"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13,768</w:t>
            </w:r>
          </w:p>
        </w:tc>
        <w:tc>
          <w:tcPr>
            <w:tcW w:w="0" w:type="auto"/>
            <w:tcBorders>
              <w:top w:val="nil"/>
              <w:left w:val="nil"/>
              <w:bottom w:val="single" w:sz="4" w:space="0" w:color="D9D9D9"/>
              <w:right w:val="single" w:sz="4" w:space="0" w:color="auto"/>
            </w:tcBorders>
            <w:shd w:val="clear" w:color="auto" w:fill="auto"/>
            <w:noWrap/>
            <w:vAlign w:val="bottom"/>
            <w:hideMark/>
          </w:tcPr>
          <w:p w14:paraId="77223173"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18.8%</w:t>
            </w:r>
          </w:p>
        </w:tc>
        <w:tc>
          <w:tcPr>
            <w:tcW w:w="0" w:type="auto"/>
            <w:tcBorders>
              <w:top w:val="nil"/>
              <w:left w:val="nil"/>
              <w:bottom w:val="single" w:sz="4" w:space="0" w:color="D9D9D9"/>
              <w:right w:val="nil"/>
            </w:tcBorders>
            <w:shd w:val="clear" w:color="auto" w:fill="auto"/>
            <w:noWrap/>
            <w:vAlign w:val="bottom"/>
            <w:hideMark/>
          </w:tcPr>
          <w:p w14:paraId="75CFEE3A"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20.0%</w:t>
            </w:r>
          </w:p>
        </w:tc>
        <w:tc>
          <w:tcPr>
            <w:tcW w:w="0" w:type="auto"/>
            <w:tcBorders>
              <w:top w:val="nil"/>
              <w:left w:val="nil"/>
              <w:bottom w:val="single" w:sz="4" w:space="0" w:color="D9D9D9"/>
              <w:right w:val="nil"/>
            </w:tcBorders>
            <w:shd w:val="clear" w:color="auto" w:fill="auto"/>
            <w:noWrap/>
            <w:vAlign w:val="bottom"/>
            <w:hideMark/>
          </w:tcPr>
          <w:p w14:paraId="44F3252D"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68.8%</w:t>
            </w:r>
          </w:p>
        </w:tc>
        <w:tc>
          <w:tcPr>
            <w:tcW w:w="0" w:type="auto"/>
            <w:tcBorders>
              <w:top w:val="nil"/>
              <w:left w:val="nil"/>
              <w:bottom w:val="single" w:sz="4" w:space="0" w:color="D9D9D9"/>
              <w:right w:val="nil"/>
            </w:tcBorders>
            <w:shd w:val="clear" w:color="auto" w:fill="auto"/>
            <w:noWrap/>
            <w:vAlign w:val="bottom"/>
            <w:hideMark/>
          </w:tcPr>
          <w:p w14:paraId="3EE5FDCC"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7.1%</w:t>
            </w:r>
          </w:p>
        </w:tc>
        <w:tc>
          <w:tcPr>
            <w:tcW w:w="0" w:type="auto"/>
            <w:tcBorders>
              <w:top w:val="nil"/>
              <w:left w:val="nil"/>
              <w:bottom w:val="single" w:sz="4" w:space="0" w:color="D9D9D9"/>
              <w:right w:val="single" w:sz="8" w:space="0" w:color="auto"/>
            </w:tcBorders>
            <w:shd w:val="clear" w:color="auto" w:fill="auto"/>
            <w:noWrap/>
            <w:vAlign w:val="bottom"/>
            <w:hideMark/>
          </w:tcPr>
          <w:p w14:paraId="18465BC5"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4.1%</w:t>
            </w:r>
          </w:p>
        </w:tc>
      </w:tr>
      <w:tr w:rsidR="00B84321" w:rsidRPr="006E0C1B" w14:paraId="050516CC" w14:textId="77777777" w:rsidTr="00342FA6">
        <w:trPr>
          <w:cantSplit/>
          <w:trHeight w:val="230"/>
          <w:jc w:val="center"/>
        </w:trPr>
        <w:tc>
          <w:tcPr>
            <w:tcW w:w="0" w:type="auto"/>
            <w:tcBorders>
              <w:top w:val="nil"/>
              <w:left w:val="single" w:sz="8" w:space="0" w:color="auto"/>
              <w:bottom w:val="single" w:sz="4" w:space="0" w:color="D9D9D9"/>
              <w:right w:val="nil"/>
            </w:tcBorders>
            <w:shd w:val="clear" w:color="000000" w:fill="F2F2F2"/>
            <w:noWrap/>
            <w:vAlign w:val="bottom"/>
            <w:hideMark/>
          </w:tcPr>
          <w:p w14:paraId="25194AB8" w14:textId="77777777" w:rsidR="006E0C1B" w:rsidRPr="006E0C1B" w:rsidRDefault="006E0C1B" w:rsidP="006E0C1B">
            <w:pPr>
              <w:spacing w:after="0" w:line="240" w:lineRule="auto"/>
              <w:ind w:firstLineChars="50" w:firstLine="100"/>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Beth Israel Deaconess Medical Center</w:t>
            </w:r>
          </w:p>
        </w:tc>
        <w:tc>
          <w:tcPr>
            <w:tcW w:w="0" w:type="auto"/>
            <w:tcBorders>
              <w:top w:val="nil"/>
              <w:left w:val="single" w:sz="4" w:space="0" w:color="auto"/>
              <w:bottom w:val="single" w:sz="4" w:space="0" w:color="D9D9D9"/>
              <w:right w:val="nil"/>
            </w:tcBorders>
            <w:shd w:val="clear" w:color="000000" w:fill="F2F2F2"/>
            <w:noWrap/>
            <w:vAlign w:val="bottom"/>
            <w:hideMark/>
          </w:tcPr>
          <w:p w14:paraId="56543ECC"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5,653</w:t>
            </w:r>
          </w:p>
        </w:tc>
        <w:tc>
          <w:tcPr>
            <w:tcW w:w="0" w:type="auto"/>
            <w:tcBorders>
              <w:top w:val="nil"/>
              <w:left w:val="nil"/>
              <w:bottom w:val="single" w:sz="4" w:space="0" w:color="D9D9D9"/>
              <w:right w:val="single" w:sz="4" w:space="0" w:color="auto"/>
            </w:tcBorders>
            <w:shd w:val="clear" w:color="000000" w:fill="F2F2F2"/>
            <w:noWrap/>
            <w:vAlign w:val="bottom"/>
            <w:hideMark/>
          </w:tcPr>
          <w:p w14:paraId="78F9FCA9"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7.7%</w:t>
            </w:r>
          </w:p>
        </w:tc>
        <w:tc>
          <w:tcPr>
            <w:tcW w:w="0" w:type="auto"/>
            <w:tcBorders>
              <w:top w:val="nil"/>
              <w:left w:val="nil"/>
              <w:bottom w:val="single" w:sz="4" w:space="0" w:color="D9D9D9"/>
              <w:right w:val="nil"/>
            </w:tcBorders>
            <w:shd w:val="clear" w:color="000000" w:fill="F2F2F2"/>
            <w:noWrap/>
            <w:vAlign w:val="bottom"/>
            <w:hideMark/>
          </w:tcPr>
          <w:p w14:paraId="295ED675"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24.8%</w:t>
            </w:r>
          </w:p>
        </w:tc>
        <w:tc>
          <w:tcPr>
            <w:tcW w:w="0" w:type="auto"/>
            <w:tcBorders>
              <w:top w:val="nil"/>
              <w:left w:val="nil"/>
              <w:bottom w:val="single" w:sz="4" w:space="0" w:color="D9D9D9"/>
              <w:right w:val="nil"/>
            </w:tcBorders>
            <w:shd w:val="clear" w:color="000000" w:fill="F2F2F2"/>
            <w:noWrap/>
            <w:vAlign w:val="bottom"/>
            <w:hideMark/>
          </w:tcPr>
          <w:p w14:paraId="3656121C"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59.3%</w:t>
            </w:r>
          </w:p>
        </w:tc>
        <w:tc>
          <w:tcPr>
            <w:tcW w:w="0" w:type="auto"/>
            <w:tcBorders>
              <w:top w:val="nil"/>
              <w:left w:val="nil"/>
              <w:bottom w:val="single" w:sz="4" w:space="0" w:color="D9D9D9"/>
              <w:right w:val="nil"/>
            </w:tcBorders>
            <w:shd w:val="clear" w:color="000000" w:fill="F2F2F2"/>
            <w:noWrap/>
            <w:vAlign w:val="bottom"/>
            <w:hideMark/>
          </w:tcPr>
          <w:p w14:paraId="1F017A37"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10.2%</w:t>
            </w:r>
          </w:p>
        </w:tc>
        <w:tc>
          <w:tcPr>
            <w:tcW w:w="0" w:type="auto"/>
            <w:tcBorders>
              <w:top w:val="nil"/>
              <w:left w:val="nil"/>
              <w:bottom w:val="single" w:sz="4" w:space="0" w:color="D9D9D9"/>
              <w:right w:val="single" w:sz="8" w:space="0" w:color="auto"/>
            </w:tcBorders>
            <w:shd w:val="clear" w:color="000000" w:fill="F2F2F2"/>
            <w:noWrap/>
            <w:vAlign w:val="bottom"/>
            <w:hideMark/>
          </w:tcPr>
          <w:p w14:paraId="16BA52BF" w14:textId="77777777" w:rsidR="006E0C1B" w:rsidRPr="006E0C1B" w:rsidRDefault="006E0C1B" w:rsidP="006E0C1B">
            <w:pPr>
              <w:spacing w:after="0" w:line="240" w:lineRule="auto"/>
              <w:jc w:val="center"/>
              <w:rPr>
                <w:rFonts w:ascii="Calibri" w:eastAsia="Times New Roman" w:hAnsi="Calibri" w:cs="Calibri"/>
                <w:i/>
                <w:iCs/>
                <w:kern w:val="0"/>
                <w:sz w:val="20"/>
                <w:szCs w:val="20"/>
                <w14:ligatures w14:val="none"/>
              </w:rPr>
            </w:pPr>
            <w:r w:rsidRPr="006E0C1B">
              <w:rPr>
                <w:rFonts w:ascii="Calibri" w:eastAsia="Times New Roman" w:hAnsi="Calibri" w:cs="Calibri"/>
                <w:i/>
                <w:iCs/>
                <w:kern w:val="0"/>
                <w:sz w:val="20"/>
                <w:szCs w:val="20"/>
                <w14:ligatures w14:val="none"/>
              </w:rPr>
              <w:t>5.7%</w:t>
            </w:r>
          </w:p>
        </w:tc>
      </w:tr>
      <w:tr w:rsidR="006E0C1B" w:rsidRPr="006E0C1B" w14:paraId="5459BE15"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2F48466F"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Dana-Farber Cancer Institute</w:t>
            </w:r>
          </w:p>
        </w:tc>
        <w:tc>
          <w:tcPr>
            <w:tcW w:w="0" w:type="auto"/>
            <w:tcBorders>
              <w:top w:val="nil"/>
              <w:left w:val="single" w:sz="4" w:space="0" w:color="auto"/>
              <w:bottom w:val="single" w:sz="4" w:space="0" w:color="D9D9D9"/>
              <w:right w:val="nil"/>
            </w:tcBorders>
            <w:shd w:val="clear" w:color="auto" w:fill="auto"/>
            <w:noWrap/>
            <w:vAlign w:val="bottom"/>
            <w:hideMark/>
          </w:tcPr>
          <w:p w14:paraId="02C2DE41"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7,456</w:t>
            </w:r>
          </w:p>
        </w:tc>
        <w:tc>
          <w:tcPr>
            <w:tcW w:w="0" w:type="auto"/>
            <w:tcBorders>
              <w:top w:val="nil"/>
              <w:left w:val="nil"/>
              <w:bottom w:val="single" w:sz="4" w:space="0" w:color="D9D9D9"/>
              <w:right w:val="single" w:sz="4" w:space="0" w:color="auto"/>
            </w:tcBorders>
            <w:shd w:val="clear" w:color="auto" w:fill="auto"/>
            <w:noWrap/>
            <w:vAlign w:val="bottom"/>
            <w:hideMark/>
          </w:tcPr>
          <w:p w14:paraId="08D5137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10.2%</w:t>
            </w:r>
          </w:p>
        </w:tc>
        <w:tc>
          <w:tcPr>
            <w:tcW w:w="0" w:type="auto"/>
            <w:tcBorders>
              <w:top w:val="nil"/>
              <w:left w:val="nil"/>
              <w:bottom w:val="single" w:sz="4" w:space="0" w:color="D9D9D9"/>
              <w:right w:val="nil"/>
            </w:tcBorders>
            <w:shd w:val="clear" w:color="auto" w:fill="auto"/>
            <w:noWrap/>
            <w:vAlign w:val="bottom"/>
            <w:hideMark/>
          </w:tcPr>
          <w:p w14:paraId="7159A53C"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37.6%</w:t>
            </w:r>
          </w:p>
        </w:tc>
        <w:tc>
          <w:tcPr>
            <w:tcW w:w="0" w:type="auto"/>
            <w:tcBorders>
              <w:top w:val="nil"/>
              <w:left w:val="nil"/>
              <w:bottom w:val="single" w:sz="4" w:space="0" w:color="D9D9D9"/>
              <w:right w:val="nil"/>
            </w:tcBorders>
            <w:shd w:val="clear" w:color="auto" w:fill="auto"/>
            <w:noWrap/>
            <w:vAlign w:val="bottom"/>
            <w:hideMark/>
          </w:tcPr>
          <w:p w14:paraId="1724E52D"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48.7%</w:t>
            </w:r>
          </w:p>
        </w:tc>
        <w:tc>
          <w:tcPr>
            <w:tcW w:w="0" w:type="auto"/>
            <w:tcBorders>
              <w:top w:val="nil"/>
              <w:left w:val="nil"/>
              <w:bottom w:val="single" w:sz="4" w:space="0" w:color="D9D9D9"/>
              <w:right w:val="nil"/>
            </w:tcBorders>
            <w:shd w:val="clear" w:color="auto" w:fill="auto"/>
            <w:noWrap/>
            <w:vAlign w:val="bottom"/>
            <w:hideMark/>
          </w:tcPr>
          <w:p w14:paraId="7D78B9B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10.4%</w:t>
            </w:r>
          </w:p>
        </w:tc>
        <w:tc>
          <w:tcPr>
            <w:tcW w:w="0" w:type="auto"/>
            <w:tcBorders>
              <w:top w:val="nil"/>
              <w:left w:val="nil"/>
              <w:bottom w:val="single" w:sz="4" w:space="0" w:color="D9D9D9"/>
              <w:right w:val="single" w:sz="8" w:space="0" w:color="auto"/>
            </w:tcBorders>
            <w:shd w:val="clear" w:color="auto" w:fill="auto"/>
            <w:noWrap/>
            <w:vAlign w:val="bottom"/>
            <w:hideMark/>
          </w:tcPr>
          <w:p w14:paraId="1B7AE2C1"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3.4%</w:t>
            </w:r>
          </w:p>
        </w:tc>
      </w:tr>
      <w:tr w:rsidR="006E0C1B" w:rsidRPr="006E0C1B" w14:paraId="3354C043"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11DE1FC5"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UMass Memorial Health Care</w:t>
            </w:r>
          </w:p>
        </w:tc>
        <w:tc>
          <w:tcPr>
            <w:tcW w:w="0" w:type="auto"/>
            <w:tcBorders>
              <w:top w:val="nil"/>
              <w:left w:val="single" w:sz="4" w:space="0" w:color="auto"/>
              <w:bottom w:val="single" w:sz="4" w:space="0" w:color="D9D9D9"/>
              <w:right w:val="nil"/>
            </w:tcBorders>
            <w:shd w:val="clear" w:color="auto" w:fill="auto"/>
            <w:noWrap/>
            <w:vAlign w:val="bottom"/>
            <w:hideMark/>
          </w:tcPr>
          <w:p w14:paraId="117590E0"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5,072</w:t>
            </w:r>
          </w:p>
        </w:tc>
        <w:tc>
          <w:tcPr>
            <w:tcW w:w="0" w:type="auto"/>
            <w:tcBorders>
              <w:top w:val="nil"/>
              <w:left w:val="nil"/>
              <w:bottom w:val="single" w:sz="4" w:space="0" w:color="D9D9D9"/>
              <w:right w:val="single" w:sz="4" w:space="0" w:color="auto"/>
            </w:tcBorders>
            <w:shd w:val="clear" w:color="auto" w:fill="auto"/>
            <w:noWrap/>
            <w:vAlign w:val="bottom"/>
            <w:hideMark/>
          </w:tcPr>
          <w:p w14:paraId="66439FB7"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6.9%</w:t>
            </w:r>
          </w:p>
        </w:tc>
        <w:tc>
          <w:tcPr>
            <w:tcW w:w="0" w:type="auto"/>
            <w:tcBorders>
              <w:top w:val="nil"/>
              <w:left w:val="nil"/>
              <w:bottom w:val="single" w:sz="4" w:space="0" w:color="D9D9D9"/>
              <w:right w:val="nil"/>
            </w:tcBorders>
            <w:shd w:val="clear" w:color="auto" w:fill="auto"/>
            <w:noWrap/>
            <w:vAlign w:val="bottom"/>
            <w:hideMark/>
          </w:tcPr>
          <w:p w14:paraId="4B530E1D"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14.4%</w:t>
            </w:r>
          </w:p>
        </w:tc>
        <w:tc>
          <w:tcPr>
            <w:tcW w:w="0" w:type="auto"/>
            <w:tcBorders>
              <w:top w:val="nil"/>
              <w:left w:val="nil"/>
              <w:bottom w:val="single" w:sz="4" w:space="0" w:color="D9D9D9"/>
              <w:right w:val="nil"/>
            </w:tcBorders>
            <w:shd w:val="clear" w:color="auto" w:fill="auto"/>
            <w:noWrap/>
            <w:vAlign w:val="bottom"/>
            <w:hideMark/>
          </w:tcPr>
          <w:p w14:paraId="4C51582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63.8%</w:t>
            </w:r>
          </w:p>
        </w:tc>
        <w:tc>
          <w:tcPr>
            <w:tcW w:w="0" w:type="auto"/>
            <w:tcBorders>
              <w:top w:val="nil"/>
              <w:left w:val="nil"/>
              <w:bottom w:val="single" w:sz="4" w:space="0" w:color="D9D9D9"/>
              <w:right w:val="nil"/>
            </w:tcBorders>
            <w:shd w:val="clear" w:color="auto" w:fill="auto"/>
            <w:noWrap/>
            <w:vAlign w:val="bottom"/>
            <w:hideMark/>
          </w:tcPr>
          <w:p w14:paraId="67B0E142"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15.9%</w:t>
            </w:r>
          </w:p>
        </w:tc>
        <w:tc>
          <w:tcPr>
            <w:tcW w:w="0" w:type="auto"/>
            <w:tcBorders>
              <w:top w:val="nil"/>
              <w:left w:val="nil"/>
              <w:bottom w:val="single" w:sz="4" w:space="0" w:color="D9D9D9"/>
              <w:right w:val="single" w:sz="8" w:space="0" w:color="auto"/>
            </w:tcBorders>
            <w:shd w:val="clear" w:color="auto" w:fill="auto"/>
            <w:noWrap/>
            <w:vAlign w:val="bottom"/>
            <w:hideMark/>
          </w:tcPr>
          <w:p w14:paraId="07BE872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5.9%</w:t>
            </w:r>
          </w:p>
        </w:tc>
      </w:tr>
      <w:tr w:rsidR="006E0C1B" w:rsidRPr="006E0C1B" w14:paraId="18722F2C"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556087EE"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Steward Health Care System</w:t>
            </w:r>
          </w:p>
        </w:tc>
        <w:tc>
          <w:tcPr>
            <w:tcW w:w="0" w:type="auto"/>
            <w:tcBorders>
              <w:top w:val="nil"/>
              <w:left w:val="single" w:sz="4" w:space="0" w:color="auto"/>
              <w:bottom w:val="single" w:sz="4" w:space="0" w:color="D9D9D9"/>
              <w:right w:val="nil"/>
            </w:tcBorders>
            <w:shd w:val="clear" w:color="auto" w:fill="auto"/>
            <w:noWrap/>
            <w:vAlign w:val="bottom"/>
            <w:hideMark/>
          </w:tcPr>
          <w:p w14:paraId="734B9B23"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4,245</w:t>
            </w:r>
          </w:p>
        </w:tc>
        <w:tc>
          <w:tcPr>
            <w:tcW w:w="0" w:type="auto"/>
            <w:tcBorders>
              <w:top w:val="nil"/>
              <w:left w:val="nil"/>
              <w:bottom w:val="single" w:sz="4" w:space="0" w:color="D9D9D9"/>
              <w:right w:val="single" w:sz="4" w:space="0" w:color="auto"/>
            </w:tcBorders>
            <w:shd w:val="clear" w:color="auto" w:fill="auto"/>
            <w:noWrap/>
            <w:vAlign w:val="bottom"/>
            <w:hideMark/>
          </w:tcPr>
          <w:p w14:paraId="368B7A36"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5.8%</w:t>
            </w:r>
          </w:p>
        </w:tc>
        <w:tc>
          <w:tcPr>
            <w:tcW w:w="0" w:type="auto"/>
            <w:tcBorders>
              <w:top w:val="nil"/>
              <w:left w:val="nil"/>
              <w:bottom w:val="single" w:sz="4" w:space="0" w:color="D9D9D9"/>
              <w:right w:val="nil"/>
            </w:tcBorders>
            <w:shd w:val="clear" w:color="auto" w:fill="auto"/>
            <w:noWrap/>
            <w:vAlign w:val="bottom"/>
            <w:hideMark/>
          </w:tcPr>
          <w:p w14:paraId="1FDC440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16.5%</w:t>
            </w:r>
          </w:p>
        </w:tc>
        <w:tc>
          <w:tcPr>
            <w:tcW w:w="0" w:type="auto"/>
            <w:tcBorders>
              <w:top w:val="nil"/>
              <w:left w:val="nil"/>
              <w:bottom w:val="single" w:sz="4" w:space="0" w:color="D9D9D9"/>
              <w:right w:val="nil"/>
            </w:tcBorders>
            <w:shd w:val="clear" w:color="auto" w:fill="auto"/>
            <w:noWrap/>
            <w:vAlign w:val="bottom"/>
            <w:hideMark/>
          </w:tcPr>
          <w:p w14:paraId="602BB024"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62.1%</w:t>
            </w:r>
          </w:p>
        </w:tc>
        <w:tc>
          <w:tcPr>
            <w:tcW w:w="0" w:type="auto"/>
            <w:tcBorders>
              <w:top w:val="nil"/>
              <w:left w:val="nil"/>
              <w:bottom w:val="single" w:sz="4" w:space="0" w:color="D9D9D9"/>
              <w:right w:val="nil"/>
            </w:tcBorders>
            <w:shd w:val="clear" w:color="auto" w:fill="auto"/>
            <w:noWrap/>
            <w:vAlign w:val="bottom"/>
            <w:hideMark/>
          </w:tcPr>
          <w:p w14:paraId="071133DE"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10.7%</w:t>
            </w:r>
          </w:p>
        </w:tc>
        <w:tc>
          <w:tcPr>
            <w:tcW w:w="0" w:type="auto"/>
            <w:tcBorders>
              <w:top w:val="nil"/>
              <w:left w:val="nil"/>
              <w:bottom w:val="single" w:sz="4" w:space="0" w:color="D9D9D9"/>
              <w:right w:val="single" w:sz="8" w:space="0" w:color="auto"/>
            </w:tcBorders>
            <w:shd w:val="clear" w:color="auto" w:fill="auto"/>
            <w:noWrap/>
            <w:vAlign w:val="bottom"/>
            <w:hideMark/>
          </w:tcPr>
          <w:p w14:paraId="39FF7682"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10.7%</w:t>
            </w:r>
          </w:p>
        </w:tc>
      </w:tr>
      <w:tr w:rsidR="006E0C1B" w:rsidRPr="006E0C1B" w14:paraId="4E63CF9C" w14:textId="77777777" w:rsidTr="00342FA6">
        <w:trPr>
          <w:cantSplit/>
          <w:trHeight w:val="230"/>
          <w:jc w:val="center"/>
        </w:trPr>
        <w:tc>
          <w:tcPr>
            <w:tcW w:w="0" w:type="auto"/>
            <w:tcBorders>
              <w:top w:val="nil"/>
              <w:left w:val="single" w:sz="8" w:space="0" w:color="auto"/>
              <w:bottom w:val="single" w:sz="4" w:space="0" w:color="D9D9D9"/>
              <w:right w:val="nil"/>
            </w:tcBorders>
            <w:shd w:val="clear" w:color="auto" w:fill="auto"/>
            <w:noWrap/>
            <w:vAlign w:val="bottom"/>
            <w:hideMark/>
          </w:tcPr>
          <w:p w14:paraId="6F886B92"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Baystate Health</w:t>
            </w:r>
          </w:p>
        </w:tc>
        <w:tc>
          <w:tcPr>
            <w:tcW w:w="0" w:type="auto"/>
            <w:tcBorders>
              <w:top w:val="nil"/>
              <w:left w:val="single" w:sz="4" w:space="0" w:color="auto"/>
              <w:bottom w:val="single" w:sz="4" w:space="0" w:color="D9D9D9"/>
              <w:right w:val="nil"/>
            </w:tcBorders>
            <w:shd w:val="clear" w:color="auto" w:fill="auto"/>
            <w:noWrap/>
            <w:vAlign w:val="bottom"/>
            <w:hideMark/>
          </w:tcPr>
          <w:p w14:paraId="5F93AFE8"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3,862</w:t>
            </w:r>
          </w:p>
        </w:tc>
        <w:tc>
          <w:tcPr>
            <w:tcW w:w="0" w:type="auto"/>
            <w:tcBorders>
              <w:top w:val="nil"/>
              <w:left w:val="nil"/>
              <w:bottom w:val="single" w:sz="4" w:space="0" w:color="D9D9D9"/>
              <w:right w:val="single" w:sz="4" w:space="0" w:color="auto"/>
            </w:tcBorders>
            <w:shd w:val="clear" w:color="auto" w:fill="auto"/>
            <w:noWrap/>
            <w:vAlign w:val="bottom"/>
            <w:hideMark/>
          </w:tcPr>
          <w:p w14:paraId="3FD03877"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5.3%</w:t>
            </w:r>
          </w:p>
        </w:tc>
        <w:tc>
          <w:tcPr>
            <w:tcW w:w="0" w:type="auto"/>
            <w:tcBorders>
              <w:top w:val="nil"/>
              <w:left w:val="nil"/>
              <w:bottom w:val="single" w:sz="4" w:space="0" w:color="D9D9D9"/>
              <w:right w:val="nil"/>
            </w:tcBorders>
            <w:shd w:val="clear" w:color="auto" w:fill="auto"/>
            <w:noWrap/>
            <w:vAlign w:val="bottom"/>
            <w:hideMark/>
          </w:tcPr>
          <w:p w14:paraId="3212F743"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16.7%</w:t>
            </w:r>
          </w:p>
        </w:tc>
        <w:tc>
          <w:tcPr>
            <w:tcW w:w="0" w:type="auto"/>
            <w:tcBorders>
              <w:top w:val="nil"/>
              <w:left w:val="nil"/>
              <w:bottom w:val="single" w:sz="4" w:space="0" w:color="D9D9D9"/>
              <w:right w:val="nil"/>
            </w:tcBorders>
            <w:shd w:val="clear" w:color="auto" w:fill="auto"/>
            <w:noWrap/>
            <w:vAlign w:val="bottom"/>
            <w:hideMark/>
          </w:tcPr>
          <w:p w14:paraId="1CA48A80"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62.3%</w:t>
            </w:r>
          </w:p>
        </w:tc>
        <w:tc>
          <w:tcPr>
            <w:tcW w:w="0" w:type="auto"/>
            <w:tcBorders>
              <w:top w:val="nil"/>
              <w:left w:val="nil"/>
              <w:bottom w:val="single" w:sz="4" w:space="0" w:color="D9D9D9"/>
              <w:right w:val="nil"/>
            </w:tcBorders>
            <w:shd w:val="clear" w:color="auto" w:fill="auto"/>
            <w:noWrap/>
            <w:vAlign w:val="bottom"/>
            <w:hideMark/>
          </w:tcPr>
          <w:p w14:paraId="6F621D13"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10.9%</w:t>
            </w:r>
          </w:p>
        </w:tc>
        <w:tc>
          <w:tcPr>
            <w:tcW w:w="0" w:type="auto"/>
            <w:tcBorders>
              <w:top w:val="nil"/>
              <w:left w:val="nil"/>
              <w:bottom w:val="single" w:sz="4" w:space="0" w:color="D9D9D9"/>
              <w:right w:val="single" w:sz="8" w:space="0" w:color="auto"/>
            </w:tcBorders>
            <w:shd w:val="clear" w:color="auto" w:fill="auto"/>
            <w:noWrap/>
            <w:vAlign w:val="bottom"/>
            <w:hideMark/>
          </w:tcPr>
          <w:p w14:paraId="2202542C"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10.1%</w:t>
            </w:r>
          </w:p>
        </w:tc>
      </w:tr>
      <w:tr w:rsidR="006E0C1B" w:rsidRPr="006E0C1B" w14:paraId="0C9B993C" w14:textId="77777777" w:rsidTr="00342FA6">
        <w:trPr>
          <w:cantSplit/>
          <w:trHeight w:val="230"/>
          <w:jc w:val="center"/>
        </w:trPr>
        <w:tc>
          <w:tcPr>
            <w:tcW w:w="0" w:type="auto"/>
            <w:tcBorders>
              <w:top w:val="nil"/>
              <w:left w:val="single" w:sz="8" w:space="0" w:color="auto"/>
              <w:bottom w:val="single" w:sz="8" w:space="0" w:color="auto"/>
              <w:right w:val="nil"/>
            </w:tcBorders>
            <w:shd w:val="clear" w:color="auto" w:fill="auto"/>
            <w:noWrap/>
            <w:vAlign w:val="bottom"/>
            <w:hideMark/>
          </w:tcPr>
          <w:p w14:paraId="66207347" w14:textId="77777777" w:rsidR="006E0C1B" w:rsidRPr="006E0C1B" w:rsidRDefault="006E0C1B" w:rsidP="006E0C1B">
            <w:pPr>
              <w:spacing w:after="0" w:line="240" w:lineRule="auto"/>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Tufts Medicine</w:t>
            </w:r>
          </w:p>
        </w:tc>
        <w:tc>
          <w:tcPr>
            <w:tcW w:w="0" w:type="auto"/>
            <w:tcBorders>
              <w:top w:val="nil"/>
              <w:left w:val="single" w:sz="4" w:space="0" w:color="auto"/>
              <w:bottom w:val="single" w:sz="8" w:space="0" w:color="auto"/>
              <w:right w:val="nil"/>
            </w:tcBorders>
            <w:shd w:val="clear" w:color="auto" w:fill="auto"/>
            <w:noWrap/>
            <w:vAlign w:val="bottom"/>
            <w:hideMark/>
          </w:tcPr>
          <w:p w14:paraId="05F3624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3,719</w:t>
            </w:r>
          </w:p>
        </w:tc>
        <w:tc>
          <w:tcPr>
            <w:tcW w:w="0" w:type="auto"/>
            <w:tcBorders>
              <w:top w:val="nil"/>
              <w:left w:val="nil"/>
              <w:bottom w:val="single" w:sz="8" w:space="0" w:color="auto"/>
              <w:right w:val="single" w:sz="4" w:space="0" w:color="auto"/>
            </w:tcBorders>
            <w:shd w:val="clear" w:color="auto" w:fill="auto"/>
            <w:noWrap/>
            <w:vAlign w:val="bottom"/>
            <w:hideMark/>
          </w:tcPr>
          <w:p w14:paraId="650F194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5.1%</w:t>
            </w:r>
          </w:p>
        </w:tc>
        <w:tc>
          <w:tcPr>
            <w:tcW w:w="0" w:type="auto"/>
            <w:tcBorders>
              <w:top w:val="nil"/>
              <w:left w:val="nil"/>
              <w:bottom w:val="single" w:sz="8" w:space="0" w:color="auto"/>
              <w:right w:val="nil"/>
            </w:tcBorders>
            <w:shd w:val="clear" w:color="auto" w:fill="auto"/>
            <w:noWrap/>
            <w:vAlign w:val="bottom"/>
            <w:hideMark/>
          </w:tcPr>
          <w:p w14:paraId="0F4AD6C6"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24.0%</w:t>
            </w:r>
          </w:p>
        </w:tc>
        <w:tc>
          <w:tcPr>
            <w:tcW w:w="0" w:type="auto"/>
            <w:tcBorders>
              <w:top w:val="nil"/>
              <w:left w:val="nil"/>
              <w:bottom w:val="single" w:sz="8" w:space="0" w:color="auto"/>
              <w:right w:val="nil"/>
            </w:tcBorders>
            <w:shd w:val="clear" w:color="auto" w:fill="auto"/>
            <w:noWrap/>
            <w:vAlign w:val="bottom"/>
            <w:hideMark/>
          </w:tcPr>
          <w:p w14:paraId="451E330F"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61.2%</w:t>
            </w:r>
          </w:p>
        </w:tc>
        <w:tc>
          <w:tcPr>
            <w:tcW w:w="0" w:type="auto"/>
            <w:tcBorders>
              <w:top w:val="nil"/>
              <w:left w:val="nil"/>
              <w:bottom w:val="single" w:sz="8" w:space="0" w:color="auto"/>
              <w:right w:val="nil"/>
            </w:tcBorders>
            <w:shd w:val="clear" w:color="auto" w:fill="auto"/>
            <w:noWrap/>
            <w:vAlign w:val="bottom"/>
            <w:hideMark/>
          </w:tcPr>
          <w:p w14:paraId="3299AB14"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7.6%</w:t>
            </w:r>
          </w:p>
        </w:tc>
        <w:tc>
          <w:tcPr>
            <w:tcW w:w="0" w:type="auto"/>
            <w:tcBorders>
              <w:top w:val="nil"/>
              <w:left w:val="nil"/>
              <w:bottom w:val="single" w:sz="8" w:space="0" w:color="auto"/>
              <w:right w:val="single" w:sz="8" w:space="0" w:color="auto"/>
            </w:tcBorders>
            <w:shd w:val="clear" w:color="auto" w:fill="auto"/>
            <w:noWrap/>
            <w:vAlign w:val="bottom"/>
            <w:hideMark/>
          </w:tcPr>
          <w:p w14:paraId="4C44F5EE" w14:textId="77777777" w:rsidR="006E0C1B" w:rsidRPr="006E0C1B" w:rsidRDefault="006E0C1B" w:rsidP="006E0C1B">
            <w:pPr>
              <w:spacing w:after="0" w:line="240" w:lineRule="auto"/>
              <w:jc w:val="center"/>
              <w:rPr>
                <w:rFonts w:ascii="Calibri" w:eastAsia="Times New Roman" w:hAnsi="Calibri" w:cs="Calibri"/>
                <w:kern w:val="0"/>
                <w:sz w:val="20"/>
                <w:szCs w:val="20"/>
                <w14:ligatures w14:val="none"/>
              </w:rPr>
            </w:pPr>
            <w:r w:rsidRPr="006E0C1B">
              <w:rPr>
                <w:rFonts w:ascii="Calibri" w:eastAsia="Times New Roman" w:hAnsi="Calibri" w:cs="Calibri"/>
                <w:kern w:val="0"/>
                <w:sz w:val="20"/>
                <w:szCs w:val="20"/>
                <w14:ligatures w14:val="none"/>
              </w:rPr>
              <w:t>7.1%</w:t>
            </w:r>
          </w:p>
        </w:tc>
      </w:tr>
    </w:tbl>
    <w:p w14:paraId="24D76E42" w14:textId="77777777" w:rsidR="006E0C1B" w:rsidRPr="00441070" w:rsidRDefault="006E0C1B" w:rsidP="006256A8">
      <w:pPr>
        <w:spacing w:after="0" w:line="360" w:lineRule="auto"/>
      </w:pPr>
    </w:p>
    <w:p w14:paraId="03611590" w14:textId="5D452767" w:rsidR="000224C4" w:rsidRDefault="000224C4" w:rsidP="0056613D">
      <w:pPr>
        <w:pStyle w:val="Heading1"/>
        <w:rPr>
          <w:rFonts w:hint="eastAsia"/>
        </w:rPr>
      </w:pPr>
      <w:bookmarkStart w:id="29" w:name="_Toc187401748"/>
      <w:r w:rsidRPr="00762734">
        <w:t>Forecast of Future Demand</w:t>
      </w:r>
      <w:r w:rsidR="007E65D9">
        <w:t xml:space="preserve"> for Cancer Care</w:t>
      </w:r>
      <w:bookmarkEnd w:id="29"/>
    </w:p>
    <w:p w14:paraId="69F72B5B" w14:textId="6D18EF77" w:rsidR="003C0737" w:rsidRDefault="003C0737" w:rsidP="008C4EE0">
      <w:pPr>
        <w:pStyle w:val="Heading2"/>
        <w:numPr>
          <w:ilvl w:val="0"/>
          <w:numId w:val="21"/>
        </w:numPr>
      </w:pPr>
      <w:bookmarkStart w:id="30" w:name="_Toc187401749"/>
      <w:r>
        <w:t>Methodology for Estimating Current and Future Demand</w:t>
      </w:r>
      <w:bookmarkEnd w:id="30"/>
      <w:r>
        <w:t xml:space="preserve"> </w:t>
      </w:r>
    </w:p>
    <w:p w14:paraId="4CB35043" w14:textId="2454F2E6" w:rsidR="00464FFF" w:rsidRDefault="00464FFF" w:rsidP="00C0773C">
      <w:pPr>
        <w:numPr>
          <w:ilvl w:val="0"/>
          <w:numId w:val="4"/>
        </w:numPr>
        <w:spacing w:before="120" w:after="120" w:line="360" w:lineRule="auto"/>
        <w:jc w:val="both"/>
      </w:pPr>
      <w:r>
        <w:t>The ICA analyses of capacity, utilization, pricing, and competition require estimates of current and future demand for the service lines involved in the Proposed Project. Independently derived estimates of current and projected utilization of services by service area are developed in this section for those purposes and are also useful for assessing the reasonableness of DFCI’s estimates of demand and its projected needs.</w:t>
      </w:r>
    </w:p>
    <w:p w14:paraId="0D65F71A" w14:textId="2DDB800D" w:rsidR="00355C4A" w:rsidRDefault="00355C4A" w:rsidP="00C0773C">
      <w:pPr>
        <w:numPr>
          <w:ilvl w:val="0"/>
          <w:numId w:val="4"/>
        </w:numPr>
        <w:spacing w:before="120" w:after="120" w:line="360" w:lineRule="auto"/>
        <w:jc w:val="both"/>
      </w:pPr>
      <w:r w:rsidRPr="006C0788">
        <w:t xml:space="preserve">To estimate </w:t>
      </w:r>
      <w:r>
        <w:t xml:space="preserve">current and future </w:t>
      </w:r>
      <w:r w:rsidRPr="006C0788">
        <w:t xml:space="preserve">demand for </w:t>
      </w:r>
      <w:r>
        <w:t>services at the state, regional, and service area levels</w:t>
      </w:r>
      <w:r w:rsidRPr="006C0788">
        <w:t xml:space="preserve">, </w:t>
      </w:r>
      <w:r>
        <w:t xml:space="preserve">we </w:t>
      </w:r>
      <w:r w:rsidRPr="006C0788">
        <w:t xml:space="preserve">combined </w:t>
      </w:r>
      <w:r>
        <w:t xml:space="preserve">current </w:t>
      </w:r>
      <w:r w:rsidRPr="006C0788">
        <w:t xml:space="preserve">population </w:t>
      </w:r>
      <w:r>
        <w:t xml:space="preserve">estimates and </w:t>
      </w:r>
      <w:r w:rsidRPr="006C0788">
        <w:t xml:space="preserve">projections from </w:t>
      </w:r>
      <w:r>
        <w:t xml:space="preserve">the </w:t>
      </w:r>
      <w:r w:rsidRPr="006C0788">
        <w:t xml:space="preserve">University of Massachusetts Donahue Institute (UMDI) with </w:t>
      </w:r>
      <w:r>
        <w:t xml:space="preserve">utilization data from the </w:t>
      </w:r>
      <w:r w:rsidR="005F36FE">
        <w:t xml:space="preserve">CHIA </w:t>
      </w:r>
      <w:r>
        <w:t xml:space="preserve">Case Mix Data and the </w:t>
      </w:r>
      <w:r w:rsidR="005F36FE">
        <w:t xml:space="preserve">CHIA </w:t>
      </w:r>
      <w:r>
        <w:t xml:space="preserve">Massachusetts </w:t>
      </w:r>
      <w:r w:rsidRPr="006C0788">
        <w:t>All-Payer Claims Database (APCD).</w:t>
      </w:r>
      <w:r>
        <w:t xml:space="preserve"> </w:t>
      </w:r>
    </w:p>
    <w:p w14:paraId="42994C49" w14:textId="7370F674" w:rsidR="00355C4A" w:rsidRDefault="00355C4A" w:rsidP="00C0773C">
      <w:pPr>
        <w:numPr>
          <w:ilvl w:val="0"/>
          <w:numId w:val="4"/>
        </w:numPr>
        <w:spacing w:before="120" w:after="120" w:line="360" w:lineRule="auto"/>
        <w:jc w:val="both"/>
      </w:pPr>
      <w:r w:rsidRPr="00355C4A">
        <w:t>To estimate current demand for relevant service</w:t>
      </w:r>
      <w:r>
        <w:t>s</w:t>
      </w:r>
      <w:r w:rsidRPr="00355C4A">
        <w:t>, FTI determined utilization by service line, patient’s ZIP</w:t>
      </w:r>
      <w:r w:rsidR="004F31A6">
        <w:t xml:space="preserve"> C</w:t>
      </w:r>
      <w:r w:rsidRPr="00355C4A">
        <w:t>ode</w:t>
      </w:r>
      <w:r w:rsidR="004F31A6">
        <w:t xml:space="preserve"> Tabulation Areas (ZCTAs)</w:t>
      </w:r>
      <w:r w:rsidRPr="00355C4A">
        <w:t>, aggregated pay</w:t>
      </w:r>
      <w:r>
        <w:t>o</w:t>
      </w:r>
      <w:r w:rsidRPr="00355C4A">
        <w:t>r category (</w:t>
      </w:r>
      <w:r>
        <w:t xml:space="preserve">i.e., </w:t>
      </w:r>
      <w:r w:rsidRPr="00355C4A">
        <w:t xml:space="preserve">commercial, </w:t>
      </w:r>
      <w:r>
        <w:t xml:space="preserve">Medicare, and </w:t>
      </w:r>
      <w:r w:rsidRPr="00355C4A">
        <w:t xml:space="preserve">Medicaid), age group (5-year age range), and sex. These age combinations matched the population projections provided by the UMDI. Current demand </w:t>
      </w:r>
      <w:r>
        <w:t xml:space="preserve">was </w:t>
      </w:r>
      <w:r w:rsidRPr="00355C4A">
        <w:t xml:space="preserve">determined based on </w:t>
      </w:r>
      <w:r>
        <w:t>2022</w:t>
      </w:r>
      <w:r w:rsidRPr="00355C4A">
        <w:t xml:space="preserve"> utilization data from CHIA.</w:t>
      </w:r>
    </w:p>
    <w:p w14:paraId="12067B79" w14:textId="5EC68749" w:rsidR="00355C4A" w:rsidRDefault="00355C4A" w:rsidP="00C0773C">
      <w:pPr>
        <w:numPr>
          <w:ilvl w:val="0"/>
          <w:numId w:val="4"/>
        </w:numPr>
        <w:spacing w:before="120" w:after="120" w:line="360" w:lineRule="auto"/>
        <w:jc w:val="both"/>
      </w:pPr>
      <w:r>
        <w:t xml:space="preserve">To project future demand for cancer care in the relevant service lines, FTI modeled growth in demand by age, sex, and </w:t>
      </w:r>
      <w:r w:rsidR="004F31A6">
        <w:t>ZCTA</w:t>
      </w:r>
      <w:r>
        <w:t xml:space="preserve"> as a combination of expected population growth and </w:t>
      </w:r>
      <w:r w:rsidR="009036DE">
        <w:t xml:space="preserve">growth in cancer care incidence (i.e., growth in the rate of cancer care utilization per capita). </w:t>
      </w:r>
    </w:p>
    <w:p w14:paraId="61785F7D" w14:textId="7AC78B0E" w:rsidR="00355C4A" w:rsidRDefault="009036DE" w:rsidP="00C0773C">
      <w:pPr>
        <w:numPr>
          <w:ilvl w:val="0"/>
          <w:numId w:val="4"/>
        </w:numPr>
        <w:spacing w:before="120" w:after="120" w:line="360" w:lineRule="auto"/>
        <w:jc w:val="both"/>
      </w:pPr>
      <w:r>
        <w:lastRenderedPageBreak/>
        <w:t xml:space="preserve">To estimate population growth, FTI </w:t>
      </w:r>
      <w:r w:rsidR="00355C4A">
        <w:t xml:space="preserve">used </w:t>
      </w:r>
      <w:r w:rsidR="00355C4A" w:rsidRPr="006C0788">
        <w:t xml:space="preserve">UMDI’s </w:t>
      </w:r>
      <w:r>
        <w:t xml:space="preserve">population </w:t>
      </w:r>
      <w:r w:rsidR="00355C4A" w:rsidRPr="006C0788">
        <w:t>projections</w:t>
      </w:r>
      <w:r w:rsidR="00355C4A">
        <w:t xml:space="preserve"> reported at the city level and mapped each city</w:t>
      </w:r>
      <w:r w:rsidR="00355C4A" w:rsidRPr="006C0788">
        <w:t xml:space="preserve"> to </w:t>
      </w:r>
      <w:r w:rsidR="00355C4A">
        <w:t xml:space="preserve">individual </w:t>
      </w:r>
      <w:bookmarkStart w:id="31" w:name="_Hlk180571428"/>
      <w:r w:rsidR="004F31A6">
        <w:t>ZCTAs</w:t>
      </w:r>
      <w:bookmarkEnd w:id="31"/>
      <w:r w:rsidR="00355C4A">
        <w:t xml:space="preserve"> using a crosswalk available from the US Census</w:t>
      </w:r>
      <w:r w:rsidR="00355C4A" w:rsidRPr="006C0788">
        <w:t xml:space="preserve">. </w:t>
      </w:r>
      <w:r w:rsidR="00355C4A">
        <w:t xml:space="preserve">If a city spanned multiple </w:t>
      </w:r>
      <w:r w:rsidR="004F31A6">
        <w:t>ZCTAs</w:t>
      </w:r>
      <w:r w:rsidR="00355C4A">
        <w:t xml:space="preserve">, its projected population was distributed according to the </w:t>
      </w:r>
      <w:r w:rsidR="004F31A6">
        <w:t>ZCTAs</w:t>
      </w:r>
      <w:r w:rsidR="00355C4A">
        <w:t xml:space="preserve">’ populations. These </w:t>
      </w:r>
      <w:r w:rsidR="004F31A6">
        <w:t>ZCTA</w:t>
      </w:r>
      <w:r w:rsidR="00355C4A">
        <w:t xml:space="preserve"> level estimates provide for the ability to estimate demand and changes in future utilization for specific service areas. </w:t>
      </w:r>
      <w:r>
        <w:t xml:space="preserve">Table </w:t>
      </w:r>
      <w:r w:rsidR="00AB290B">
        <w:t>9</w:t>
      </w:r>
      <w:r>
        <w:t xml:space="preserve"> present</w:t>
      </w:r>
      <w:r w:rsidR="008949D9">
        <w:t>s</w:t>
      </w:r>
      <w:r>
        <w:t xml:space="preserve"> these population project</w:t>
      </w:r>
      <w:r w:rsidR="00BC3215">
        <w:t>ions</w:t>
      </w:r>
      <w:r>
        <w:t xml:space="preserve"> by age range for 2025 through 2040.</w:t>
      </w:r>
      <w:r w:rsidR="00D72465">
        <w:t xml:space="preserve"> The population ages 15 and above </w:t>
      </w:r>
      <w:r w:rsidR="008949D9">
        <w:t>is</w:t>
      </w:r>
      <w:r w:rsidR="00D72465">
        <w:t xml:space="preserve"> projected to grow by 2.9% between 2025 and 2040.</w:t>
      </w:r>
    </w:p>
    <w:p w14:paraId="2BE10BBD" w14:textId="35D9B419" w:rsidR="00982566" w:rsidRDefault="00982566" w:rsidP="00982566">
      <w:pPr>
        <w:numPr>
          <w:ilvl w:val="0"/>
          <w:numId w:val="4"/>
        </w:numPr>
        <w:spacing w:before="120" w:after="120" w:line="360" w:lineRule="auto"/>
        <w:jc w:val="both"/>
      </w:pPr>
      <w:r>
        <w:t>Approximately 2% of discharges were missing ZIP code information, and to avoid losing these patients in the projections, the methodology</w:t>
      </w:r>
      <w:r w:rsidRPr="006C0788">
        <w:t xml:space="preserve"> distributed </w:t>
      </w:r>
      <w:r>
        <w:t xml:space="preserve">their visits </w:t>
      </w:r>
      <w:r w:rsidRPr="006C0788">
        <w:t xml:space="preserve">proportionally within groups to ensure total utilization predictions would not </w:t>
      </w:r>
      <w:r>
        <w:t xml:space="preserve">be </w:t>
      </w:r>
      <w:r w:rsidRPr="006C0788">
        <w:t>underestimate</w:t>
      </w:r>
      <w:r>
        <w:t>d</w:t>
      </w:r>
      <w:r w:rsidRPr="006C0788">
        <w:t>.</w:t>
      </w:r>
      <w:r>
        <w:rPr>
          <w:rStyle w:val="FootnoteReference"/>
          <w:rFonts w:cs="Times New Roman"/>
        </w:rPr>
        <w:footnoteReference w:id="55"/>
      </w:r>
    </w:p>
    <w:p w14:paraId="3BB8C408" w14:textId="5616CE46" w:rsidR="009036DE" w:rsidRDefault="009036DE" w:rsidP="00A04647">
      <w:pPr>
        <w:pStyle w:val="Caption"/>
        <w:keepNext/>
        <w:jc w:val="center"/>
      </w:pPr>
      <w:bookmarkStart w:id="32" w:name="_Toc187401782"/>
      <w:r>
        <w:t xml:space="preserve">Table </w:t>
      </w:r>
      <w:fldSimple w:instr=" SEQ Table \* ARABIC ">
        <w:r w:rsidR="0085394E">
          <w:rPr>
            <w:noProof/>
          </w:rPr>
          <w:t>9</w:t>
        </w:r>
      </w:fldSimple>
      <w:r>
        <w:t>: Total Massachusetts Population Projections and Growth Rates by Age Range</w:t>
      </w:r>
      <w:r>
        <w:rPr>
          <w:rStyle w:val="FootnoteReference"/>
        </w:rPr>
        <w:footnoteReference w:id="56"/>
      </w:r>
      <w:bookmarkEnd w:id="32"/>
    </w:p>
    <w:tbl>
      <w:tblPr>
        <w:tblpPr w:leftFromText="180" w:rightFromText="180" w:vertAnchor="text" w:tblpXSpec="center" w:tblpY="1"/>
        <w:tblOverlap w:val="never"/>
        <w:tblW w:w="0" w:type="auto"/>
        <w:jc w:val="center"/>
        <w:tblLook w:val="04A0" w:firstRow="1" w:lastRow="0" w:firstColumn="1" w:lastColumn="0" w:noHBand="0" w:noVBand="1"/>
      </w:tblPr>
      <w:tblGrid>
        <w:gridCol w:w="1180"/>
        <w:gridCol w:w="332"/>
        <w:gridCol w:w="1110"/>
        <w:gridCol w:w="1110"/>
        <w:gridCol w:w="1110"/>
        <w:gridCol w:w="1110"/>
        <w:gridCol w:w="1313"/>
      </w:tblGrid>
      <w:tr w:rsidR="00A04647" w:rsidRPr="00A04647" w14:paraId="174837E7" w14:textId="77777777" w:rsidTr="00421E05">
        <w:trPr>
          <w:cantSplit/>
          <w:trHeight w:val="290"/>
          <w:tblHeader/>
          <w:jc w:val="center"/>
        </w:trPr>
        <w:tc>
          <w:tcPr>
            <w:tcW w:w="0" w:type="auto"/>
            <w:tcBorders>
              <w:top w:val="single" w:sz="8" w:space="0" w:color="auto"/>
              <w:left w:val="single" w:sz="8" w:space="0" w:color="auto"/>
              <w:bottom w:val="nil"/>
              <w:right w:val="nil"/>
            </w:tcBorders>
            <w:shd w:val="clear" w:color="000000" w:fill="002060"/>
            <w:noWrap/>
            <w:vAlign w:val="bottom"/>
            <w:hideMark/>
          </w:tcPr>
          <w:p w14:paraId="6A4021EF" w14:textId="77777777" w:rsidR="00A04647" w:rsidRPr="00A04647" w:rsidRDefault="00A04647" w:rsidP="00B84321">
            <w:pPr>
              <w:spacing w:after="0" w:line="240" w:lineRule="auto"/>
              <w:rPr>
                <w:rFonts w:ascii="Calibri" w:eastAsia="Times New Roman" w:hAnsi="Calibri" w:cs="Calibri"/>
                <w:b/>
                <w:bCs/>
                <w:color w:val="FFFFFF"/>
                <w:kern w:val="0"/>
                <w14:ligatures w14:val="none"/>
              </w:rPr>
            </w:pPr>
            <w:r w:rsidRPr="00A04647">
              <w:rPr>
                <w:rFonts w:ascii="Calibri" w:eastAsia="Times New Roman" w:hAnsi="Calibri" w:cs="Calibri"/>
                <w:b/>
                <w:bCs/>
                <w:color w:val="FFFFFF"/>
                <w:kern w:val="0"/>
                <w14:ligatures w14:val="none"/>
              </w:rPr>
              <w:t> </w:t>
            </w:r>
          </w:p>
        </w:tc>
        <w:tc>
          <w:tcPr>
            <w:tcW w:w="0" w:type="auto"/>
            <w:gridSpan w:val="5"/>
            <w:tcBorders>
              <w:top w:val="single" w:sz="8" w:space="0" w:color="auto"/>
              <w:left w:val="single" w:sz="4" w:space="0" w:color="auto"/>
              <w:bottom w:val="nil"/>
              <w:right w:val="nil"/>
            </w:tcBorders>
            <w:shd w:val="clear" w:color="000000" w:fill="002060"/>
            <w:noWrap/>
            <w:vAlign w:val="bottom"/>
            <w:hideMark/>
          </w:tcPr>
          <w:p w14:paraId="3962C82F" w14:textId="77777777" w:rsidR="00A04647" w:rsidRPr="00A04647" w:rsidRDefault="00A04647" w:rsidP="00B84321">
            <w:pPr>
              <w:spacing w:after="0" w:line="240" w:lineRule="auto"/>
              <w:jc w:val="center"/>
              <w:rPr>
                <w:rFonts w:ascii="Calibri" w:eastAsia="Times New Roman" w:hAnsi="Calibri" w:cs="Calibri"/>
                <w:b/>
                <w:bCs/>
                <w:color w:val="FFFFFF"/>
                <w:kern w:val="0"/>
                <w14:ligatures w14:val="none"/>
              </w:rPr>
            </w:pPr>
            <w:r w:rsidRPr="00A04647">
              <w:rPr>
                <w:rFonts w:ascii="Calibri" w:eastAsia="Times New Roman" w:hAnsi="Calibri" w:cs="Calibri"/>
                <w:b/>
                <w:bCs/>
                <w:color w:val="FFFFFF"/>
                <w:kern w:val="0"/>
                <w14:ligatures w14:val="none"/>
              </w:rPr>
              <w:t>Population Projections</w:t>
            </w:r>
          </w:p>
        </w:tc>
        <w:tc>
          <w:tcPr>
            <w:tcW w:w="0" w:type="auto"/>
            <w:tcBorders>
              <w:top w:val="single" w:sz="8" w:space="0" w:color="auto"/>
              <w:left w:val="nil"/>
              <w:right w:val="single" w:sz="8" w:space="0" w:color="auto"/>
            </w:tcBorders>
            <w:shd w:val="clear" w:color="000000" w:fill="002060"/>
            <w:vAlign w:val="bottom"/>
            <w:hideMark/>
          </w:tcPr>
          <w:p w14:paraId="1DA67E4E" w14:textId="08C277E3" w:rsidR="00A04647" w:rsidRPr="00A04647" w:rsidRDefault="00A04647" w:rsidP="00B84321">
            <w:pPr>
              <w:spacing w:after="0" w:line="240" w:lineRule="auto"/>
              <w:jc w:val="center"/>
              <w:rPr>
                <w:rFonts w:ascii="Calibri" w:eastAsia="Times New Roman" w:hAnsi="Calibri" w:cs="Calibri"/>
                <w:b/>
                <w:bCs/>
                <w:color w:val="FFFFFF"/>
                <w:kern w:val="0"/>
                <w14:ligatures w14:val="none"/>
              </w:rPr>
            </w:pPr>
          </w:p>
        </w:tc>
      </w:tr>
      <w:tr w:rsidR="00A04647" w:rsidRPr="00A04647" w14:paraId="5F45C903" w14:textId="77777777" w:rsidTr="00421E05">
        <w:trPr>
          <w:cantSplit/>
          <w:trHeight w:val="253"/>
          <w:tblHeader/>
          <w:jc w:val="center"/>
        </w:trPr>
        <w:tc>
          <w:tcPr>
            <w:tcW w:w="0" w:type="auto"/>
            <w:tcBorders>
              <w:top w:val="nil"/>
              <w:left w:val="single" w:sz="8" w:space="0" w:color="auto"/>
              <w:bottom w:val="nil"/>
              <w:right w:val="nil"/>
            </w:tcBorders>
            <w:shd w:val="clear" w:color="000000" w:fill="002060"/>
            <w:noWrap/>
            <w:vAlign w:val="bottom"/>
            <w:hideMark/>
          </w:tcPr>
          <w:p w14:paraId="489549EC" w14:textId="77777777" w:rsidR="00A04647" w:rsidRPr="00A04647" w:rsidRDefault="00A04647" w:rsidP="00B84321">
            <w:pPr>
              <w:spacing w:after="0" w:line="240" w:lineRule="auto"/>
              <w:rPr>
                <w:rFonts w:ascii="Calibri" w:eastAsia="Times New Roman" w:hAnsi="Calibri" w:cs="Calibri"/>
                <w:b/>
                <w:bCs/>
                <w:color w:val="FFFFFF"/>
                <w:kern w:val="0"/>
                <w14:ligatures w14:val="none"/>
              </w:rPr>
            </w:pPr>
            <w:r w:rsidRPr="00A04647">
              <w:rPr>
                <w:rFonts w:ascii="Calibri" w:eastAsia="Times New Roman" w:hAnsi="Calibri" w:cs="Calibri"/>
                <w:b/>
                <w:bCs/>
                <w:color w:val="FFFFFF"/>
                <w:kern w:val="0"/>
                <w14:ligatures w14:val="none"/>
              </w:rPr>
              <w:t>Age Range</w:t>
            </w:r>
          </w:p>
        </w:tc>
        <w:tc>
          <w:tcPr>
            <w:tcW w:w="0" w:type="auto"/>
            <w:gridSpan w:val="2"/>
            <w:tcBorders>
              <w:top w:val="nil"/>
              <w:left w:val="single" w:sz="4" w:space="0" w:color="auto"/>
              <w:bottom w:val="nil"/>
              <w:right w:val="nil"/>
            </w:tcBorders>
            <w:shd w:val="clear" w:color="000000" w:fill="002060"/>
            <w:noWrap/>
            <w:vAlign w:val="bottom"/>
            <w:hideMark/>
          </w:tcPr>
          <w:p w14:paraId="2241B4A2" w14:textId="77777777" w:rsidR="00A04647" w:rsidRPr="00A04647" w:rsidRDefault="00A04647" w:rsidP="00B84321">
            <w:pPr>
              <w:spacing w:after="0" w:line="240" w:lineRule="auto"/>
              <w:jc w:val="center"/>
              <w:rPr>
                <w:rFonts w:ascii="Calibri" w:eastAsia="Times New Roman" w:hAnsi="Calibri" w:cs="Calibri"/>
                <w:i/>
                <w:iCs/>
                <w:color w:val="FFFFFF"/>
                <w:kern w:val="0"/>
                <w14:ligatures w14:val="none"/>
              </w:rPr>
            </w:pPr>
            <w:r w:rsidRPr="00A04647">
              <w:rPr>
                <w:rFonts w:ascii="Calibri" w:eastAsia="Times New Roman" w:hAnsi="Calibri" w:cs="Calibri"/>
                <w:i/>
                <w:iCs/>
                <w:color w:val="FFFFFF"/>
                <w:kern w:val="0"/>
                <w14:ligatures w14:val="none"/>
              </w:rPr>
              <w:t>2025</w:t>
            </w:r>
          </w:p>
        </w:tc>
        <w:tc>
          <w:tcPr>
            <w:tcW w:w="0" w:type="auto"/>
            <w:tcBorders>
              <w:top w:val="nil"/>
              <w:left w:val="nil"/>
              <w:bottom w:val="nil"/>
              <w:right w:val="nil"/>
            </w:tcBorders>
            <w:shd w:val="clear" w:color="000000" w:fill="002060"/>
            <w:noWrap/>
            <w:vAlign w:val="bottom"/>
            <w:hideMark/>
          </w:tcPr>
          <w:p w14:paraId="4DBB72C8" w14:textId="77777777" w:rsidR="00A04647" w:rsidRPr="00A04647" w:rsidRDefault="00A04647" w:rsidP="00B84321">
            <w:pPr>
              <w:spacing w:after="0" w:line="240" w:lineRule="auto"/>
              <w:jc w:val="center"/>
              <w:rPr>
                <w:rFonts w:ascii="Calibri" w:eastAsia="Times New Roman" w:hAnsi="Calibri" w:cs="Calibri"/>
                <w:i/>
                <w:iCs/>
                <w:color w:val="FFFFFF"/>
                <w:kern w:val="0"/>
                <w14:ligatures w14:val="none"/>
              </w:rPr>
            </w:pPr>
            <w:r w:rsidRPr="00A04647">
              <w:rPr>
                <w:rFonts w:ascii="Calibri" w:eastAsia="Times New Roman" w:hAnsi="Calibri" w:cs="Calibri"/>
                <w:i/>
                <w:iCs/>
                <w:color w:val="FFFFFF"/>
                <w:kern w:val="0"/>
                <w14:ligatures w14:val="none"/>
              </w:rPr>
              <w:t>2030</w:t>
            </w:r>
          </w:p>
        </w:tc>
        <w:tc>
          <w:tcPr>
            <w:tcW w:w="0" w:type="auto"/>
            <w:tcBorders>
              <w:top w:val="nil"/>
              <w:left w:val="nil"/>
              <w:bottom w:val="nil"/>
              <w:right w:val="nil"/>
            </w:tcBorders>
            <w:shd w:val="clear" w:color="000000" w:fill="002060"/>
            <w:noWrap/>
            <w:vAlign w:val="bottom"/>
            <w:hideMark/>
          </w:tcPr>
          <w:p w14:paraId="2B2F4AE2" w14:textId="77777777" w:rsidR="00A04647" w:rsidRPr="00A04647" w:rsidRDefault="00A04647" w:rsidP="00B84321">
            <w:pPr>
              <w:spacing w:after="0" w:line="240" w:lineRule="auto"/>
              <w:jc w:val="center"/>
              <w:rPr>
                <w:rFonts w:ascii="Calibri" w:eastAsia="Times New Roman" w:hAnsi="Calibri" w:cs="Calibri"/>
                <w:i/>
                <w:iCs/>
                <w:color w:val="FFFFFF"/>
                <w:kern w:val="0"/>
                <w14:ligatures w14:val="none"/>
              </w:rPr>
            </w:pPr>
            <w:r w:rsidRPr="00A04647">
              <w:rPr>
                <w:rFonts w:ascii="Calibri" w:eastAsia="Times New Roman" w:hAnsi="Calibri" w:cs="Calibri"/>
                <w:i/>
                <w:iCs/>
                <w:color w:val="FFFFFF"/>
                <w:kern w:val="0"/>
                <w14:ligatures w14:val="none"/>
              </w:rPr>
              <w:t>2035</w:t>
            </w:r>
          </w:p>
        </w:tc>
        <w:tc>
          <w:tcPr>
            <w:tcW w:w="0" w:type="auto"/>
            <w:tcBorders>
              <w:top w:val="nil"/>
              <w:left w:val="nil"/>
              <w:bottom w:val="nil"/>
              <w:right w:val="nil"/>
            </w:tcBorders>
            <w:shd w:val="clear" w:color="000000" w:fill="002060"/>
            <w:noWrap/>
            <w:vAlign w:val="bottom"/>
            <w:hideMark/>
          </w:tcPr>
          <w:p w14:paraId="50588CFA" w14:textId="77777777" w:rsidR="00A04647" w:rsidRPr="00A04647" w:rsidRDefault="00A04647" w:rsidP="00B84321">
            <w:pPr>
              <w:spacing w:after="0" w:line="240" w:lineRule="auto"/>
              <w:jc w:val="center"/>
              <w:rPr>
                <w:rFonts w:ascii="Calibri" w:eastAsia="Times New Roman" w:hAnsi="Calibri" w:cs="Calibri"/>
                <w:i/>
                <w:iCs/>
                <w:color w:val="FFFFFF"/>
                <w:kern w:val="0"/>
                <w14:ligatures w14:val="none"/>
              </w:rPr>
            </w:pPr>
            <w:r w:rsidRPr="00A04647">
              <w:rPr>
                <w:rFonts w:ascii="Calibri" w:eastAsia="Times New Roman" w:hAnsi="Calibri" w:cs="Calibri"/>
                <w:i/>
                <w:iCs/>
                <w:color w:val="FFFFFF"/>
                <w:kern w:val="0"/>
                <w14:ligatures w14:val="none"/>
              </w:rPr>
              <w:t>2040</w:t>
            </w:r>
          </w:p>
        </w:tc>
        <w:tc>
          <w:tcPr>
            <w:tcW w:w="0" w:type="auto"/>
            <w:tcBorders>
              <w:left w:val="nil"/>
              <w:bottom w:val="nil"/>
              <w:right w:val="single" w:sz="8" w:space="0" w:color="auto"/>
            </w:tcBorders>
            <w:shd w:val="clear" w:color="000000" w:fill="002060"/>
            <w:vAlign w:val="center"/>
            <w:hideMark/>
          </w:tcPr>
          <w:p w14:paraId="70253A98" w14:textId="277DF497" w:rsidR="00A04647" w:rsidRPr="00A04647" w:rsidRDefault="00421E05" w:rsidP="00421E05">
            <w:pPr>
              <w:spacing w:after="0" w:line="240" w:lineRule="auto"/>
              <w:jc w:val="center"/>
              <w:rPr>
                <w:rFonts w:ascii="Calibri" w:eastAsia="Times New Roman" w:hAnsi="Calibri" w:cs="Calibri"/>
                <w:b/>
                <w:bCs/>
                <w:color w:val="FFFFFF"/>
                <w:kern w:val="0"/>
                <w14:ligatures w14:val="none"/>
              </w:rPr>
            </w:pPr>
            <w:r w:rsidRPr="00A04647">
              <w:rPr>
                <w:rFonts w:ascii="Calibri" w:eastAsia="Times New Roman" w:hAnsi="Calibri" w:cs="Calibri"/>
                <w:b/>
                <w:bCs/>
                <w:color w:val="FFFFFF"/>
                <w:kern w:val="0"/>
                <w14:ligatures w14:val="none"/>
              </w:rPr>
              <w:t>Growth</w:t>
            </w:r>
            <w:r w:rsidRPr="00A04647">
              <w:rPr>
                <w:rFonts w:ascii="Calibri" w:eastAsia="Times New Roman" w:hAnsi="Calibri" w:cs="Calibri"/>
                <w:b/>
                <w:bCs/>
                <w:color w:val="FFFFFF"/>
                <w:kern w:val="0"/>
                <w14:ligatures w14:val="none"/>
              </w:rPr>
              <w:br/>
              <w:t>(2025-2040)</w:t>
            </w:r>
          </w:p>
        </w:tc>
      </w:tr>
      <w:tr w:rsidR="00A04647" w:rsidRPr="00A04647" w14:paraId="045A691C"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133D523B"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15-19</w:t>
            </w:r>
          </w:p>
        </w:tc>
        <w:tc>
          <w:tcPr>
            <w:tcW w:w="0" w:type="auto"/>
            <w:tcBorders>
              <w:top w:val="nil"/>
              <w:left w:val="single" w:sz="4" w:space="0" w:color="auto"/>
              <w:bottom w:val="dashed" w:sz="4" w:space="0" w:color="auto"/>
              <w:right w:val="nil"/>
            </w:tcBorders>
            <w:shd w:val="clear" w:color="auto" w:fill="auto"/>
            <w:noWrap/>
            <w:vAlign w:val="bottom"/>
            <w:hideMark/>
          </w:tcPr>
          <w:p w14:paraId="3288689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394,277</w:t>
            </w:r>
          </w:p>
        </w:tc>
        <w:tc>
          <w:tcPr>
            <w:tcW w:w="0" w:type="auto"/>
            <w:tcBorders>
              <w:top w:val="nil"/>
              <w:left w:val="nil"/>
              <w:bottom w:val="dashed" w:sz="4" w:space="0" w:color="auto"/>
              <w:right w:val="nil"/>
            </w:tcBorders>
            <w:shd w:val="clear" w:color="auto" w:fill="auto"/>
            <w:noWrap/>
            <w:vAlign w:val="bottom"/>
            <w:hideMark/>
          </w:tcPr>
          <w:p w14:paraId="36223E4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394,498</w:t>
            </w:r>
          </w:p>
        </w:tc>
        <w:tc>
          <w:tcPr>
            <w:tcW w:w="0" w:type="auto"/>
            <w:tcBorders>
              <w:top w:val="nil"/>
              <w:left w:val="nil"/>
              <w:bottom w:val="dashed" w:sz="4" w:space="0" w:color="auto"/>
              <w:right w:val="nil"/>
            </w:tcBorders>
            <w:shd w:val="clear" w:color="auto" w:fill="auto"/>
            <w:noWrap/>
            <w:vAlign w:val="bottom"/>
            <w:hideMark/>
          </w:tcPr>
          <w:p w14:paraId="5ABD060F"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386,321</w:t>
            </w:r>
          </w:p>
        </w:tc>
        <w:tc>
          <w:tcPr>
            <w:tcW w:w="0" w:type="auto"/>
            <w:tcBorders>
              <w:top w:val="nil"/>
              <w:left w:val="nil"/>
              <w:bottom w:val="dashed" w:sz="4" w:space="0" w:color="auto"/>
              <w:right w:val="nil"/>
            </w:tcBorders>
            <w:shd w:val="clear" w:color="auto" w:fill="auto"/>
            <w:noWrap/>
            <w:vAlign w:val="bottom"/>
            <w:hideMark/>
          </w:tcPr>
          <w:p w14:paraId="209E517B"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403,506</w:t>
            </w:r>
          </w:p>
        </w:tc>
        <w:tc>
          <w:tcPr>
            <w:tcW w:w="0" w:type="auto"/>
            <w:tcBorders>
              <w:top w:val="nil"/>
              <w:left w:val="nil"/>
              <w:bottom w:val="dashed" w:sz="4" w:space="0" w:color="auto"/>
              <w:right w:val="single" w:sz="8" w:space="0" w:color="auto"/>
            </w:tcBorders>
            <w:shd w:val="clear" w:color="auto" w:fill="auto"/>
            <w:noWrap/>
            <w:vAlign w:val="bottom"/>
            <w:hideMark/>
          </w:tcPr>
          <w:p w14:paraId="74A8A1F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2.3%</w:t>
            </w:r>
          </w:p>
        </w:tc>
      </w:tr>
      <w:tr w:rsidR="00A04647" w:rsidRPr="00A04647" w14:paraId="10D52EB7"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1B7F0BB3"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20-24</w:t>
            </w:r>
          </w:p>
        </w:tc>
        <w:tc>
          <w:tcPr>
            <w:tcW w:w="0" w:type="auto"/>
            <w:tcBorders>
              <w:top w:val="nil"/>
              <w:left w:val="single" w:sz="4" w:space="0" w:color="auto"/>
              <w:bottom w:val="dashed" w:sz="4" w:space="0" w:color="auto"/>
              <w:right w:val="nil"/>
            </w:tcBorders>
            <w:shd w:val="clear" w:color="auto" w:fill="auto"/>
            <w:noWrap/>
            <w:vAlign w:val="bottom"/>
            <w:hideMark/>
          </w:tcPr>
          <w:p w14:paraId="73F0922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451,911</w:t>
            </w:r>
          </w:p>
        </w:tc>
        <w:tc>
          <w:tcPr>
            <w:tcW w:w="0" w:type="auto"/>
            <w:tcBorders>
              <w:top w:val="nil"/>
              <w:left w:val="nil"/>
              <w:bottom w:val="dashed" w:sz="4" w:space="0" w:color="auto"/>
              <w:right w:val="nil"/>
            </w:tcBorders>
            <w:shd w:val="clear" w:color="auto" w:fill="auto"/>
            <w:noWrap/>
            <w:vAlign w:val="bottom"/>
            <w:hideMark/>
          </w:tcPr>
          <w:p w14:paraId="6F2441AD"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422,011</w:t>
            </w:r>
          </w:p>
        </w:tc>
        <w:tc>
          <w:tcPr>
            <w:tcW w:w="0" w:type="auto"/>
            <w:tcBorders>
              <w:top w:val="nil"/>
              <w:left w:val="nil"/>
              <w:bottom w:val="dashed" w:sz="4" w:space="0" w:color="auto"/>
              <w:right w:val="nil"/>
            </w:tcBorders>
            <w:shd w:val="clear" w:color="auto" w:fill="auto"/>
            <w:noWrap/>
            <w:vAlign w:val="bottom"/>
            <w:hideMark/>
          </w:tcPr>
          <w:p w14:paraId="5CF883C1"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418,451</w:t>
            </w:r>
          </w:p>
        </w:tc>
        <w:tc>
          <w:tcPr>
            <w:tcW w:w="0" w:type="auto"/>
            <w:tcBorders>
              <w:top w:val="nil"/>
              <w:left w:val="nil"/>
              <w:bottom w:val="dashed" w:sz="4" w:space="0" w:color="auto"/>
              <w:right w:val="nil"/>
            </w:tcBorders>
            <w:shd w:val="clear" w:color="auto" w:fill="auto"/>
            <w:noWrap/>
            <w:vAlign w:val="bottom"/>
            <w:hideMark/>
          </w:tcPr>
          <w:p w14:paraId="44E37155"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413,777</w:t>
            </w:r>
          </w:p>
        </w:tc>
        <w:tc>
          <w:tcPr>
            <w:tcW w:w="0" w:type="auto"/>
            <w:tcBorders>
              <w:top w:val="nil"/>
              <w:left w:val="nil"/>
              <w:bottom w:val="dashed" w:sz="4" w:space="0" w:color="auto"/>
              <w:right w:val="single" w:sz="8" w:space="0" w:color="auto"/>
            </w:tcBorders>
            <w:shd w:val="clear" w:color="auto" w:fill="auto"/>
            <w:noWrap/>
            <w:vAlign w:val="bottom"/>
            <w:hideMark/>
          </w:tcPr>
          <w:p w14:paraId="647FAB22"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-8.4%</w:t>
            </w:r>
          </w:p>
        </w:tc>
      </w:tr>
      <w:tr w:rsidR="00A04647" w:rsidRPr="00A04647" w14:paraId="7358D933"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5D6DE384"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25-29</w:t>
            </w:r>
          </w:p>
        </w:tc>
        <w:tc>
          <w:tcPr>
            <w:tcW w:w="0" w:type="auto"/>
            <w:tcBorders>
              <w:top w:val="nil"/>
              <w:left w:val="single" w:sz="4" w:space="0" w:color="auto"/>
              <w:bottom w:val="dashed" w:sz="4" w:space="0" w:color="auto"/>
              <w:right w:val="nil"/>
            </w:tcBorders>
            <w:shd w:val="clear" w:color="auto" w:fill="auto"/>
            <w:noWrap/>
            <w:vAlign w:val="bottom"/>
            <w:hideMark/>
          </w:tcPr>
          <w:p w14:paraId="5BBE3244"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485,106</w:t>
            </w:r>
          </w:p>
        </w:tc>
        <w:tc>
          <w:tcPr>
            <w:tcW w:w="0" w:type="auto"/>
            <w:tcBorders>
              <w:top w:val="nil"/>
              <w:left w:val="nil"/>
              <w:bottom w:val="dashed" w:sz="4" w:space="0" w:color="auto"/>
              <w:right w:val="nil"/>
            </w:tcBorders>
            <w:shd w:val="clear" w:color="auto" w:fill="auto"/>
            <w:noWrap/>
            <w:vAlign w:val="bottom"/>
            <w:hideMark/>
          </w:tcPr>
          <w:p w14:paraId="2A9B497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461,670</w:t>
            </w:r>
          </w:p>
        </w:tc>
        <w:tc>
          <w:tcPr>
            <w:tcW w:w="0" w:type="auto"/>
            <w:tcBorders>
              <w:top w:val="nil"/>
              <w:left w:val="nil"/>
              <w:bottom w:val="dashed" w:sz="4" w:space="0" w:color="auto"/>
              <w:right w:val="nil"/>
            </w:tcBorders>
            <w:shd w:val="clear" w:color="auto" w:fill="auto"/>
            <w:noWrap/>
            <w:vAlign w:val="bottom"/>
            <w:hideMark/>
          </w:tcPr>
          <w:p w14:paraId="225D861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441,407</w:t>
            </w:r>
          </w:p>
        </w:tc>
        <w:tc>
          <w:tcPr>
            <w:tcW w:w="0" w:type="auto"/>
            <w:tcBorders>
              <w:top w:val="nil"/>
              <w:left w:val="nil"/>
              <w:bottom w:val="dashed" w:sz="4" w:space="0" w:color="auto"/>
              <w:right w:val="nil"/>
            </w:tcBorders>
            <w:shd w:val="clear" w:color="auto" w:fill="auto"/>
            <w:noWrap/>
            <w:vAlign w:val="bottom"/>
            <w:hideMark/>
          </w:tcPr>
          <w:p w14:paraId="78EDD481"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439,136</w:t>
            </w:r>
          </w:p>
        </w:tc>
        <w:tc>
          <w:tcPr>
            <w:tcW w:w="0" w:type="auto"/>
            <w:tcBorders>
              <w:top w:val="nil"/>
              <w:left w:val="nil"/>
              <w:bottom w:val="dashed" w:sz="4" w:space="0" w:color="auto"/>
              <w:right w:val="single" w:sz="8" w:space="0" w:color="auto"/>
            </w:tcBorders>
            <w:shd w:val="clear" w:color="auto" w:fill="auto"/>
            <w:noWrap/>
            <w:vAlign w:val="bottom"/>
            <w:hideMark/>
          </w:tcPr>
          <w:p w14:paraId="56FE42E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-9.5%</w:t>
            </w:r>
          </w:p>
        </w:tc>
      </w:tr>
      <w:tr w:rsidR="00A04647" w:rsidRPr="00A04647" w14:paraId="75829EB1"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32917875"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30-34</w:t>
            </w:r>
          </w:p>
        </w:tc>
        <w:tc>
          <w:tcPr>
            <w:tcW w:w="0" w:type="auto"/>
            <w:tcBorders>
              <w:top w:val="nil"/>
              <w:left w:val="single" w:sz="4" w:space="0" w:color="auto"/>
              <w:bottom w:val="dashed" w:sz="4" w:space="0" w:color="auto"/>
              <w:right w:val="nil"/>
            </w:tcBorders>
            <w:shd w:val="clear" w:color="auto" w:fill="auto"/>
            <w:noWrap/>
            <w:vAlign w:val="bottom"/>
            <w:hideMark/>
          </w:tcPr>
          <w:p w14:paraId="11C6EEF5"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516,891</w:t>
            </w:r>
          </w:p>
        </w:tc>
        <w:tc>
          <w:tcPr>
            <w:tcW w:w="0" w:type="auto"/>
            <w:tcBorders>
              <w:top w:val="nil"/>
              <w:left w:val="nil"/>
              <w:bottom w:val="dashed" w:sz="4" w:space="0" w:color="auto"/>
              <w:right w:val="nil"/>
            </w:tcBorders>
            <w:shd w:val="clear" w:color="auto" w:fill="auto"/>
            <w:noWrap/>
            <w:vAlign w:val="bottom"/>
            <w:hideMark/>
          </w:tcPr>
          <w:p w14:paraId="17C9E74D"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493,699</w:t>
            </w:r>
          </w:p>
        </w:tc>
        <w:tc>
          <w:tcPr>
            <w:tcW w:w="0" w:type="auto"/>
            <w:tcBorders>
              <w:top w:val="nil"/>
              <w:left w:val="nil"/>
              <w:bottom w:val="dashed" w:sz="4" w:space="0" w:color="auto"/>
              <w:right w:val="nil"/>
            </w:tcBorders>
            <w:shd w:val="clear" w:color="auto" w:fill="auto"/>
            <w:noWrap/>
            <w:vAlign w:val="bottom"/>
            <w:hideMark/>
          </w:tcPr>
          <w:p w14:paraId="37BB3496"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472,981</w:t>
            </w:r>
          </w:p>
        </w:tc>
        <w:tc>
          <w:tcPr>
            <w:tcW w:w="0" w:type="auto"/>
            <w:tcBorders>
              <w:top w:val="nil"/>
              <w:left w:val="nil"/>
              <w:bottom w:val="dashed" w:sz="4" w:space="0" w:color="auto"/>
              <w:right w:val="nil"/>
            </w:tcBorders>
            <w:shd w:val="clear" w:color="auto" w:fill="auto"/>
            <w:noWrap/>
            <w:vAlign w:val="bottom"/>
            <w:hideMark/>
          </w:tcPr>
          <w:p w14:paraId="23DD408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462,004</w:t>
            </w:r>
          </w:p>
        </w:tc>
        <w:tc>
          <w:tcPr>
            <w:tcW w:w="0" w:type="auto"/>
            <w:tcBorders>
              <w:top w:val="nil"/>
              <w:left w:val="nil"/>
              <w:bottom w:val="dashed" w:sz="4" w:space="0" w:color="auto"/>
              <w:right w:val="single" w:sz="8" w:space="0" w:color="auto"/>
            </w:tcBorders>
            <w:shd w:val="clear" w:color="auto" w:fill="auto"/>
            <w:noWrap/>
            <w:vAlign w:val="bottom"/>
            <w:hideMark/>
          </w:tcPr>
          <w:p w14:paraId="7A00387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-10.6%</w:t>
            </w:r>
          </w:p>
        </w:tc>
      </w:tr>
      <w:tr w:rsidR="00A04647" w:rsidRPr="00A04647" w14:paraId="26222137"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2F0EE383"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35-39</w:t>
            </w:r>
          </w:p>
        </w:tc>
        <w:tc>
          <w:tcPr>
            <w:tcW w:w="0" w:type="auto"/>
            <w:tcBorders>
              <w:top w:val="nil"/>
              <w:left w:val="single" w:sz="4" w:space="0" w:color="auto"/>
              <w:bottom w:val="dashed" w:sz="4" w:space="0" w:color="auto"/>
              <w:right w:val="nil"/>
            </w:tcBorders>
            <w:shd w:val="clear" w:color="auto" w:fill="auto"/>
            <w:noWrap/>
            <w:vAlign w:val="bottom"/>
            <w:hideMark/>
          </w:tcPr>
          <w:p w14:paraId="693AF221"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499,244</w:t>
            </w:r>
          </w:p>
        </w:tc>
        <w:tc>
          <w:tcPr>
            <w:tcW w:w="0" w:type="auto"/>
            <w:tcBorders>
              <w:top w:val="nil"/>
              <w:left w:val="nil"/>
              <w:bottom w:val="dashed" w:sz="4" w:space="0" w:color="auto"/>
              <w:right w:val="nil"/>
            </w:tcBorders>
            <w:shd w:val="clear" w:color="auto" w:fill="auto"/>
            <w:noWrap/>
            <w:vAlign w:val="bottom"/>
            <w:hideMark/>
          </w:tcPr>
          <w:p w14:paraId="1567B82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514,828</w:t>
            </w:r>
          </w:p>
        </w:tc>
        <w:tc>
          <w:tcPr>
            <w:tcW w:w="0" w:type="auto"/>
            <w:tcBorders>
              <w:top w:val="nil"/>
              <w:left w:val="nil"/>
              <w:bottom w:val="dashed" w:sz="4" w:space="0" w:color="auto"/>
              <w:right w:val="nil"/>
            </w:tcBorders>
            <w:shd w:val="clear" w:color="auto" w:fill="auto"/>
            <w:noWrap/>
            <w:vAlign w:val="bottom"/>
            <w:hideMark/>
          </w:tcPr>
          <w:p w14:paraId="471073A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496,140</w:t>
            </w:r>
          </w:p>
        </w:tc>
        <w:tc>
          <w:tcPr>
            <w:tcW w:w="0" w:type="auto"/>
            <w:tcBorders>
              <w:top w:val="nil"/>
              <w:left w:val="nil"/>
              <w:bottom w:val="dashed" w:sz="4" w:space="0" w:color="auto"/>
              <w:right w:val="nil"/>
            </w:tcBorders>
            <w:shd w:val="clear" w:color="auto" w:fill="auto"/>
            <w:noWrap/>
            <w:vAlign w:val="bottom"/>
            <w:hideMark/>
          </w:tcPr>
          <w:p w14:paraId="5D32A6F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478,790</w:t>
            </w:r>
          </w:p>
        </w:tc>
        <w:tc>
          <w:tcPr>
            <w:tcW w:w="0" w:type="auto"/>
            <w:tcBorders>
              <w:top w:val="nil"/>
              <w:left w:val="nil"/>
              <w:bottom w:val="dashed" w:sz="4" w:space="0" w:color="auto"/>
              <w:right w:val="single" w:sz="8" w:space="0" w:color="auto"/>
            </w:tcBorders>
            <w:shd w:val="clear" w:color="auto" w:fill="auto"/>
            <w:noWrap/>
            <w:vAlign w:val="bottom"/>
            <w:hideMark/>
          </w:tcPr>
          <w:p w14:paraId="7B3B1F06"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w:t>
            </w:r>
          </w:p>
        </w:tc>
      </w:tr>
      <w:tr w:rsidR="00A04647" w:rsidRPr="00A04647" w14:paraId="68FFB049"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06611486"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40-44</w:t>
            </w:r>
          </w:p>
        </w:tc>
        <w:tc>
          <w:tcPr>
            <w:tcW w:w="0" w:type="auto"/>
            <w:tcBorders>
              <w:top w:val="nil"/>
              <w:left w:val="single" w:sz="4" w:space="0" w:color="auto"/>
              <w:bottom w:val="dashed" w:sz="4" w:space="0" w:color="auto"/>
              <w:right w:val="nil"/>
            </w:tcBorders>
            <w:shd w:val="clear" w:color="auto" w:fill="auto"/>
            <w:noWrap/>
            <w:vAlign w:val="bottom"/>
            <w:hideMark/>
          </w:tcPr>
          <w:p w14:paraId="555D0E7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453,467</w:t>
            </w:r>
          </w:p>
        </w:tc>
        <w:tc>
          <w:tcPr>
            <w:tcW w:w="0" w:type="auto"/>
            <w:tcBorders>
              <w:top w:val="nil"/>
              <w:left w:val="nil"/>
              <w:bottom w:val="dashed" w:sz="4" w:space="0" w:color="auto"/>
              <w:right w:val="nil"/>
            </w:tcBorders>
            <w:shd w:val="clear" w:color="auto" w:fill="auto"/>
            <w:noWrap/>
            <w:vAlign w:val="bottom"/>
            <w:hideMark/>
          </w:tcPr>
          <w:p w14:paraId="6E014831"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496,387</w:t>
            </w:r>
          </w:p>
        </w:tc>
        <w:tc>
          <w:tcPr>
            <w:tcW w:w="0" w:type="auto"/>
            <w:tcBorders>
              <w:top w:val="nil"/>
              <w:left w:val="nil"/>
              <w:bottom w:val="dashed" w:sz="4" w:space="0" w:color="auto"/>
              <w:right w:val="nil"/>
            </w:tcBorders>
            <w:shd w:val="clear" w:color="auto" w:fill="auto"/>
            <w:noWrap/>
            <w:vAlign w:val="bottom"/>
            <w:hideMark/>
          </w:tcPr>
          <w:p w14:paraId="423B72E4"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512,372</w:t>
            </w:r>
          </w:p>
        </w:tc>
        <w:tc>
          <w:tcPr>
            <w:tcW w:w="0" w:type="auto"/>
            <w:tcBorders>
              <w:top w:val="nil"/>
              <w:left w:val="nil"/>
              <w:bottom w:val="dashed" w:sz="4" w:space="0" w:color="auto"/>
              <w:right w:val="nil"/>
            </w:tcBorders>
            <w:shd w:val="clear" w:color="auto" w:fill="auto"/>
            <w:noWrap/>
            <w:vAlign w:val="bottom"/>
            <w:hideMark/>
          </w:tcPr>
          <w:p w14:paraId="7DB36EA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494,541</w:t>
            </w:r>
          </w:p>
        </w:tc>
        <w:tc>
          <w:tcPr>
            <w:tcW w:w="0" w:type="auto"/>
            <w:tcBorders>
              <w:top w:val="nil"/>
              <w:left w:val="nil"/>
              <w:bottom w:val="dashed" w:sz="4" w:space="0" w:color="auto"/>
              <w:right w:val="single" w:sz="8" w:space="0" w:color="auto"/>
            </w:tcBorders>
            <w:shd w:val="clear" w:color="auto" w:fill="auto"/>
            <w:noWrap/>
            <w:vAlign w:val="bottom"/>
            <w:hideMark/>
          </w:tcPr>
          <w:p w14:paraId="67A967C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9.1%</w:t>
            </w:r>
          </w:p>
        </w:tc>
      </w:tr>
      <w:tr w:rsidR="00A04647" w:rsidRPr="00A04647" w14:paraId="2261BE46"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341ABCAF"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45-49</w:t>
            </w:r>
          </w:p>
        </w:tc>
        <w:tc>
          <w:tcPr>
            <w:tcW w:w="0" w:type="auto"/>
            <w:tcBorders>
              <w:top w:val="nil"/>
              <w:left w:val="single" w:sz="4" w:space="0" w:color="auto"/>
              <w:bottom w:val="dashed" w:sz="4" w:space="0" w:color="auto"/>
              <w:right w:val="nil"/>
            </w:tcBorders>
            <w:shd w:val="clear" w:color="auto" w:fill="auto"/>
            <w:noWrap/>
            <w:vAlign w:val="bottom"/>
            <w:hideMark/>
          </w:tcPr>
          <w:p w14:paraId="00C5491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411,622</w:t>
            </w:r>
          </w:p>
        </w:tc>
        <w:tc>
          <w:tcPr>
            <w:tcW w:w="0" w:type="auto"/>
            <w:tcBorders>
              <w:top w:val="nil"/>
              <w:left w:val="nil"/>
              <w:bottom w:val="dashed" w:sz="4" w:space="0" w:color="auto"/>
              <w:right w:val="nil"/>
            </w:tcBorders>
            <w:shd w:val="clear" w:color="auto" w:fill="auto"/>
            <w:noWrap/>
            <w:vAlign w:val="bottom"/>
            <w:hideMark/>
          </w:tcPr>
          <w:p w14:paraId="2B919DB8"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452,592</w:t>
            </w:r>
          </w:p>
        </w:tc>
        <w:tc>
          <w:tcPr>
            <w:tcW w:w="0" w:type="auto"/>
            <w:tcBorders>
              <w:top w:val="nil"/>
              <w:left w:val="nil"/>
              <w:bottom w:val="dashed" w:sz="4" w:space="0" w:color="auto"/>
              <w:right w:val="nil"/>
            </w:tcBorders>
            <w:shd w:val="clear" w:color="auto" w:fill="auto"/>
            <w:noWrap/>
            <w:vAlign w:val="bottom"/>
            <w:hideMark/>
          </w:tcPr>
          <w:p w14:paraId="0C5C75B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492,908</w:t>
            </w:r>
          </w:p>
        </w:tc>
        <w:tc>
          <w:tcPr>
            <w:tcW w:w="0" w:type="auto"/>
            <w:tcBorders>
              <w:top w:val="nil"/>
              <w:left w:val="nil"/>
              <w:bottom w:val="dashed" w:sz="4" w:space="0" w:color="auto"/>
              <w:right w:val="nil"/>
            </w:tcBorders>
            <w:shd w:val="clear" w:color="auto" w:fill="auto"/>
            <w:noWrap/>
            <w:vAlign w:val="bottom"/>
            <w:hideMark/>
          </w:tcPr>
          <w:p w14:paraId="521B97BF"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507,114</w:t>
            </w:r>
          </w:p>
        </w:tc>
        <w:tc>
          <w:tcPr>
            <w:tcW w:w="0" w:type="auto"/>
            <w:tcBorders>
              <w:top w:val="nil"/>
              <w:left w:val="nil"/>
              <w:bottom w:val="dashed" w:sz="4" w:space="0" w:color="auto"/>
              <w:right w:val="single" w:sz="8" w:space="0" w:color="auto"/>
            </w:tcBorders>
            <w:shd w:val="clear" w:color="auto" w:fill="auto"/>
            <w:noWrap/>
            <w:vAlign w:val="bottom"/>
            <w:hideMark/>
          </w:tcPr>
          <w:p w14:paraId="0799626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23.2%</w:t>
            </w:r>
          </w:p>
        </w:tc>
      </w:tr>
      <w:tr w:rsidR="00A04647" w:rsidRPr="00A04647" w14:paraId="50FF9E0D"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1ACD52A2"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50-54</w:t>
            </w:r>
          </w:p>
        </w:tc>
        <w:tc>
          <w:tcPr>
            <w:tcW w:w="0" w:type="auto"/>
            <w:tcBorders>
              <w:top w:val="nil"/>
              <w:left w:val="single" w:sz="4" w:space="0" w:color="auto"/>
              <w:bottom w:val="dashed" w:sz="4" w:space="0" w:color="auto"/>
              <w:right w:val="nil"/>
            </w:tcBorders>
            <w:shd w:val="clear" w:color="auto" w:fill="auto"/>
            <w:noWrap/>
            <w:vAlign w:val="bottom"/>
            <w:hideMark/>
          </w:tcPr>
          <w:p w14:paraId="51E7C41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431,780</w:t>
            </w:r>
          </w:p>
        </w:tc>
        <w:tc>
          <w:tcPr>
            <w:tcW w:w="0" w:type="auto"/>
            <w:tcBorders>
              <w:top w:val="nil"/>
              <w:left w:val="nil"/>
              <w:bottom w:val="dashed" w:sz="4" w:space="0" w:color="auto"/>
              <w:right w:val="nil"/>
            </w:tcBorders>
            <w:shd w:val="clear" w:color="auto" w:fill="auto"/>
            <w:noWrap/>
            <w:vAlign w:val="bottom"/>
            <w:hideMark/>
          </w:tcPr>
          <w:p w14:paraId="435AFC9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410,797</w:t>
            </w:r>
          </w:p>
        </w:tc>
        <w:tc>
          <w:tcPr>
            <w:tcW w:w="0" w:type="auto"/>
            <w:tcBorders>
              <w:top w:val="nil"/>
              <w:left w:val="nil"/>
              <w:bottom w:val="dashed" w:sz="4" w:space="0" w:color="auto"/>
              <w:right w:val="nil"/>
            </w:tcBorders>
            <w:shd w:val="clear" w:color="auto" w:fill="auto"/>
            <w:noWrap/>
            <w:vAlign w:val="bottom"/>
            <w:hideMark/>
          </w:tcPr>
          <w:p w14:paraId="14987928"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449,229</w:t>
            </w:r>
          </w:p>
        </w:tc>
        <w:tc>
          <w:tcPr>
            <w:tcW w:w="0" w:type="auto"/>
            <w:tcBorders>
              <w:top w:val="nil"/>
              <w:left w:val="nil"/>
              <w:bottom w:val="dashed" w:sz="4" w:space="0" w:color="auto"/>
              <w:right w:val="nil"/>
            </w:tcBorders>
            <w:shd w:val="clear" w:color="auto" w:fill="auto"/>
            <w:noWrap/>
            <w:vAlign w:val="bottom"/>
            <w:hideMark/>
          </w:tcPr>
          <w:p w14:paraId="386CC0A2"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487,035</w:t>
            </w:r>
          </w:p>
        </w:tc>
        <w:tc>
          <w:tcPr>
            <w:tcW w:w="0" w:type="auto"/>
            <w:tcBorders>
              <w:top w:val="nil"/>
              <w:left w:val="nil"/>
              <w:bottom w:val="dashed" w:sz="4" w:space="0" w:color="auto"/>
              <w:right w:val="single" w:sz="8" w:space="0" w:color="auto"/>
            </w:tcBorders>
            <w:shd w:val="clear" w:color="auto" w:fill="auto"/>
            <w:noWrap/>
            <w:vAlign w:val="bottom"/>
            <w:hideMark/>
          </w:tcPr>
          <w:p w14:paraId="3F26DD2B"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12.8%</w:t>
            </w:r>
          </w:p>
        </w:tc>
      </w:tr>
      <w:tr w:rsidR="00A04647" w:rsidRPr="00A04647" w14:paraId="0D2F129D"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795F33FB"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55-59</w:t>
            </w:r>
          </w:p>
        </w:tc>
        <w:tc>
          <w:tcPr>
            <w:tcW w:w="0" w:type="auto"/>
            <w:tcBorders>
              <w:top w:val="nil"/>
              <w:left w:val="single" w:sz="4" w:space="0" w:color="auto"/>
              <w:bottom w:val="dashed" w:sz="4" w:space="0" w:color="auto"/>
              <w:right w:val="nil"/>
            </w:tcBorders>
            <w:shd w:val="clear" w:color="auto" w:fill="auto"/>
            <w:noWrap/>
            <w:vAlign w:val="bottom"/>
            <w:hideMark/>
          </w:tcPr>
          <w:p w14:paraId="545A2D8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462,874</w:t>
            </w:r>
          </w:p>
        </w:tc>
        <w:tc>
          <w:tcPr>
            <w:tcW w:w="0" w:type="auto"/>
            <w:tcBorders>
              <w:top w:val="nil"/>
              <w:left w:val="nil"/>
              <w:bottom w:val="dashed" w:sz="4" w:space="0" w:color="auto"/>
              <w:right w:val="nil"/>
            </w:tcBorders>
            <w:shd w:val="clear" w:color="auto" w:fill="auto"/>
            <w:noWrap/>
            <w:vAlign w:val="bottom"/>
            <w:hideMark/>
          </w:tcPr>
          <w:p w14:paraId="22916BF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422,979</w:t>
            </w:r>
          </w:p>
        </w:tc>
        <w:tc>
          <w:tcPr>
            <w:tcW w:w="0" w:type="auto"/>
            <w:tcBorders>
              <w:top w:val="nil"/>
              <w:left w:val="nil"/>
              <w:bottom w:val="dashed" w:sz="4" w:space="0" w:color="auto"/>
              <w:right w:val="nil"/>
            </w:tcBorders>
            <w:shd w:val="clear" w:color="auto" w:fill="auto"/>
            <w:noWrap/>
            <w:vAlign w:val="bottom"/>
            <w:hideMark/>
          </w:tcPr>
          <w:p w14:paraId="3FE68C2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402,773</w:t>
            </w:r>
          </w:p>
        </w:tc>
        <w:tc>
          <w:tcPr>
            <w:tcW w:w="0" w:type="auto"/>
            <w:tcBorders>
              <w:top w:val="nil"/>
              <w:left w:val="nil"/>
              <w:bottom w:val="dashed" w:sz="4" w:space="0" w:color="auto"/>
              <w:right w:val="nil"/>
            </w:tcBorders>
            <w:shd w:val="clear" w:color="auto" w:fill="auto"/>
            <w:noWrap/>
            <w:vAlign w:val="bottom"/>
            <w:hideMark/>
          </w:tcPr>
          <w:p w14:paraId="0A9AEC2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439,480</w:t>
            </w:r>
          </w:p>
        </w:tc>
        <w:tc>
          <w:tcPr>
            <w:tcW w:w="0" w:type="auto"/>
            <w:tcBorders>
              <w:top w:val="nil"/>
              <w:left w:val="nil"/>
              <w:bottom w:val="dashed" w:sz="4" w:space="0" w:color="auto"/>
              <w:right w:val="single" w:sz="8" w:space="0" w:color="auto"/>
            </w:tcBorders>
            <w:shd w:val="clear" w:color="auto" w:fill="auto"/>
            <w:noWrap/>
            <w:vAlign w:val="bottom"/>
            <w:hideMark/>
          </w:tcPr>
          <w:p w14:paraId="7462CBBD"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-5.1%</w:t>
            </w:r>
          </w:p>
        </w:tc>
      </w:tr>
      <w:tr w:rsidR="00A04647" w:rsidRPr="00A04647" w14:paraId="35F3D138"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61E9DBBD"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60-64</w:t>
            </w:r>
          </w:p>
        </w:tc>
        <w:tc>
          <w:tcPr>
            <w:tcW w:w="0" w:type="auto"/>
            <w:tcBorders>
              <w:top w:val="nil"/>
              <w:left w:val="single" w:sz="4" w:space="0" w:color="auto"/>
              <w:bottom w:val="dashed" w:sz="4" w:space="0" w:color="auto"/>
              <w:right w:val="nil"/>
            </w:tcBorders>
            <w:shd w:val="clear" w:color="auto" w:fill="auto"/>
            <w:noWrap/>
            <w:vAlign w:val="bottom"/>
            <w:hideMark/>
          </w:tcPr>
          <w:p w14:paraId="639FBF2B"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479,020</w:t>
            </w:r>
          </w:p>
        </w:tc>
        <w:tc>
          <w:tcPr>
            <w:tcW w:w="0" w:type="auto"/>
            <w:tcBorders>
              <w:top w:val="nil"/>
              <w:left w:val="nil"/>
              <w:bottom w:val="dashed" w:sz="4" w:space="0" w:color="auto"/>
              <w:right w:val="nil"/>
            </w:tcBorders>
            <w:shd w:val="clear" w:color="auto" w:fill="auto"/>
            <w:noWrap/>
            <w:vAlign w:val="bottom"/>
            <w:hideMark/>
          </w:tcPr>
          <w:p w14:paraId="0275C8D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441,599</w:t>
            </w:r>
          </w:p>
        </w:tc>
        <w:tc>
          <w:tcPr>
            <w:tcW w:w="0" w:type="auto"/>
            <w:tcBorders>
              <w:top w:val="nil"/>
              <w:left w:val="nil"/>
              <w:bottom w:val="dashed" w:sz="4" w:space="0" w:color="auto"/>
              <w:right w:val="nil"/>
            </w:tcBorders>
            <w:shd w:val="clear" w:color="auto" w:fill="auto"/>
            <w:noWrap/>
            <w:vAlign w:val="bottom"/>
            <w:hideMark/>
          </w:tcPr>
          <w:p w14:paraId="7BA6890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403,977</w:t>
            </w:r>
          </w:p>
        </w:tc>
        <w:tc>
          <w:tcPr>
            <w:tcW w:w="0" w:type="auto"/>
            <w:tcBorders>
              <w:top w:val="nil"/>
              <w:left w:val="nil"/>
              <w:bottom w:val="dashed" w:sz="4" w:space="0" w:color="auto"/>
              <w:right w:val="nil"/>
            </w:tcBorders>
            <w:shd w:val="clear" w:color="auto" w:fill="auto"/>
            <w:noWrap/>
            <w:vAlign w:val="bottom"/>
            <w:hideMark/>
          </w:tcPr>
          <w:p w14:paraId="3EE33F0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386,447</w:t>
            </w:r>
          </w:p>
        </w:tc>
        <w:tc>
          <w:tcPr>
            <w:tcW w:w="0" w:type="auto"/>
            <w:tcBorders>
              <w:top w:val="nil"/>
              <w:left w:val="nil"/>
              <w:bottom w:val="dashed" w:sz="4" w:space="0" w:color="auto"/>
              <w:right w:val="single" w:sz="8" w:space="0" w:color="auto"/>
            </w:tcBorders>
            <w:shd w:val="clear" w:color="auto" w:fill="auto"/>
            <w:noWrap/>
            <w:vAlign w:val="bottom"/>
            <w:hideMark/>
          </w:tcPr>
          <w:p w14:paraId="2EF63248"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-19.3%</w:t>
            </w:r>
          </w:p>
        </w:tc>
      </w:tr>
      <w:tr w:rsidR="00A04647" w:rsidRPr="00A04647" w14:paraId="75A3D004"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65AE1BBF"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65-69</w:t>
            </w:r>
          </w:p>
        </w:tc>
        <w:tc>
          <w:tcPr>
            <w:tcW w:w="0" w:type="auto"/>
            <w:tcBorders>
              <w:top w:val="nil"/>
              <w:left w:val="single" w:sz="4" w:space="0" w:color="auto"/>
              <w:bottom w:val="dashed" w:sz="4" w:space="0" w:color="auto"/>
              <w:right w:val="nil"/>
            </w:tcBorders>
            <w:shd w:val="clear" w:color="auto" w:fill="auto"/>
            <w:noWrap/>
            <w:vAlign w:val="bottom"/>
            <w:hideMark/>
          </w:tcPr>
          <w:p w14:paraId="636B566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433,039</w:t>
            </w:r>
          </w:p>
        </w:tc>
        <w:tc>
          <w:tcPr>
            <w:tcW w:w="0" w:type="auto"/>
            <w:tcBorders>
              <w:top w:val="nil"/>
              <w:left w:val="nil"/>
              <w:bottom w:val="dashed" w:sz="4" w:space="0" w:color="auto"/>
              <w:right w:val="nil"/>
            </w:tcBorders>
            <w:shd w:val="clear" w:color="auto" w:fill="auto"/>
            <w:noWrap/>
            <w:vAlign w:val="bottom"/>
            <w:hideMark/>
          </w:tcPr>
          <w:p w14:paraId="27DDF24D"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445,281</w:t>
            </w:r>
          </w:p>
        </w:tc>
        <w:tc>
          <w:tcPr>
            <w:tcW w:w="0" w:type="auto"/>
            <w:tcBorders>
              <w:top w:val="nil"/>
              <w:left w:val="nil"/>
              <w:bottom w:val="dashed" w:sz="4" w:space="0" w:color="auto"/>
              <w:right w:val="nil"/>
            </w:tcBorders>
            <w:shd w:val="clear" w:color="auto" w:fill="auto"/>
            <w:noWrap/>
            <w:vAlign w:val="bottom"/>
            <w:hideMark/>
          </w:tcPr>
          <w:p w14:paraId="08A541C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410,725</w:t>
            </w:r>
          </w:p>
        </w:tc>
        <w:tc>
          <w:tcPr>
            <w:tcW w:w="0" w:type="auto"/>
            <w:tcBorders>
              <w:top w:val="nil"/>
              <w:left w:val="nil"/>
              <w:bottom w:val="dashed" w:sz="4" w:space="0" w:color="auto"/>
              <w:right w:val="nil"/>
            </w:tcBorders>
            <w:shd w:val="clear" w:color="auto" w:fill="auto"/>
            <w:noWrap/>
            <w:vAlign w:val="bottom"/>
            <w:hideMark/>
          </w:tcPr>
          <w:p w14:paraId="46D82B0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376,782</w:t>
            </w:r>
          </w:p>
        </w:tc>
        <w:tc>
          <w:tcPr>
            <w:tcW w:w="0" w:type="auto"/>
            <w:tcBorders>
              <w:top w:val="nil"/>
              <w:left w:val="nil"/>
              <w:bottom w:val="dashed" w:sz="4" w:space="0" w:color="auto"/>
              <w:right w:val="single" w:sz="8" w:space="0" w:color="auto"/>
            </w:tcBorders>
            <w:shd w:val="clear" w:color="auto" w:fill="auto"/>
            <w:noWrap/>
            <w:vAlign w:val="bottom"/>
            <w:hideMark/>
          </w:tcPr>
          <w:p w14:paraId="6DF89CC9"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-13.0%</w:t>
            </w:r>
          </w:p>
        </w:tc>
      </w:tr>
      <w:tr w:rsidR="00A04647" w:rsidRPr="00A04647" w14:paraId="57954EA0"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2870132E"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70-74</w:t>
            </w:r>
          </w:p>
        </w:tc>
        <w:tc>
          <w:tcPr>
            <w:tcW w:w="0" w:type="auto"/>
            <w:tcBorders>
              <w:top w:val="nil"/>
              <w:left w:val="single" w:sz="4" w:space="0" w:color="auto"/>
              <w:bottom w:val="dashed" w:sz="4" w:space="0" w:color="auto"/>
              <w:right w:val="nil"/>
            </w:tcBorders>
            <w:shd w:val="clear" w:color="auto" w:fill="auto"/>
            <w:noWrap/>
            <w:vAlign w:val="bottom"/>
            <w:hideMark/>
          </w:tcPr>
          <w:p w14:paraId="6E9C8A93"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349,870</w:t>
            </w:r>
          </w:p>
        </w:tc>
        <w:tc>
          <w:tcPr>
            <w:tcW w:w="0" w:type="auto"/>
            <w:tcBorders>
              <w:top w:val="nil"/>
              <w:left w:val="nil"/>
              <w:bottom w:val="dashed" w:sz="4" w:space="0" w:color="auto"/>
              <w:right w:val="nil"/>
            </w:tcBorders>
            <w:shd w:val="clear" w:color="auto" w:fill="auto"/>
            <w:noWrap/>
            <w:vAlign w:val="bottom"/>
            <w:hideMark/>
          </w:tcPr>
          <w:p w14:paraId="067D1275"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391,583</w:t>
            </w:r>
          </w:p>
        </w:tc>
        <w:tc>
          <w:tcPr>
            <w:tcW w:w="0" w:type="auto"/>
            <w:tcBorders>
              <w:top w:val="nil"/>
              <w:left w:val="nil"/>
              <w:bottom w:val="dashed" w:sz="4" w:space="0" w:color="auto"/>
              <w:right w:val="nil"/>
            </w:tcBorders>
            <w:shd w:val="clear" w:color="auto" w:fill="auto"/>
            <w:noWrap/>
            <w:vAlign w:val="bottom"/>
            <w:hideMark/>
          </w:tcPr>
          <w:p w14:paraId="0739B919"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402,391</w:t>
            </w:r>
          </w:p>
        </w:tc>
        <w:tc>
          <w:tcPr>
            <w:tcW w:w="0" w:type="auto"/>
            <w:tcBorders>
              <w:top w:val="nil"/>
              <w:left w:val="nil"/>
              <w:bottom w:val="dashed" w:sz="4" w:space="0" w:color="auto"/>
              <w:right w:val="nil"/>
            </w:tcBorders>
            <w:shd w:val="clear" w:color="auto" w:fill="auto"/>
            <w:noWrap/>
            <w:vAlign w:val="bottom"/>
            <w:hideMark/>
          </w:tcPr>
          <w:p w14:paraId="4C7E9619"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370,772</w:t>
            </w:r>
          </w:p>
        </w:tc>
        <w:tc>
          <w:tcPr>
            <w:tcW w:w="0" w:type="auto"/>
            <w:tcBorders>
              <w:top w:val="nil"/>
              <w:left w:val="nil"/>
              <w:bottom w:val="dashed" w:sz="4" w:space="0" w:color="auto"/>
              <w:right w:val="single" w:sz="8" w:space="0" w:color="auto"/>
            </w:tcBorders>
            <w:shd w:val="clear" w:color="auto" w:fill="auto"/>
            <w:noWrap/>
            <w:vAlign w:val="bottom"/>
            <w:hideMark/>
          </w:tcPr>
          <w:p w14:paraId="2F5128C1"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6.0%</w:t>
            </w:r>
          </w:p>
        </w:tc>
      </w:tr>
      <w:tr w:rsidR="00A04647" w:rsidRPr="00A04647" w14:paraId="4DCAF2BB"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15F63A27"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75-79</w:t>
            </w:r>
          </w:p>
        </w:tc>
        <w:tc>
          <w:tcPr>
            <w:tcW w:w="0" w:type="auto"/>
            <w:tcBorders>
              <w:top w:val="nil"/>
              <w:left w:val="single" w:sz="4" w:space="0" w:color="auto"/>
              <w:bottom w:val="dashed" w:sz="4" w:space="0" w:color="auto"/>
              <w:right w:val="nil"/>
            </w:tcBorders>
            <w:shd w:val="clear" w:color="auto" w:fill="auto"/>
            <w:noWrap/>
            <w:vAlign w:val="bottom"/>
            <w:hideMark/>
          </w:tcPr>
          <w:p w14:paraId="22219E78"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268,696</w:t>
            </w:r>
          </w:p>
        </w:tc>
        <w:tc>
          <w:tcPr>
            <w:tcW w:w="0" w:type="auto"/>
            <w:tcBorders>
              <w:top w:val="nil"/>
              <w:left w:val="nil"/>
              <w:bottom w:val="dashed" w:sz="4" w:space="0" w:color="auto"/>
              <w:right w:val="nil"/>
            </w:tcBorders>
            <w:shd w:val="clear" w:color="auto" w:fill="auto"/>
            <w:noWrap/>
            <w:vAlign w:val="bottom"/>
            <w:hideMark/>
          </w:tcPr>
          <w:p w14:paraId="7EC93330"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303,719</w:t>
            </w:r>
          </w:p>
        </w:tc>
        <w:tc>
          <w:tcPr>
            <w:tcW w:w="0" w:type="auto"/>
            <w:tcBorders>
              <w:top w:val="nil"/>
              <w:left w:val="nil"/>
              <w:bottom w:val="dashed" w:sz="4" w:space="0" w:color="auto"/>
              <w:right w:val="nil"/>
            </w:tcBorders>
            <w:shd w:val="clear" w:color="auto" w:fill="auto"/>
            <w:noWrap/>
            <w:vAlign w:val="bottom"/>
            <w:hideMark/>
          </w:tcPr>
          <w:p w14:paraId="07BDB13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339,060</w:t>
            </w:r>
          </w:p>
        </w:tc>
        <w:tc>
          <w:tcPr>
            <w:tcW w:w="0" w:type="auto"/>
            <w:tcBorders>
              <w:top w:val="nil"/>
              <w:left w:val="nil"/>
              <w:bottom w:val="dashed" w:sz="4" w:space="0" w:color="auto"/>
              <w:right w:val="nil"/>
            </w:tcBorders>
            <w:shd w:val="clear" w:color="auto" w:fill="auto"/>
            <w:noWrap/>
            <w:vAlign w:val="bottom"/>
            <w:hideMark/>
          </w:tcPr>
          <w:p w14:paraId="1344AA0E"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347,274</w:t>
            </w:r>
          </w:p>
        </w:tc>
        <w:tc>
          <w:tcPr>
            <w:tcW w:w="0" w:type="auto"/>
            <w:tcBorders>
              <w:top w:val="nil"/>
              <w:left w:val="nil"/>
              <w:bottom w:val="dashed" w:sz="4" w:space="0" w:color="auto"/>
              <w:right w:val="single" w:sz="8" w:space="0" w:color="auto"/>
            </w:tcBorders>
            <w:shd w:val="clear" w:color="auto" w:fill="auto"/>
            <w:noWrap/>
            <w:vAlign w:val="bottom"/>
            <w:hideMark/>
          </w:tcPr>
          <w:p w14:paraId="4C3CA67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29.2%</w:t>
            </w:r>
          </w:p>
        </w:tc>
      </w:tr>
      <w:tr w:rsidR="00A04647" w:rsidRPr="00A04647" w14:paraId="5E296E24" w14:textId="77777777" w:rsidTr="00E36793">
        <w:trPr>
          <w:cantSplit/>
          <w:trHeight w:val="290"/>
          <w:jc w:val="center"/>
        </w:trPr>
        <w:tc>
          <w:tcPr>
            <w:tcW w:w="0" w:type="auto"/>
            <w:gridSpan w:val="2"/>
            <w:tcBorders>
              <w:top w:val="nil"/>
              <w:left w:val="single" w:sz="8" w:space="0" w:color="auto"/>
              <w:bottom w:val="dashed" w:sz="4" w:space="0" w:color="auto"/>
              <w:right w:val="nil"/>
            </w:tcBorders>
            <w:shd w:val="clear" w:color="auto" w:fill="auto"/>
            <w:noWrap/>
            <w:vAlign w:val="bottom"/>
            <w:hideMark/>
          </w:tcPr>
          <w:p w14:paraId="7DCEBF0E"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80-84</w:t>
            </w:r>
          </w:p>
        </w:tc>
        <w:tc>
          <w:tcPr>
            <w:tcW w:w="0" w:type="auto"/>
            <w:tcBorders>
              <w:top w:val="nil"/>
              <w:left w:val="single" w:sz="4" w:space="0" w:color="auto"/>
              <w:bottom w:val="dashed" w:sz="4" w:space="0" w:color="auto"/>
              <w:right w:val="nil"/>
            </w:tcBorders>
            <w:shd w:val="clear" w:color="auto" w:fill="auto"/>
            <w:noWrap/>
            <w:vAlign w:val="bottom"/>
            <w:hideMark/>
          </w:tcPr>
          <w:p w14:paraId="7F84751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165,749</w:t>
            </w:r>
          </w:p>
        </w:tc>
        <w:tc>
          <w:tcPr>
            <w:tcW w:w="0" w:type="auto"/>
            <w:tcBorders>
              <w:top w:val="nil"/>
              <w:left w:val="nil"/>
              <w:bottom w:val="dashed" w:sz="4" w:space="0" w:color="auto"/>
              <w:right w:val="nil"/>
            </w:tcBorders>
            <w:shd w:val="clear" w:color="auto" w:fill="auto"/>
            <w:noWrap/>
            <w:vAlign w:val="bottom"/>
            <w:hideMark/>
          </w:tcPr>
          <w:p w14:paraId="178D010C"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214,505</w:t>
            </w:r>
          </w:p>
        </w:tc>
        <w:tc>
          <w:tcPr>
            <w:tcW w:w="0" w:type="auto"/>
            <w:tcBorders>
              <w:top w:val="nil"/>
              <w:left w:val="nil"/>
              <w:bottom w:val="dashed" w:sz="4" w:space="0" w:color="auto"/>
              <w:right w:val="nil"/>
            </w:tcBorders>
            <w:shd w:val="clear" w:color="auto" w:fill="auto"/>
            <w:noWrap/>
            <w:vAlign w:val="bottom"/>
            <w:hideMark/>
          </w:tcPr>
          <w:p w14:paraId="176DEF6C"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242,265</w:t>
            </w:r>
          </w:p>
        </w:tc>
        <w:tc>
          <w:tcPr>
            <w:tcW w:w="0" w:type="auto"/>
            <w:tcBorders>
              <w:top w:val="nil"/>
              <w:left w:val="nil"/>
              <w:bottom w:val="dashed" w:sz="4" w:space="0" w:color="auto"/>
              <w:right w:val="nil"/>
            </w:tcBorders>
            <w:shd w:val="clear" w:color="auto" w:fill="auto"/>
            <w:noWrap/>
            <w:vAlign w:val="bottom"/>
            <w:hideMark/>
          </w:tcPr>
          <w:p w14:paraId="6F86AF57"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269,391</w:t>
            </w:r>
          </w:p>
        </w:tc>
        <w:tc>
          <w:tcPr>
            <w:tcW w:w="0" w:type="auto"/>
            <w:tcBorders>
              <w:top w:val="nil"/>
              <w:left w:val="nil"/>
              <w:bottom w:val="dashed" w:sz="4" w:space="0" w:color="auto"/>
              <w:right w:val="single" w:sz="8" w:space="0" w:color="auto"/>
            </w:tcBorders>
            <w:shd w:val="clear" w:color="auto" w:fill="auto"/>
            <w:noWrap/>
            <w:vAlign w:val="bottom"/>
            <w:hideMark/>
          </w:tcPr>
          <w:p w14:paraId="1D0183C9"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62.5%</w:t>
            </w:r>
          </w:p>
        </w:tc>
      </w:tr>
      <w:tr w:rsidR="00A04647" w:rsidRPr="00A04647" w14:paraId="25D0BE6D" w14:textId="77777777" w:rsidTr="00E36793">
        <w:trPr>
          <w:cantSplit/>
          <w:trHeight w:val="290"/>
          <w:jc w:val="center"/>
        </w:trPr>
        <w:tc>
          <w:tcPr>
            <w:tcW w:w="0" w:type="auto"/>
            <w:gridSpan w:val="2"/>
            <w:tcBorders>
              <w:top w:val="nil"/>
              <w:left w:val="single" w:sz="8" w:space="0" w:color="auto"/>
              <w:bottom w:val="nil"/>
              <w:right w:val="nil"/>
            </w:tcBorders>
            <w:shd w:val="clear" w:color="auto" w:fill="auto"/>
            <w:noWrap/>
            <w:vAlign w:val="bottom"/>
            <w:hideMark/>
          </w:tcPr>
          <w:p w14:paraId="767336CA"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85+</w:t>
            </w:r>
          </w:p>
        </w:tc>
        <w:tc>
          <w:tcPr>
            <w:tcW w:w="0" w:type="auto"/>
            <w:tcBorders>
              <w:top w:val="nil"/>
              <w:left w:val="single" w:sz="4" w:space="0" w:color="auto"/>
              <w:bottom w:val="nil"/>
              <w:right w:val="nil"/>
            </w:tcBorders>
            <w:shd w:val="clear" w:color="auto" w:fill="auto"/>
            <w:noWrap/>
            <w:vAlign w:val="bottom"/>
            <w:hideMark/>
          </w:tcPr>
          <w:p w14:paraId="3D09C9CF"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167,993</w:t>
            </w:r>
          </w:p>
        </w:tc>
        <w:tc>
          <w:tcPr>
            <w:tcW w:w="0" w:type="auto"/>
            <w:tcBorders>
              <w:top w:val="nil"/>
              <w:left w:val="nil"/>
              <w:bottom w:val="nil"/>
              <w:right w:val="nil"/>
            </w:tcBorders>
            <w:shd w:val="clear" w:color="auto" w:fill="auto"/>
            <w:noWrap/>
            <w:vAlign w:val="bottom"/>
            <w:hideMark/>
          </w:tcPr>
          <w:p w14:paraId="3B8FEFBA"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190,741</w:t>
            </w:r>
          </w:p>
        </w:tc>
        <w:tc>
          <w:tcPr>
            <w:tcW w:w="0" w:type="auto"/>
            <w:tcBorders>
              <w:top w:val="nil"/>
              <w:left w:val="nil"/>
              <w:bottom w:val="nil"/>
              <w:right w:val="nil"/>
            </w:tcBorders>
            <w:shd w:val="clear" w:color="auto" w:fill="auto"/>
            <w:noWrap/>
            <w:vAlign w:val="bottom"/>
            <w:hideMark/>
          </w:tcPr>
          <w:p w14:paraId="1BEC9122"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230,972</w:t>
            </w:r>
          </w:p>
        </w:tc>
        <w:tc>
          <w:tcPr>
            <w:tcW w:w="0" w:type="auto"/>
            <w:tcBorders>
              <w:top w:val="nil"/>
              <w:left w:val="nil"/>
              <w:bottom w:val="nil"/>
              <w:right w:val="nil"/>
            </w:tcBorders>
            <w:shd w:val="clear" w:color="auto" w:fill="auto"/>
            <w:noWrap/>
            <w:vAlign w:val="bottom"/>
            <w:hideMark/>
          </w:tcPr>
          <w:p w14:paraId="5D8881AB"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267,961</w:t>
            </w:r>
          </w:p>
        </w:tc>
        <w:tc>
          <w:tcPr>
            <w:tcW w:w="0" w:type="auto"/>
            <w:tcBorders>
              <w:top w:val="nil"/>
              <w:left w:val="nil"/>
              <w:bottom w:val="nil"/>
              <w:right w:val="single" w:sz="8" w:space="0" w:color="auto"/>
            </w:tcBorders>
            <w:shd w:val="clear" w:color="auto" w:fill="auto"/>
            <w:noWrap/>
            <w:vAlign w:val="bottom"/>
            <w:hideMark/>
          </w:tcPr>
          <w:p w14:paraId="58E35F6D" w14:textId="77777777" w:rsidR="00A04647" w:rsidRPr="00A04647" w:rsidRDefault="00A04647" w:rsidP="00B84321">
            <w:pPr>
              <w:spacing w:after="0" w:line="240" w:lineRule="auto"/>
              <w:jc w:val="center"/>
              <w:rPr>
                <w:rFonts w:ascii="Calibri" w:eastAsia="Times New Roman" w:hAnsi="Calibri" w:cs="Calibri"/>
                <w:kern w:val="0"/>
                <w14:ligatures w14:val="none"/>
              </w:rPr>
            </w:pPr>
            <w:r w:rsidRPr="00A04647">
              <w:rPr>
                <w:rFonts w:ascii="Calibri" w:eastAsia="Times New Roman" w:hAnsi="Calibri" w:cs="Calibri"/>
                <w:kern w:val="0"/>
                <w14:ligatures w14:val="none"/>
              </w:rPr>
              <w:t>59.5%</w:t>
            </w:r>
          </w:p>
        </w:tc>
      </w:tr>
      <w:tr w:rsidR="00A04647" w:rsidRPr="00A04647" w14:paraId="6EA4B070" w14:textId="77777777" w:rsidTr="00E36793">
        <w:trPr>
          <w:cantSplit/>
          <w:trHeight w:val="300"/>
          <w:jc w:val="center"/>
        </w:trPr>
        <w:tc>
          <w:tcPr>
            <w:tcW w:w="0" w:type="auto"/>
            <w:gridSpan w:val="2"/>
            <w:tcBorders>
              <w:top w:val="single" w:sz="4" w:space="0" w:color="auto"/>
              <w:left w:val="single" w:sz="8" w:space="0" w:color="auto"/>
              <w:bottom w:val="single" w:sz="8" w:space="0" w:color="auto"/>
              <w:right w:val="nil"/>
            </w:tcBorders>
            <w:shd w:val="clear" w:color="auto" w:fill="auto"/>
            <w:noWrap/>
            <w:vAlign w:val="bottom"/>
            <w:hideMark/>
          </w:tcPr>
          <w:p w14:paraId="54262FAB" w14:textId="77777777" w:rsidR="00A04647" w:rsidRPr="00A04647" w:rsidRDefault="00A04647" w:rsidP="00B84321">
            <w:pPr>
              <w:spacing w:after="0" w:line="240" w:lineRule="auto"/>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Total</w:t>
            </w:r>
          </w:p>
        </w:tc>
        <w:tc>
          <w:tcPr>
            <w:tcW w:w="0" w:type="auto"/>
            <w:tcBorders>
              <w:top w:val="single" w:sz="4" w:space="0" w:color="auto"/>
              <w:left w:val="single" w:sz="4" w:space="0" w:color="auto"/>
              <w:bottom w:val="single" w:sz="8" w:space="0" w:color="auto"/>
              <w:right w:val="nil"/>
            </w:tcBorders>
            <w:shd w:val="clear" w:color="auto" w:fill="auto"/>
            <w:noWrap/>
            <w:vAlign w:val="bottom"/>
            <w:hideMark/>
          </w:tcPr>
          <w:p w14:paraId="57FF8551" w14:textId="77777777" w:rsidR="00A04647" w:rsidRPr="00A04647" w:rsidRDefault="00A04647" w:rsidP="00B84321">
            <w:pPr>
              <w:spacing w:after="0" w:line="240" w:lineRule="auto"/>
              <w:jc w:val="center"/>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5,971,538</w:t>
            </w:r>
          </w:p>
        </w:tc>
        <w:tc>
          <w:tcPr>
            <w:tcW w:w="0" w:type="auto"/>
            <w:tcBorders>
              <w:top w:val="single" w:sz="4" w:space="0" w:color="auto"/>
              <w:left w:val="nil"/>
              <w:bottom w:val="single" w:sz="8" w:space="0" w:color="auto"/>
              <w:right w:val="nil"/>
            </w:tcBorders>
            <w:shd w:val="clear" w:color="auto" w:fill="auto"/>
            <w:noWrap/>
            <w:vAlign w:val="bottom"/>
            <w:hideMark/>
          </w:tcPr>
          <w:p w14:paraId="00AA583C" w14:textId="77777777" w:rsidR="00A04647" w:rsidRPr="00A04647" w:rsidRDefault="00A04647" w:rsidP="00B84321">
            <w:pPr>
              <w:spacing w:after="0" w:line="240" w:lineRule="auto"/>
              <w:jc w:val="center"/>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6,056,887</w:t>
            </w:r>
          </w:p>
        </w:tc>
        <w:tc>
          <w:tcPr>
            <w:tcW w:w="0" w:type="auto"/>
            <w:tcBorders>
              <w:top w:val="single" w:sz="4" w:space="0" w:color="auto"/>
              <w:left w:val="nil"/>
              <w:bottom w:val="single" w:sz="8" w:space="0" w:color="auto"/>
              <w:right w:val="nil"/>
            </w:tcBorders>
            <w:shd w:val="clear" w:color="auto" w:fill="auto"/>
            <w:noWrap/>
            <w:vAlign w:val="bottom"/>
            <w:hideMark/>
          </w:tcPr>
          <w:p w14:paraId="2207A72D" w14:textId="77777777" w:rsidR="00A04647" w:rsidRPr="00A04647" w:rsidRDefault="00A04647" w:rsidP="00B84321">
            <w:pPr>
              <w:spacing w:after="0" w:line="240" w:lineRule="auto"/>
              <w:jc w:val="center"/>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6,101,971</w:t>
            </w:r>
          </w:p>
        </w:tc>
        <w:tc>
          <w:tcPr>
            <w:tcW w:w="0" w:type="auto"/>
            <w:tcBorders>
              <w:top w:val="single" w:sz="4" w:space="0" w:color="auto"/>
              <w:left w:val="nil"/>
              <w:bottom w:val="single" w:sz="8" w:space="0" w:color="auto"/>
              <w:right w:val="nil"/>
            </w:tcBorders>
            <w:shd w:val="clear" w:color="auto" w:fill="auto"/>
            <w:noWrap/>
            <w:vAlign w:val="bottom"/>
            <w:hideMark/>
          </w:tcPr>
          <w:p w14:paraId="1AA537BA" w14:textId="77777777" w:rsidR="00A04647" w:rsidRPr="00A04647" w:rsidRDefault="00A04647" w:rsidP="00B84321">
            <w:pPr>
              <w:spacing w:after="0" w:line="240" w:lineRule="auto"/>
              <w:jc w:val="center"/>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6,144,010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14:paraId="4F579966" w14:textId="77777777" w:rsidR="00A04647" w:rsidRPr="00A04647" w:rsidRDefault="00A04647" w:rsidP="00B84321">
            <w:pPr>
              <w:spacing w:after="0" w:line="240" w:lineRule="auto"/>
              <w:jc w:val="center"/>
              <w:rPr>
                <w:rFonts w:ascii="Calibri" w:eastAsia="Times New Roman" w:hAnsi="Calibri" w:cs="Calibri"/>
                <w:b/>
                <w:bCs/>
                <w:kern w:val="0"/>
                <w14:ligatures w14:val="none"/>
              </w:rPr>
            </w:pPr>
            <w:r w:rsidRPr="00A04647">
              <w:rPr>
                <w:rFonts w:ascii="Calibri" w:eastAsia="Times New Roman" w:hAnsi="Calibri" w:cs="Calibri"/>
                <w:b/>
                <w:bCs/>
                <w:kern w:val="0"/>
                <w14:ligatures w14:val="none"/>
              </w:rPr>
              <w:t>2.9%</w:t>
            </w:r>
          </w:p>
        </w:tc>
      </w:tr>
    </w:tbl>
    <w:p w14:paraId="7B0B9F08" w14:textId="1FE39A4F" w:rsidR="00A04647" w:rsidRDefault="00A04647" w:rsidP="009036DE">
      <w:pPr>
        <w:spacing w:before="120" w:after="120" w:line="360" w:lineRule="auto"/>
        <w:jc w:val="center"/>
      </w:pPr>
      <w:r>
        <w:br w:type="textWrapping" w:clear="all"/>
      </w:r>
    </w:p>
    <w:p w14:paraId="1A5760CC" w14:textId="698BCC14" w:rsidR="009036DE" w:rsidRDefault="00D72465" w:rsidP="00843476">
      <w:pPr>
        <w:numPr>
          <w:ilvl w:val="0"/>
          <w:numId w:val="4"/>
        </w:numPr>
        <w:spacing w:before="120" w:after="120" w:line="360" w:lineRule="auto"/>
        <w:jc w:val="both"/>
      </w:pPr>
      <w:r>
        <w:t xml:space="preserve">Because the incidence of cancer is growing (as noted in DFCI’s Application), FTI adjusted the population-based projections of future demand for cancer care. </w:t>
      </w:r>
      <w:r w:rsidR="009036DE">
        <w:t xml:space="preserve">To estimate trends in cancer care incidence, FTI calculated the compound annual growth rate (CAGR) in inpatient cancer care </w:t>
      </w:r>
      <w:r w:rsidR="009036DE">
        <w:lastRenderedPageBreak/>
        <w:t>discharges per capita between 2019 and 2022 by age range and sex.</w:t>
      </w:r>
      <w:r w:rsidR="009036DE">
        <w:rPr>
          <w:rStyle w:val="FootnoteReference"/>
        </w:rPr>
        <w:footnoteReference w:id="57"/>
      </w:r>
      <w:r w:rsidR="009036DE">
        <w:t xml:space="preserve"> </w:t>
      </w:r>
      <w:r>
        <w:t>This adjustment factor was applied on an annual basis with population growth rates to the baseline 2022 utilization in each demographic bin.</w:t>
      </w:r>
    </w:p>
    <w:p w14:paraId="78A5A8B1" w14:textId="5C504A8E" w:rsidR="00355C4A" w:rsidRDefault="009036DE" w:rsidP="00C0773C">
      <w:pPr>
        <w:numPr>
          <w:ilvl w:val="0"/>
          <w:numId w:val="4"/>
        </w:numPr>
        <w:spacing w:before="120" w:after="120" w:line="360" w:lineRule="auto"/>
        <w:jc w:val="both"/>
      </w:pPr>
      <w:r>
        <w:t>This methodology</w:t>
      </w:r>
      <w:r w:rsidRPr="006C0788">
        <w:t xml:space="preserve"> assume</w:t>
      </w:r>
      <w:r>
        <w:t>s</w:t>
      </w:r>
      <w:r w:rsidRPr="006C0788">
        <w:t xml:space="preserve"> </w:t>
      </w:r>
      <w:r>
        <w:t xml:space="preserve">that </w:t>
      </w:r>
      <w:r w:rsidR="00D72465">
        <w:t xml:space="preserve">growth in </w:t>
      </w:r>
      <w:r>
        <w:t xml:space="preserve">service </w:t>
      </w:r>
      <w:r w:rsidRPr="006C0788">
        <w:t xml:space="preserve">utilization rates </w:t>
      </w:r>
      <w:r>
        <w:t xml:space="preserve">within each demographic group </w:t>
      </w:r>
      <w:r w:rsidR="00D72465">
        <w:t xml:space="preserve">will be constant over time </w:t>
      </w:r>
      <w:r>
        <w:t>and that volume</w:t>
      </w:r>
      <w:r w:rsidR="00D72465">
        <w:t xml:space="preserve"> will otherwise </w:t>
      </w:r>
      <w:r>
        <w:t xml:space="preserve">change proportionally </w:t>
      </w:r>
      <w:r w:rsidR="00D72465">
        <w:t xml:space="preserve">to </w:t>
      </w:r>
      <w:r>
        <w:t xml:space="preserve">population. </w:t>
      </w:r>
      <w:r w:rsidR="00D72465">
        <w:t>For ease of exposition, the ICA analyses assume that the Proposed Project will be operational in 2025.</w:t>
      </w:r>
      <w:r w:rsidR="00D72465">
        <w:rPr>
          <w:rStyle w:val="FootnoteReference"/>
        </w:rPr>
        <w:footnoteReference w:id="58"/>
      </w:r>
      <w:r w:rsidR="00D72465">
        <w:t xml:space="preserve"> </w:t>
      </w:r>
      <w:r w:rsidR="00982566">
        <w:t xml:space="preserve">FTI </w:t>
      </w:r>
      <w:r w:rsidR="00D72465">
        <w:t>then project</w:t>
      </w:r>
      <w:r w:rsidR="00982566">
        <w:t>ed</w:t>
      </w:r>
      <w:r w:rsidR="00D72465">
        <w:t xml:space="preserve"> utilization and demand in five</w:t>
      </w:r>
      <w:r w:rsidR="008949D9">
        <w:t>-</w:t>
      </w:r>
      <w:r w:rsidR="00D72465">
        <w:t xml:space="preserve">year increments for the next fifteen years (i.e., through 2040). </w:t>
      </w:r>
    </w:p>
    <w:p w14:paraId="69CA8985" w14:textId="11403144" w:rsidR="003C0737" w:rsidRDefault="003C0737" w:rsidP="00C0773C">
      <w:pPr>
        <w:numPr>
          <w:ilvl w:val="0"/>
          <w:numId w:val="4"/>
        </w:numPr>
        <w:spacing w:before="120" w:after="120" w:line="360" w:lineRule="auto"/>
        <w:jc w:val="both"/>
      </w:pPr>
      <w:r>
        <w:t xml:space="preserve">The </w:t>
      </w:r>
      <w:r w:rsidR="00495C95">
        <w:t xml:space="preserve">method for </w:t>
      </w:r>
      <w:r>
        <w:t>project</w:t>
      </w:r>
      <w:r w:rsidR="00495C95">
        <w:t>ing</w:t>
      </w:r>
      <w:r>
        <w:t xml:space="preserve"> utilization of services is based solely on the expected changes in population and cancer care incidence trends.</w:t>
      </w:r>
      <w:r w:rsidR="00D155D1">
        <w:rPr>
          <w:rStyle w:val="FootnoteReference"/>
        </w:rPr>
        <w:footnoteReference w:id="59"/>
      </w:r>
      <w:r>
        <w:t xml:space="preserve"> It does not account for potential changes in future demand that are driven by factors such as changes in treatment patterns, care-seeking behaviors, or entry or expansion of local facilities.</w:t>
      </w:r>
      <w:r>
        <w:rPr>
          <w:rStyle w:val="FootnoteReference"/>
          <w:rFonts w:cs="Times New Roman"/>
        </w:rPr>
        <w:footnoteReference w:id="60"/>
      </w:r>
    </w:p>
    <w:p w14:paraId="0F47488F" w14:textId="71890A8A" w:rsidR="003C0737" w:rsidRDefault="003C0737" w:rsidP="008C4EE0">
      <w:pPr>
        <w:pStyle w:val="Heading2"/>
      </w:pPr>
      <w:bookmarkStart w:id="33" w:name="_Toc187401750"/>
      <w:r>
        <w:t xml:space="preserve">Projected Changes in </w:t>
      </w:r>
      <w:r w:rsidR="009A58A5">
        <w:t xml:space="preserve">Inpatient </w:t>
      </w:r>
      <w:r>
        <w:t>Cancer Care Services Utilization</w:t>
      </w:r>
      <w:bookmarkEnd w:id="33"/>
    </w:p>
    <w:p w14:paraId="3F2D0763" w14:textId="740B0CA2" w:rsidR="003C0737" w:rsidRDefault="003C0737" w:rsidP="00C0773C">
      <w:pPr>
        <w:numPr>
          <w:ilvl w:val="0"/>
          <w:numId w:val="4"/>
        </w:numPr>
        <w:spacing w:before="120" w:after="120" w:line="360" w:lineRule="auto"/>
        <w:jc w:val="both"/>
      </w:pPr>
      <w:r>
        <w:t xml:space="preserve">This section presents the results of </w:t>
      </w:r>
      <w:r w:rsidR="0029440F">
        <w:t>the demand projection methodology outlined above for each relevant service line.</w:t>
      </w:r>
      <w:r w:rsidR="0029440F">
        <w:rPr>
          <w:rStyle w:val="FootnoteReference"/>
        </w:rPr>
        <w:footnoteReference w:id="61"/>
      </w:r>
      <w:r w:rsidR="0029440F">
        <w:t xml:space="preserve"> </w:t>
      </w:r>
    </w:p>
    <w:p w14:paraId="72AE16CC" w14:textId="513D11F8" w:rsidR="00FE38D7" w:rsidRDefault="009B4243" w:rsidP="009B4243">
      <w:pPr>
        <w:numPr>
          <w:ilvl w:val="0"/>
          <w:numId w:val="4"/>
        </w:numPr>
        <w:spacing w:before="120" w:after="120" w:line="360" w:lineRule="auto"/>
        <w:jc w:val="both"/>
      </w:pPr>
      <w:r w:rsidRPr="009B4243">
        <w:t xml:space="preserve">Utilization projections were developed by area, service, and payor. Application of the methodology results in initial projections that the total utilization of inpatient cancer care across all regions in the state will increase by 26.8% </w:t>
      </w:r>
      <w:r w:rsidR="00FE38D7">
        <w:t xml:space="preserve">from 78,122 </w:t>
      </w:r>
      <w:r w:rsidR="00982566">
        <w:t xml:space="preserve">discharges </w:t>
      </w:r>
      <w:r w:rsidR="00FE38D7">
        <w:t xml:space="preserve">in </w:t>
      </w:r>
      <w:r w:rsidRPr="009B4243">
        <w:t xml:space="preserve">2025 </w:t>
      </w:r>
      <w:r w:rsidR="00FE38D7">
        <w:t xml:space="preserve">to 99,070 </w:t>
      </w:r>
      <w:r w:rsidR="00982566">
        <w:t xml:space="preserve">discharges </w:t>
      </w:r>
      <w:r w:rsidR="00FE38D7">
        <w:t xml:space="preserve">in </w:t>
      </w:r>
      <w:r w:rsidRPr="009B4243">
        <w:t xml:space="preserve">2040. </w:t>
      </w:r>
      <w:r w:rsidR="00FE38D7">
        <w:t>The majority of this growth in utilization is driven by the growth of older cohorts with higher cancer prevalence (e.g., individuals age 75 and above) and, to a lesser extent, by trends towards higher cancer-related hospitalization rates (including due to higher rates of cancer incidence). For context, this increase of nearly 26,000 additional discharges is larger than the current total number of inpatient cancer care discharges at MGH, BWH, BIDMC, and DFCI combined.</w:t>
      </w:r>
    </w:p>
    <w:p w14:paraId="145A7F51" w14:textId="7266F7ED" w:rsidR="009B4243" w:rsidRDefault="00CB3CBF" w:rsidP="009B4243">
      <w:pPr>
        <w:numPr>
          <w:ilvl w:val="0"/>
          <w:numId w:val="4"/>
        </w:numPr>
        <w:spacing w:before="120" w:after="120" w:line="360" w:lineRule="auto"/>
        <w:jc w:val="both"/>
      </w:pPr>
      <w:r>
        <w:lastRenderedPageBreak/>
        <w:t xml:space="preserve">To address questions about utilization by various segments of the population, FTI also evaluated utilization by patient geography, payor type, patient race, and patient acuity level. </w:t>
      </w:r>
      <w:r w:rsidR="009B4243">
        <w:t xml:space="preserve">As shown in Table </w:t>
      </w:r>
      <w:r w:rsidR="00AB290B">
        <w:t>10</w:t>
      </w:r>
      <w:r w:rsidR="009B4243">
        <w:t xml:space="preserve">, </w:t>
      </w:r>
      <w:r w:rsidR="00FE38D7">
        <w:t xml:space="preserve">the regions with the highest forecast growth in the state over this period are the </w:t>
      </w:r>
      <w:r w:rsidR="009B4243" w:rsidRPr="009B4243">
        <w:t xml:space="preserve">Boston, Northeast, and Central </w:t>
      </w:r>
      <w:r w:rsidR="00982566">
        <w:t xml:space="preserve">HSAs </w:t>
      </w:r>
      <w:r w:rsidR="009B4243" w:rsidRPr="009B4243">
        <w:t xml:space="preserve">(32.0%, 30.2%, and 29.8% respectively). </w:t>
      </w:r>
      <w:r w:rsidR="009B4243">
        <w:t xml:space="preserve">Due to </w:t>
      </w:r>
      <w:r w:rsidR="00100B6C">
        <w:t>the</w:t>
      </w:r>
      <w:r w:rsidR="009B4243">
        <w:t xml:space="preserve"> aging population, </w:t>
      </w:r>
      <w:r w:rsidR="009B4243" w:rsidRPr="009B4243">
        <w:t xml:space="preserve">Medicare </w:t>
      </w:r>
      <w:r w:rsidR="00982566">
        <w:t>patients</w:t>
      </w:r>
      <w:r w:rsidR="009B4243">
        <w:t xml:space="preserve"> are projected to see more inpatient cancer care utilization growth than other payors </w:t>
      </w:r>
      <w:r w:rsidR="009B4243" w:rsidRPr="009B4243">
        <w:t xml:space="preserve">(38.6%) while </w:t>
      </w:r>
      <w:r w:rsidR="009B4243">
        <w:t>utilization among co</w:t>
      </w:r>
      <w:r w:rsidR="009B4243" w:rsidRPr="009B4243">
        <w:t>mmercial</w:t>
      </w:r>
      <w:r w:rsidR="009B4243">
        <w:t>ly insured patients is projected to remain relatively stable</w:t>
      </w:r>
      <w:r w:rsidR="009B4243" w:rsidRPr="009B4243">
        <w:t xml:space="preserve"> (-0.2%)</w:t>
      </w:r>
      <w:r w:rsidR="00100B6C">
        <w:t xml:space="preserve"> (see Table </w:t>
      </w:r>
      <w:r w:rsidR="00C228C7">
        <w:t>1</w:t>
      </w:r>
      <w:r w:rsidR="00AB290B">
        <w:t>1</w:t>
      </w:r>
      <w:r w:rsidR="00100B6C">
        <w:t>)</w:t>
      </w:r>
      <w:r w:rsidR="009B4243" w:rsidRPr="009B4243">
        <w:t xml:space="preserve">. </w:t>
      </w:r>
      <w:r w:rsidR="00100B6C">
        <w:t xml:space="preserve">Table </w:t>
      </w:r>
      <w:r w:rsidR="00C228C7">
        <w:t>1</w:t>
      </w:r>
      <w:r w:rsidR="00AB290B">
        <w:t>2</w:t>
      </w:r>
      <w:r w:rsidR="00100B6C">
        <w:t xml:space="preserve"> sets out projected demand growth by patient race with relatively similar growth rates across </w:t>
      </w:r>
      <w:r>
        <w:t xml:space="preserve">the largest patient populations. </w:t>
      </w:r>
      <w:r w:rsidR="00100B6C">
        <w:t xml:space="preserve">Table </w:t>
      </w:r>
      <w:r w:rsidR="00C228C7">
        <w:t>1</w:t>
      </w:r>
      <w:r w:rsidR="00AB290B">
        <w:t>3</w:t>
      </w:r>
      <w:r w:rsidR="00100B6C">
        <w:t xml:space="preserve"> provides demand projections by patient acuity level as measured by DRG weight.</w:t>
      </w:r>
    </w:p>
    <w:p w14:paraId="60003A11" w14:textId="57BFAA57" w:rsidR="00CB3CBF" w:rsidRDefault="00CB3CBF" w:rsidP="009B4243">
      <w:pPr>
        <w:numPr>
          <w:ilvl w:val="0"/>
          <w:numId w:val="4"/>
        </w:numPr>
        <w:spacing w:before="120" w:after="120" w:line="360" w:lineRule="auto"/>
        <w:jc w:val="both"/>
      </w:pPr>
      <w:r w:rsidRPr="00CB3CBF">
        <w:t xml:space="preserve">In sum, the projected demand by Massachusetts residents for </w:t>
      </w:r>
      <w:r>
        <w:t xml:space="preserve">inpatient cancer care </w:t>
      </w:r>
      <w:r w:rsidRPr="00CB3CBF">
        <w:t xml:space="preserve">services </w:t>
      </w:r>
      <w:r>
        <w:t xml:space="preserve">is </w:t>
      </w:r>
      <w:r w:rsidRPr="00CB3CBF">
        <w:t xml:space="preserve">high and projected </w:t>
      </w:r>
      <w:r>
        <w:t>to grow significantly</w:t>
      </w:r>
      <w:r w:rsidRPr="00CB3CBF">
        <w:t xml:space="preserve">. The projected mix of demand by </w:t>
      </w:r>
      <w:r w:rsidR="001E5225">
        <w:t xml:space="preserve">payor </w:t>
      </w:r>
      <w:r w:rsidRPr="00CB3CBF">
        <w:t xml:space="preserve">shows that </w:t>
      </w:r>
      <w:r w:rsidR="001E5225">
        <w:t xml:space="preserve">Medicare will continue to </w:t>
      </w:r>
      <w:r w:rsidRPr="00CB3CBF">
        <w:t xml:space="preserve">account for </w:t>
      </w:r>
      <w:r w:rsidR="001E5225">
        <w:t xml:space="preserve">the majority of </w:t>
      </w:r>
      <w:r w:rsidRPr="00CB3CBF">
        <w:t xml:space="preserve">demand and utilization. These trend projections as well as levels address the ICA </w:t>
      </w:r>
      <w:r w:rsidR="00982566">
        <w:t>Q</w:t>
      </w:r>
      <w:r w:rsidRPr="00CB3CBF">
        <w:t xml:space="preserve">uestions that require consideration and projections of likely demand for services in </w:t>
      </w:r>
      <w:r w:rsidR="00982566">
        <w:t xml:space="preserve">the </w:t>
      </w:r>
      <w:r w:rsidRPr="00CB3CBF">
        <w:t xml:space="preserve">future and for services from </w:t>
      </w:r>
      <w:r w:rsidR="001E5225">
        <w:t xml:space="preserve">DFCI </w:t>
      </w:r>
      <w:r w:rsidRPr="00CB3CBF">
        <w:t xml:space="preserve">(as well as other providers). The methods used in this section by FTI </w:t>
      </w:r>
      <w:r w:rsidR="00982566">
        <w:t>are</w:t>
      </w:r>
      <w:r w:rsidRPr="00CB3CBF">
        <w:t xml:space="preserve"> standard for estimating current utilization and demand and </w:t>
      </w:r>
      <w:r w:rsidR="00982566">
        <w:t xml:space="preserve">in </w:t>
      </w:r>
      <w:r w:rsidRPr="00CB3CBF">
        <w:t xml:space="preserve">forecast models </w:t>
      </w:r>
      <w:r w:rsidR="00982566">
        <w:t xml:space="preserve">of </w:t>
      </w:r>
      <w:r w:rsidRPr="00CB3CBF">
        <w:t>future demand</w:t>
      </w:r>
      <w:r w:rsidR="00982566">
        <w:t>.</w:t>
      </w:r>
      <w:r w:rsidRPr="00CB3CBF">
        <w:t xml:space="preserve"> </w:t>
      </w:r>
      <w:r w:rsidR="00982566">
        <w:t xml:space="preserve">They </w:t>
      </w:r>
      <w:r w:rsidRPr="00CB3CBF">
        <w:t xml:space="preserve">provide a basis for estimating the proportion of the patient population that likely will come to </w:t>
      </w:r>
      <w:r w:rsidR="001E5225">
        <w:t xml:space="preserve">DFCI </w:t>
      </w:r>
      <w:r w:rsidRPr="00CB3CBF">
        <w:t xml:space="preserve">for specific services at the new </w:t>
      </w:r>
      <w:r w:rsidR="001E5225">
        <w:t>proposed facility</w:t>
      </w:r>
      <w:r w:rsidRPr="00CB3CBF">
        <w:t xml:space="preserve">. </w:t>
      </w:r>
    </w:p>
    <w:p w14:paraId="4111DEFB" w14:textId="20978FB8" w:rsidR="009B4243" w:rsidRDefault="009B4243" w:rsidP="00B84321">
      <w:pPr>
        <w:pStyle w:val="Caption"/>
        <w:keepNext/>
        <w:jc w:val="center"/>
      </w:pPr>
      <w:bookmarkStart w:id="34" w:name="_Toc187401783"/>
      <w:r>
        <w:t xml:space="preserve">Table </w:t>
      </w:r>
      <w:fldSimple w:instr=" SEQ Table \* ARABIC ">
        <w:r w:rsidR="0085394E">
          <w:rPr>
            <w:noProof/>
          </w:rPr>
          <w:t>10</w:t>
        </w:r>
      </w:fldSimple>
      <w:r>
        <w:t xml:space="preserve">: </w:t>
      </w:r>
      <w:r w:rsidR="00100B6C">
        <w:t xml:space="preserve">Projected Demand for </w:t>
      </w:r>
      <w:r>
        <w:t>Inpatient Cancer Care by Patient HSA, 2025-20</w:t>
      </w:r>
      <w:r w:rsidR="001272B8">
        <w:t>4</w:t>
      </w:r>
      <w:r>
        <w:t>0</w:t>
      </w:r>
      <w:bookmarkEnd w:id="34"/>
    </w:p>
    <w:tbl>
      <w:tblPr>
        <w:tblW w:w="0" w:type="auto"/>
        <w:jc w:val="center"/>
        <w:tblLayout w:type="fixed"/>
        <w:tblLook w:val="04A0" w:firstRow="1" w:lastRow="0" w:firstColumn="1" w:lastColumn="0" w:noHBand="0" w:noVBand="1"/>
      </w:tblPr>
      <w:tblGrid>
        <w:gridCol w:w="1520"/>
        <w:gridCol w:w="1197"/>
        <w:gridCol w:w="950"/>
        <w:gridCol w:w="950"/>
        <w:gridCol w:w="950"/>
        <w:gridCol w:w="951"/>
        <w:gridCol w:w="1313"/>
      </w:tblGrid>
      <w:tr w:rsidR="00B84321" w:rsidRPr="007E54B8" w14:paraId="02306D84" w14:textId="77777777" w:rsidTr="009E60DE">
        <w:trPr>
          <w:cantSplit/>
          <w:trHeight w:val="268"/>
          <w:tblHeader/>
          <w:jc w:val="center"/>
        </w:trPr>
        <w:tc>
          <w:tcPr>
            <w:tcW w:w="1520" w:type="dxa"/>
            <w:tcBorders>
              <w:top w:val="single" w:sz="8" w:space="0" w:color="auto"/>
              <w:left w:val="single" w:sz="8" w:space="0" w:color="auto"/>
              <w:right w:val="nil"/>
            </w:tcBorders>
            <w:shd w:val="clear" w:color="000000" w:fill="002060"/>
            <w:noWrap/>
            <w:vAlign w:val="bottom"/>
            <w:hideMark/>
          </w:tcPr>
          <w:p w14:paraId="329DFD89"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 </w:t>
            </w:r>
          </w:p>
        </w:tc>
        <w:tc>
          <w:tcPr>
            <w:tcW w:w="1197" w:type="dxa"/>
            <w:tcBorders>
              <w:top w:val="single" w:sz="8" w:space="0" w:color="auto"/>
              <w:left w:val="single" w:sz="4" w:space="0" w:color="auto"/>
              <w:right w:val="single" w:sz="4" w:space="0" w:color="auto"/>
            </w:tcBorders>
            <w:shd w:val="clear" w:color="000000" w:fill="002060"/>
            <w:vAlign w:val="bottom"/>
            <w:hideMark/>
          </w:tcPr>
          <w:p w14:paraId="72143DB8" w14:textId="5672D87E"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c>
          <w:tcPr>
            <w:tcW w:w="3801" w:type="dxa"/>
            <w:gridSpan w:val="4"/>
            <w:tcBorders>
              <w:top w:val="single" w:sz="8" w:space="0" w:color="auto"/>
              <w:left w:val="nil"/>
              <w:bottom w:val="nil"/>
              <w:right w:val="single" w:sz="4" w:space="0" w:color="000000"/>
            </w:tcBorders>
            <w:shd w:val="clear" w:color="000000" w:fill="002060"/>
            <w:noWrap/>
            <w:vAlign w:val="bottom"/>
            <w:hideMark/>
          </w:tcPr>
          <w:p w14:paraId="0D90AA97" w14:textId="77777777"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Projected Discharges</w:t>
            </w:r>
          </w:p>
        </w:tc>
        <w:tc>
          <w:tcPr>
            <w:tcW w:w="1313" w:type="dxa"/>
            <w:tcBorders>
              <w:top w:val="single" w:sz="8" w:space="0" w:color="auto"/>
              <w:left w:val="nil"/>
              <w:right w:val="single" w:sz="8" w:space="0" w:color="auto"/>
            </w:tcBorders>
            <w:shd w:val="clear" w:color="000000" w:fill="002060"/>
            <w:vAlign w:val="bottom"/>
            <w:hideMark/>
          </w:tcPr>
          <w:p w14:paraId="01ED2851" w14:textId="353229CC"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r>
      <w:tr w:rsidR="00421E05" w:rsidRPr="007E54B8" w14:paraId="4A7FD9F8" w14:textId="77777777" w:rsidTr="009E60DE">
        <w:trPr>
          <w:cantSplit/>
          <w:trHeight w:val="270"/>
          <w:tblHeader/>
          <w:jc w:val="center"/>
        </w:trPr>
        <w:tc>
          <w:tcPr>
            <w:tcW w:w="1520" w:type="dxa"/>
            <w:tcBorders>
              <w:left w:val="single" w:sz="8" w:space="0" w:color="auto"/>
              <w:bottom w:val="nil"/>
              <w:right w:val="nil"/>
            </w:tcBorders>
            <w:shd w:val="clear" w:color="000000" w:fill="002060"/>
            <w:noWrap/>
            <w:vAlign w:val="bottom"/>
            <w:hideMark/>
          </w:tcPr>
          <w:p w14:paraId="16E61C60" w14:textId="77777777" w:rsidR="00421E05" w:rsidRPr="007E54B8" w:rsidRDefault="00421E05" w:rsidP="007E54B8">
            <w:pPr>
              <w:spacing w:after="0" w:line="240" w:lineRule="auto"/>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HSA</w:t>
            </w:r>
          </w:p>
        </w:tc>
        <w:tc>
          <w:tcPr>
            <w:tcW w:w="1197" w:type="dxa"/>
            <w:vMerge w:val="restart"/>
            <w:tcBorders>
              <w:left w:val="single" w:sz="4" w:space="0" w:color="auto"/>
              <w:right w:val="single" w:sz="4" w:space="0" w:color="auto"/>
            </w:tcBorders>
            <w:shd w:val="clear" w:color="000000" w:fill="002060"/>
            <w:vAlign w:val="center"/>
            <w:hideMark/>
          </w:tcPr>
          <w:p w14:paraId="14DB5AED" w14:textId="0EE83CC2" w:rsidR="00421E05" w:rsidRPr="007E54B8" w:rsidRDefault="00421E05" w:rsidP="00421E05">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2022 Discharges</w:t>
            </w:r>
          </w:p>
        </w:tc>
        <w:tc>
          <w:tcPr>
            <w:tcW w:w="950" w:type="dxa"/>
            <w:vMerge w:val="restart"/>
            <w:tcBorders>
              <w:top w:val="nil"/>
              <w:left w:val="nil"/>
              <w:right w:val="nil"/>
            </w:tcBorders>
            <w:shd w:val="clear" w:color="000000" w:fill="002060"/>
            <w:noWrap/>
            <w:vAlign w:val="bottom"/>
            <w:hideMark/>
          </w:tcPr>
          <w:p w14:paraId="3E3BEFF6"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2025</w:t>
            </w:r>
          </w:p>
        </w:tc>
        <w:tc>
          <w:tcPr>
            <w:tcW w:w="950" w:type="dxa"/>
            <w:vMerge w:val="restart"/>
            <w:tcBorders>
              <w:top w:val="nil"/>
              <w:left w:val="nil"/>
              <w:right w:val="nil"/>
            </w:tcBorders>
            <w:shd w:val="clear" w:color="000000" w:fill="002060"/>
            <w:noWrap/>
            <w:vAlign w:val="bottom"/>
            <w:hideMark/>
          </w:tcPr>
          <w:p w14:paraId="1C718B0D"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2030</w:t>
            </w:r>
          </w:p>
        </w:tc>
        <w:tc>
          <w:tcPr>
            <w:tcW w:w="950" w:type="dxa"/>
            <w:vMerge w:val="restart"/>
            <w:tcBorders>
              <w:top w:val="nil"/>
              <w:left w:val="nil"/>
              <w:right w:val="nil"/>
            </w:tcBorders>
            <w:shd w:val="clear" w:color="000000" w:fill="002060"/>
            <w:noWrap/>
            <w:vAlign w:val="bottom"/>
            <w:hideMark/>
          </w:tcPr>
          <w:p w14:paraId="4AF03B74"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2035</w:t>
            </w:r>
          </w:p>
        </w:tc>
        <w:tc>
          <w:tcPr>
            <w:tcW w:w="951" w:type="dxa"/>
            <w:vMerge w:val="restart"/>
            <w:tcBorders>
              <w:top w:val="nil"/>
              <w:left w:val="nil"/>
              <w:right w:val="single" w:sz="4" w:space="0" w:color="auto"/>
            </w:tcBorders>
            <w:shd w:val="clear" w:color="000000" w:fill="002060"/>
            <w:noWrap/>
            <w:vAlign w:val="bottom"/>
            <w:hideMark/>
          </w:tcPr>
          <w:p w14:paraId="7D25A0C9"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2040</w:t>
            </w:r>
          </w:p>
        </w:tc>
        <w:tc>
          <w:tcPr>
            <w:tcW w:w="1313" w:type="dxa"/>
            <w:vMerge w:val="restart"/>
            <w:tcBorders>
              <w:left w:val="nil"/>
              <w:right w:val="single" w:sz="8" w:space="0" w:color="auto"/>
            </w:tcBorders>
            <w:shd w:val="clear" w:color="000000" w:fill="002060"/>
            <w:vAlign w:val="center"/>
            <w:hideMark/>
          </w:tcPr>
          <w:p w14:paraId="27964272" w14:textId="607A3838" w:rsidR="00421E05" w:rsidRPr="007E54B8" w:rsidRDefault="00421E05" w:rsidP="00421E05">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Growth</w:t>
            </w:r>
            <w:r w:rsidRPr="007E54B8">
              <w:rPr>
                <w:rFonts w:ascii="Calibri" w:eastAsia="Times New Roman" w:hAnsi="Calibri" w:cs="Calibri"/>
                <w:b/>
                <w:bCs/>
                <w:color w:val="FFFFFF"/>
                <w:kern w:val="0"/>
                <w14:ligatures w14:val="none"/>
              </w:rPr>
              <w:br/>
              <w:t>(2025-2040)</w:t>
            </w:r>
          </w:p>
        </w:tc>
      </w:tr>
      <w:tr w:rsidR="00421E05" w:rsidRPr="007E54B8" w14:paraId="32B41541" w14:textId="77777777" w:rsidTr="009E60DE">
        <w:trPr>
          <w:cantSplit/>
          <w:trHeight w:val="270"/>
          <w:jc w:val="center"/>
        </w:trPr>
        <w:tc>
          <w:tcPr>
            <w:tcW w:w="1520" w:type="dxa"/>
            <w:tcBorders>
              <w:top w:val="nil"/>
              <w:left w:val="single" w:sz="8" w:space="0" w:color="auto"/>
              <w:bottom w:val="nil"/>
              <w:right w:val="nil"/>
            </w:tcBorders>
            <w:shd w:val="clear" w:color="000000" w:fill="002060"/>
            <w:noWrap/>
            <w:vAlign w:val="bottom"/>
          </w:tcPr>
          <w:p w14:paraId="515174D6" w14:textId="77777777" w:rsidR="00421E05" w:rsidRPr="007E54B8" w:rsidRDefault="00421E05" w:rsidP="007E54B8">
            <w:pPr>
              <w:spacing w:after="0" w:line="240" w:lineRule="auto"/>
              <w:rPr>
                <w:rFonts w:ascii="Calibri" w:eastAsia="Times New Roman" w:hAnsi="Calibri" w:cs="Calibri"/>
                <w:b/>
                <w:bCs/>
                <w:color w:val="FFFFFF"/>
                <w:kern w:val="0"/>
                <w14:ligatures w14:val="none"/>
              </w:rPr>
            </w:pPr>
          </w:p>
        </w:tc>
        <w:tc>
          <w:tcPr>
            <w:tcW w:w="1197" w:type="dxa"/>
            <w:vMerge/>
            <w:tcBorders>
              <w:left w:val="single" w:sz="4" w:space="0" w:color="auto"/>
              <w:bottom w:val="nil"/>
              <w:right w:val="single" w:sz="4" w:space="0" w:color="auto"/>
            </w:tcBorders>
            <w:shd w:val="clear" w:color="000000" w:fill="002060"/>
            <w:vAlign w:val="center"/>
          </w:tcPr>
          <w:p w14:paraId="3CFC20D1" w14:textId="77777777" w:rsidR="00421E05" w:rsidRPr="007E54B8" w:rsidRDefault="00421E05" w:rsidP="007E54B8">
            <w:pPr>
              <w:spacing w:after="0" w:line="240" w:lineRule="auto"/>
              <w:rPr>
                <w:rFonts w:ascii="Calibri" w:eastAsia="Times New Roman" w:hAnsi="Calibri" w:cs="Calibri"/>
                <w:b/>
                <w:bCs/>
                <w:color w:val="FFFFFF"/>
                <w:kern w:val="0"/>
                <w14:ligatures w14:val="none"/>
              </w:rPr>
            </w:pPr>
          </w:p>
        </w:tc>
        <w:tc>
          <w:tcPr>
            <w:tcW w:w="950" w:type="dxa"/>
            <w:vMerge/>
            <w:tcBorders>
              <w:left w:val="nil"/>
              <w:bottom w:val="nil"/>
              <w:right w:val="nil"/>
            </w:tcBorders>
            <w:shd w:val="clear" w:color="000000" w:fill="002060"/>
            <w:noWrap/>
            <w:vAlign w:val="bottom"/>
          </w:tcPr>
          <w:p w14:paraId="2F83BB0F"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p>
        </w:tc>
        <w:tc>
          <w:tcPr>
            <w:tcW w:w="950" w:type="dxa"/>
            <w:vMerge/>
            <w:tcBorders>
              <w:left w:val="nil"/>
              <w:bottom w:val="nil"/>
              <w:right w:val="nil"/>
            </w:tcBorders>
            <w:shd w:val="clear" w:color="000000" w:fill="002060"/>
            <w:noWrap/>
            <w:vAlign w:val="bottom"/>
          </w:tcPr>
          <w:p w14:paraId="6BABECB6"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p>
        </w:tc>
        <w:tc>
          <w:tcPr>
            <w:tcW w:w="950" w:type="dxa"/>
            <w:vMerge/>
            <w:tcBorders>
              <w:left w:val="nil"/>
              <w:bottom w:val="nil"/>
              <w:right w:val="nil"/>
            </w:tcBorders>
            <w:shd w:val="clear" w:color="000000" w:fill="002060"/>
            <w:noWrap/>
            <w:vAlign w:val="bottom"/>
          </w:tcPr>
          <w:p w14:paraId="3DA50026"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p>
        </w:tc>
        <w:tc>
          <w:tcPr>
            <w:tcW w:w="951" w:type="dxa"/>
            <w:vMerge/>
            <w:tcBorders>
              <w:left w:val="nil"/>
              <w:bottom w:val="nil"/>
              <w:right w:val="single" w:sz="4" w:space="0" w:color="auto"/>
            </w:tcBorders>
            <w:shd w:val="clear" w:color="000000" w:fill="002060"/>
            <w:noWrap/>
            <w:vAlign w:val="bottom"/>
          </w:tcPr>
          <w:p w14:paraId="7E03795C" w14:textId="77777777" w:rsidR="00421E05" w:rsidRPr="007E54B8" w:rsidRDefault="00421E05" w:rsidP="007E54B8">
            <w:pPr>
              <w:spacing w:after="0" w:line="240" w:lineRule="auto"/>
              <w:jc w:val="center"/>
              <w:rPr>
                <w:rFonts w:ascii="Calibri" w:eastAsia="Times New Roman" w:hAnsi="Calibri" w:cs="Calibri"/>
                <w:i/>
                <w:iCs/>
                <w:color w:val="FFFFFF"/>
                <w:kern w:val="0"/>
                <w14:ligatures w14:val="none"/>
              </w:rPr>
            </w:pPr>
          </w:p>
        </w:tc>
        <w:tc>
          <w:tcPr>
            <w:tcW w:w="1313" w:type="dxa"/>
            <w:vMerge/>
            <w:tcBorders>
              <w:left w:val="nil"/>
              <w:bottom w:val="nil"/>
              <w:right w:val="single" w:sz="8" w:space="0" w:color="auto"/>
            </w:tcBorders>
            <w:shd w:val="clear" w:color="000000" w:fill="002060"/>
            <w:vAlign w:val="center"/>
          </w:tcPr>
          <w:p w14:paraId="6653AA2B" w14:textId="77777777" w:rsidR="00421E05" w:rsidRPr="007E54B8" w:rsidRDefault="00421E05" w:rsidP="007E54B8">
            <w:pPr>
              <w:spacing w:after="0" w:line="240" w:lineRule="auto"/>
              <w:rPr>
                <w:rFonts w:ascii="Calibri" w:eastAsia="Times New Roman" w:hAnsi="Calibri" w:cs="Calibri"/>
                <w:b/>
                <w:bCs/>
                <w:color w:val="FFFFFF"/>
                <w:kern w:val="0"/>
                <w14:ligatures w14:val="none"/>
              </w:rPr>
            </w:pPr>
          </w:p>
        </w:tc>
      </w:tr>
      <w:tr w:rsidR="00B84321" w:rsidRPr="007E54B8" w14:paraId="454FA7D8" w14:textId="77777777" w:rsidTr="009E60DE">
        <w:trPr>
          <w:cantSplit/>
          <w:trHeight w:val="290"/>
          <w:jc w:val="center"/>
        </w:trPr>
        <w:tc>
          <w:tcPr>
            <w:tcW w:w="1520" w:type="dxa"/>
            <w:tcBorders>
              <w:top w:val="nil"/>
              <w:left w:val="single" w:sz="8" w:space="0" w:color="auto"/>
              <w:bottom w:val="dashed" w:sz="4" w:space="0" w:color="auto"/>
              <w:right w:val="nil"/>
            </w:tcBorders>
            <w:shd w:val="clear" w:color="auto" w:fill="auto"/>
            <w:noWrap/>
            <w:vAlign w:val="bottom"/>
            <w:hideMark/>
          </w:tcPr>
          <w:p w14:paraId="25D9CEAB"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Metro West</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2FDA4C37"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16,219</w:t>
            </w:r>
          </w:p>
        </w:tc>
        <w:tc>
          <w:tcPr>
            <w:tcW w:w="950" w:type="dxa"/>
            <w:tcBorders>
              <w:top w:val="nil"/>
              <w:left w:val="nil"/>
              <w:bottom w:val="dashed" w:sz="4" w:space="0" w:color="auto"/>
              <w:right w:val="nil"/>
            </w:tcBorders>
            <w:shd w:val="clear" w:color="auto" w:fill="auto"/>
            <w:noWrap/>
            <w:vAlign w:val="bottom"/>
            <w:hideMark/>
          </w:tcPr>
          <w:p w14:paraId="64AAA881"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17,213</w:t>
            </w:r>
          </w:p>
        </w:tc>
        <w:tc>
          <w:tcPr>
            <w:tcW w:w="950" w:type="dxa"/>
            <w:tcBorders>
              <w:top w:val="nil"/>
              <w:left w:val="nil"/>
              <w:bottom w:val="dashed" w:sz="4" w:space="0" w:color="auto"/>
              <w:right w:val="nil"/>
            </w:tcBorders>
            <w:shd w:val="clear" w:color="auto" w:fill="auto"/>
            <w:noWrap/>
            <w:vAlign w:val="bottom"/>
            <w:hideMark/>
          </w:tcPr>
          <w:p w14:paraId="020F447E"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18,963</w:t>
            </w:r>
          </w:p>
        </w:tc>
        <w:tc>
          <w:tcPr>
            <w:tcW w:w="950" w:type="dxa"/>
            <w:tcBorders>
              <w:top w:val="nil"/>
              <w:left w:val="nil"/>
              <w:bottom w:val="dashed" w:sz="4" w:space="0" w:color="auto"/>
              <w:right w:val="nil"/>
            </w:tcBorders>
            <w:shd w:val="clear" w:color="auto" w:fill="auto"/>
            <w:noWrap/>
            <w:vAlign w:val="bottom"/>
            <w:hideMark/>
          </w:tcPr>
          <w:p w14:paraId="1EC3514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20,600</w:t>
            </w:r>
          </w:p>
        </w:tc>
        <w:tc>
          <w:tcPr>
            <w:tcW w:w="951" w:type="dxa"/>
            <w:tcBorders>
              <w:top w:val="nil"/>
              <w:left w:val="nil"/>
              <w:bottom w:val="dashed" w:sz="4" w:space="0" w:color="auto"/>
              <w:right w:val="single" w:sz="4" w:space="0" w:color="auto"/>
            </w:tcBorders>
            <w:shd w:val="clear" w:color="auto" w:fill="auto"/>
            <w:noWrap/>
            <w:vAlign w:val="bottom"/>
            <w:hideMark/>
          </w:tcPr>
          <w:p w14:paraId="46118016"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22,039</w:t>
            </w:r>
          </w:p>
        </w:tc>
        <w:tc>
          <w:tcPr>
            <w:tcW w:w="1313" w:type="dxa"/>
            <w:tcBorders>
              <w:top w:val="nil"/>
              <w:left w:val="nil"/>
              <w:bottom w:val="dashed" w:sz="4" w:space="0" w:color="auto"/>
              <w:right w:val="single" w:sz="8" w:space="0" w:color="auto"/>
            </w:tcBorders>
            <w:shd w:val="clear" w:color="auto" w:fill="auto"/>
            <w:noWrap/>
            <w:vAlign w:val="bottom"/>
            <w:hideMark/>
          </w:tcPr>
          <w:p w14:paraId="286BA96E"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28.0%</w:t>
            </w:r>
          </w:p>
        </w:tc>
      </w:tr>
      <w:tr w:rsidR="00B84321" w:rsidRPr="007E54B8" w14:paraId="6FC64ABF" w14:textId="77777777" w:rsidTr="009E60DE">
        <w:trPr>
          <w:cantSplit/>
          <w:trHeight w:val="290"/>
          <w:jc w:val="center"/>
        </w:trPr>
        <w:tc>
          <w:tcPr>
            <w:tcW w:w="1520" w:type="dxa"/>
            <w:tcBorders>
              <w:top w:val="nil"/>
              <w:left w:val="single" w:sz="8" w:space="0" w:color="auto"/>
              <w:bottom w:val="dashed" w:sz="4" w:space="0" w:color="auto"/>
              <w:right w:val="nil"/>
            </w:tcBorders>
            <w:shd w:val="clear" w:color="auto" w:fill="auto"/>
            <w:noWrap/>
            <w:vAlign w:val="bottom"/>
            <w:hideMark/>
          </w:tcPr>
          <w:p w14:paraId="1BE6DCDE"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Southeast</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02B3EA7F"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16,127</w:t>
            </w:r>
          </w:p>
        </w:tc>
        <w:tc>
          <w:tcPr>
            <w:tcW w:w="950" w:type="dxa"/>
            <w:tcBorders>
              <w:top w:val="nil"/>
              <w:left w:val="nil"/>
              <w:bottom w:val="dashed" w:sz="4" w:space="0" w:color="auto"/>
              <w:right w:val="nil"/>
            </w:tcBorders>
            <w:shd w:val="clear" w:color="auto" w:fill="auto"/>
            <w:noWrap/>
            <w:vAlign w:val="bottom"/>
            <w:hideMark/>
          </w:tcPr>
          <w:p w14:paraId="4B37C64E"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17,159</w:t>
            </w:r>
          </w:p>
        </w:tc>
        <w:tc>
          <w:tcPr>
            <w:tcW w:w="950" w:type="dxa"/>
            <w:tcBorders>
              <w:top w:val="nil"/>
              <w:left w:val="nil"/>
              <w:bottom w:val="dashed" w:sz="4" w:space="0" w:color="auto"/>
              <w:right w:val="nil"/>
            </w:tcBorders>
            <w:shd w:val="clear" w:color="auto" w:fill="auto"/>
            <w:noWrap/>
            <w:vAlign w:val="bottom"/>
            <w:hideMark/>
          </w:tcPr>
          <w:p w14:paraId="35BF72B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18,861</w:t>
            </w:r>
          </w:p>
        </w:tc>
        <w:tc>
          <w:tcPr>
            <w:tcW w:w="950" w:type="dxa"/>
            <w:tcBorders>
              <w:top w:val="nil"/>
              <w:left w:val="nil"/>
              <w:bottom w:val="dashed" w:sz="4" w:space="0" w:color="auto"/>
              <w:right w:val="nil"/>
            </w:tcBorders>
            <w:shd w:val="clear" w:color="auto" w:fill="auto"/>
            <w:noWrap/>
            <w:vAlign w:val="bottom"/>
            <w:hideMark/>
          </w:tcPr>
          <w:p w14:paraId="0CA06877"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20,257</w:t>
            </w:r>
          </w:p>
        </w:tc>
        <w:tc>
          <w:tcPr>
            <w:tcW w:w="951" w:type="dxa"/>
            <w:tcBorders>
              <w:top w:val="nil"/>
              <w:left w:val="nil"/>
              <w:bottom w:val="dashed" w:sz="4" w:space="0" w:color="auto"/>
              <w:right w:val="single" w:sz="4" w:space="0" w:color="auto"/>
            </w:tcBorders>
            <w:shd w:val="clear" w:color="auto" w:fill="auto"/>
            <w:noWrap/>
            <w:vAlign w:val="bottom"/>
            <w:hideMark/>
          </w:tcPr>
          <w:p w14:paraId="00D4677D"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21,278</w:t>
            </w:r>
          </w:p>
        </w:tc>
        <w:tc>
          <w:tcPr>
            <w:tcW w:w="1313" w:type="dxa"/>
            <w:tcBorders>
              <w:top w:val="nil"/>
              <w:left w:val="nil"/>
              <w:bottom w:val="dashed" w:sz="4" w:space="0" w:color="auto"/>
              <w:right w:val="single" w:sz="8" w:space="0" w:color="auto"/>
            </w:tcBorders>
            <w:shd w:val="clear" w:color="auto" w:fill="auto"/>
            <w:noWrap/>
            <w:vAlign w:val="bottom"/>
            <w:hideMark/>
          </w:tcPr>
          <w:p w14:paraId="6F92DA1C"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24.0%</w:t>
            </w:r>
          </w:p>
        </w:tc>
      </w:tr>
      <w:tr w:rsidR="00B84321" w:rsidRPr="007E54B8" w14:paraId="08CAD17A" w14:textId="77777777" w:rsidTr="009E60DE">
        <w:trPr>
          <w:cantSplit/>
          <w:trHeight w:val="290"/>
          <w:jc w:val="center"/>
        </w:trPr>
        <w:tc>
          <w:tcPr>
            <w:tcW w:w="1520" w:type="dxa"/>
            <w:tcBorders>
              <w:top w:val="nil"/>
              <w:left w:val="single" w:sz="8" w:space="0" w:color="auto"/>
              <w:bottom w:val="dashed" w:sz="4" w:space="0" w:color="auto"/>
              <w:right w:val="nil"/>
            </w:tcBorders>
            <w:shd w:val="clear" w:color="auto" w:fill="auto"/>
            <w:noWrap/>
            <w:vAlign w:val="bottom"/>
            <w:hideMark/>
          </w:tcPr>
          <w:p w14:paraId="252E8064"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Northeast</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040051AD"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14,532</w:t>
            </w:r>
          </w:p>
        </w:tc>
        <w:tc>
          <w:tcPr>
            <w:tcW w:w="950" w:type="dxa"/>
            <w:tcBorders>
              <w:top w:val="nil"/>
              <w:left w:val="nil"/>
              <w:bottom w:val="dashed" w:sz="4" w:space="0" w:color="auto"/>
              <w:right w:val="nil"/>
            </w:tcBorders>
            <w:shd w:val="clear" w:color="auto" w:fill="auto"/>
            <w:noWrap/>
            <w:vAlign w:val="bottom"/>
            <w:hideMark/>
          </w:tcPr>
          <w:p w14:paraId="1B4A090E"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15,523</w:t>
            </w:r>
          </w:p>
        </w:tc>
        <w:tc>
          <w:tcPr>
            <w:tcW w:w="950" w:type="dxa"/>
            <w:tcBorders>
              <w:top w:val="nil"/>
              <w:left w:val="nil"/>
              <w:bottom w:val="dashed" w:sz="4" w:space="0" w:color="auto"/>
              <w:right w:val="nil"/>
            </w:tcBorders>
            <w:shd w:val="clear" w:color="auto" w:fill="auto"/>
            <w:noWrap/>
            <w:vAlign w:val="bottom"/>
            <w:hideMark/>
          </w:tcPr>
          <w:p w14:paraId="024A2233"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17,251</w:t>
            </w:r>
          </w:p>
        </w:tc>
        <w:tc>
          <w:tcPr>
            <w:tcW w:w="950" w:type="dxa"/>
            <w:tcBorders>
              <w:top w:val="nil"/>
              <w:left w:val="nil"/>
              <w:bottom w:val="dashed" w:sz="4" w:space="0" w:color="auto"/>
              <w:right w:val="nil"/>
            </w:tcBorders>
            <w:shd w:val="clear" w:color="auto" w:fill="auto"/>
            <w:noWrap/>
            <w:vAlign w:val="bottom"/>
            <w:hideMark/>
          </w:tcPr>
          <w:p w14:paraId="710EB64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18,846</w:t>
            </w:r>
          </w:p>
        </w:tc>
        <w:tc>
          <w:tcPr>
            <w:tcW w:w="951" w:type="dxa"/>
            <w:tcBorders>
              <w:top w:val="nil"/>
              <w:left w:val="nil"/>
              <w:bottom w:val="dashed" w:sz="4" w:space="0" w:color="auto"/>
              <w:right w:val="single" w:sz="4" w:space="0" w:color="auto"/>
            </w:tcBorders>
            <w:shd w:val="clear" w:color="auto" w:fill="auto"/>
            <w:noWrap/>
            <w:vAlign w:val="bottom"/>
            <w:hideMark/>
          </w:tcPr>
          <w:p w14:paraId="5C737AAA"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20,205</w:t>
            </w:r>
          </w:p>
        </w:tc>
        <w:tc>
          <w:tcPr>
            <w:tcW w:w="1313" w:type="dxa"/>
            <w:tcBorders>
              <w:top w:val="nil"/>
              <w:left w:val="nil"/>
              <w:bottom w:val="dashed" w:sz="4" w:space="0" w:color="auto"/>
              <w:right w:val="single" w:sz="8" w:space="0" w:color="auto"/>
            </w:tcBorders>
            <w:shd w:val="clear" w:color="auto" w:fill="auto"/>
            <w:noWrap/>
            <w:vAlign w:val="bottom"/>
            <w:hideMark/>
          </w:tcPr>
          <w:p w14:paraId="5535B76E"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30.2%</w:t>
            </w:r>
          </w:p>
        </w:tc>
      </w:tr>
      <w:tr w:rsidR="00B84321" w:rsidRPr="007E54B8" w14:paraId="5B53E158" w14:textId="77777777" w:rsidTr="009E60DE">
        <w:trPr>
          <w:cantSplit/>
          <w:trHeight w:val="300"/>
          <w:jc w:val="center"/>
        </w:trPr>
        <w:tc>
          <w:tcPr>
            <w:tcW w:w="1520" w:type="dxa"/>
            <w:tcBorders>
              <w:top w:val="nil"/>
              <w:left w:val="single" w:sz="8" w:space="0" w:color="auto"/>
              <w:bottom w:val="dashed" w:sz="4" w:space="0" w:color="auto"/>
              <w:right w:val="nil"/>
            </w:tcBorders>
            <w:shd w:val="clear" w:color="auto" w:fill="auto"/>
            <w:noWrap/>
            <w:vAlign w:val="bottom"/>
            <w:hideMark/>
          </w:tcPr>
          <w:p w14:paraId="67D2F8FA"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Central</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23A68FD9"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9,055</w:t>
            </w:r>
          </w:p>
        </w:tc>
        <w:tc>
          <w:tcPr>
            <w:tcW w:w="950" w:type="dxa"/>
            <w:tcBorders>
              <w:top w:val="nil"/>
              <w:left w:val="nil"/>
              <w:bottom w:val="dashed" w:sz="4" w:space="0" w:color="auto"/>
              <w:right w:val="nil"/>
            </w:tcBorders>
            <w:shd w:val="clear" w:color="auto" w:fill="auto"/>
            <w:noWrap/>
            <w:vAlign w:val="bottom"/>
            <w:hideMark/>
          </w:tcPr>
          <w:p w14:paraId="47E9496E"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9,692</w:t>
            </w:r>
          </w:p>
        </w:tc>
        <w:tc>
          <w:tcPr>
            <w:tcW w:w="950" w:type="dxa"/>
            <w:tcBorders>
              <w:top w:val="nil"/>
              <w:left w:val="nil"/>
              <w:bottom w:val="dashed" w:sz="4" w:space="0" w:color="auto"/>
              <w:right w:val="nil"/>
            </w:tcBorders>
            <w:shd w:val="clear" w:color="auto" w:fill="auto"/>
            <w:noWrap/>
            <w:vAlign w:val="bottom"/>
            <w:hideMark/>
          </w:tcPr>
          <w:p w14:paraId="5BB2D361"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10,811</w:t>
            </w:r>
          </w:p>
        </w:tc>
        <w:tc>
          <w:tcPr>
            <w:tcW w:w="950" w:type="dxa"/>
            <w:tcBorders>
              <w:top w:val="nil"/>
              <w:left w:val="nil"/>
              <w:bottom w:val="dashed" w:sz="4" w:space="0" w:color="auto"/>
              <w:right w:val="nil"/>
            </w:tcBorders>
            <w:shd w:val="clear" w:color="auto" w:fill="auto"/>
            <w:noWrap/>
            <w:vAlign w:val="bottom"/>
            <w:hideMark/>
          </w:tcPr>
          <w:p w14:paraId="766428F2"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11,786</w:t>
            </w:r>
          </w:p>
        </w:tc>
        <w:tc>
          <w:tcPr>
            <w:tcW w:w="951" w:type="dxa"/>
            <w:tcBorders>
              <w:top w:val="nil"/>
              <w:left w:val="nil"/>
              <w:bottom w:val="dashed" w:sz="4" w:space="0" w:color="auto"/>
              <w:right w:val="single" w:sz="4" w:space="0" w:color="auto"/>
            </w:tcBorders>
            <w:shd w:val="clear" w:color="auto" w:fill="auto"/>
            <w:noWrap/>
            <w:vAlign w:val="bottom"/>
            <w:hideMark/>
          </w:tcPr>
          <w:p w14:paraId="7B83BDA7"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12,576</w:t>
            </w:r>
          </w:p>
        </w:tc>
        <w:tc>
          <w:tcPr>
            <w:tcW w:w="1313" w:type="dxa"/>
            <w:tcBorders>
              <w:top w:val="nil"/>
              <w:left w:val="nil"/>
              <w:bottom w:val="dashed" w:sz="4" w:space="0" w:color="auto"/>
              <w:right w:val="single" w:sz="8" w:space="0" w:color="auto"/>
            </w:tcBorders>
            <w:shd w:val="clear" w:color="auto" w:fill="auto"/>
            <w:noWrap/>
            <w:vAlign w:val="bottom"/>
            <w:hideMark/>
          </w:tcPr>
          <w:p w14:paraId="080FA5AF"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29.8%</w:t>
            </w:r>
          </w:p>
        </w:tc>
      </w:tr>
      <w:tr w:rsidR="00B84321" w:rsidRPr="007E54B8" w14:paraId="16A0E1B5" w14:textId="77777777" w:rsidTr="009E60DE">
        <w:trPr>
          <w:cantSplit/>
          <w:trHeight w:val="290"/>
          <w:jc w:val="center"/>
        </w:trPr>
        <w:tc>
          <w:tcPr>
            <w:tcW w:w="1520" w:type="dxa"/>
            <w:tcBorders>
              <w:top w:val="nil"/>
              <w:left w:val="single" w:sz="8" w:space="0" w:color="auto"/>
              <w:bottom w:val="dashed" w:sz="4" w:space="0" w:color="auto"/>
              <w:right w:val="nil"/>
            </w:tcBorders>
            <w:shd w:val="clear" w:color="auto" w:fill="auto"/>
            <w:noWrap/>
            <w:vAlign w:val="bottom"/>
            <w:hideMark/>
          </w:tcPr>
          <w:p w14:paraId="3BF8E4B4"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Boston</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566AB14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8,167</w:t>
            </w:r>
          </w:p>
        </w:tc>
        <w:tc>
          <w:tcPr>
            <w:tcW w:w="950" w:type="dxa"/>
            <w:tcBorders>
              <w:top w:val="nil"/>
              <w:left w:val="nil"/>
              <w:bottom w:val="dashed" w:sz="4" w:space="0" w:color="auto"/>
              <w:right w:val="nil"/>
            </w:tcBorders>
            <w:shd w:val="clear" w:color="auto" w:fill="auto"/>
            <w:noWrap/>
            <w:vAlign w:val="bottom"/>
            <w:hideMark/>
          </w:tcPr>
          <w:p w14:paraId="561F82C6"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8,971</w:t>
            </w:r>
          </w:p>
        </w:tc>
        <w:tc>
          <w:tcPr>
            <w:tcW w:w="950" w:type="dxa"/>
            <w:tcBorders>
              <w:top w:val="nil"/>
              <w:left w:val="nil"/>
              <w:bottom w:val="dashed" w:sz="4" w:space="0" w:color="auto"/>
              <w:right w:val="nil"/>
            </w:tcBorders>
            <w:shd w:val="clear" w:color="auto" w:fill="auto"/>
            <w:noWrap/>
            <w:vAlign w:val="bottom"/>
            <w:hideMark/>
          </w:tcPr>
          <w:p w14:paraId="11E8D68D"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10,204</w:t>
            </w:r>
          </w:p>
        </w:tc>
        <w:tc>
          <w:tcPr>
            <w:tcW w:w="950" w:type="dxa"/>
            <w:tcBorders>
              <w:top w:val="nil"/>
              <w:left w:val="nil"/>
              <w:bottom w:val="dashed" w:sz="4" w:space="0" w:color="auto"/>
              <w:right w:val="nil"/>
            </w:tcBorders>
            <w:shd w:val="clear" w:color="auto" w:fill="auto"/>
            <w:noWrap/>
            <w:vAlign w:val="bottom"/>
            <w:hideMark/>
          </w:tcPr>
          <w:p w14:paraId="2C7B92ED"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11,135</w:t>
            </w:r>
          </w:p>
        </w:tc>
        <w:tc>
          <w:tcPr>
            <w:tcW w:w="951" w:type="dxa"/>
            <w:tcBorders>
              <w:top w:val="nil"/>
              <w:left w:val="nil"/>
              <w:bottom w:val="dashed" w:sz="4" w:space="0" w:color="auto"/>
              <w:right w:val="single" w:sz="4" w:space="0" w:color="auto"/>
            </w:tcBorders>
            <w:shd w:val="clear" w:color="auto" w:fill="auto"/>
            <w:noWrap/>
            <w:vAlign w:val="bottom"/>
            <w:hideMark/>
          </w:tcPr>
          <w:p w14:paraId="1BC04E50"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11,846</w:t>
            </w:r>
          </w:p>
        </w:tc>
        <w:tc>
          <w:tcPr>
            <w:tcW w:w="1313" w:type="dxa"/>
            <w:tcBorders>
              <w:top w:val="nil"/>
              <w:left w:val="nil"/>
              <w:bottom w:val="dashed" w:sz="4" w:space="0" w:color="auto"/>
              <w:right w:val="single" w:sz="8" w:space="0" w:color="auto"/>
            </w:tcBorders>
            <w:shd w:val="clear" w:color="auto" w:fill="auto"/>
            <w:noWrap/>
            <w:vAlign w:val="bottom"/>
            <w:hideMark/>
          </w:tcPr>
          <w:p w14:paraId="3B892017"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32.0%</w:t>
            </w:r>
          </w:p>
        </w:tc>
      </w:tr>
      <w:tr w:rsidR="00B84321" w:rsidRPr="007E54B8" w14:paraId="491DD42C" w14:textId="77777777" w:rsidTr="009E60DE">
        <w:trPr>
          <w:cantSplit/>
          <w:trHeight w:val="290"/>
          <w:jc w:val="center"/>
        </w:trPr>
        <w:tc>
          <w:tcPr>
            <w:tcW w:w="1520" w:type="dxa"/>
            <w:tcBorders>
              <w:top w:val="nil"/>
              <w:left w:val="single" w:sz="8" w:space="0" w:color="auto"/>
              <w:bottom w:val="dashed" w:sz="4" w:space="0" w:color="auto"/>
              <w:right w:val="nil"/>
            </w:tcBorders>
            <w:shd w:val="clear" w:color="auto" w:fill="auto"/>
            <w:noWrap/>
            <w:vAlign w:val="bottom"/>
            <w:hideMark/>
          </w:tcPr>
          <w:p w14:paraId="34FF9DF1"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Western</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4D5B0170"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8,143</w:t>
            </w:r>
          </w:p>
        </w:tc>
        <w:tc>
          <w:tcPr>
            <w:tcW w:w="950" w:type="dxa"/>
            <w:tcBorders>
              <w:top w:val="nil"/>
              <w:left w:val="nil"/>
              <w:bottom w:val="dashed" w:sz="4" w:space="0" w:color="auto"/>
              <w:right w:val="nil"/>
            </w:tcBorders>
            <w:shd w:val="clear" w:color="auto" w:fill="auto"/>
            <w:noWrap/>
            <w:vAlign w:val="bottom"/>
            <w:hideMark/>
          </w:tcPr>
          <w:p w14:paraId="37530C31"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8,588</w:t>
            </w:r>
          </w:p>
        </w:tc>
        <w:tc>
          <w:tcPr>
            <w:tcW w:w="950" w:type="dxa"/>
            <w:tcBorders>
              <w:top w:val="nil"/>
              <w:left w:val="nil"/>
              <w:bottom w:val="dashed" w:sz="4" w:space="0" w:color="auto"/>
              <w:right w:val="nil"/>
            </w:tcBorders>
            <w:shd w:val="clear" w:color="auto" w:fill="auto"/>
            <w:noWrap/>
            <w:vAlign w:val="bottom"/>
            <w:hideMark/>
          </w:tcPr>
          <w:p w14:paraId="080779DD"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9,262</w:t>
            </w:r>
          </w:p>
        </w:tc>
        <w:tc>
          <w:tcPr>
            <w:tcW w:w="950" w:type="dxa"/>
            <w:tcBorders>
              <w:top w:val="nil"/>
              <w:left w:val="nil"/>
              <w:bottom w:val="dashed" w:sz="4" w:space="0" w:color="auto"/>
              <w:right w:val="nil"/>
            </w:tcBorders>
            <w:shd w:val="clear" w:color="auto" w:fill="auto"/>
            <w:noWrap/>
            <w:vAlign w:val="bottom"/>
            <w:hideMark/>
          </w:tcPr>
          <w:p w14:paraId="21DAC06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9,714</w:t>
            </w:r>
          </w:p>
        </w:tc>
        <w:tc>
          <w:tcPr>
            <w:tcW w:w="951" w:type="dxa"/>
            <w:tcBorders>
              <w:top w:val="nil"/>
              <w:left w:val="nil"/>
              <w:bottom w:val="dashed" w:sz="4" w:space="0" w:color="auto"/>
              <w:right w:val="single" w:sz="4" w:space="0" w:color="auto"/>
            </w:tcBorders>
            <w:shd w:val="clear" w:color="auto" w:fill="auto"/>
            <w:noWrap/>
            <w:vAlign w:val="bottom"/>
            <w:hideMark/>
          </w:tcPr>
          <w:p w14:paraId="6013A381"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9,938</w:t>
            </w:r>
          </w:p>
        </w:tc>
        <w:tc>
          <w:tcPr>
            <w:tcW w:w="1313" w:type="dxa"/>
            <w:tcBorders>
              <w:top w:val="nil"/>
              <w:left w:val="nil"/>
              <w:bottom w:val="dashed" w:sz="4" w:space="0" w:color="auto"/>
              <w:right w:val="single" w:sz="8" w:space="0" w:color="auto"/>
            </w:tcBorders>
            <w:shd w:val="clear" w:color="auto" w:fill="auto"/>
            <w:noWrap/>
            <w:vAlign w:val="bottom"/>
            <w:hideMark/>
          </w:tcPr>
          <w:p w14:paraId="6C746A45"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15.7%</w:t>
            </w:r>
          </w:p>
        </w:tc>
      </w:tr>
      <w:tr w:rsidR="00B84321" w:rsidRPr="007E54B8" w14:paraId="596F6B23" w14:textId="77777777" w:rsidTr="009E60DE">
        <w:trPr>
          <w:cantSplit/>
          <w:trHeight w:val="290"/>
          <w:jc w:val="center"/>
        </w:trPr>
        <w:tc>
          <w:tcPr>
            <w:tcW w:w="1520" w:type="dxa"/>
            <w:tcBorders>
              <w:top w:val="nil"/>
              <w:left w:val="single" w:sz="8" w:space="0" w:color="auto"/>
              <w:bottom w:val="nil"/>
              <w:right w:val="nil"/>
            </w:tcBorders>
            <w:shd w:val="clear" w:color="auto" w:fill="auto"/>
            <w:noWrap/>
            <w:vAlign w:val="bottom"/>
            <w:hideMark/>
          </w:tcPr>
          <w:p w14:paraId="1861869C"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Unknown</w:t>
            </w:r>
          </w:p>
        </w:tc>
        <w:tc>
          <w:tcPr>
            <w:tcW w:w="1197" w:type="dxa"/>
            <w:tcBorders>
              <w:top w:val="nil"/>
              <w:left w:val="single" w:sz="4" w:space="0" w:color="auto"/>
              <w:bottom w:val="nil"/>
              <w:right w:val="single" w:sz="4" w:space="0" w:color="auto"/>
            </w:tcBorders>
            <w:shd w:val="clear" w:color="auto" w:fill="auto"/>
            <w:noWrap/>
            <w:vAlign w:val="bottom"/>
            <w:hideMark/>
          </w:tcPr>
          <w:p w14:paraId="7075D45A"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912</w:t>
            </w:r>
          </w:p>
        </w:tc>
        <w:tc>
          <w:tcPr>
            <w:tcW w:w="950" w:type="dxa"/>
            <w:tcBorders>
              <w:top w:val="nil"/>
              <w:left w:val="nil"/>
              <w:bottom w:val="nil"/>
              <w:right w:val="nil"/>
            </w:tcBorders>
            <w:shd w:val="clear" w:color="auto" w:fill="auto"/>
            <w:noWrap/>
            <w:vAlign w:val="bottom"/>
            <w:hideMark/>
          </w:tcPr>
          <w:p w14:paraId="73607E0C"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976</w:t>
            </w:r>
          </w:p>
        </w:tc>
        <w:tc>
          <w:tcPr>
            <w:tcW w:w="950" w:type="dxa"/>
            <w:tcBorders>
              <w:top w:val="nil"/>
              <w:left w:val="nil"/>
              <w:bottom w:val="nil"/>
              <w:right w:val="nil"/>
            </w:tcBorders>
            <w:shd w:val="clear" w:color="auto" w:fill="auto"/>
            <w:noWrap/>
            <w:vAlign w:val="bottom"/>
            <w:hideMark/>
          </w:tcPr>
          <w:p w14:paraId="57D08E37"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1,070</w:t>
            </w:r>
          </w:p>
        </w:tc>
        <w:tc>
          <w:tcPr>
            <w:tcW w:w="950" w:type="dxa"/>
            <w:tcBorders>
              <w:top w:val="nil"/>
              <w:left w:val="nil"/>
              <w:bottom w:val="nil"/>
              <w:right w:val="nil"/>
            </w:tcBorders>
            <w:shd w:val="clear" w:color="auto" w:fill="auto"/>
            <w:noWrap/>
            <w:vAlign w:val="bottom"/>
            <w:hideMark/>
          </w:tcPr>
          <w:p w14:paraId="76ECB78F"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1,141</w:t>
            </w:r>
          </w:p>
        </w:tc>
        <w:tc>
          <w:tcPr>
            <w:tcW w:w="951" w:type="dxa"/>
            <w:tcBorders>
              <w:top w:val="nil"/>
              <w:left w:val="nil"/>
              <w:bottom w:val="nil"/>
              <w:right w:val="single" w:sz="4" w:space="0" w:color="auto"/>
            </w:tcBorders>
            <w:shd w:val="clear" w:color="auto" w:fill="auto"/>
            <w:noWrap/>
            <w:vAlign w:val="bottom"/>
            <w:hideMark/>
          </w:tcPr>
          <w:p w14:paraId="724AD225" w14:textId="77777777" w:rsidR="007E54B8" w:rsidRPr="007E54B8" w:rsidRDefault="007E54B8" w:rsidP="00B8432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1,187</w:t>
            </w:r>
          </w:p>
        </w:tc>
        <w:tc>
          <w:tcPr>
            <w:tcW w:w="1313" w:type="dxa"/>
            <w:tcBorders>
              <w:top w:val="nil"/>
              <w:left w:val="nil"/>
              <w:bottom w:val="nil"/>
              <w:right w:val="single" w:sz="8" w:space="0" w:color="auto"/>
            </w:tcBorders>
            <w:shd w:val="clear" w:color="auto" w:fill="auto"/>
            <w:noWrap/>
            <w:vAlign w:val="bottom"/>
            <w:hideMark/>
          </w:tcPr>
          <w:p w14:paraId="3B6CD68B"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21.6%</w:t>
            </w:r>
          </w:p>
        </w:tc>
      </w:tr>
      <w:tr w:rsidR="00B84321" w:rsidRPr="007E54B8" w14:paraId="3EA0F99E" w14:textId="77777777" w:rsidTr="009E60DE">
        <w:trPr>
          <w:cantSplit/>
          <w:trHeight w:val="300"/>
          <w:jc w:val="center"/>
        </w:trPr>
        <w:tc>
          <w:tcPr>
            <w:tcW w:w="1520" w:type="dxa"/>
            <w:tcBorders>
              <w:top w:val="single" w:sz="4" w:space="0" w:color="auto"/>
              <w:left w:val="single" w:sz="8" w:space="0" w:color="auto"/>
              <w:bottom w:val="single" w:sz="8" w:space="0" w:color="auto"/>
              <w:right w:val="nil"/>
            </w:tcBorders>
            <w:shd w:val="clear" w:color="auto" w:fill="auto"/>
            <w:noWrap/>
            <w:vAlign w:val="bottom"/>
            <w:hideMark/>
          </w:tcPr>
          <w:p w14:paraId="226DF2FC" w14:textId="77777777" w:rsidR="007E54B8" w:rsidRPr="007E54B8" w:rsidRDefault="007E54B8" w:rsidP="007E54B8">
            <w:pPr>
              <w:spacing w:after="0" w:line="240" w:lineRule="auto"/>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Total</w:t>
            </w:r>
          </w:p>
        </w:tc>
        <w:tc>
          <w:tcPr>
            <w:tcW w:w="119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F0F7C25" w14:textId="77777777" w:rsidR="007E54B8" w:rsidRPr="007E54B8" w:rsidRDefault="007E54B8" w:rsidP="00B8432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73,155</w:t>
            </w:r>
          </w:p>
        </w:tc>
        <w:tc>
          <w:tcPr>
            <w:tcW w:w="950" w:type="dxa"/>
            <w:tcBorders>
              <w:top w:val="single" w:sz="4" w:space="0" w:color="auto"/>
              <w:left w:val="nil"/>
              <w:bottom w:val="single" w:sz="8" w:space="0" w:color="auto"/>
              <w:right w:val="nil"/>
            </w:tcBorders>
            <w:shd w:val="clear" w:color="auto" w:fill="auto"/>
            <w:noWrap/>
            <w:vAlign w:val="bottom"/>
            <w:hideMark/>
          </w:tcPr>
          <w:p w14:paraId="401A8609" w14:textId="77777777" w:rsidR="007E54B8" w:rsidRPr="007E54B8" w:rsidRDefault="007E54B8" w:rsidP="00B8432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78,122</w:t>
            </w:r>
          </w:p>
        </w:tc>
        <w:tc>
          <w:tcPr>
            <w:tcW w:w="950" w:type="dxa"/>
            <w:tcBorders>
              <w:top w:val="single" w:sz="4" w:space="0" w:color="auto"/>
              <w:left w:val="nil"/>
              <w:bottom w:val="single" w:sz="8" w:space="0" w:color="auto"/>
              <w:right w:val="nil"/>
            </w:tcBorders>
            <w:shd w:val="clear" w:color="auto" w:fill="auto"/>
            <w:noWrap/>
            <w:vAlign w:val="bottom"/>
            <w:hideMark/>
          </w:tcPr>
          <w:p w14:paraId="5494E501" w14:textId="77777777" w:rsidR="007E54B8" w:rsidRPr="007E54B8" w:rsidRDefault="007E54B8" w:rsidP="00B8432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86,422</w:t>
            </w:r>
          </w:p>
        </w:tc>
        <w:tc>
          <w:tcPr>
            <w:tcW w:w="950" w:type="dxa"/>
            <w:tcBorders>
              <w:top w:val="single" w:sz="4" w:space="0" w:color="auto"/>
              <w:left w:val="nil"/>
              <w:bottom w:val="single" w:sz="8" w:space="0" w:color="auto"/>
              <w:right w:val="nil"/>
            </w:tcBorders>
            <w:shd w:val="clear" w:color="auto" w:fill="auto"/>
            <w:noWrap/>
            <w:vAlign w:val="bottom"/>
            <w:hideMark/>
          </w:tcPr>
          <w:p w14:paraId="6F223A1E" w14:textId="77777777" w:rsidR="007E54B8" w:rsidRPr="007E54B8" w:rsidRDefault="007E54B8" w:rsidP="00B8432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93,479</w:t>
            </w:r>
          </w:p>
        </w:tc>
        <w:tc>
          <w:tcPr>
            <w:tcW w:w="951" w:type="dxa"/>
            <w:tcBorders>
              <w:top w:val="single" w:sz="4" w:space="0" w:color="auto"/>
              <w:left w:val="nil"/>
              <w:bottom w:val="single" w:sz="8" w:space="0" w:color="auto"/>
              <w:right w:val="single" w:sz="4" w:space="0" w:color="auto"/>
            </w:tcBorders>
            <w:shd w:val="clear" w:color="auto" w:fill="auto"/>
            <w:noWrap/>
            <w:vAlign w:val="bottom"/>
            <w:hideMark/>
          </w:tcPr>
          <w:p w14:paraId="0F1C7A2D" w14:textId="77777777" w:rsidR="007E54B8" w:rsidRPr="007E54B8" w:rsidRDefault="007E54B8" w:rsidP="00B8432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99,070</w:t>
            </w:r>
          </w:p>
        </w:tc>
        <w:tc>
          <w:tcPr>
            <w:tcW w:w="1313" w:type="dxa"/>
            <w:tcBorders>
              <w:top w:val="single" w:sz="4" w:space="0" w:color="auto"/>
              <w:left w:val="nil"/>
              <w:bottom w:val="single" w:sz="8" w:space="0" w:color="auto"/>
              <w:right w:val="single" w:sz="8" w:space="0" w:color="auto"/>
            </w:tcBorders>
            <w:shd w:val="clear" w:color="auto" w:fill="auto"/>
            <w:noWrap/>
            <w:vAlign w:val="bottom"/>
            <w:hideMark/>
          </w:tcPr>
          <w:p w14:paraId="5287CBC4"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26.8%</w:t>
            </w:r>
          </w:p>
        </w:tc>
      </w:tr>
    </w:tbl>
    <w:p w14:paraId="57BF3AB5" w14:textId="77777777" w:rsidR="00A04647" w:rsidRDefault="00A04647" w:rsidP="00190A29">
      <w:pPr>
        <w:spacing w:after="0" w:line="360" w:lineRule="auto"/>
      </w:pPr>
    </w:p>
    <w:p w14:paraId="0C4C46A9" w14:textId="77777777" w:rsidR="0085394E" w:rsidRDefault="0085394E">
      <w:pPr>
        <w:rPr>
          <w:b/>
          <w:iCs/>
          <w:szCs w:val="18"/>
        </w:rPr>
      </w:pPr>
      <w:r>
        <w:br w:type="page"/>
      </w:r>
    </w:p>
    <w:p w14:paraId="2A390FF3" w14:textId="5D0D5539" w:rsidR="009B4243" w:rsidRDefault="009B4243" w:rsidP="00B84321">
      <w:pPr>
        <w:pStyle w:val="Caption"/>
        <w:keepNext/>
        <w:jc w:val="center"/>
      </w:pPr>
      <w:bookmarkStart w:id="35" w:name="_Toc187401784"/>
      <w:r>
        <w:lastRenderedPageBreak/>
        <w:t xml:space="preserve">Table </w:t>
      </w:r>
      <w:fldSimple w:instr=" SEQ Table \* ARABIC ">
        <w:r w:rsidR="0085394E">
          <w:rPr>
            <w:noProof/>
          </w:rPr>
          <w:t>11</w:t>
        </w:r>
      </w:fldSimple>
      <w:r>
        <w:t xml:space="preserve">: </w:t>
      </w:r>
      <w:r w:rsidR="00100B6C">
        <w:t>Projected Demand for Inpatient Cancer Care</w:t>
      </w:r>
      <w:r>
        <w:t xml:space="preserve"> by Payor Type, 2025-20</w:t>
      </w:r>
      <w:r w:rsidR="001272B8">
        <w:t>4</w:t>
      </w:r>
      <w:r>
        <w:t>0</w:t>
      </w:r>
      <w:bookmarkEnd w:id="35"/>
    </w:p>
    <w:tbl>
      <w:tblPr>
        <w:tblW w:w="0" w:type="auto"/>
        <w:jc w:val="center"/>
        <w:tblLayout w:type="fixed"/>
        <w:tblLook w:val="04A0" w:firstRow="1" w:lastRow="0" w:firstColumn="1" w:lastColumn="0" w:noHBand="0" w:noVBand="1"/>
      </w:tblPr>
      <w:tblGrid>
        <w:gridCol w:w="2891"/>
        <w:gridCol w:w="1197"/>
        <w:gridCol w:w="966"/>
        <w:gridCol w:w="967"/>
        <w:gridCol w:w="967"/>
        <w:gridCol w:w="967"/>
        <w:gridCol w:w="1313"/>
      </w:tblGrid>
      <w:tr w:rsidR="000F3544" w:rsidRPr="007E54B8" w14:paraId="42DDA5DE" w14:textId="77777777" w:rsidTr="00822891">
        <w:trPr>
          <w:cantSplit/>
          <w:trHeight w:val="290"/>
          <w:tblHeader/>
          <w:jc w:val="center"/>
        </w:trPr>
        <w:tc>
          <w:tcPr>
            <w:tcW w:w="2891" w:type="dxa"/>
            <w:tcBorders>
              <w:top w:val="single" w:sz="8" w:space="0" w:color="auto"/>
              <w:left w:val="single" w:sz="8" w:space="0" w:color="auto"/>
              <w:bottom w:val="nil"/>
              <w:right w:val="nil"/>
            </w:tcBorders>
            <w:shd w:val="clear" w:color="000000" w:fill="002060"/>
            <w:noWrap/>
            <w:vAlign w:val="bottom"/>
            <w:hideMark/>
          </w:tcPr>
          <w:p w14:paraId="27E9ED10"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 </w:t>
            </w:r>
          </w:p>
        </w:tc>
        <w:tc>
          <w:tcPr>
            <w:tcW w:w="1197" w:type="dxa"/>
            <w:tcBorders>
              <w:top w:val="single" w:sz="8" w:space="0" w:color="auto"/>
              <w:left w:val="single" w:sz="4" w:space="0" w:color="auto"/>
              <w:right w:val="single" w:sz="4" w:space="0" w:color="auto"/>
            </w:tcBorders>
            <w:shd w:val="clear" w:color="000000" w:fill="002060"/>
            <w:vAlign w:val="bottom"/>
          </w:tcPr>
          <w:p w14:paraId="54383DAD" w14:textId="01CF4EA7"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c>
          <w:tcPr>
            <w:tcW w:w="3867" w:type="dxa"/>
            <w:gridSpan w:val="4"/>
            <w:tcBorders>
              <w:top w:val="single" w:sz="8" w:space="0" w:color="auto"/>
              <w:left w:val="nil"/>
              <w:bottom w:val="nil"/>
              <w:right w:val="single" w:sz="4" w:space="0" w:color="000000"/>
            </w:tcBorders>
            <w:shd w:val="clear" w:color="000000" w:fill="002060"/>
            <w:noWrap/>
            <w:vAlign w:val="bottom"/>
            <w:hideMark/>
          </w:tcPr>
          <w:p w14:paraId="0CA2FEE7" w14:textId="77777777"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Projected Discharges</w:t>
            </w:r>
          </w:p>
        </w:tc>
        <w:tc>
          <w:tcPr>
            <w:tcW w:w="1313" w:type="dxa"/>
            <w:tcBorders>
              <w:top w:val="single" w:sz="8" w:space="0" w:color="auto"/>
              <w:left w:val="single" w:sz="4" w:space="0" w:color="auto"/>
              <w:right w:val="single" w:sz="8" w:space="0" w:color="auto"/>
            </w:tcBorders>
            <w:shd w:val="clear" w:color="000000" w:fill="002060"/>
            <w:vAlign w:val="bottom"/>
          </w:tcPr>
          <w:p w14:paraId="64198A5B" w14:textId="549FCF55"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r>
      <w:tr w:rsidR="00822891" w:rsidRPr="007E54B8" w14:paraId="6B333E45" w14:textId="77777777" w:rsidTr="00822891">
        <w:trPr>
          <w:cantSplit/>
          <w:trHeight w:val="300"/>
          <w:tblHeader/>
          <w:jc w:val="center"/>
        </w:trPr>
        <w:tc>
          <w:tcPr>
            <w:tcW w:w="2891" w:type="dxa"/>
            <w:tcBorders>
              <w:top w:val="nil"/>
              <w:left w:val="single" w:sz="8" w:space="0" w:color="auto"/>
              <w:bottom w:val="nil"/>
              <w:right w:val="nil"/>
            </w:tcBorders>
            <w:shd w:val="clear" w:color="000000" w:fill="002060"/>
            <w:noWrap/>
            <w:vAlign w:val="bottom"/>
            <w:hideMark/>
          </w:tcPr>
          <w:p w14:paraId="4C310333" w14:textId="77777777" w:rsidR="00822891" w:rsidRPr="007E54B8" w:rsidRDefault="00822891" w:rsidP="00822891">
            <w:pPr>
              <w:spacing w:after="0" w:line="240" w:lineRule="auto"/>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 xml:space="preserve">Payor </w:t>
            </w:r>
          </w:p>
        </w:tc>
        <w:tc>
          <w:tcPr>
            <w:tcW w:w="1197" w:type="dxa"/>
            <w:tcBorders>
              <w:left w:val="single" w:sz="4" w:space="0" w:color="auto"/>
              <w:bottom w:val="nil"/>
              <w:right w:val="single" w:sz="4" w:space="0" w:color="auto"/>
            </w:tcBorders>
            <w:shd w:val="clear" w:color="000000" w:fill="002060"/>
            <w:vAlign w:val="bottom"/>
            <w:hideMark/>
          </w:tcPr>
          <w:p w14:paraId="0F54954B" w14:textId="790DFAFA" w:rsidR="00822891" w:rsidRPr="007E54B8" w:rsidRDefault="00822891" w:rsidP="00822891">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2022 Discharges</w:t>
            </w:r>
          </w:p>
        </w:tc>
        <w:tc>
          <w:tcPr>
            <w:tcW w:w="966" w:type="dxa"/>
            <w:tcBorders>
              <w:top w:val="nil"/>
              <w:left w:val="nil"/>
              <w:bottom w:val="nil"/>
              <w:right w:val="nil"/>
            </w:tcBorders>
            <w:shd w:val="clear" w:color="000000" w:fill="002060"/>
            <w:noWrap/>
            <w:vAlign w:val="bottom"/>
            <w:hideMark/>
          </w:tcPr>
          <w:p w14:paraId="3AF028F3" w14:textId="77777777" w:rsidR="00822891" w:rsidRPr="007E54B8" w:rsidRDefault="00822891" w:rsidP="00822891">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2025</w:t>
            </w:r>
          </w:p>
        </w:tc>
        <w:tc>
          <w:tcPr>
            <w:tcW w:w="967" w:type="dxa"/>
            <w:tcBorders>
              <w:top w:val="nil"/>
              <w:left w:val="nil"/>
              <w:bottom w:val="nil"/>
              <w:right w:val="nil"/>
            </w:tcBorders>
            <w:shd w:val="clear" w:color="000000" w:fill="002060"/>
            <w:noWrap/>
            <w:vAlign w:val="bottom"/>
            <w:hideMark/>
          </w:tcPr>
          <w:p w14:paraId="2A5FCFCA" w14:textId="77777777" w:rsidR="00822891" w:rsidRPr="007E54B8" w:rsidRDefault="00822891" w:rsidP="00822891">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2030</w:t>
            </w:r>
          </w:p>
        </w:tc>
        <w:tc>
          <w:tcPr>
            <w:tcW w:w="967" w:type="dxa"/>
            <w:tcBorders>
              <w:top w:val="nil"/>
              <w:left w:val="nil"/>
              <w:bottom w:val="nil"/>
              <w:right w:val="nil"/>
            </w:tcBorders>
            <w:shd w:val="clear" w:color="000000" w:fill="002060"/>
            <w:noWrap/>
            <w:vAlign w:val="bottom"/>
            <w:hideMark/>
          </w:tcPr>
          <w:p w14:paraId="38B3463C" w14:textId="77777777" w:rsidR="00822891" w:rsidRPr="007E54B8" w:rsidRDefault="00822891" w:rsidP="00822891">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2035</w:t>
            </w:r>
          </w:p>
        </w:tc>
        <w:tc>
          <w:tcPr>
            <w:tcW w:w="967" w:type="dxa"/>
            <w:tcBorders>
              <w:top w:val="nil"/>
              <w:left w:val="nil"/>
              <w:bottom w:val="nil"/>
              <w:right w:val="single" w:sz="4" w:space="0" w:color="auto"/>
            </w:tcBorders>
            <w:shd w:val="clear" w:color="000000" w:fill="002060"/>
            <w:noWrap/>
            <w:vAlign w:val="bottom"/>
            <w:hideMark/>
          </w:tcPr>
          <w:p w14:paraId="509A3B12" w14:textId="77777777" w:rsidR="00822891" w:rsidRPr="007E54B8" w:rsidRDefault="00822891" w:rsidP="00822891">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2040</w:t>
            </w:r>
          </w:p>
        </w:tc>
        <w:tc>
          <w:tcPr>
            <w:tcW w:w="1313" w:type="dxa"/>
            <w:tcBorders>
              <w:left w:val="single" w:sz="4" w:space="0" w:color="auto"/>
              <w:bottom w:val="nil"/>
              <w:right w:val="single" w:sz="8" w:space="0" w:color="auto"/>
            </w:tcBorders>
            <w:shd w:val="clear" w:color="000000" w:fill="002060"/>
            <w:vAlign w:val="bottom"/>
            <w:hideMark/>
          </w:tcPr>
          <w:p w14:paraId="47D9021F" w14:textId="0C7E90FB" w:rsidR="00822891" w:rsidRPr="007E54B8" w:rsidRDefault="00822891" w:rsidP="00822891">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Growth</w:t>
            </w:r>
            <w:r w:rsidRPr="007E54B8">
              <w:rPr>
                <w:rFonts w:ascii="Calibri" w:eastAsia="Times New Roman" w:hAnsi="Calibri" w:cs="Calibri"/>
                <w:b/>
                <w:bCs/>
                <w:color w:val="FFFFFF"/>
                <w:kern w:val="0"/>
                <w14:ligatures w14:val="none"/>
              </w:rPr>
              <w:br/>
              <w:t>(2025-2040)</w:t>
            </w:r>
          </w:p>
        </w:tc>
      </w:tr>
      <w:tr w:rsidR="00822891" w:rsidRPr="007E54B8" w14:paraId="1D984DFC" w14:textId="77777777" w:rsidTr="00822891">
        <w:trPr>
          <w:cantSplit/>
          <w:trHeight w:val="290"/>
          <w:jc w:val="center"/>
        </w:trPr>
        <w:tc>
          <w:tcPr>
            <w:tcW w:w="2891" w:type="dxa"/>
            <w:tcBorders>
              <w:top w:val="nil"/>
              <w:left w:val="single" w:sz="8" w:space="0" w:color="auto"/>
              <w:bottom w:val="dashed" w:sz="4" w:space="0" w:color="auto"/>
              <w:right w:val="nil"/>
            </w:tcBorders>
            <w:shd w:val="clear" w:color="auto" w:fill="auto"/>
            <w:noWrap/>
            <w:vAlign w:val="bottom"/>
            <w:hideMark/>
          </w:tcPr>
          <w:p w14:paraId="27E8C332" w14:textId="77777777" w:rsidR="00822891" w:rsidRPr="007E54B8" w:rsidRDefault="00822891" w:rsidP="00822891">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Medicare/Managed Medicare</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27951ED2"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46,255</w:t>
            </w:r>
          </w:p>
        </w:tc>
        <w:tc>
          <w:tcPr>
            <w:tcW w:w="966" w:type="dxa"/>
            <w:tcBorders>
              <w:top w:val="nil"/>
              <w:left w:val="nil"/>
              <w:bottom w:val="dashed" w:sz="4" w:space="0" w:color="auto"/>
              <w:right w:val="nil"/>
            </w:tcBorders>
            <w:shd w:val="clear" w:color="auto" w:fill="auto"/>
            <w:noWrap/>
            <w:vAlign w:val="bottom"/>
            <w:hideMark/>
          </w:tcPr>
          <w:p w14:paraId="1ECC26F9"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50,956</w:t>
            </w:r>
          </w:p>
        </w:tc>
        <w:tc>
          <w:tcPr>
            <w:tcW w:w="967" w:type="dxa"/>
            <w:tcBorders>
              <w:top w:val="nil"/>
              <w:left w:val="nil"/>
              <w:bottom w:val="dashed" w:sz="4" w:space="0" w:color="auto"/>
              <w:right w:val="nil"/>
            </w:tcBorders>
            <w:shd w:val="clear" w:color="auto" w:fill="auto"/>
            <w:noWrap/>
            <w:vAlign w:val="bottom"/>
            <w:hideMark/>
          </w:tcPr>
          <w:p w14:paraId="18FFD947"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59,141</w:t>
            </w:r>
          </w:p>
        </w:tc>
        <w:tc>
          <w:tcPr>
            <w:tcW w:w="967" w:type="dxa"/>
            <w:tcBorders>
              <w:top w:val="nil"/>
              <w:left w:val="nil"/>
              <w:bottom w:val="dashed" w:sz="4" w:space="0" w:color="auto"/>
              <w:right w:val="nil"/>
            </w:tcBorders>
            <w:shd w:val="clear" w:color="auto" w:fill="auto"/>
            <w:noWrap/>
            <w:vAlign w:val="bottom"/>
            <w:hideMark/>
          </w:tcPr>
          <w:p w14:paraId="2A3F42D3"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65,841</w:t>
            </w:r>
          </w:p>
        </w:tc>
        <w:tc>
          <w:tcPr>
            <w:tcW w:w="967" w:type="dxa"/>
            <w:tcBorders>
              <w:top w:val="nil"/>
              <w:left w:val="nil"/>
              <w:bottom w:val="dashed" w:sz="4" w:space="0" w:color="auto"/>
              <w:right w:val="single" w:sz="4" w:space="0" w:color="auto"/>
            </w:tcBorders>
            <w:shd w:val="clear" w:color="auto" w:fill="auto"/>
            <w:noWrap/>
            <w:vAlign w:val="bottom"/>
            <w:hideMark/>
          </w:tcPr>
          <w:p w14:paraId="57F35DCF"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70,605</w:t>
            </w:r>
          </w:p>
        </w:tc>
        <w:tc>
          <w:tcPr>
            <w:tcW w:w="1313" w:type="dxa"/>
            <w:tcBorders>
              <w:top w:val="nil"/>
              <w:left w:val="nil"/>
              <w:bottom w:val="dashed" w:sz="4" w:space="0" w:color="auto"/>
              <w:right w:val="single" w:sz="8" w:space="0" w:color="auto"/>
            </w:tcBorders>
            <w:shd w:val="clear" w:color="auto" w:fill="auto"/>
            <w:noWrap/>
            <w:vAlign w:val="bottom"/>
            <w:hideMark/>
          </w:tcPr>
          <w:p w14:paraId="2E62C124"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38.6%</w:t>
            </w:r>
          </w:p>
        </w:tc>
      </w:tr>
      <w:tr w:rsidR="00822891" w:rsidRPr="007E54B8" w14:paraId="170527CE" w14:textId="77777777" w:rsidTr="00822891">
        <w:trPr>
          <w:cantSplit/>
          <w:trHeight w:val="290"/>
          <w:jc w:val="center"/>
        </w:trPr>
        <w:tc>
          <w:tcPr>
            <w:tcW w:w="2891" w:type="dxa"/>
            <w:tcBorders>
              <w:top w:val="nil"/>
              <w:left w:val="single" w:sz="8" w:space="0" w:color="auto"/>
              <w:bottom w:val="dashed" w:sz="4" w:space="0" w:color="auto"/>
              <w:right w:val="nil"/>
            </w:tcBorders>
            <w:shd w:val="clear" w:color="auto" w:fill="auto"/>
            <w:noWrap/>
            <w:vAlign w:val="bottom"/>
            <w:hideMark/>
          </w:tcPr>
          <w:p w14:paraId="76F47018" w14:textId="77777777" w:rsidR="00822891" w:rsidRPr="007E54B8" w:rsidRDefault="00822891" w:rsidP="00822891">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Commercial/HMO/PPO</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1A7D47BA"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15,670</w:t>
            </w:r>
          </w:p>
        </w:tc>
        <w:tc>
          <w:tcPr>
            <w:tcW w:w="966" w:type="dxa"/>
            <w:tcBorders>
              <w:top w:val="nil"/>
              <w:left w:val="nil"/>
              <w:bottom w:val="dashed" w:sz="4" w:space="0" w:color="auto"/>
              <w:right w:val="nil"/>
            </w:tcBorders>
            <w:shd w:val="clear" w:color="auto" w:fill="auto"/>
            <w:noWrap/>
            <w:vAlign w:val="bottom"/>
            <w:hideMark/>
          </w:tcPr>
          <w:p w14:paraId="5335598D"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15,697</w:t>
            </w:r>
          </w:p>
        </w:tc>
        <w:tc>
          <w:tcPr>
            <w:tcW w:w="967" w:type="dxa"/>
            <w:tcBorders>
              <w:top w:val="nil"/>
              <w:left w:val="nil"/>
              <w:bottom w:val="dashed" w:sz="4" w:space="0" w:color="auto"/>
              <w:right w:val="nil"/>
            </w:tcBorders>
            <w:shd w:val="clear" w:color="auto" w:fill="auto"/>
            <w:noWrap/>
            <w:vAlign w:val="bottom"/>
            <w:hideMark/>
          </w:tcPr>
          <w:p w14:paraId="40B94BCB"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15,467</w:t>
            </w:r>
          </w:p>
        </w:tc>
        <w:tc>
          <w:tcPr>
            <w:tcW w:w="967" w:type="dxa"/>
            <w:tcBorders>
              <w:top w:val="nil"/>
              <w:left w:val="nil"/>
              <w:bottom w:val="dashed" w:sz="4" w:space="0" w:color="auto"/>
              <w:right w:val="nil"/>
            </w:tcBorders>
            <w:shd w:val="clear" w:color="auto" w:fill="auto"/>
            <w:noWrap/>
            <w:vAlign w:val="bottom"/>
            <w:hideMark/>
          </w:tcPr>
          <w:p w14:paraId="1F9D6EDC"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15,388</w:t>
            </w:r>
          </w:p>
        </w:tc>
        <w:tc>
          <w:tcPr>
            <w:tcW w:w="967" w:type="dxa"/>
            <w:tcBorders>
              <w:top w:val="nil"/>
              <w:left w:val="nil"/>
              <w:bottom w:val="dashed" w:sz="4" w:space="0" w:color="auto"/>
              <w:right w:val="single" w:sz="4" w:space="0" w:color="auto"/>
            </w:tcBorders>
            <w:shd w:val="clear" w:color="auto" w:fill="auto"/>
            <w:noWrap/>
            <w:vAlign w:val="bottom"/>
            <w:hideMark/>
          </w:tcPr>
          <w:p w14:paraId="75B2A5AA"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15,662</w:t>
            </w:r>
          </w:p>
        </w:tc>
        <w:tc>
          <w:tcPr>
            <w:tcW w:w="1313" w:type="dxa"/>
            <w:tcBorders>
              <w:top w:val="nil"/>
              <w:left w:val="nil"/>
              <w:bottom w:val="dashed" w:sz="4" w:space="0" w:color="auto"/>
              <w:right w:val="single" w:sz="8" w:space="0" w:color="auto"/>
            </w:tcBorders>
            <w:shd w:val="clear" w:color="auto" w:fill="auto"/>
            <w:noWrap/>
            <w:vAlign w:val="bottom"/>
            <w:hideMark/>
          </w:tcPr>
          <w:p w14:paraId="618A705A"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-0.2%</w:t>
            </w:r>
          </w:p>
        </w:tc>
      </w:tr>
      <w:tr w:rsidR="00822891" w:rsidRPr="007E54B8" w14:paraId="437706D2" w14:textId="77777777" w:rsidTr="00822891">
        <w:trPr>
          <w:cantSplit/>
          <w:trHeight w:val="290"/>
          <w:jc w:val="center"/>
        </w:trPr>
        <w:tc>
          <w:tcPr>
            <w:tcW w:w="2891" w:type="dxa"/>
            <w:tcBorders>
              <w:top w:val="nil"/>
              <w:left w:val="single" w:sz="8" w:space="0" w:color="auto"/>
              <w:bottom w:val="dashed" w:sz="4" w:space="0" w:color="auto"/>
              <w:right w:val="nil"/>
            </w:tcBorders>
            <w:shd w:val="clear" w:color="auto" w:fill="auto"/>
            <w:noWrap/>
            <w:vAlign w:val="bottom"/>
            <w:hideMark/>
          </w:tcPr>
          <w:p w14:paraId="3BD4CE05" w14:textId="6499AD74" w:rsidR="00822891" w:rsidRPr="007E54B8" w:rsidRDefault="00822891" w:rsidP="00822891">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Medicaid</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6DF07AE4"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6,978</w:t>
            </w:r>
          </w:p>
        </w:tc>
        <w:tc>
          <w:tcPr>
            <w:tcW w:w="966" w:type="dxa"/>
            <w:tcBorders>
              <w:top w:val="nil"/>
              <w:left w:val="nil"/>
              <w:bottom w:val="dashed" w:sz="4" w:space="0" w:color="auto"/>
              <w:right w:val="nil"/>
            </w:tcBorders>
            <w:shd w:val="clear" w:color="auto" w:fill="auto"/>
            <w:noWrap/>
            <w:vAlign w:val="bottom"/>
            <w:hideMark/>
          </w:tcPr>
          <w:p w14:paraId="3DA77E4E"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6,946</w:t>
            </w:r>
          </w:p>
        </w:tc>
        <w:tc>
          <w:tcPr>
            <w:tcW w:w="967" w:type="dxa"/>
            <w:tcBorders>
              <w:top w:val="nil"/>
              <w:left w:val="nil"/>
              <w:bottom w:val="dashed" w:sz="4" w:space="0" w:color="auto"/>
              <w:right w:val="nil"/>
            </w:tcBorders>
            <w:shd w:val="clear" w:color="auto" w:fill="auto"/>
            <w:noWrap/>
            <w:vAlign w:val="bottom"/>
            <w:hideMark/>
          </w:tcPr>
          <w:p w14:paraId="5DA54B61"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6,865</w:t>
            </w:r>
          </w:p>
        </w:tc>
        <w:tc>
          <w:tcPr>
            <w:tcW w:w="967" w:type="dxa"/>
            <w:tcBorders>
              <w:top w:val="nil"/>
              <w:left w:val="nil"/>
              <w:bottom w:val="dashed" w:sz="4" w:space="0" w:color="auto"/>
              <w:right w:val="nil"/>
            </w:tcBorders>
            <w:shd w:val="clear" w:color="auto" w:fill="auto"/>
            <w:noWrap/>
            <w:vAlign w:val="bottom"/>
            <w:hideMark/>
          </w:tcPr>
          <w:p w14:paraId="2949A84C"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6,927</w:t>
            </w:r>
          </w:p>
        </w:tc>
        <w:tc>
          <w:tcPr>
            <w:tcW w:w="967" w:type="dxa"/>
            <w:tcBorders>
              <w:top w:val="nil"/>
              <w:left w:val="nil"/>
              <w:bottom w:val="dashed" w:sz="4" w:space="0" w:color="auto"/>
              <w:right w:val="single" w:sz="4" w:space="0" w:color="auto"/>
            </w:tcBorders>
            <w:shd w:val="clear" w:color="auto" w:fill="auto"/>
            <w:noWrap/>
            <w:vAlign w:val="bottom"/>
            <w:hideMark/>
          </w:tcPr>
          <w:p w14:paraId="09CA4035"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7,178</w:t>
            </w:r>
          </w:p>
        </w:tc>
        <w:tc>
          <w:tcPr>
            <w:tcW w:w="1313" w:type="dxa"/>
            <w:tcBorders>
              <w:top w:val="nil"/>
              <w:left w:val="nil"/>
              <w:bottom w:val="dashed" w:sz="4" w:space="0" w:color="auto"/>
              <w:right w:val="single" w:sz="8" w:space="0" w:color="auto"/>
            </w:tcBorders>
            <w:shd w:val="clear" w:color="auto" w:fill="auto"/>
            <w:noWrap/>
            <w:vAlign w:val="bottom"/>
            <w:hideMark/>
          </w:tcPr>
          <w:p w14:paraId="2F0DE781"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3.3%</w:t>
            </w:r>
          </w:p>
        </w:tc>
      </w:tr>
      <w:tr w:rsidR="00822891" w:rsidRPr="007E54B8" w14:paraId="19C39994" w14:textId="77777777" w:rsidTr="00822891">
        <w:trPr>
          <w:cantSplit/>
          <w:trHeight w:val="290"/>
          <w:jc w:val="center"/>
        </w:trPr>
        <w:tc>
          <w:tcPr>
            <w:tcW w:w="2891" w:type="dxa"/>
            <w:tcBorders>
              <w:top w:val="nil"/>
              <w:left w:val="single" w:sz="8" w:space="0" w:color="auto"/>
              <w:bottom w:val="dashed" w:sz="4" w:space="0" w:color="auto"/>
              <w:right w:val="nil"/>
            </w:tcBorders>
            <w:shd w:val="clear" w:color="auto" w:fill="auto"/>
            <w:noWrap/>
            <w:vAlign w:val="bottom"/>
            <w:hideMark/>
          </w:tcPr>
          <w:p w14:paraId="484D80A7" w14:textId="77777777" w:rsidR="00822891" w:rsidRPr="007E54B8" w:rsidRDefault="00822891" w:rsidP="00822891">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Self-Pay/Other</w:t>
            </w:r>
          </w:p>
        </w:tc>
        <w:tc>
          <w:tcPr>
            <w:tcW w:w="1197" w:type="dxa"/>
            <w:tcBorders>
              <w:top w:val="nil"/>
              <w:left w:val="single" w:sz="4" w:space="0" w:color="auto"/>
              <w:bottom w:val="dashed" w:sz="4" w:space="0" w:color="auto"/>
              <w:right w:val="single" w:sz="4" w:space="0" w:color="auto"/>
            </w:tcBorders>
            <w:shd w:val="clear" w:color="auto" w:fill="auto"/>
            <w:noWrap/>
            <w:vAlign w:val="bottom"/>
            <w:hideMark/>
          </w:tcPr>
          <w:p w14:paraId="604D62C1"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2,312</w:t>
            </w:r>
          </w:p>
        </w:tc>
        <w:tc>
          <w:tcPr>
            <w:tcW w:w="966" w:type="dxa"/>
            <w:tcBorders>
              <w:top w:val="nil"/>
              <w:left w:val="nil"/>
              <w:bottom w:val="dashed" w:sz="4" w:space="0" w:color="auto"/>
              <w:right w:val="nil"/>
            </w:tcBorders>
            <w:shd w:val="clear" w:color="auto" w:fill="auto"/>
            <w:noWrap/>
            <w:vAlign w:val="bottom"/>
            <w:hideMark/>
          </w:tcPr>
          <w:p w14:paraId="13D26906"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2,493</w:t>
            </w:r>
          </w:p>
        </w:tc>
        <w:tc>
          <w:tcPr>
            <w:tcW w:w="967" w:type="dxa"/>
            <w:tcBorders>
              <w:top w:val="nil"/>
              <w:left w:val="nil"/>
              <w:bottom w:val="dashed" w:sz="4" w:space="0" w:color="auto"/>
              <w:right w:val="nil"/>
            </w:tcBorders>
            <w:shd w:val="clear" w:color="auto" w:fill="auto"/>
            <w:noWrap/>
            <w:vAlign w:val="bottom"/>
            <w:hideMark/>
          </w:tcPr>
          <w:p w14:paraId="0A13B5AB"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2,798</w:t>
            </w:r>
          </w:p>
        </w:tc>
        <w:tc>
          <w:tcPr>
            <w:tcW w:w="967" w:type="dxa"/>
            <w:tcBorders>
              <w:top w:val="nil"/>
              <w:left w:val="nil"/>
              <w:bottom w:val="dashed" w:sz="4" w:space="0" w:color="auto"/>
              <w:right w:val="nil"/>
            </w:tcBorders>
            <w:shd w:val="clear" w:color="auto" w:fill="auto"/>
            <w:noWrap/>
            <w:vAlign w:val="bottom"/>
            <w:hideMark/>
          </w:tcPr>
          <w:p w14:paraId="312D1439"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3,049</w:t>
            </w:r>
          </w:p>
        </w:tc>
        <w:tc>
          <w:tcPr>
            <w:tcW w:w="967" w:type="dxa"/>
            <w:tcBorders>
              <w:top w:val="nil"/>
              <w:left w:val="nil"/>
              <w:bottom w:val="dashed" w:sz="4" w:space="0" w:color="auto"/>
              <w:right w:val="single" w:sz="4" w:space="0" w:color="auto"/>
            </w:tcBorders>
            <w:shd w:val="clear" w:color="auto" w:fill="auto"/>
            <w:noWrap/>
            <w:vAlign w:val="bottom"/>
            <w:hideMark/>
          </w:tcPr>
          <w:p w14:paraId="296DA3E7"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3,251</w:t>
            </w:r>
          </w:p>
        </w:tc>
        <w:tc>
          <w:tcPr>
            <w:tcW w:w="1313" w:type="dxa"/>
            <w:tcBorders>
              <w:top w:val="nil"/>
              <w:left w:val="nil"/>
              <w:bottom w:val="dashed" w:sz="4" w:space="0" w:color="auto"/>
              <w:right w:val="single" w:sz="8" w:space="0" w:color="auto"/>
            </w:tcBorders>
            <w:shd w:val="clear" w:color="auto" w:fill="auto"/>
            <w:noWrap/>
            <w:vAlign w:val="bottom"/>
            <w:hideMark/>
          </w:tcPr>
          <w:p w14:paraId="6E359C8C"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30.4%</w:t>
            </w:r>
          </w:p>
        </w:tc>
      </w:tr>
      <w:tr w:rsidR="00822891" w:rsidRPr="007E54B8" w14:paraId="7CCAABDA" w14:textId="77777777" w:rsidTr="00822891">
        <w:trPr>
          <w:cantSplit/>
          <w:trHeight w:val="290"/>
          <w:jc w:val="center"/>
        </w:trPr>
        <w:tc>
          <w:tcPr>
            <w:tcW w:w="2891" w:type="dxa"/>
            <w:tcBorders>
              <w:top w:val="nil"/>
              <w:left w:val="single" w:sz="8" w:space="0" w:color="auto"/>
              <w:bottom w:val="nil"/>
              <w:right w:val="nil"/>
            </w:tcBorders>
            <w:shd w:val="clear" w:color="auto" w:fill="auto"/>
            <w:noWrap/>
            <w:vAlign w:val="bottom"/>
            <w:hideMark/>
          </w:tcPr>
          <w:p w14:paraId="7FE779D6" w14:textId="77777777" w:rsidR="00822891" w:rsidRPr="007E54B8" w:rsidRDefault="00822891" w:rsidP="00822891">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Other Government</w:t>
            </w:r>
          </w:p>
        </w:tc>
        <w:tc>
          <w:tcPr>
            <w:tcW w:w="1197" w:type="dxa"/>
            <w:tcBorders>
              <w:top w:val="nil"/>
              <w:left w:val="single" w:sz="4" w:space="0" w:color="auto"/>
              <w:bottom w:val="nil"/>
              <w:right w:val="single" w:sz="4" w:space="0" w:color="auto"/>
            </w:tcBorders>
            <w:shd w:val="clear" w:color="auto" w:fill="auto"/>
            <w:noWrap/>
            <w:vAlign w:val="bottom"/>
            <w:hideMark/>
          </w:tcPr>
          <w:p w14:paraId="6E39F3FC"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1,940</w:t>
            </w:r>
          </w:p>
        </w:tc>
        <w:tc>
          <w:tcPr>
            <w:tcW w:w="966" w:type="dxa"/>
            <w:tcBorders>
              <w:top w:val="nil"/>
              <w:left w:val="nil"/>
              <w:bottom w:val="nil"/>
              <w:right w:val="nil"/>
            </w:tcBorders>
            <w:shd w:val="clear" w:color="auto" w:fill="auto"/>
            <w:noWrap/>
            <w:vAlign w:val="bottom"/>
            <w:hideMark/>
          </w:tcPr>
          <w:p w14:paraId="40520475"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2,030</w:t>
            </w:r>
          </w:p>
        </w:tc>
        <w:tc>
          <w:tcPr>
            <w:tcW w:w="967" w:type="dxa"/>
            <w:tcBorders>
              <w:top w:val="nil"/>
              <w:left w:val="nil"/>
              <w:bottom w:val="nil"/>
              <w:right w:val="nil"/>
            </w:tcBorders>
            <w:shd w:val="clear" w:color="auto" w:fill="auto"/>
            <w:noWrap/>
            <w:vAlign w:val="bottom"/>
            <w:hideMark/>
          </w:tcPr>
          <w:p w14:paraId="2581C45D"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2,152</w:t>
            </w:r>
          </w:p>
        </w:tc>
        <w:tc>
          <w:tcPr>
            <w:tcW w:w="967" w:type="dxa"/>
            <w:tcBorders>
              <w:top w:val="nil"/>
              <w:left w:val="nil"/>
              <w:bottom w:val="nil"/>
              <w:right w:val="nil"/>
            </w:tcBorders>
            <w:shd w:val="clear" w:color="auto" w:fill="auto"/>
            <w:noWrap/>
            <w:vAlign w:val="bottom"/>
            <w:hideMark/>
          </w:tcPr>
          <w:p w14:paraId="7E56DEAD"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2,273</w:t>
            </w:r>
          </w:p>
        </w:tc>
        <w:tc>
          <w:tcPr>
            <w:tcW w:w="967" w:type="dxa"/>
            <w:tcBorders>
              <w:top w:val="nil"/>
              <w:left w:val="nil"/>
              <w:bottom w:val="nil"/>
              <w:right w:val="single" w:sz="4" w:space="0" w:color="auto"/>
            </w:tcBorders>
            <w:shd w:val="clear" w:color="auto" w:fill="auto"/>
            <w:noWrap/>
            <w:vAlign w:val="bottom"/>
            <w:hideMark/>
          </w:tcPr>
          <w:p w14:paraId="65A98A35"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2,374</w:t>
            </w:r>
          </w:p>
        </w:tc>
        <w:tc>
          <w:tcPr>
            <w:tcW w:w="1313" w:type="dxa"/>
            <w:tcBorders>
              <w:top w:val="nil"/>
              <w:left w:val="nil"/>
              <w:bottom w:val="nil"/>
              <w:right w:val="single" w:sz="8" w:space="0" w:color="auto"/>
            </w:tcBorders>
            <w:shd w:val="clear" w:color="auto" w:fill="auto"/>
            <w:noWrap/>
            <w:vAlign w:val="bottom"/>
            <w:hideMark/>
          </w:tcPr>
          <w:p w14:paraId="3427FABB" w14:textId="77777777" w:rsidR="00822891" w:rsidRPr="007E54B8" w:rsidRDefault="00822891" w:rsidP="00822891">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16.9%</w:t>
            </w:r>
          </w:p>
        </w:tc>
      </w:tr>
      <w:tr w:rsidR="00822891" w:rsidRPr="007E54B8" w14:paraId="3B0526D0" w14:textId="77777777" w:rsidTr="00822891">
        <w:trPr>
          <w:cantSplit/>
          <w:trHeight w:val="300"/>
          <w:jc w:val="center"/>
        </w:trPr>
        <w:tc>
          <w:tcPr>
            <w:tcW w:w="2891" w:type="dxa"/>
            <w:tcBorders>
              <w:top w:val="single" w:sz="4" w:space="0" w:color="auto"/>
              <w:left w:val="single" w:sz="8" w:space="0" w:color="auto"/>
              <w:bottom w:val="single" w:sz="8" w:space="0" w:color="auto"/>
              <w:right w:val="nil"/>
            </w:tcBorders>
            <w:shd w:val="clear" w:color="auto" w:fill="auto"/>
            <w:noWrap/>
            <w:vAlign w:val="bottom"/>
            <w:hideMark/>
          </w:tcPr>
          <w:p w14:paraId="062FB4D2" w14:textId="77777777" w:rsidR="00822891" w:rsidRPr="007E54B8" w:rsidRDefault="00822891" w:rsidP="00822891">
            <w:pPr>
              <w:spacing w:after="0" w:line="240" w:lineRule="auto"/>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Total</w:t>
            </w:r>
          </w:p>
        </w:tc>
        <w:tc>
          <w:tcPr>
            <w:tcW w:w="119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F38A20B"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73,155</w:t>
            </w:r>
          </w:p>
        </w:tc>
        <w:tc>
          <w:tcPr>
            <w:tcW w:w="966" w:type="dxa"/>
            <w:tcBorders>
              <w:top w:val="single" w:sz="4" w:space="0" w:color="auto"/>
              <w:left w:val="nil"/>
              <w:bottom w:val="single" w:sz="8" w:space="0" w:color="auto"/>
              <w:right w:val="nil"/>
            </w:tcBorders>
            <w:shd w:val="clear" w:color="auto" w:fill="auto"/>
            <w:noWrap/>
            <w:vAlign w:val="bottom"/>
            <w:hideMark/>
          </w:tcPr>
          <w:p w14:paraId="6AAD8451"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78,122</w:t>
            </w:r>
          </w:p>
        </w:tc>
        <w:tc>
          <w:tcPr>
            <w:tcW w:w="967" w:type="dxa"/>
            <w:tcBorders>
              <w:top w:val="single" w:sz="4" w:space="0" w:color="auto"/>
              <w:left w:val="nil"/>
              <w:bottom w:val="single" w:sz="8" w:space="0" w:color="auto"/>
              <w:right w:val="nil"/>
            </w:tcBorders>
            <w:shd w:val="clear" w:color="auto" w:fill="auto"/>
            <w:noWrap/>
            <w:vAlign w:val="bottom"/>
            <w:hideMark/>
          </w:tcPr>
          <w:p w14:paraId="1DBA0F3D"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86,422</w:t>
            </w:r>
          </w:p>
        </w:tc>
        <w:tc>
          <w:tcPr>
            <w:tcW w:w="967" w:type="dxa"/>
            <w:tcBorders>
              <w:top w:val="single" w:sz="4" w:space="0" w:color="auto"/>
              <w:left w:val="nil"/>
              <w:bottom w:val="single" w:sz="8" w:space="0" w:color="auto"/>
              <w:right w:val="nil"/>
            </w:tcBorders>
            <w:shd w:val="clear" w:color="auto" w:fill="auto"/>
            <w:noWrap/>
            <w:vAlign w:val="bottom"/>
            <w:hideMark/>
          </w:tcPr>
          <w:p w14:paraId="05E75BA6"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93,479</w:t>
            </w:r>
          </w:p>
        </w:tc>
        <w:tc>
          <w:tcPr>
            <w:tcW w:w="967" w:type="dxa"/>
            <w:tcBorders>
              <w:top w:val="single" w:sz="4" w:space="0" w:color="auto"/>
              <w:left w:val="nil"/>
              <w:bottom w:val="single" w:sz="8" w:space="0" w:color="auto"/>
              <w:right w:val="single" w:sz="4" w:space="0" w:color="auto"/>
            </w:tcBorders>
            <w:shd w:val="clear" w:color="auto" w:fill="auto"/>
            <w:noWrap/>
            <w:vAlign w:val="bottom"/>
            <w:hideMark/>
          </w:tcPr>
          <w:p w14:paraId="17B3A388"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99,070</w:t>
            </w:r>
          </w:p>
        </w:tc>
        <w:tc>
          <w:tcPr>
            <w:tcW w:w="1313" w:type="dxa"/>
            <w:tcBorders>
              <w:top w:val="single" w:sz="4" w:space="0" w:color="auto"/>
              <w:left w:val="nil"/>
              <w:bottom w:val="single" w:sz="8" w:space="0" w:color="auto"/>
              <w:right w:val="single" w:sz="8" w:space="0" w:color="auto"/>
            </w:tcBorders>
            <w:shd w:val="clear" w:color="auto" w:fill="auto"/>
            <w:noWrap/>
            <w:vAlign w:val="bottom"/>
            <w:hideMark/>
          </w:tcPr>
          <w:p w14:paraId="61956308" w14:textId="77777777" w:rsidR="00822891" w:rsidRPr="007E54B8" w:rsidRDefault="00822891" w:rsidP="00822891">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26.8%</w:t>
            </w:r>
          </w:p>
        </w:tc>
      </w:tr>
    </w:tbl>
    <w:p w14:paraId="15ED3D63" w14:textId="77777777" w:rsidR="007E54B8" w:rsidRDefault="007E54B8" w:rsidP="00190A29">
      <w:pPr>
        <w:spacing w:after="0" w:line="360" w:lineRule="auto"/>
        <w:jc w:val="center"/>
      </w:pPr>
    </w:p>
    <w:p w14:paraId="28862C02" w14:textId="60921CC1" w:rsidR="009B4243" w:rsidRDefault="009B4243" w:rsidP="00B84321">
      <w:pPr>
        <w:pStyle w:val="Caption"/>
        <w:keepNext/>
        <w:jc w:val="center"/>
      </w:pPr>
      <w:bookmarkStart w:id="36" w:name="_Toc187401785"/>
      <w:r>
        <w:t xml:space="preserve">Table </w:t>
      </w:r>
      <w:fldSimple w:instr=" SEQ Table \* ARABIC ">
        <w:r w:rsidR="0085394E">
          <w:rPr>
            <w:noProof/>
          </w:rPr>
          <w:t>12</w:t>
        </w:r>
      </w:fldSimple>
      <w:r>
        <w:t xml:space="preserve">: </w:t>
      </w:r>
      <w:r w:rsidR="00100B6C">
        <w:t>Projected Demand for Inpatient Cancer Care</w:t>
      </w:r>
      <w:r>
        <w:t xml:space="preserve"> by Patient Race, 2025-20</w:t>
      </w:r>
      <w:r w:rsidR="001272B8">
        <w:t>4</w:t>
      </w:r>
      <w:r>
        <w:t>0</w:t>
      </w:r>
      <w:bookmarkEnd w:id="36"/>
    </w:p>
    <w:tbl>
      <w:tblPr>
        <w:tblW w:w="0" w:type="auto"/>
        <w:jc w:val="center"/>
        <w:tblLayout w:type="fixed"/>
        <w:tblCellMar>
          <w:left w:w="72" w:type="dxa"/>
          <w:right w:w="72" w:type="dxa"/>
        </w:tblCellMar>
        <w:tblLook w:val="04A0" w:firstRow="1" w:lastRow="0" w:firstColumn="1" w:lastColumn="0" w:noHBand="0" w:noVBand="1"/>
      </w:tblPr>
      <w:tblGrid>
        <w:gridCol w:w="3680"/>
        <w:gridCol w:w="1170"/>
        <w:gridCol w:w="799"/>
        <w:gridCol w:w="799"/>
        <w:gridCol w:w="799"/>
        <w:gridCol w:w="799"/>
        <w:gridCol w:w="1294"/>
      </w:tblGrid>
      <w:tr w:rsidR="00B84321" w:rsidRPr="007E54B8" w14:paraId="73251A73" w14:textId="77777777" w:rsidTr="0025092B">
        <w:trPr>
          <w:cantSplit/>
          <w:trHeight w:val="290"/>
          <w:tblHeader/>
          <w:jc w:val="center"/>
        </w:trPr>
        <w:tc>
          <w:tcPr>
            <w:tcW w:w="3680" w:type="dxa"/>
            <w:tcBorders>
              <w:top w:val="single" w:sz="8" w:space="0" w:color="auto"/>
              <w:left w:val="single" w:sz="8" w:space="0" w:color="auto"/>
              <w:bottom w:val="nil"/>
              <w:right w:val="nil"/>
            </w:tcBorders>
            <w:shd w:val="clear" w:color="000000" w:fill="002060"/>
            <w:noWrap/>
            <w:vAlign w:val="bottom"/>
            <w:hideMark/>
          </w:tcPr>
          <w:p w14:paraId="38ABA072" w14:textId="77777777" w:rsidR="007E54B8" w:rsidRPr="007E54B8" w:rsidRDefault="007E54B8" w:rsidP="007E54B8">
            <w:pPr>
              <w:spacing w:after="0" w:line="240" w:lineRule="auto"/>
              <w:rPr>
                <w:rFonts w:ascii="Calibri" w:eastAsia="Times New Roman" w:hAnsi="Calibri" w:cs="Calibri"/>
                <w:b/>
                <w:bCs/>
                <w:color w:val="FFFFFF"/>
                <w:kern w:val="0"/>
                <w:sz w:val="21"/>
                <w:szCs w:val="21"/>
                <w14:ligatures w14:val="none"/>
              </w:rPr>
            </w:pPr>
            <w:r w:rsidRPr="007E54B8">
              <w:rPr>
                <w:rFonts w:ascii="Calibri" w:eastAsia="Times New Roman" w:hAnsi="Calibri" w:cs="Calibri"/>
                <w:b/>
                <w:bCs/>
                <w:color w:val="FFFFFF"/>
                <w:kern w:val="0"/>
                <w:sz w:val="21"/>
                <w:szCs w:val="21"/>
                <w14:ligatures w14:val="none"/>
              </w:rPr>
              <w:t> </w:t>
            </w:r>
          </w:p>
        </w:tc>
        <w:tc>
          <w:tcPr>
            <w:tcW w:w="1170" w:type="dxa"/>
            <w:tcBorders>
              <w:top w:val="single" w:sz="8" w:space="0" w:color="auto"/>
              <w:left w:val="single" w:sz="4" w:space="0" w:color="auto"/>
              <w:right w:val="single" w:sz="4" w:space="0" w:color="auto"/>
            </w:tcBorders>
            <w:shd w:val="clear" w:color="000000" w:fill="002060"/>
            <w:vAlign w:val="bottom"/>
            <w:hideMark/>
          </w:tcPr>
          <w:p w14:paraId="2B370750" w14:textId="6F7C88E9" w:rsidR="007E54B8" w:rsidRPr="007E54B8" w:rsidRDefault="007E54B8" w:rsidP="007E54B8">
            <w:pPr>
              <w:spacing w:after="0" w:line="240" w:lineRule="auto"/>
              <w:jc w:val="center"/>
              <w:rPr>
                <w:rFonts w:ascii="Calibri" w:eastAsia="Times New Roman" w:hAnsi="Calibri" w:cs="Calibri"/>
                <w:b/>
                <w:bCs/>
                <w:color w:val="FFFFFF"/>
                <w:kern w:val="0"/>
                <w:sz w:val="21"/>
                <w:szCs w:val="21"/>
                <w14:ligatures w14:val="none"/>
              </w:rPr>
            </w:pPr>
          </w:p>
        </w:tc>
        <w:tc>
          <w:tcPr>
            <w:tcW w:w="3196" w:type="dxa"/>
            <w:gridSpan w:val="4"/>
            <w:tcBorders>
              <w:top w:val="single" w:sz="8" w:space="0" w:color="auto"/>
              <w:left w:val="nil"/>
              <w:bottom w:val="nil"/>
              <w:right w:val="single" w:sz="4" w:space="0" w:color="000000"/>
            </w:tcBorders>
            <w:shd w:val="clear" w:color="000000" w:fill="002060"/>
            <w:noWrap/>
            <w:vAlign w:val="bottom"/>
            <w:hideMark/>
          </w:tcPr>
          <w:p w14:paraId="79204FFE" w14:textId="77777777" w:rsidR="007E54B8" w:rsidRPr="007E54B8" w:rsidRDefault="007E54B8" w:rsidP="007E54B8">
            <w:pPr>
              <w:spacing w:after="0" w:line="240" w:lineRule="auto"/>
              <w:jc w:val="center"/>
              <w:rPr>
                <w:rFonts w:ascii="Calibri" w:eastAsia="Times New Roman" w:hAnsi="Calibri" w:cs="Calibri"/>
                <w:b/>
                <w:bCs/>
                <w:color w:val="FFFFFF"/>
                <w:kern w:val="0"/>
                <w:sz w:val="21"/>
                <w:szCs w:val="21"/>
                <w14:ligatures w14:val="none"/>
              </w:rPr>
            </w:pPr>
            <w:r w:rsidRPr="007E54B8">
              <w:rPr>
                <w:rFonts w:ascii="Calibri" w:eastAsia="Times New Roman" w:hAnsi="Calibri" w:cs="Calibri"/>
                <w:b/>
                <w:bCs/>
                <w:color w:val="FFFFFF"/>
                <w:kern w:val="0"/>
                <w:sz w:val="21"/>
                <w:szCs w:val="21"/>
                <w14:ligatures w14:val="none"/>
              </w:rPr>
              <w:t>Projected Discharges</w:t>
            </w:r>
          </w:p>
        </w:tc>
        <w:tc>
          <w:tcPr>
            <w:tcW w:w="1294" w:type="dxa"/>
            <w:tcBorders>
              <w:top w:val="single" w:sz="8" w:space="0" w:color="auto"/>
              <w:left w:val="nil"/>
              <w:right w:val="single" w:sz="8" w:space="0" w:color="auto"/>
            </w:tcBorders>
            <w:shd w:val="clear" w:color="000000" w:fill="002060"/>
            <w:vAlign w:val="bottom"/>
            <w:hideMark/>
          </w:tcPr>
          <w:p w14:paraId="67A9AB7F" w14:textId="0A9C5B11" w:rsidR="007E54B8" w:rsidRPr="007E54B8" w:rsidRDefault="007E54B8" w:rsidP="007E54B8">
            <w:pPr>
              <w:spacing w:after="0" w:line="240" w:lineRule="auto"/>
              <w:jc w:val="center"/>
              <w:rPr>
                <w:rFonts w:ascii="Calibri" w:eastAsia="Times New Roman" w:hAnsi="Calibri" w:cs="Calibri"/>
                <w:b/>
                <w:bCs/>
                <w:color w:val="FFFFFF"/>
                <w:kern w:val="0"/>
                <w:sz w:val="21"/>
                <w:szCs w:val="21"/>
                <w14:ligatures w14:val="none"/>
              </w:rPr>
            </w:pPr>
          </w:p>
        </w:tc>
      </w:tr>
      <w:tr w:rsidR="00822891" w:rsidRPr="007E54B8" w14:paraId="47FE4821" w14:textId="77777777" w:rsidTr="0025092B">
        <w:trPr>
          <w:cantSplit/>
          <w:trHeight w:val="255"/>
          <w:tblHeader/>
          <w:jc w:val="center"/>
        </w:trPr>
        <w:tc>
          <w:tcPr>
            <w:tcW w:w="3680" w:type="dxa"/>
            <w:tcBorders>
              <w:top w:val="nil"/>
              <w:left w:val="single" w:sz="8" w:space="0" w:color="auto"/>
              <w:bottom w:val="nil"/>
              <w:right w:val="single" w:sz="4" w:space="0" w:color="auto"/>
            </w:tcBorders>
            <w:shd w:val="clear" w:color="000000" w:fill="002060"/>
            <w:noWrap/>
            <w:vAlign w:val="bottom"/>
            <w:hideMark/>
          </w:tcPr>
          <w:p w14:paraId="71749C85" w14:textId="15134361" w:rsidR="00822891" w:rsidRPr="007E54B8" w:rsidRDefault="00822891" w:rsidP="007E54B8">
            <w:pPr>
              <w:spacing w:after="0" w:line="240" w:lineRule="auto"/>
              <w:rPr>
                <w:rFonts w:ascii="Calibri" w:eastAsia="Times New Roman" w:hAnsi="Calibri" w:cs="Calibri"/>
                <w:b/>
                <w:bCs/>
                <w:color w:val="FFFFFF"/>
                <w:kern w:val="0"/>
                <w:sz w:val="21"/>
                <w:szCs w:val="21"/>
                <w14:ligatures w14:val="none"/>
              </w:rPr>
            </w:pPr>
          </w:p>
        </w:tc>
        <w:tc>
          <w:tcPr>
            <w:tcW w:w="1170" w:type="dxa"/>
            <w:vMerge w:val="restart"/>
            <w:tcBorders>
              <w:left w:val="single" w:sz="4" w:space="0" w:color="auto"/>
              <w:right w:val="single" w:sz="4" w:space="0" w:color="auto"/>
            </w:tcBorders>
            <w:shd w:val="clear" w:color="000000" w:fill="002060"/>
            <w:vAlign w:val="center"/>
            <w:hideMark/>
          </w:tcPr>
          <w:p w14:paraId="21A58624" w14:textId="179D3374" w:rsidR="00822891" w:rsidRPr="007E54B8" w:rsidRDefault="00822891" w:rsidP="00822891">
            <w:pPr>
              <w:spacing w:after="0" w:line="240" w:lineRule="auto"/>
              <w:jc w:val="center"/>
              <w:rPr>
                <w:rFonts w:ascii="Calibri" w:eastAsia="Times New Roman" w:hAnsi="Calibri" w:cs="Calibri"/>
                <w:b/>
                <w:bCs/>
                <w:color w:val="FFFFFF"/>
                <w:kern w:val="0"/>
                <w:sz w:val="21"/>
                <w:szCs w:val="21"/>
                <w14:ligatures w14:val="none"/>
              </w:rPr>
            </w:pPr>
            <w:r w:rsidRPr="007E54B8">
              <w:rPr>
                <w:rFonts w:ascii="Calibri" w:eastAsia="Times New Roman" w:hAnsi="Calibri" w:cs="Calibri"/>
                <w:b/>
                <w:bCs/>
                <w:color w:val="FFFFFF"/>
                <w:kern w:val="0"/>
                <w:sz w:val="21"/>
                <w:szCs w:val="21"/>
                <w14:ligatures w14:val="none"/>
              </w:rPr>
              <w:t>2022 Discharges</w:t>
            </w:r>
          </w:p>
        </w:tc>
        <w:tc>
          <w:tcPr>
            <w:tcW w:w="799" w:type="dxa"/>
            <w:vMerge w:val="restart"/>
            <w:tcBorders>
              <w:top w:val="nil"/>
              <w:left w:val="nil"/>
              <w:right w:val="nil"/>
            </w:tcBorders>
            <w:shd w:val="clear" w:color="000000" w:fill="002060"/>
            <w:noWrap/>
            <w:vAlign w:val="bottom"/>
            <w:hideMark/>
          </w:tcPr>
          <w:p w14:paraId="6617D53D"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r w:rsidRPr="007E54B8">
              <w:rPr>
                <w:rFonts w:ascii="Calibri" w:eastAsia="Times New Roman" w:hAnsi="Calibri" w:cs="Calibri"/>
                <w:i/>
                <w:iCs/>
                <w:color w:val="FFFFFF"/>
                <w:kern w:val="0"/>
                <w:sz w:val="21"/>
                <w:szCs w:val="21"/>
                <w14:ligatures w14:val="none"/>
              </w:rPr>
              <w:t>2025</w:t>
            </w:r>
          </w:p>
        </w:tc>
        <w:tc>
          <w:tcPr>
            <w:tcW w:w="799" w:type="dxa"/>
            <w:vMerge w:val="restart"/>
            <w:tcBorders>
              <w:top w:val="nil"/>
              <w:left w:val="nil"/>
              <w:right w:val="nil"/>
            </w:tcBorders>
            <w:shd w:val="clear" w:color="000000" w:fill="002060"/>
            <w:noWrap/>
            <w:vAlign w:val="bottom"/>
            <w:hideMark/>
          </w:tcPr>
          <w:p w14:paraId="3B5C6DE9"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r w:rsidRPr="007E54B8">
              <w:rPr>
                <w:rFonts w:ascii="Calibri" w:eastAsia="Times New Roman" w:hAnsi="Calibri" w:cs="Calibri"/>
                <w:i/>
                <w:iCs/>
                <w:color w:val="FFFFFF"/>
                <w:kern w:val="0"/>
                <w:sz w:val="21"/>
                <w:szCs w:val="21"/>
                <w14:ligatures w14:val="none"/>
              </w:rPr>
              <w:t>2030</w:t>
            </w:r>
          </w:p>
        </w:tc>
        <w:tc>
          <w:tcPr>
            <w:tcW w:w="799" w:type="dxa"/>
            <w:vMerge w:val="restart"/>
            <w:tcBorders>
              <w:top w:val="nil"/>
              <w:left w:val="nil"/>
              <w:right w:val="nil"/>
            </w:tcBorders>
            <w:shd w:val="clear" w:color="000000" w:fill="002060"/>
            <w:noWrap/>
            <w:vAlign w:val="bottom"/>
            <w:hideMark/>
          </w:tcPr>
          <w:p w14:paraId="63F15AEF"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r w:rsidRPr="007E54B8">
              <w:rPr>
                <w:rFonts w:ascii="Calibri" w:eastAsia="Times New Roman" w:hAnsi="Calibri" w:cs="Calibri"/>
                <w:i/>
                <w:iCs/>
                <w:color w:val="FFFFFF"/>
                <w:kern w:val="0"/>
                <w:sz w:val="21"/>
                <w:szCs w:val="21"/>
                <w14:ligatures w14:val="none"/>
              </w:rPr>
              <w:t>2035</w:t>
            </w:r>
          </w:p>
        </w:tc>
        <w:tc>
          <w:tcPr>
            <w:tcW w:w="799" w:type="dxa"/>
            <w:vMerge w:val="restart"/>
            <w:tcBorders>
              <w:top w:val="nil"/>
              <w:left w:val="nil"/>
              <w:right w:val="single" w:sz="4" w:space="0" w:color="auto"/>
            </w:tcBorders>
            <w:shd w:val="clear" w:color="000000" w:fill="002060"/>
            <w:noWrap/>
            <w:vAlign w:val="bottom"/>
            <w:hideMark/>
          </w:tcPr>
          <w:p w14:paraId="3D3A741E"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r w:rsidRPr="007E54B8">
              <w:rPr>
                <w:rFonts w:ascii="Calibri" w:eastAsia="Times New Roman" w:hAnsi="Calibri" w:cs="Calibri"/>
                <w:i/>
                <w:iCs/>
                <w:color w:val="FFFFFF"/>
                <w:kern w:val="0"/>
                <w:sz w:val="21"/>
                <w:szCs w:val="21"/>
                <w14:ligatures w14:val="none"/>
              </w:rPr>
              <w:t>2040</w:t>
            </w:r>
          </w:p>
        </w:tc>
        <w:tc>
          <w:tcPr>
            <w:tcW w:w="1294" w:type="dxa"/>
            <w:vMerge w:val="restart"/>
            <w:tcBorders>
              <w:left w:val="nil"/>
              <w:right w:val="single" w:sz="8" w:space="0" w:color="auto"/>
            </w:tcBorders>
            <w:shd w:val="clear" w:color="000000" w:fill="002060"/>
            <w:vAlign w:val="center"/>
            <w:hideMark/>
          </w:tcPr>
          <w:p w14:paraId="06856EF4" w14:textId="2B5E5E50" w:rsidR="00822891" w:rsidRPr="007E54B8" w:rsidRDefault="00822891" w:rsidP="00822891">
            <w:pPr>
              <w:spacing w:after="0" w:line="240" w:lineRule="auto"/>
              <w:jc w:val="center"/>
              <w:rPr>
                <w:rFonts w:ascii="Calibri" w:eastAsia="Times New Roman" w:hAnsi="Calibri" w:cs="Calibri"/>
                <w:b/>
                <w:bCs/>
                <w:color w:val="FFFFFF"/>
                <w:kern w:val="0"/>
                <w:sz w:val="21"/>
                <w:szCs w:val="21"/>
                <w14:ligatures w14:val="none"/>
              </w:rPr>
            </w:pPr>
            <w:r w:rsidRPr="007E54B8">
              <w:rPr>
                <w:rFonts w:ascii="Calibri" w:eastAsia="Times New Roman" w:hAnsi="Calibri" w:cs="Calibri"/>
                <w:b/>
                <w:bCs/>
                <w:color w:val="FFFFFF"/>
                <w:kern w:val="0"/>
                <w:sz w:val="21"/>
                <w:szCs w:val="21"/>
                <w14:ligatures w14:val="none"/>
              </w:rPr>
              <w:t>Growth</w:t>
            </w:r>
            <w:r w:rsidRPr="007E54B8">
              <w:rPr>
                <w:rFonts w:ascii="Calibri" w:eastAsia="Times New Roman" w:hAnsi="Calibri" w:cs="Calibri"/>
                <w:b/>
                <w:bCs/>
                <w:color w:val="FFFFFF"/>
                <w:kern w:val="0"/>
                <w:sz w:val="21"/>
                <w:szCs w:val="21"/>
                <w14:ligatures w14:val="none"/>
              </w:rPr>
              <w:br/>
              <w:t>(2025-2040)</w:t>
            </w:r>
          </w:p>
        </w:tc>
      </w:tr>
      <w:tr w:rsidR="00822891" w:rsidRPr="007E54B8" w14:paraId="5A196A21" w14:textId="77777777" w:rsidTr="0025092B">
        <w:trPr>
          <w:cantSplit/>
          <w:trHeight w:val="255"/>
          <w:jc w:val="center"/>
        </w:trPr>
        <w:tc>
          <w:tcPr>
            <w:tcW w:w="3680" w:type="dxa"/>
            <w:tcBorders>
              <w:top w:val="nil"/>
              <w:left w:val="single" w:sz="8" w:space="0" w:color="auto"/>
              <w:bottom w:val="nil"/>
              <w:right w:val="single" w:sz="4" w:space="0" w:color="auto"/>
            </w:tcBorders>
            <w:shd w:val="clear" w:color="000000" w:fill="002060"/>
            <w:noWrap/>
            <w:vAlign w:val="bottom"/>
          </w:tcPr>
          <w:p w14:paraId="288E4380" w14:textId="1F0CA4CD" w:rsidR="00822891" w:rsidRPr="007E54B8" w:rsidRDefault="00D96468" w:rsidP="007E54B8">
            <w:pPr>
              <w:spacing w:after="0" w:line="240" w:lineRule="auto"/>
              <w:rPr>
                <w:rFonts w:ascii="Calibri" w:eastAsia="Times New Roman" w:hAnsi="Calibri" w:cs="Calibri"/>
                <w:b/>
                <w:bCs/>
                <w:color w:val="FFFFFF"/>
                <w:kern w:val="0"/>
                <w:sz w:val="21"/>
                <w:szCs w:val="21"/>
                <w14:ligatures w14:val="none"/>
              </w:rPr>
            </w:pPr>
            <w:r w:rsidRPr="007E54B8">
              <w:rPr>
                <w:rFonts w:ascii="Calibri" w:eastAsia="Times New Roman" w:hAnsi="Calibri" w:cs="Calibri"/>
                <w:b/>
                <w:bCs/>
                <w:color w:val="FFFFFF"/>
                <w:kern w:val="0"/>
                <w:sz w:val="21"/>
                <w:szCs w:val="21"/>
                <w14:ligatures w14:val="none"/>
              </w:rPr>
              <w:t>Race</w:t>
            </w:r>
          </w:p>
        </w:tc>
        <w:tc>
          <w:tcPr>
            <w:tcW w:w="1170" w:type="dxa"/>
            <w:vMerge/>
            <w:tcBorders>
              <w:left w:val="single" w:sz="4" w:space="0" w:color="auto"/>
              <w:bottom w:val="nil"/>
              <w:right w:val="single" w:sz="4" w:space="0" w:color="auto"/>
            </w:tcBorders>
            <w:shd w:val="clear" w:color="000000" w:fill="002060"/>
            <w:vAlign w:val="center"/>
          </w:tcPr>
          <w:p w14:paraId="74C045A3" w14:textId="77777777" w:rsidR="00822891" w:rsidRPr="007E54B8" w:rsidRDefault="00822891" w:rsidP="007E54B8">
            <w:pPr>
              <w:spacing w:after="0" w:line="240" w:lineRule="auto"/>
              <w:rPr>
                <w:rFonts w:ascii="Calibri" w:eastAsia="Times New Roman" w:hAnsi="Calibri" w:cs="Calibri"/>
                <w:b/>
                <w:bCs/>
                <w:color w:val="FFFFFF"/>
                <w:kern w:val="0"/>
                <w:sz w:val="21"/>
                <w:szCs w:val="21"/>
                <w14:ligatures w14:val="none"/>
              </w:rPr>
            </w:pPr>
          </w:p>
        </w:tc>
        <w:tc>
          <w:tcPr>
            <w:tcW w:w="799" w:type="dxa"/>
            <w:vMerge/>
            <w:tcBorders>
              <w:left w:val="nil"/>
              <w:bottom w:val="nil"/>
              <w:right w:val="nil"/>
            </w:tcBorders>
            <w:shd w:val="clear" w:color="000000" w:fill="002060"/>
            <w:noWrap/>
            <w:vAlign w:val="bottom"/>
          </w:tcPr>
          <w:p w14:paraId="0F3C6AA4"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p>
        </w:tc>
        <w:tc>
          <w:tcPr>
            <w:tcW w:w="799" w:type="dxa"/>
            <w:vMerge/>
            <w:tcBorders>
              <w:left w:val="nil"/>
              <w:bottom w:val="nil"/>
              <w:right w:val="nil"/>
            </w:tcBorders>
            <w:shd w:val="clear" w:color="000000" w:fill="002060"/>
            <w:noWrap/>
            <w:vAlign w:val="bottom"/>
          </w:tcPr>
          <w:p w14:paraId="1BD3C2C3"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p>
        </w:tc>
        <w:tc>
          <w:tcPr>
            <w:tcW w:w="799" w:type="dxa"/>
            <w:vMerge/>
            <w:tcBorders>
              <w:left w:val="nil"/>
              <w:bottom w:val="nil"/>
              <w:right w:val="nil"/>
            </w:tcBorders>
            <w:shd w:val="clear" w:color="000000" w:fill="002060"/>
            <w:noWrap/>
            <w:vAlign w:val="bottom"/>
          </w:tcPr>
          <w:p w14:paraId="25E37AA0"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p>
        </w:tc>
        <w:tc>
          <w:tcPr>
            <w:tcW w:w="799" w:type="dxa"/>
            <w:vMerge/>
            <w:tcBorders>
              <w:left w:val="nil"/>
              <w:bottom w:val="nil"/>
              <w:right w:val="single" w:sz="4" w:space="0" w:color="auto"/>
            </w:tcBorders>
            <w:shd w:val="clear" w:color="000000" w:fill="002060"/>
            <w:noWrap/>
            <w:vAlign w:val="bottom"/>
          </w:tcPr>
          <w:p w14:paraId="22E4000D" w14:textId="77777777" w:rsidR="00822891" w:rsidRPr="007E54B8" w:rsidRDefault="00822891" w:rsidP="007E54B8">
            <w:pPr>
              <w:spacing w:after="0" w:line="240" w:lineRule="auto"/>
              <w:jc w:val="center"/>
              <w:rPr>
                <w:rFonts w:ascii="Calibri" w:eastAsia="Times New Roman" w:hAnsi="Calibri" w:cs="Calibri"/>
                <w:i/>
                <w:iCs/>
                <w:color w:val="FFFFFF"/>
                <w:kern w:val="0"/>
                <w:sz w:val="21"/>
                <w:szCs w:val="21"/>
                <w14:ligatures w14:val="none"/>
              </w:rPr>
            </w:pPr>
          </w:p>
        </w:tc>
        <w:tc>
          <w:tcPr>
            <w:tcW w:w="1294" w:type="dxa"/>
            <w:vMerge/>
            <w:tcBorders>
              <w:left w:val="nil"/>
              <w:bottom w:val="nil"/>
              <w:right w:val="single" w:sz="8" w:space="0" w:color="auto"/>
            </w:tcBorders>
            <w:shd w:val="clear" w:color="000000" w:fill="002060"/>
            <w:vAlign w:val="center"/>
          </w:tcPr>
          <w:p w14:paraId="1FE2C7D8" w14:textId="77777777" w:rsidR="00822891" w:rsidRPr="007E54B8" w:rsidRDefault="00822891" w:rsidP="007E54B8">
            <w:pPr>
              <w:spacing w:after="0" w:line="240" w:lineRule="auto"/>
              <w:rPr>
                <w:rFonts w:ascii="Calibri" w:eastAsia="Times New Roman" w:hAnsi="Calibri" w:cs="Calibri"/>
                <w:b/>
                <w:bCs/>
                <w:color w:val="FFFFFF"/>
                <w:kern w:val="0"/>
                <w:sz w:val="21"/>
                <w:szCs w:val="21"/>
                <w14:ligatures w14:val="none"/>
              </w:rPr>
            </w:pPr>
          </w:p>
        </w:tc>
      </w:tr>
      <w:tr w:rsidR="00B84321" w:rsidRPr="007E54B8" w14:paraId="51B030B1"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0121EA64"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White</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0D29ADF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60,470</w:t>
            </w:r>
          </w:p>
        </w:tc>
        <w:tc>
          <w:tcPr>
            <w:tcW w:w="799" w:type="dxa"/>
            <w:tcBorders>
              <w:top w:val="nil"/>
              <w:left w:val="nil"/>
              <w:bottom w:val="dashed" w:sz="4" w:space="0" w:color="auto"/>
              <w:right w:val="nil"/>
            </w:tcBorders>
            <w:shd w:val="clear" w:color="auto" w:fill="auto"/>
            <w:noWrap/>
            <w:vAlign w:val="bottom"/>
            <w:hideMark/>
          </w:tcPr>
          <w:p w14:paraId="1304641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64,772</w:t>
            </w:r>
          </w:p>
        </w:tc>
        <w:tc>
          <w:tcPr>
            <w:tcW w:w="799" w:type="dxa"/>
            <w:tcBorders>
              <w:top w:val="nil"/>
              <w:left w:val="nil"/>
              <w:bottom w:val="dashed" w:sz="4" w:space="0" w:color="auto"/>
              <w:right w:val="nil"/>
            </w:tcBorders>
            <w:shd w:val="clear" w:color="auto" w:fill="auto"/>
            <w:noWrap/>
            <w:vAlign w:val="bottom"/>
            <w:hideMark/>
          </w:tcPr>
          <w:p w14:paraId="2A8130B2"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71,970</w:t>
            </w:r>
          </w:p>
        </w:tc>
        <w:tc>
          <w:tcPr>
            <w:tcW w:w="799" w:type="dxa"/>
            <w:tcBorders>
              <w:top w:val="nil"/>
              <w:left w:val="nil"/>
              <w:bottom w:val="dashed" w:sz="4" w:space="0" w:color="auto"/>
              <w:right w:val="nil"/>
            </w:tcBorders>
            <w:shd w:val="clear" w:color="auto" w:fill="auto"/>
            <w:noWrap/>
            <w:vAlign w:val="bottom"/>
            <w:hideMark/>
          </w:tcPr>
          <w:p w14:paraId="3935E66F"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78,070</w:t>
            </w:r>
          </w:p>
        </w:tc>
        <w:tc>
          <w:tcPr>
            <w:tcW w:w="799" w:type="dxa"/>
            <w:tcBorders>
              <w:top w:val="nil"/>
              <w:left w:val="nil"/>
              <w:bottom w:val="dashed" w:sz="4" w:space="0" w:color="auto"/>
              <w:right w:val="single" w:sz="4" w:space="0" w:color="auto"/>
            </w:tcBorders>
            <w:shd w:val="clear" w:color="auto" w:fill="auto"/>
            <w:noWrap/>
            <w:vAlign w:val="bottom"/>
            <w:hideMark/>
          </w:tcPr>
          <w:p w14:paraId="63D5F046"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82,826</w:t>
            </w:r>
          </w:p>
        </w:tc>
        <w:tc>
          <w:tcPr>
            <w:tcW w:w="1294" w:type="dxa"/>
            <w:tcBorders>
              <w:top w:val="nil"/>
              <w:left w:val="nil"/>
              <w:bottom w:val="dashed" w:sz="4" w:space="0" w:color="auto"/>
              <w:right w:val="single" w:sz="8" w:space="0" w:color="auto"/>
            </w:tcBorders>
            <w:shd w:val="clear" w:color="auto" w:fill="auto"/>
            <w:noWrap/>
            <w:vAlign w:val="bottom"/>
            <w:hideMark/>
          </w:tcPr>
          <w:p w14:paraId="216F9B94"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27.9%</w:t>
            </w:r>
          </w:p>
        </w:tc>
      </w:tr>
      <w:tr w:rsidR="00B84321" w:rsidRPr="007E54B8" w14:paraId="18AF111D"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6F48CB6B"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Black/African American</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56B0AEE5"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5,366</w:t>
            </w:r>
          </w:p>
        </w:tc>
        <w:tc>
          <w:tcPr>
            <w:tcW w:w="799" w:type="dxa"/>
            <w:tcBorders>
              <w:top w:val="nil"/>
              <w:left w:val="nil"/>
              <w:bottom w:val="dashed" w:sz="4" w:space="0" w:color="auto"/>
              <w:right w:val="nil"/>
            </w:tcBorders>
            <w:shd w:val="clear" w:color="auto" w:fill="auto"/>
            <w:noWrap/>
            <w:vAlign w:val="bottom"/>
            <w:hideMark/>
          </w:tcPr>
          <w:p w14:paraId="53327E1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5,674</w:t>
            </w:r>
          </w:p>
        </w:tc>
        <w:tc>
          <w:tcPr>
            <w:tcW w:w="799" w:type="dxa"/>
            <w:tcBorders>
              <w:top w:val="nil"/>
              <w:left w:val="nil"/>
              <w:bottom w:val="dashed" w:sz="4" w:space="0" w:color="auto"/>
              <w:right w:val="nil"/>
            </w:tcBorders>
            <w:shd w:val="clear" w:color="auto" w:fill="auto"/>
            <w:noWrap/>
            <w:vAlign w:val="bottom"/>
            <w:hideMark/>
          </w:tcPr>
          <w:p w14:paraId="531C8F66"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6,145</w:t>
            </w:r>
          </w:p>
        </w:tc>
        <w:tc>
          <w:tcPr>
            <w:tcW w:w="799" w:type="dxa"/>
            <w:tcBorders>
              <w:top w:val="nil"/>
              <w:left w:val="nil"/>
              <w:bottom w:val="dashed" w:sz="4" w:space="0" w:color="auto"/>
              <w:right w:val="nil"/>
            </w:tcBorders>
            <w:shd w:val="clear" w:color="auto" w:fill="auto"/>
            <w:noWrap/>
            <w:vAlign w:val="bottom"/>
            <w:hideMark/>
          </w:tcPr>
          <w:p w14:paraId="09B621B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6,530</w:t>
            </w:r>
          </w:p>
        </w:tc>
        <w:tc>
          <w:tcPr>
            <w:tcW w:w="799" w:type="dxa"/>
            <w:tcBorders>
              <w:top w:val="nil"/>
              <w:left w:val="nil"/>
              <w:bottom w:val="dashed" w:sz="4" w:space="0" w:color="auto"/>
              <w:right w:val="single" w:sz="4" w:space="0" w:color="auto"/>
            </w:tcBorders>
            <w:shd w:val="clear" w:color="auto" w:fill="auto"/>
            <w:noWrap/>
            <w:vAlign w:val="bottom"/>
            <w:hideMark/>
          </w:tcPr>
          <w:p w14:paraId="2B38EF6E"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6,854</w:t>
            </w:r>
          </w:p>
        </w:tc>
        <w:tc>
          <w:tcPr>
            <w:tcW w:w="1294" w:type="dxa"/>
            <w:tcBorders>
              <w:top w:val="nil"/>
              <w:left w:val="nil"/>
              <w:bottom w:val="dashed" w:sz="4" w:space="0" w:color="auto"/>
              <w:right w:val="single" w:sz="8" w:space="0" w:color="auto"/>
            </w:tcBorders>
            <w:shd w:val="clear" w:color="auto" w:fill="auto"/>
            <w:noWrap/>
            <w:vAlign w:val="bottom"/>
            <w:hideMark/>
          </w:tcPr>
          <w:p w14:paraId="42462966"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20.8%</w:t>
            </w:r>
          </w:p>
        </w:tc>
      </w:tr>
      <w:tr w:rsidR="00B84321" w:rsidRPr="007E54B8" w14:paraId="51075C93"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0F303DF6"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Other</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48C5B13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2,829</w:t>
            </w:r>
          </w:p>
        </w:tc>
        <w:tc>
          <w:tcPr>
            <w:tcW w:w="799" w:type="dxa"/>
            <w:tcBorders>
              <w:top w:val="nil"/>
              <w:left w:val="nil"/>
              <w:bottom w:val="dashed" w:sz="4" w:space="0" w:color="auto"/>
              <w:right w:val="nil"/>
            </w:tcBorders>
            <w:shd w:val="clear" w:color="auto" w:fill="auto"/>
            <w:noWrap/>
            <w:vAlign w:val="bottom"/>
            <w:hideMark/>
          </w:tcPr>
          <w:p w14:paraId="632CD403"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2,958</w:t>
            </w:r>
          </w:p>
        </w:tc>
        <w:tc>
          <w:tcPr>
            <w:tcW w:w="799" w:type="dxa"/>
            <w:tcBorders>
              <w:top w:val="nil"/>
              <w:left w:val="nil"/>
              <w:bottom w:val="dashed" w:sz="4" w:space="0" w:color="auto"/>
              <w:right w:val="nil"/>
            </w:tcBorders>
            <w:shd w:val="clear" w:color="auto" w:fill="auto"/>
            <w:noWrap/>
            <w:vAlign w:val="bottom"/>
            <w:hideMark/>
          </w:tcPr>
          <w:p w14:paraId="49CE5E0B"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3,178</w:t>
            </w:r>
          </w:p>
        </w:tc>
        <w:tc>
          <w:tcPr>
            <w:tcW w:w="799" w:type="dxa"/>
            <w:tcBorders>
              <w:top w:val="nil"/>
              <w:left w:val="nil"/>
              <w:bottom w:val="dashed" w:sz="4" w:space="0" w:color="auto"/>
              <w:right w:val="nil"/>
            </w:tcBorders>
            <w:shd w:val="clear" w:color="auto" w:fill="auto"/>
            <w:noWrap/>
            <w:vAlign w:val="bottom"/>
            <w:hideMark/>
          </w:tcPr>
          <w:p w14:paraId="0CFA9581"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3,391</w:t>
            </w:r>
          </w:p>
        </w:tc>
        <w:tc>
          <w:tcPr>
            <w:tcW w:w="799" w:type="dxa"/>
            <w:tcBorders>
              <w:top w:val="nil"/>
              <w:left w:val="nil"/>
              <w:bottom w:val="dashed" w:sz="4" w:space="0" w:color="auto"/>
              <w:right w:val="single" w:sz="4" w:space="0" w:color="auto"/>
            </w:tcBorders>
            <w:shd w:val="clear" w:color="auto" w:fill="auto"/>
            <w:noWrap/>
            <w:vAlign w:val="bottom"/>
            <w:hideMark/>
          </w:tcPr>
          <w:p w14:paraId="0446309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3,594</w:t>
            </w:r>
          </w:p>
        </w:tc>
        <w:tc>
          <w:tcPr>
            <w:tcW w:w="1294" w:type="dxa"/>
            <w:tcBorders>
              <w:top w:val="nil"/>
              <w:left w:val="nil"/>
              <w:bottom w:val="dashed" w:sz="4" w:space="0" w:color="auto"/>
              <w:right w:val="single" w:sz="8" w:space="0" w:color="auto"/>
            </w:tcBorders>
            <w:shd w:val="clear" w:color="auto" w:fill="auto"/>
            <w:noWrap/>
            <w:vAlign w:val="bottom"/>
            <w:hideMark/>
          </w:tcPr>
          <w:p w14:paraId="13C393B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21.5%</w:t>
            </w:r>
          </w:p>
        </w:tc>
      </w:tr>
      <w:tr w:rsidR="00B84321" w:rsidRPr="007E54B8" w14:paraId="545D2E98"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227765F8"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Asian</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598FAA84"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2,305</w:t>
            </w:r>
          </w:p>
        </w:tc>
        <w:tc>
          <w:tcPr>
            <w:tcW w:w="799" w:type="dxa"/>
            <w:tcBorders>
              <w:top w:val="nil"/>
              <w:left w:val="nil"/>
              <w:bottom w:val="dashed" w:sz="4" w:space="0" w:color="auto"/>
              <w:right w:val="nil"/>
            </w:tcBorders>
            <w:shd w:val="clear" w:color="auto" w:fill="auto"/>
            <w:noWrap/>
            <w:vAlign w:val="bottom"/>
            <w:hideMark/>
          </w:tcPr>
          <w:p w14:paraId="778D7878"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2,418</w:t>
            </w:r>
          </w:p>
        </w:tc>
        <w:tc>
          <w:tcPr>
            <w:tcW w:w="799" w:type="dxa"/>
            <w:tcBorders>
              <w:top w:val="nil"/>
              <w:left w:val="nil"/>
              <w:bottom w:val="dashed" w:sz="4" w:space="0" w:color="auto"/>
              <w:right w:val="nil"/>
            </w:tcBorders>
            <w:shd w:val="clear" w:color="auto" w:fill="auto"/>
            <w:noWrap/>
            <w:vAlign w:val="bottom"/>
            <w:hideMark/>
          </w:tcPr>
          <w:p w14:paraId="095390B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2,633</w:t>
            </w:r>
          </w:p>
        </w:tc>
        <w:tc>
          <w:tcPr>
            <w:tcW w:w="799" w:type="dxa"/>
            <w:tcBorders>
              <w:top w:val="nil"/>
              <w:left w:val="nil"/>
              <w:bottom w:val="dashed" w:sz="4" w:space="0" w:color="auto"/>
              <w:right w:val="nil"/>
            </w:tcBorders>
            <w:shd w:val="clear" w:color="auto" w:fill="auto"/>
            <w:noWrap/>
            <w:vAlign w:val="bottom"/>
            <w:hideMark/>
          </w:tcPr>
          <w:p w14:paraId="65E3F03B"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2,819</w:t>
            </w:r>
          </w:p>
        </w:tc>
        <w:tc>
          <w:tcPr>
            <w:tcW w:w="799" w:type="dxa"/>
            <w:tcBorders>
              <w:top w:val="nil"/>
              <w:left w:val="nil"/>
              <w:bottom w:val="dashed" w:sz="4" w:space="0" w:color="auto"/>
              <w:right w:val="single" w:sz="4" w:space="0" w:color="auto"/>
            </w:tcBorders>
            <w:shd w:val="clear" w:color="auto" w:fill="auto"/>
            <w:noWrap/>
            <w:vAlign w:val="bottom"/>
            <w:hideMark/>
          </w:tcPr>
          <w:p w14:paraId="7483FE44"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2,978</w:t>
            </w:r>
          </w:p>
        </w:tc>
        <w:tc>
          <w:tcPr>
            <w:tcW w:w="1294" w:type="dxa"/>
            <w:tcBorders>
              <w:top w:val="nil"/>
              <w:left w:val="nil"/>
              <w:bottom w:val="dashed" w:sz="4" w:space="0" w:color="auto"/>
              <w:right w:val="single" w:sz="8" w:space="0" w:color="auto"/>
            </w:tcBorders>
            <w:shd w:val="clear" w:color="auto" w:fill="auto"/>
            <w:noWrap/>
            <w:vAlign w:val="bottom"/>
            <w:hideMark/>
          </w:tcPr>
          <w:p w14:paraId="06BE7A0E"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23.1%</w:t>
            </w:r>
          </w:p>
        </w:tc>
      </w:tr>
      <w:tr w:rsidR="00B84321" w:rsidRPr="007E54B8" w14:paraId="7F68E5EC"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15D17050"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American Indian/Alaska Native</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1ECE608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92</w:t>
            </w:r>
          </w:p>
        </w:tc>
        <w:tc>
          <w:tcPr>
            <w:tcW w:w="799" w:type="dxa"/>
            <w:tcBorders>
              <w:top w:val="nil"/>
              <w:left w:val="nil"/>
              <w:bottom w:val="dashed" w:sz="4" w:space="0" w:color="auto"/>
              <w:right w:val="nil"/>
            </w:tcBorders>
            <w:shd w:val="clear" w:color="auto" w:fill="auto"/>
            <w:noWrap/>
            <w:vAlign w:val="bottom"/>
            <w:hideMark/>
          </w:tcPr>
          <w:p w14:paraId="6E5A5FCD"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96</w:t>
            </w:r>
          </w:p>
        </w:tc>
        <w:tc>
          <w:tcPr>
            <w:tcW w:w="799" w:type="dxa"/>
            <w:tcBorders>
              <w:top w:val="nil"/>
              <w:left w:val="nil"/>
              <w:bottom w:val="dashed" w:sz="4" w:space="0" w:color="auto"/>
              <w:right w:val="nil"/>
            </w:tcBorders>
            <w:shd w:val="clear" w:color="auto" w:fill="auto"/>
            <w:noWrap/>
            <w:vAlign w:val="bottom"/>
            <w:hideMark/>
          </w:tcPr>
          <w:p w14:paraId="1C1A3B3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101</w:t>
            </w:r>
          </w:p>
        </w:tc>
        <w:tc>
          <w:tcPr>
            <w:tcW w:w="799" w:type="dxa"/>
            <w:tcBorders>
              <w:top w:val="nil"/>
              <w:left w:val="nil"/>
              <w:bottom w:val="dashed" w:sz="4" w:space="0" w:color="auto"/>
              <w:right w:val="nil"/>
            </w:tcBorders>
            <w:shd w:val="clear" w:color="auto" w:fill="auto"/>
            <w:noWrap/>
            <w:vAlign w:val="bottom"/>
            <w:hideMark/>
          </w:tcPr>
          <w:p w14:paraId="355EEE5F"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105</w:t>
            </w:r>
          </w:p>
        </w:tc>
        <w:tc>
          <w:tcPr>
            <w:tcW w:w="799" w:type="dxa"/>
            <w:tcBorders>
              <w:top w:val="nil"/>
              <w:left w:val="nil"/>
              <w:bottom w:val="dashed" w:sz="4" w:space="0" w:color="auto"/>
              <w:right w:val="single" w:sz="4" w:space="0" w:color="auto"/>
            </w:tcBorders>
            <w:shd w:val="clear" w:color="auto" w:fill="auto"/>
            <w:noWrap/>
            <w:vAlign w:val="bottom"/>
            <w:hideMark/>
          </w:tcPr>
          <w:p w14:paraId="15EB853C"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110</w:t>
            </w:r>
          </w:p>
        </w:tc>
        <w:tc>
          <w:tcPr>
            <w:tcW w:w="1294" w:type="dxa"/>
            <w:tcBorders>
              <w:top w:val="nil"/>
              <w:left w:val="nil"/>
              <w:bottom w:val="dashed" w:sz="4" w:space="0" w:color="auto"/>
              <w:right w:val="single" w:sz="8" w:space="0" w:color="auto"/>
            </w:tcBorders>
            <w:shd w:val="clear" w:color="auto" w:fill="auto"/>
            <w:noWrap/>
            <w:vAlign w:val="bottom"/>
            <w:hideMark/>
          </w:tcPr>
          <w:p w14:paraId="076316A8"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14.9%</w:t>
            </w:r>
          </w:p>
        </w:tc>
      </w:tr>
      <w:tr w:rsidR="00B84321" w:rsidRPr="007E54B8" w14:paraId="59F71C99" w14:textId="77777777" w:rsidTr="0025092B">
        <w:trPr>
          <w:cantSplit/>
          <w:trHeight w:val="259"/>
          <w:jc w:val="center"/>
        </w:trPr>
        <w:tc>
          <w:tcPr>
            <w:tcW w:w="3680" w:type="dxa"/>
            <w:tcBorders>
              <w:top w:val="nil"/>
              <w:left w:val="single" w:sz="8" w:space="0" w:color="auto"/>
              <w:bottom w:val="dashed" w:sz="4" w:space="0" w:color="auto"/>
              <w:right w:val="nil"/>
            </w:tcBorders>
            <w:shd w:val="clear" w:color="auto" w:fill="auto"/>
            <w:noWrap/>
            <w:vAlign w:val="bottom"/>
            <w:hideMark/>
          </w:tcPr>
          <w:p w14:paraId="76498618"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Native Hawaiian or other Pacific Islander</w:t>
            </w:r>
          </w:p>
        </w:tc>
        <w:tc>
          <w:tcPr>
            <w:tcW w:w="1170" w:type="dxa"/>
            <w:tcBorders>
              <w:top w:val="nil"/>
              <w:left w:val="single" w:sz="4" w:space="0" w:color="auto"/>
              <w:bottom w:val="dashed" w:sz="4" w:space="0" w:color="auto"/>
              <w:right w:val="single" w:sz="4" w:space="0" w:color="auto"/>
            </w:tcBorders>
            <w:shd w:val="clear" w:color="auto" w:fill="auto"/>
            <w:noWrap/>
            <w:vAlign w:val="bottom"/>
            <w:hideMark/>
          </w:tcPr>
          <w:p w14:paraId="7DAA2E31"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37</w:t>
            </w:r>
          </w:p>
        </w:tc>
        <w:tc>
          <w:tcPr>
            <w:tcW w:w="799" w:type="dxa"/>
            <w:tcBorders>
              <w:top w:val="nil"/>
              <w:left w:val="nil"/>
              <w:bottom w:val="dashed" w:sz="4" w:space="0" w:color="auto"/>
              <w:right w:val="nil"/>
            </w:tcBorders>
            <w:shd w:val="clear" w:color="auto" w:fill="auto"/>
            <w:noWrap/>
            <w:vAlign w:val="bottom"/>
            <w:hideMark/>
          </w:tcPr>
          <w:p w14:paraId="04BB082A"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37</w:t>
            </w:r>
          </w:p>
        </w:tc>
        <w:tc>
          <w:tcPr>
            <w:tcW w:w="799" w:type="dxa"/>
            <w:tcBorders>
              <w:top w:val="nil"/>
              <w:left w:val="nil"/>
              <w:bottom w:val="dashed" w:sz="4" w:space="0" w:color="auto"/>
              <w:right w:val="nil"/>
            </w:tcBorders>
            <w:shd w:val="clear" w:color="auto" w:fill="auto"/>
            <w:noWrap/>
            <w:vAlign w:val="bottom"/>
            <w:hideMark/>
          </w:tcPr>
          <w:p w14:paraId="1634D833"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37</w:t>
            </w:r>
          </w:p>
        </w:tc>
        <w:tc>
          <w:tcPr>
            <w:tcW w:w="799" w:type="dxa"/>
            <w:tcBorders>
              <w:top w:val="nil"/>
              <w:left w:val="nil"/>
              <w:bottom w:val="dashed" w:sz="4" w:space="0" w:color="auto"/>
              <w:right w:val="nil"/>
            </w:tcBorders>
            <w:shd w:val="clear" w:color="auto" w:fill="auto"/>
            <w:noWrap/>
            <w:vAlign w:val="bottom"/>
            <w:hideMark/>
          </w:tcPr>
          <w:p w14:paraId="0456E510"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36</w:t>
            </w:r>
          </w:p>
        </w:tc>
        <w:tc>
          <w:tcPr>
            <w:tcW w:w="799" w:type="dxa"/>
            <w:tcBorders>
              <w:top w:val="nil"/>
              <w:left w:val="nil"/>
              <w:bottom w:val="dashed" w:sz="4" w:space="0" w:color="auto"/>
              <w:right w:val="single" w:sz="4" w:space="0" w:color="auto"/>
            </w:tcBorders>
            <w:shd w:val="clear" w:color="auto" w:fill="auto"/>
            <w:noWrap/>
            <w:vAlign w:val="bottom"/>
            <w:hideMark/>
          </w:tcPr>
          <w:p w14:paraId="149E43B3"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37</w:t>
            </w:r>
          </w:p>
        </w:tc>
        <w:tc>
          <w:tcPr>
            <w:tcW w:w="1294" w:type="dxa"/>
            <w:tcBorders>
              <w:top w:val="nil"/>
              <w:left w:val="nil"/>
              <w:bottom w:val="dashed" w:sz="4" w:space="0" w:color="auto"/>
              <w:right w:val="single" w:sz="8" w:space="0" w:color="auto"/>
            </w:tcBorders>
            <w:shd w:val="clear" w:color="auto" w:fill="auto"/>
            <w:noWrap/>
            <w:vAlign w:val="bottom"/>
            <w:hideMark/>
          </w:tcPr>
          <w:p w14:paraId="1697D5F0"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1.3%</w:t>
            </w:r>
          </w:p>
        </w:tc>
      </w:tr>
      <w:tr w:rsidR="00B84321" w:rsidRPr="007E54B8" w14:paraId="62C3AB8D" w14:textId="77777777" w:rsidTr="0025092B">
        <w:trPr>
          <w:cantSplit/>
          <w:trHeight w:val="259"/>
          <w:jc w:val="center"/>
        </w:trPr>
        <w:tc>
          <w:tcPr>
            <w:tcW w:w="3680" w:type="dxa"/>
            <w:tcBorders>
              <w:top w:val="nil"/>
              <w:left w:val="single" w:sz="8" w:space="0" w:color="auto"/>
              <w:bottom w:val="nil"/>
              <w:right w:val="nil"/>
            </w:tcBorders>
            <w:shd w:val="clear" w:color="auto" w:fill="auto"/>
            <w:noWrap/>
            <w:vAlign w:val="bottom"/>
            <w:hideMark/>
          </w:tcPr>
          <w:p w14:paraId="7810ED33" w14:textId="77777777" w:rsidR="007E54B8" w:rsidRPr="007E54B8" w:rsidRDefault="007E54B8" w:rsidP="007E54B8">
            <w:pPr>
              <w:spacing w:after="0" w:line="240" w:lineRule="auto"/>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Unknown</w:t>
            </w:r>
          </w:p>
        </w:tc>
        <w:tc>
          <w:tcPr>
            <w:tcW w:w="1170" w:type="dxa"/>
            <w:tcBorders>
              <w:top w:val="nil"/>
              <w:left w:val="single" w:sz="4" w:space="0" w:color="auto"/>
              <w:bottom w:val="nil"/>
              <w:right w:val="single" w:sz="4" w:space="0" w:color="auto"/>
            </w:tcBorders>
            <w:shd w:val="clear" w:color="auto" w:fill="auto"/>
            <w:noWrap/>
            <w:vAlign w:val="bottom"/>
            <w:hideMark/>
          </w:tcPr>
          <w:p w14:paraId="3C68B2A4"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2,056</w:t>
            </w:r>
          </w:p>
        </w:tc>
        <w:tc>
          <w:tcPr>
            <w:tcW w:w="799" w:type="dxa"/>
            <w:tcBorders>
              <w:top w:val="nil"/>
              <w:left w:val="nil"/>
              <w:bottom w:val="nil"/>
              <w:right w:val="nil"/>
            </w:tcBorders>
            <w:shd w:val="clear" w:color="auto" w:fill="auto"/>
            <w:noWrap/>
            <w:vAlign w:val="bottom"/>
            <w:hideMark/>
          </w:tcPr>
          <w:p w14:paraId="179A13D3"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2,168</w:t>
            </w:r>
          </w:p>
        </w:tc>
        <w:tc>
          <w:tcPr>
            <w:tcW w:w="799" w:type="dxa"/>
            <w:tcBorders>
              <w:top w:val="nil"/>
              <w:left w:val="nil"/>
              <w:bottom w:val="nil"/>
              <w:right w:val="nil"/>
            </w:tcBorders>
            <w:shd w:val="clear" w:color="auto" w:fill="auto"/>
            <w:noWrap/>
            <w:vAlign w:val="bottom"/>
            <w:hideMark/>
          </w:tcPr>
          <w:p w14:paraId="0CF73BC1"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2,358</w:t>
            </w:r>
          </w:p>
        </w:tc>
        <w:tc>
          <w:tcPr>
            <w:tcW w:w="799" w:type="dxa"/>
            <w:tcBorders>
              <w:top w:val="nil"/>
              <w:left w:val="nil"/>
              <w:bottom w:val="nil"/>
              <w:right w:val="nil"/>
            </w:tcBorders>
            <w:shd w:val="clear" w:color="auto" w:fill="auto"/>
            <w:noWrap/>
            <w:vAlign w:val="bottom"/>
            <w:hideMark/>
          </w:tcPr>
          <w:p w14:paraId="03BC1423"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2,528</w:t>
            </w:r>
          </w:p>
        </w:tc>
        <w:tc>
          <w:tcPr>
            <w:tcW w:w="799" w:type="dxa"/>
            <w:tcBorders>
              <w:top w:val="nil"/>
              <w:left w:val="nil"/>
              <w:bottom w:val="nil"/>
              <w:right w:val="single" w:sz="4" w:space="0" w:color="auto"/>
            </w:tcBorders>
            <w:shd w:val="clear" w:color="auto" w:fill="auto"/>
            <w:noWrap/>
            <w:vAlign w:val="bottom"/>
            <w:hideMark/>
          </w:tcPr>
          <w:p w14:paraId="615D3EF5"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2,671</w:t>
            </w:r>
          </w:p>
        </w:tc>
        <w:tc>
          <w:tcPr>
            <w:tcW w:w="1294" w:type="dxa"/>
            <w:tcBorders>
              <w:top w:val="nil"/>
              <w:left w:val="nil"/>
              <w:bottom w:val="nil"/>
              <w:right w:val="single" w:sz="8" w:space="0" w:color="auto"/>
            </w:tcBorders>
            <w:shd w:val="clear" w:color="auto" w:fill="auto"/>
            <w:noWrap/>
            <w:vAlign w:val="bottom"/>
            <w:hideMark/>
          </w:tcPr>
          <w:p w14:paraId="51451857" w14:textId="77777777" w:rsidR="007E54B8" w:rsidRPr="007E54B8" w:rsidRDefault="007E54B8" w:rsidP="00B84321">
            <w:pPr>
              <w:spacing w:after="0" w:line="240" w:lineRule="auto"/>
              <w:jc w:val="center"/>
              <w:rPr>
                <w:rFonts w:ascii="Calibri" w:eastAsia="Times New Roman" w:hAnsi="Calibri" w:cs="Calibri"/>
                <w:kern w:val="0"/>
                <w:sz w:val="21"/>
                <w:szCs w:val="21"/>
                <w14:ligatures w14:val="none"/>
              </w:rPr>
            </w:pPr>
            <w:r w:rsidRPr="007E54B8">
              <w:rPr>
                <w:rFonts w:ascii="Calibri" w:eastAsia="Times New Roman" w:hAnsi="Calibri" w:cs="Calibri"/>
                <w:kern w:val="0"/>
                <w:sz w:val="21"/>
                <w:szCs w:val="21"/>
                <w14:ligatures w14:val="none"/>
              </w:rPr>
              <w:t>23.2%</w:t>
            </w:r>
          </w:p>
        </w:tc>
      </w:tr>
      <w:tr w:rsidR="00B84321" w:rsidRPr="007E54B8" w14:paraId="64DEB5A7" w14:textId="77777777" w:rsidTr="0025092B">
        <w:trPr>
          <w:cantSplit/>
          <w:trHeight w:val="259"/>
          <w:jc w:val="center"/>
        </w:trPr>
        <w:tc>
          <w:tcPr>
            <w:tcW w:w="3680" w:type="dxa"/>
            <w:tcBorders>
              <w:top w:val="single" w:sz="4" w:space="0" w:color="auto"/>
              <w:left w:val="single" w:sz="8" w:space="0" w:color="auto"/>
              <w:bottom w:val="single" w:sz="8" w:space="0" w:color="auto"/>
              <w:right w:val="nil"/>
            </w:tcBorders>
            <w:shd w:val="clear" w:color="auto" w:fill="auto"/>
            <w:noWrap/>
            <w:vAlign w:val="bottom"/>
            <w:hideMark/>
          </w:tcPr>
          <w:p w14:paraId="07993A49" w14:textId="77777777" w:rsidR="007E54B8" w:rsidRPr="007E54B8" w:rsidRDefault="007E54B8" w:rsidP="007E54B8">
            <w:pPr>
              <w:spacing w:after="0" w:line="240" w:lineRule="auto"/>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Total</w:t>
            </w:r>
          </w:p>
        </w:tc>
        <w:tc>
          <w:tcPr>
            <w:tcW w:w="11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C5DB1E0"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73,155</w:t>
            </w:r>
          </w:p>
        </w:tc>
        <w:tc>
          <w:tcPr>
            <w:tcW w:w="799" w:type="dxa"/>
            <w:tcBorders>
              <w:top w:val="single" w:sz="4" w:space="0" w:color="auto"/>
              <w:left w:val="nil"/>
              <w:bottom w:val="single" w:sz="8" w:space="0" w:color="auto"/>
              <w:right w:val="nil"/>
            </w:tcBorders>
            <w:shd w:val="clear" w:color="auto" w:fill="auto"/>
            <w:noWrap/>
            <w:vAlign w:val="bottom"/>
            <w:hideMark/>
          </w:tcPr>
          <w:p w14:paraId="517DB06C"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78,122</w:t>
            </w:r>
          </w:p>
        </w:tc>
        <w:tc>
          <w:tcPr>
            <w:tcW w:w="799" w:type="dxa"/>
            <w:tcBorders>
              <w:top w:val="single" w:sz="4" w:space="0" w:color="auto"/>
              <w:left w:val="nil"/>
              <w:bottom w:val="single" w:sz="8" w:space="0" w:color="auto"/>
              <w:right w:val="nil"/>
            </w:tcBorders>
            <w:shd w:val="clear" w:color="auto" w:fill="auto"/>
            <w:noWrap/>
            <w:vAlign w:val="bottom"/>
            <w:hideMark/>
          </w:tcPr>
          <w:p w14:paraId="5DE5F51A"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86,422</w:t>
            </w:r>
          </w:p>
        </w:tc>
        <w:tc>
          <w:tcPr>
            <w:tcW w:w="799" w:type="dxa"/>
            <w:tcBorders>
              <w:top w:val="single" w:sz="4" w:space="0" w:color="auto"/>
              <w:left w:val="nil"/>
              <w:bottom w:val="single" w:sz="8" w:space="0" w:color="auto"/>
              <w:right w:val="nil"/>
            </w:tcBorders>
            <w:shd w:val="clear" w:color="auto" w:fill="auto"/>
            <w:noWrap/>
            <w:vAlign w:val="bottom"/>
            <w:hideMark/>
          </w:tcPr>
          <w:p w14:paraId="59F8C66D"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93,479</w:t>
            </w:r>
          </w:p>
        </w:tc>
        <w:tc>
          <w:tcPr>
            <w:tcW w:w="799" w:type="dxa"/>
            <w:tcBorders>
              <w:top w:val="single" w:sz="4" w:space="0" w:color="auto"/>
              <w:left w:val="nil"/>
              <w:bottom w:val="single" w:sz="8" w:space="0" w:color="auto"/>
              <w:right w:val="single" w:sz="4" w:space="0" w:color="auto"/>
            </w:tcBorders>
            <w:shd w:val="clear" w:color="auto" w:fill="auto"/>
            <w:noWrap/>
            <w:vAlign w:val="bottom"/>
            <w:hideMark/>
          </w:tcPr>
          <w:p w14:paraId="37E13796"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99,070</w:t>
            </w:r>
          </w:p>
        </w:tc>
        <w:tc>
          <w:tcPr>
            <w:tcW w:w="1294" w:type="dxa"/>
            <w:tcBorders>
              <w:top w:val="single" w:sz="4" w:space="0" w:color="auto"/>
              <w:left w:val="nil"/>
              <w:bottom w:val="single" w:sz="8" w:space="0" w:color="auto"/>
              <w:right w:val="single" w:sz="8" w:space="0" w:color="auto"/>
            </w:tcBorders>
            <w:shd w:val="clear" w:color="auto" w:fill="auto"/>
            <w:noWrap/>
            <w:vAlign w:val="bottom"/>
            <w:hideMark/>
          </w:tcPr>
          <w:p w14:paraId="561E5639" w14:textId="77777777" w:rsidR="007E54B8" w:rsidRPr="007E54B8" w:rsidRDefault="007E54B8" w:rsidP="00B84321">
            <w:pPr>
              <w:spacing w:after="0" w:line="240" w:lineRule="auto"/>
              <w:jc w:val="center"/>
              <w:rPr>
                <w:rFonts w:ascii="Calibri" w:eastAsia="Times New Roman" w:hAnsi="Calibri" w:cs="Calibri"/>
                <w:b/>
                <w:bCs/>
                <w:kern w:val="0"/>
                <w:sz w:val="21"/>
                <w:szCs w:val="21"/>
                <w14:ligatures w14:val="none"/>
              </w:rPr>
            </w:pPr>
            <w:r w:rsidRPr="007E54B8">
              <w:rPr>
                <w:rFonts w:ascii="Calibri" w:eastAsia="Times New Roman" w:hAnsi="Calibri" w:cs="Calibri"/>
                <w:b/>
                <w:bCs/>
                <w:kern w:val="0"/>
                <w:sz w:val="21"/>
                <w:szCs w:val="21"/>
                <w14:ligatures w14:val="none"/>
              </w:rPr>
              <w:t>26.8%</w:t>
            </w:r>
          </w:p>
        </w:tc>
      </w:tr>
    </w:tbl>
    <w:p w14:paraId="1D672F07" w14:textId="7E64F0F5" w:rsidR="009B4243" w:rsidRDefault="009B4243" w:rsidP="006256A8">
      <w:pPr>
        <w:pStyle w:val="Caption"/>
        <w:keepNext/>
        <w:jc w:val="center"/>
      </w:pPr>
      <w:bookmarkStart w:id="37" w:name="_Toc187401786"/>
      <w:r>
        <w:t xml:space="preserve">Table </w:t>
      </w:r>
      <w:fldSimple w:instr=" SEQ Table \* ARABIC ">
        <w:r w:rsidR="0085394E">
          <w:rPr>
            <w:noProof/>
          </w:rPr>
          <w:t>13</w:t>
        </w:r>
      </w:fldSimple>
      <w:r>
        <w:t xml:space="preserve">: </w:t>
      </w:r>
      <w:r w:rsidR="00100B6C">
        <w:t>Projected Demand for Inpatient Cancer Care</w:t>
      </w:r>
      <w:r>
        <w:t xml:space="preserve"> by Acuity Level, 2025-20</w:t>
      </w:r>
      <w:r w:rsidR="001272B8">
        <w:t>4</w:t>
      </w:r>
      <w:r>
        <w:t>0</w:t>
      </w:r>
      <w:bookmarkEnd w:id="37"/>
    </w:p>
    <w:tbl>
      <w:tblPr>
        <w:tblW w:w="8020" w:type="dxa"/>
        <w:jc w:val="center"/>
        <w:tblLook w:val="04A0" w:firstRow="1" w:lastRow="0" w:firstColumn="1" w:lastColumn="0" w:noHBand="0" w:noVBand="1"/>
      </w:tblPr>
      <w:tblGrid>
        <w:gridCol w:w="1340"/>
        <w:gridCol w:w="1260"/>
        <w:gridCol w:w="960"/>
        <w:gridCol w:w="960"/>
        <w:gridCol w:w="960"/>
        <w:gridCol w:w="960"/>
        <w:gridCol w:w="1580"/>
      </w:tblGrid>
      <w:tr w:rsidR="007E54B8" w:rsidRPr="007E54B8" w14:paraId="7893E505" w14:textId="77777777" w:rsidTr="00DF28E2">
        <w:trPr>
          <w:cantSplit/>
          <w:trHeight w:val="290"/>
          <w:tblHeader/>
          <w:jc w:val="center"/>
        </w:trPr>
        <w:tc>
          <w:tcPr>
            <w:tcW w:w="1340" w:type="dxa"/>
            <w:tcBorders>
              <w:top w:val="single" w:sz="8" w:space="0" w:color="auto"/>
              <w:left w:val="single" w:sz="8" w:space="0" w:color="auto"/>
              <w:bottom w:val="nil"/>
              <w:right w:val="nil"/>
            </w:tcBorders>
            <w:shd w:val="clear" w:color="000000" w:fill="002060"/>
            <w:noWrap/>
            <w:vAlign w:val="bottom"/>
            <w:hideMark/>
          </w:tcPr>
          <w:p w14:paraId="4754B867"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 </w:t>
            </w:r>
          </w:p>
        </w:tc>
        <w:tc>
          <w:tcPr>
            <w:tcW w:w="1260" w:type="dxa"/>
            <w:tcBorders>
              <w:top w:val="single" w:sz="8" w:space="0" w:color="auto"/>
              <w:left w:val="single" w:sz="4" w:space="0" w:color="auto"/>
              <w:right w:val="single" w:sz="4" w:space="0" w:color="auto"/>
            </w:tcBorders>
            <w:shd w:val="clear" w:color="000000" w:fill="002060"/>
            <w:vAlign w:val="bottom"/>
            <w:hideMark/>
          </w:tcPr>
          <w:p w14:paraId="1833284E" w14:textId="0F34EA62"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c>
          <w:tcPr>
            <w:tcW w:w="3840" w:type="dxa"/>
            <w:gridSpan w:val="4"/>
            <w:tcBorders>
              <w:top w:val="single" w:sz="8" w:space="0" w:color="auto"/>
              <w:left w:val="nil"/>
              <w:bottom w:val="nil"/>
              <w:right w:val="single" w:sz="4" w:space="0" w:color="000000"/>
            </w:tcBorders>
            <w:shd w:val="clear" w:color="000000" w:fill="002060"/>
            <w:noWrap/>
            <w:vAlign w:val="bottom"/>
            <w:hideMark/>
          </w:tcPr>
          <w:p w14:paraId="7D9DE67D" w14:textId="77777777"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Projected Discharges</w:t>
            </w:r>
          </w:p>
        </w:tc>
        <w:tc>
          <w:tcPr>
            <w:tcW w:w="1580" w:type="dxa"/>
            <w:tcBorders>
              <w:top w:val="single" w:sz="8" w:space="0" w:color="auto"/>
              <w:left w:val="nil"/>
              <w:right w:val="single" w:sz="8" w:space="0" w:color="auto"/>
            </w:tcBorders>
            <w:shd w:val="clear" w:color="000000" w:fill="002060"/>
            <w:vAlign w:val="bottom"/>
            <w:hideMark/>
          </w:tcPr>
          <w:p w14:paraId="2DA0456B" w14:textId="1FCD37EB" w:rsidR="007E54B8" w:rsidRPr="007E54B8" w:rsidRDefault="007E54B8" w:rsidP="007E54B8">
            <w:pPr>
              <w:spacing w:after="0" w:line="240" w:lineRule="auto"/>
              <w:jc w:val="center"/>
              <w:rPr>
                <w:rFonts w:ascii="Calibri" w:eastAsia="Times New Roman" w:hAnsi="Calibri" w:cs="Calibri"/>
                <w:b/>
                <w:bCs/>
                <w:color w:val="FFFFFF"/>
                <w:kern w:val="0"/>
                <w14:ligatures w14:val="none"/>
              </w:rPr>
            </w:pPr>
          </w:p>
        </w:tc>
      </w:tr>
      <w:tr w:rsidR="007E54B8" w:rsidRPr="007E54B8" w14:paraId="2C0829D2" w14:textId="77777777" w:rsidTr="00DF28E2">
        <w:trPr>
          <w:cantSplit/>
          <w:trHeight w:val="290"/>
          <w:tblHeader/>
          <w:jc w:val="center"/>
        </w:trPr>
        <w:tc>
          <w:tcPr>
            <w:tcW w:w="1340" w:type="dxa"/>
            <w:tcBorders>
              <w:top w:val="nil"/>
              <w:left w:val="single" w:sz="8" w:space="0" w:color="auto"/>
              <w:bottom w:val="nil"/>
              <w:right w:val="nil"/>
            </w:tcBorders>
            <w:shd w:val="clear" w:color="000000" w:fill="002060"/>
            <w:noWrap/>
            <w:vAlign w:val="bottom"/>
            <w:hideMark/>
          </w:tcPr>
          <w:p w14:paraId="5CC5F823" w14:textId="77777777" w:rsidR="007E54B8" w:rsidRPr="007E54B8" w:rsidRDefault="007E54B8" w:rsidP="007E54B8">
            <w:pPr>
              <w:spacing w:after="0" w:line="240" w:lineRule="auto"/>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DRG Acuity</w:t>
            </w:r>
          </w:p>
        </w:tc>
        <w:tc>
          <w:tcPr>
            <w:tcW w:w="1260" w:type="dxa"/>
            <w:tcBorders>
              <w:left w:val="single" w:sz="4" w:space="0" w:color="auto"/>
              <w:bottom w:val="nil"/>
              <w:right w:val="single" w:sz="4" w:space="0" w:color="auto"/>
            </w:tcBorders>
            <w:shd w:val="clear" w:color="000000" w:fill="002060"/>
            <w:vAlign w:val="center"/>
            <w:hideMark/>
          </w:tcPr>
          <w:p w14:paraId="31CD325A" w14:textId="7C106586" w:rsidR="007E54B8" w:rsidRPr="007E54B8" w:rsidRDefault="00D96468" w:rsidP="00DF28E2">
            <w:pPr>
              <w:spacing w:after="0" w:line="240" w:lineRule="auto"/>
              <w:jc w:val="center"/>
              <w:rPr>
                <w:rFonts w:ascii="Calibri" w:eastAsia="Times New Roman" w:hAnsi="Calibri" w:cs="Calibri"/>
                <w:b/>
                <w:bCs/>
                <w:color w:val="FFFFFF"/>
                <w:kern w:val="0"/>
                <w14:ligatures w14:val="none"/>
              </w:rPr>
            </w:pPr>
            <w:r w:rsidRPr="007E54B8">
              <w:rPr>
                <w:rFonts w:ascii="Calibri" w:eastAsia="Times New Roman" w:hAnsi="Calibri" w:cs="Calibri"/>
                <w:b/>
                <w:bCs/>
                <w:color w:val="FFFFFF"/>
                <w:kern w:val="0"/>
                <w14:ligatures w14:val="none"/>
              </w:rPr>
              <w:t>2022 Discharges</w:t>
            </w:r>
          </w:p>
        </w:tc>
        <w:tc>
          <w:tcPr>
            <w:tcW w:w="960" w:type="dxa"/>
            <w:tcBorders>
              <w:top w:val="nil"/>
              <w:left w:val="nil"/>
              <w:bottom w:val="nil"/>
              <w:right w:val="nil"/>
            </w:tcBorders>
            <w:shd w:val="clear" w:color="000000" w:fill="002060"/>
            <w:noWrap/>
            <w:vAlign w:val="bottom"/>
            <w:hideMark/>
          </w:tcPr>
          <w:p w14:paraId="28118628" w14:textId="77777777" w:rsidR="007E54B8" w:rsidRPr="007E54B8" w:rsidRDefault="007E54B8"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2025</w:t>
            </w:r>
          </w:p>
        </w:tc>
        <w:tc>
          <w:tcPr>
            <w:tcW w:w="960" w:type="dxa"/>
            <w:tcBorders>
              <w:top w:val="nil"/>
              <w:left w:val="nil"/>
              <w:bottom w:val="nil"/>
              <w:right w:val="nil"/>
            </w:tcBorders>
            <w:shd w:val="clear" w:color="000000" w:fill="002060"/>
            <w:noWrap/>
            <w:vAlign w:val="bottom"/>
            <w:hideMark/>
          </w:tcPr>
          <w:p w14:paraId="43546FBE" w14:textId="77777777" w:rsidR="007E54B8" w:rsidRPr="007E54B8" w:rsidRDefault="007E54B8"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2030</w:t>
            </w:r>
          </w:p>
        </w:tc>
        <w:tc>
          <w:tcPr>
            <w:tcW w:w="960" w:type="dxa"/>
            <w:tcBorders>
              <w:top w:val="nil"/>
              <w:left w:val="nil"/>
              <w:bottom w:val="nil"/>
              <w:right w:val="nil"/>
            </w:tcBorders>
            <w:shd w:val="clear" w:color="000000" w:fill="002060"/>
            <w:noWrap/>
            <w:vAlign w:val="bottom"/>
            <w:hideMark/>
          </w:tcPr>
          <w:p w14:paraId="194FA33E" w14:textId="77777777" w:rsidR="007E54B8" w:rsidRPr="007E54B8" w:rsidRDefault="007E54B8"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2035</w:t>
            </w:r>
          </w:p>
        </w:tc>
        <w:tc>
          <w:tcPr>
            <w:tcW w:w="960" w:type="dxa"/>
            <w:tcBorders>
              <w:top w:val="nil"/>
              <w:left w:val="nil"/>
              <w:bottom w:val="nil"/>
              <w:right w:val="single" w:sz="4" w:space="0" w:color="auto"/>
            </w:tcBorders>
            <w:shd w:val="clear" w:color="000000" w:fill="002060"/>
            <w:noWrap/>
            <w:vAlign w:val="bottom"/>
            <w:hideMark/>
          </w:tcPr>
          <w:p w14:paraId="1F36457C" w14:textId="77777777" w:rsidR="007E54B8" w:rsidRPr="007E54B8" w:rsidRDefault="007E54B8" w:rsidP="007E54B8">
            <w:pPr>
              <w:spacing w:after="0" w:line="240" w:lineRule="auto"/>
              <w:jc w:val="center"/>
              <w:rPr>
                <w:rFonts w:ascii="Calibri" w:eastAsia="Times New Roman" w:hAnsi="Calibri" w:cs="Calibri"/>
                <w:i/>
                <w:iCs/>
                <w:color w:val="FFFFFF"/>
                <w:kern w:val="0"/>
                <w14:ligatures w14:val="none"/>
              </w:rPr>
            </w:pPr>
            <w:r w:rsidRPr="007E54B8">
              <w:rPr>
                <w:rFonts w:ascii="Calibri" w:eastAsia="Times New Roman" w:hAnsi="Calibri" w:cs="Calibri"/>
                <w:i/>
                <w:iCs/>
                <w:color w:val="FFFFFF"/>
                <w:kern w:val="0"/>
                <w14:ligatures w14:val="none"/>
              </w:rPr>
              <w:t>2040</w:t>
            </w:r>
          </w:p>
        </w:tc>
        <w:tc>
          <w:tcPr>
            <w:tcW w:w="1580" w:type="dxa"/>
            <w:tcBorders>
              <w:left w:val="nil"/>
              <w:bottom w:val="nil"/>
              <w:right w:val="single" w:sz="8" w:space="0" w:color="auto"/>
            </w:tcBorders>
            <w:shd w:val="clear" w:color="000000" w:fill="002060"/>
            <w:vAlign w:val="center"/>
            <w:hideMark/>
          </w:tcPr>
          <w:p w14:paraId="00147639" w14:textId="1EE6FE5A" w:rsidR="007E54B8" w:rsidRPr="007E54B8" w:rsidRDefault="00D96468" w:rsidP="00DF28E2">
            <w:pPr>
              <w:spacing w:after="0" w:line="240" w:lineRule="auto"/>
              <w:jc w:val="center"/>
              <w:rPr>
                <w:rFonts w:ascii="Calibri" w:eastAsia="Times New Roman" w:hAnsi="Calibri" w:cs="Calibri"/>
                <w:b/>
                <w:bCs/>
                <w:color w:val="FFFFFF"/>
                <w:kern w:val="0"/>
                <w14:ligatures w14:val="none"/>
              </w:rPr>
            </w:pPr>
            <w:r w:rsidRPr="00DF28E2">
              <w:rPr>
                <w:rFonts w:ascii="Calibri" w:eastAsia="Times New Roman" w:hAnsi="Calibri" w:cs="Calibri"/>
                <w:b/>
                <w:bCs/>
                <w:color w:val="FFFFFF"/>
                <w:kern w:val="0"/>
                <w14:ligatures w14:val="none"/>
              </w:rPr>
              <w:t>Growth</w:t>
            </w:r>
            <w:r w:rsidRPr="00DF28E2">
              <w:rPr>
                <w:rFonts w:ascii="Calibri" w:eastAsia="Times New Roman" w:hAnsi="Calibri" w:cs="Calibri"/>
                <w:b/>
                <w:bCs/>
                <w:color w:val="FFFFFF"/>
                <w:kern w:val="0"/>
                <w14:ligatures w14:val="none"/>
              </w:rPr>
              <w:br/>
              <w:t>(2025-2040</w:t>
            </w:r>
            <w:r w:rsidRPr="007E54B8">
              <w:rPr>
                <w:rFonts w:ascii="Calibri" w:eastAsia="Times New Roman" w:hAnsi="Calibri" w:cs="Calibri"/>
                <w:b/>
                <w:bCs/>
                <w:color w:val="FFFFFF"/>
                <w:kern w:val="0"/>
                <w14:ligatures w14:val="none"/>
              </w:rPr>
              <w:t>)</w:t>
            </w:r>
          </w:p>
        </w:tc>
      </w:tr>
      <w:tr w:rsidR="007E54B8" w:rsidRPr="007E54B8" w14:paraId="239ED4F4" w14:textId="77777777" w:rsidTr="00DF28E2">
        <w:trPr>
          <w:cantSplit/>
          <w:trHeight w:val="290"/>
          <w:jc w:val="center"/>
        </w:trPr>
        <w:tc>
          <w:tcPr>
            <w:tcW w:w="1340" w:type="dxa"/>
            <w:tcBorders>
              <w:top w:val="nil"/>
              <w:left w:val="single" w:sz="8" w:space="0" w:color="auto"/>
              <w:bottom w:val="dashed" w:sz="4" w:space="0" w:color="auto"/>
              <w:right w:val="nil"/>
            </w:tcBorders>
            <w:shd w:val="clear" w:color="auto" w:fill="auto"/>
            <w:noWrap/>
            <w:vAlign w:val="bottom"/>
            <w:hideMark/>
          </w:tcPr>
          <w:p w14:paraId="50393136"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0-1</w:t>
            </w:r>
          </w:p>
        </w:tc>
        <w:tc>
          <w:tcPr>
            <w:tcW w:w="1260" w:type="dxa"/>
            <w:tcBorders>
              <w:top w:val="nil"/>
              <w:left w:val="single" w:sz="4" w:space="0" w:color="auto"/>
              <w:bottom w:val="dashed" w:sz="4" w:space="0" w:color="auto"/>
              <w:right w:val="single" w:sz="4" w:space="0" w:color="auto"/>
            </w:tcBorders>
            <w:shd w:val="clear" w:color="auto" w:fill="auto"/>
            <w:noWrap/>
            <w:vAlign w:val="bottom"/>
            <w:hideMark/>
          </w:tcPr>
          <w:p w14:paraId="3D21B684"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12,013</w:t>
            </w:r>
          </w:p>
        </w:tc>
        <w:tc>
          <w:tcPr>
            <w:tcW w:w="960" w:type="dxa"/>
            <w:tcBorders>
              <w:top w:val="nil"/>
              <w:left w:val="nil"/>
              <w:bottom w:val="dashed" w:sz="4" w:space="0" w:color="auto"/>
              <w:right w:val="nil"/>
            </w:tcBorders>
            <w:shd w:val="clear" w:color="auto" w:fill="auto"/>
            <w:noWrap/>
            <w:vAlign w:val="bottom"/>
            <w:hideMark/>
          </w:tcPr>
          <w:p w14:paraId="5163ADE2"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12,883</w:t>
            </w:r>
          </w:p>
        </w:tc>
        <w:tc>
          <w:tcPr>
            <w:tcW w:w="960" w:type="dxa"/>
            <w:tcBorders>
              <w:top w:val="nil"/>
              <w:left w:val="nil"/>
              <w:bottom w:val="dashed" w:sz="4" w:space="0" w:color="auto"/>
              <w:right w:val="nil"/>
            </w:tcBorders>
            <w:shd w:val="clear" w:color="auto" w:fill="auto"/>
            <w:noWrap/>
            <w:vAlign w:val="bottom"/>
            <w:hideMark/>
          </w:tcPr>
          <w:p w14:paraId="78129F53"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14,387</w:t>
            </w:r>
          </w:p>
        </w:tc>
        <w:tc>
          <w:tcPr>
            <w:tcW w:w="960" w:type="dxa"/>
            <w:tcBorders>
              <w:top w:val="nil"/>
              <w:left w:val="nil"/>
              <w:bottom w:val="dashed" w:sz="4" w:space="0" w:color="auto"/>
              <w:right w:val="nil"/>
            </w:tcBorders>
            <w:shd w:val="clear" w:color="auto" w:fill="auto"/>
            <w:noWrap/>
            <w:vAlign w:val="bottom"/>
            <w:hideMark/>
          </w:tcPr>
          <w:p w14:paraId="7D772663"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15,703</w:t>
            </w:r>
          </w:p>
        </w:tc>
        <w:tc>
          <w:tcPr>
            <w:tcW w:w="960" w:type="dxa"/>
            <w:tcBorders>
              <w:top w:val="nil"/>
              <w:left w:val="nil"/>
              <w:bottom w:val="dashed" w:sz="4" w:space="0" w:color="auto"/>
              <w:right w:val="single" w:sz="4" w:space="0" w:color="auto"/>
            </w:tcBorders>
            <w:shd w:val="clear" w:color="auto" w:fill="auto"/>
            <w:noWrap/>
            <w:vAlign w:val="bottom"/>
            <w:hideMark/>
          </w:tcPr>
          <w:p w14:paraId="5F08B241"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16,810</w:t>
            </w:r>
          </w:p>
        </w:tc>
        <w:tc>
          <w:tcPr>
            <w:tcW w:w="1580" w:type="dxa"/>
            <w:tcBorders>
              <w:top w:val="nil"/>
              <w:left w:val="nil"/>
              <w:bottom w:val="dashed" w:sz="4" w:space="0" w:color="auto"/>
              <w:right w:val="single" w:sz="8" w:space="0" w:color="auto"/>
            </w:tcBorders>
            <w:shd w:val="clear" w:color="auto" w:fill="auto"/>
            <w:noWrap/>
            <w:vAlign w:val="bottom"/>
            <w:hideMark/>
          </w:tcPr>
          <w:p w14:paraId="6BAB3F0D"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30.5%</w:t>
            </w:r>
          </w:p>
        </w:tc>
      </w:tr>
      <w:tr w:rsidR="007E54B8" w:rsidRPr="007E54B8" w14:paraId="4541B4B1" w14:textId="77777777" w:rsidTr="00DF28E2">
        <w:trPr>
          <w:cantSplit/>
          <w:trHeight w:val="290"/>
          <w:jc w:val="center"/>
        </w:trPr>
        <w:tc>
          <w:tcPr>
            <w:tcW w:w="1340" w:type="dxa"/>
            <w:tcBorders>
              <w:top w:val="nil"/>
              <w:left w:val="single" w:sz="8" w:space="0" w:color="auto"/>
              <w:bottom w:val="dashed" w:sz="4" w:space="0" w:color="auto"/>
              <w:right w:val="nil"/>
            </w:tcBorders>
            <w:shd w:val="clear" w:color="auto" w:fill="auto"/>
            <w:noWrap/>
            <w:vAlign w:val="bottom"/>
            <w:hideMark/>
          </w:tcPr>
          <w:p w14:paraId="1F5C589A"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1-2</w:t>
            </w:r>
          </w:p>
        </w:tc>
        <w:tc>
          <w:tcPr>
            <w:tcW w:w="1260" w:type="dxa"/>
            <w:tcBorders>
              <w:top w:val="nil"/>
              <w:left w:val="single" w:sz="4" w:space="0" w:color="auto"/>
              <w:bottom w:val="dashed" w:sz="4" w:space="0" w:color="auto"/>
              <w:right w:val="single" w:sz="4" w:space="0" w:color="auto"/>
            </w:tcBorders>
            <w:shd w:val="clear" w:color="auto" w:fill="auto"/>
            <w:noWrap/>
            <w:vAlign w:val="bottom"/>
            <w:hideMark/>
          </w:tcPr>
          <w:p w14:paraId="34BFDC1F"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41,479</w:t>
            </w:r>
          </w:p>
        </w:tc>
        <w:tc>
          <w:tcPr>
            <w:tcW w:w="960" w:type="dxa"/>
            <w:tcBorders>
              <w:top w:val="nil"/>
              <w:left w:val="nil"/>
              <w:bottom w:val="dashed" w:sz="4" w:space="0" w:color="auto"/>
              <w:right w:val="nil"/>
            </w:tcBorders>
            <w:shd w:val="clear" w:color="auto" w:fill="auto"/>
            <w:noWrap/>
            <w:vAlign w:val="bottom"/>
            <w:hideMark/>
          </w:tcPr>
          <w:p w14:paraId="3F6C5260"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44,365</w:t>
            </w:r>
          </w:p>
        </w:tc>
        <w:tc>
          <w:tcPr>
            <w:tcW w:w="960" w:type="dxa"/>
            <w:tcBorders>
              <w:top w:val="nil"/>
              <w:left w:val="nil"/>
              <w:bottom w:val="dashed" w:sz="4" w:space="0" w:color="auto"/>
              <w:right w:val="nil"/>
            </w:tcBorders>
            <w:shd w:val="clear" w:color="auto" w:fill="auto"/>
            <w:noWrap/>
            <w:vAlign w:val="bottom"/>
            <w:hideMark/>
          </w:tcPr>
          <w:p w14:paraId="39A100CC"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49,243</w:t>
            </w:r>
          </w:p>
        </w:tc>
        <w:tc>
          <w:tcPr>
            <w:tcW w:w="960" w:type="dxa"/>
            <w:tcBorders>
              <w:top w:val="nil"/>
              <w:left w:val="nil"/>
              <w:bottom w:val="dashed" w:sz="4" w:space="0" w:color="auto"/>
              <w:right w:val="nil"/>
            </w:tcBorders>
            <w:shd w:val="clear" w:color="auto" w:fill="auto"/>
            <w:noWrap/>
            <w:vAlign w:val="bottom"/>
            <w:hideMark/>
          </w:tcPr>
          <w:p w14:paraId="70A8565E"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53,407</w:t>
            </w:r>
          </w:p>
        </w:tc>
        <w:tc>
          <w:tcPr>
            <w:tcW w:w="960" w:type="dxa"/>
            <w:tcBorders>
              <w:top w:val="nil"/>
              <w:left w:val="nil"/>
              <w:bottom w:val="dashed" w:sz="4" w:space="0" w:color="auto"/>
              <w:right w:val="single" w:sz="4" w:space="0" w:color="auto"/>
            </w:tcBorders>
            <w:shd w:val="clear" w:color="auto" w:fill="auto"/>
            <w:noWrap/>
            <w:vAlign w:val="bottom"/>
            <w:hideMark/>
          </w:tcPr>
          <w:p w14:paraId="05064033"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56,722</w:t>
            </w:r>
          </w:p>
        </w:tc>
        <w:tc>
          <w:tcPr>
            <w:tcW w:w="1580" w:type="dxa"/>
            <w:tcBorders>
              <w:top w:val="nil"/>
              <w:left w:val="nil"/>
              <w:bottom w:val="dashed" w:sz="4" w:space="0" w:color="auto"/>
              <w:right w:val="single" w:sz="8" w:space="0" w:color="auto"/>
            </w:tcBorders>
            <w:shd w:val="clear" w:color="auto" w:fill="auto"/>
            <w:noWrap/>
            <w:vAlign w:val="bottom"/>
            <w:hideMark/>
          </w:tcPr>
          <w:p w14:paraId="5BD9954E"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27.9%</w:t>
            </w:r>
          </w:p>
        </w:tc>
      </w:tr>
      <w:tr w:rsidR="007E54B8" w:rsidRPr="007E54B8" w14:paraId="77213B6A" w14:textId="77777777" w:rsidTr="00DF28E2">
        <w:trPr>
          <w:cantSplit/>
          <w:trHeight w:val="290"/>
          <w:jc w:val="center"/>
        </w:trPr>
        <w:tc>
          <w:tcPr>
            <w:tcW w:w="1340" w:type="dxa"/>
            <w:tcBorders>
              <w:top w:val="nil"/>
              <w:left w:val="single" w:sz="8" w:space="0" w:color="auto"/>
              <w:bottom w:val="nil"/>
              <w:right w:val="nil"/>
            </w:tcBorders>
            <w:shd w:val="clear" w:color="auto" w:fill="auto"/>
            <w:noWrap/>
            <w:vAlign w:val="bottom"/>
            <w:hideMark/>
          </w:tcPr>
          <w:p w14:paraId="04BDBE99" w14:textId="77777777" w:rsidR="007E54B8" w:rsidRPr="007E54B8" w:rsidRDefault="007E54B8" w:rsidP="007E54B8">
            <w:pPr>
              <w:spacing w:after="0" w:line="240" w:lineRule="auto"/>
              <w:rPr>
                <w:rFonts w:ascii="Calibri" w:eastAsia="Times New Roman" w:hAnsi="Calibri" w:cs="Calibri"/>
                <w:kern w:val="0"/>
                <w14:ligatures w14:val="none"/>
              </w:rPr>
            </w:pPr>
            <w:r w:rsidRPr="007E54B8">
              <w:rPr>
                <w:rFonts w:ascii="Calibri" w:eastAsia="Times New Roman" w:hAnsi="Calibri" w:cs="Calibri"/>
                <w:kern w:val="0"/>
                <w14:ligatures w14:val="none"/>
              </w:rPr>
              <w:t>2+</w:t>
            </w:r>
          </w:p>
        </w:tc>
        <w:tc>
          <w:tcPr>
            <w:tcW w:w="1260" w:type="dxa"/>
            <w:tcBorders>
              <w:top w:val="nil"/>
              <w:left w:val="single" w:sz="4" w:space="0" w:color="auto"/>
              <w:bottom w:val="nil"/>
              <w:right w:val="single" w:sz="4" w:space="0" w:color="auto"/>
            </w:tcBorders>
            <w:shd w:val="clear" w:color="auto" w:fill="auto"/>
            <w:noWrap/>
            <w:vAlign w:val="bottom"/>
            <w:hideMark/>
          </w:tcPr>
          <w:p w14:paraId="7E45B451"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19,663</w:t>
            </w:r>
          </w:p>
        </w:tc>
        <w:tc>
          <w:tcPr>
            <w:tcW w:w="960" w:type="dxa"/>
            <w:tcBorders>
              <w:top w:val="nil"/>
              <w:left w:val="nil"/>
              <w:bottom w:val="nil"/>
              <w:right w:val="nil"/>
            </w:tcBorders>
            <w:shd w:val="clear" w:color="auto" w:fill="auto"/>
            <w:noWrap/>
            <w:vAlign w:val="bottom"/>
            <w:hideMark/>
          </w:tcPr>
          <w:p w14:paraId="5323853B"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20,875</w:t>
            </w:r>
          </w:p>
        </w:tc>
        <w:tc>
          <w:tcPr>
            <w:tcW w:w="960" w:type="dxa"/>
            <w:tcBorders>
              <w:top w:val="nil"/>
              <w:left w:val="nil"/>
              <w:bottom w:val="nil"/>
              <w:right w:val="nil"/>
            </w:tcBorders>
            <w:shd w:val="clear" w:color="auto" w:fill="auto"/>
            <w:noWrap/>
            <w:vAlign w:val="bottom"/>
            <w:hideMark/>
          </w:tcPr>
          <w:p w14:paraId="14BB0160"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22,792</w:t>
            </w:r>
          </w:p>
        </w:tc>
        <w:tc>
          <w:tcPr>
            <w:tcW w:w="960" w:type="dxa"/>
            <w:tcBorders>
              <w:top w:val="nil"/>
              <w:left w:val="nil"/>
              <w:bottom w:val="nil"/>
              <w:right w:val="nil"/>
            </w:tcBorders>
            <w:shd w:val="clear" w:color="auto" w:fill="auto"/>
            <w:noWrap/>
            <w:vAlign w:val="bottom"/>
            <w:hideMark/>
          </w:tcPr>
          <w:p w14:paraId="65308AA7"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24,369</w:t>
            </w:r>
          </w:p>
        </w:tc>
        <w:tc>
          <w:tcPr>
            <w:tcW w:w="960" w:type="dxa"/>
            <w:tcBorders>
              <w:top w:val="nil"/>
              <w:left w:val="nil"/>
              <w:bottom w:val="nil"/>
              <w:right w:val="single" w:sz="4" w:space="0" w:color="auto"/>
            </w:tcBorders>
            <w:shd w:val="clear" w:color="auto" w:fill="auto"/>
            <w:noWrap/>
            <w:vAlign w:val="bottom"/>
            <w:hideMark/>
          </w:tcPr>
          <w:p w14:paraId="12440D26"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25,537</w:t>
            </w:r>
          </w:p>
        </w:tc>
        <w:tc>
          <w:tcPr>
            <w:tcW w:w="1580" w:type="dxa"/>
            <w:tcBorders>
              <w:top w:val="nil"/>
              <w:left w:val="nil"/>
              <w:bottom w:val="nil"/>
              <w:right w:val="single" w:sz="8" w:space="0" w:color="auto"/>
            </w:tcBorders>
            <w:shd w:val="clear" w:color="auto" w:fill="auto"/>
            <w:noWrap/>
            <w:vAlign w:val="bottom"/>
            <w:hideMark/>
          </w:tcPr>
          <w:p w14:paraId="57B93488" w14:textId="77777777" w:rsidR="007E54B8" w:rsidRPr="007E54B8" w:rsidRDefault="007E54B8" w:rsidP="007E54B8">
            <w:pPr>
              <w:spacing w:after="0" w:line="240" w:lineRule="auto"/>
              <w:jc w:val="center"/>
              <w:rPr>
                <w:rFonts w:ascii="Calibri" w:eastAsia="Times New Roman" w:hAnsi="Calibri" w:cs="Calibri"/>
                <w:kern w:val="0"/>
                <w14:ligatures w14:val="none"/>
              </w:rPr>
            </w:pPr>
            <w:r w:rsidRPr="007E54B8">
              <w:rPr>
                <w:rFonts w:ascii="Calibri" w:eastAsia="Times New Roman" w:hAnsi="Calibri" w:cs="Calibri"/>
                <w:kern w:val="0"/>
                <w14:ligatures w14:val="none"/>
              </w:rPr>
              <w:t>22.3%</w:t>
            </w:r>
          </w:p>
        </w:tc>
      </w:tr>
      <w:tr w:rsidR="007E54B8" w:rsidRPr="007E54B8" w14:paraId="08BE977E" w14:textId="77777777" w:rsidTr="00DF28E2">
        <w:trPr>
          <w:cantSplit/>
          <w:trHeight w:val="300"/>
          <w:jc w:val="center"/>
        </w:trPr>
        <w:tc>
          <w:tcPr>
            <w:tcW w:w="1340" w:type="dxa"/>
            <w:tcBorders>
              <w:top w:val="single" w:sz="4" w:space="0" w:color="auto"/>
              <w:left w:val="single" w:sz="8" w:space="0" w:color="auto"/>
              <w:bottom w:val="single" w:sz="8" w:space="0" w:color="auto"/>
              <w:right w:val="nil"/>
            </w:tcBorders>
            <w:shd w:val="clear" w:color="auto" w:fill="auto"/>
            <w:noWrap/>
            <w:vAlign w:val="bottom"/>
            <w:hideMark/>
          </w:tcPr>
          <w:p w14:paraId="50F154EE" w14:textId="77777777" w:rsidR="007E54B8" w:rsidRPr="007E54B8" w:rsidRDefault="007E54B8" w:rsidP="007E54B8">
            <w:pPr>
              <w:spacing w:after="0" w:line="240" w:lineRule="auto"/>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Total</w:t>
            </w:r>
          </w:p>
        </w:tc>
        <w:tc>
          <w:tcPr>
            <w:tcW w:w="12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5541F60"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73,155</w:t>
            </w:r>
          </w:p>
        </w:tc>
        <w:tc>
          <w:tcPr>
            <w:tcW w:w="960" w:type="dxa"/>
            <w:tcBorders>
              <w:top w:val="single" w:sz="4" w:space="0" w:color="auto"/>
              <w:left w:val="nil"/>
              <w:bottom w:val="single" w:sz="8" w:space="0" w:color="auto"/>
              <w:right w:val="nil"/>
            </w:tcBorders>
            <w:shd w:val="clear" w:color="auto" w:fill="auto"/>
            <w:noWrap/>
            <w:vAlign w:val="bottom"/>
            <w:hideMark/>
          </w:tcPr>
          <w:p w14:paraId="17449BD1"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78,122</w:t>
            </w:r>
          </w:p>
        </w:tc>
        <w:tc>
          <w:tcPr>
            <w:tcW w:w="960" w:type="dxa"/>
            <w:tcBorders>
              <w:top w:val="single" w:sz="4" w:space="0" w:color="auto"/>
              <w:left w:val="nil"/>
              <w:bottom w:val="single" w:sz="8" w:space="0" w:color="auto"/>
              <w:right w:val="nil"/>
            </w:tcBorders>
            <w:shd w:val="clear" w:color="auto" w:fill="auto"/>
            <w:noWrap/>
            <w:vAlign w:val="bottom"/>
            <w:hideMark/>
          </w:tcPr>
          <w:p w14:paraId="3E1A50A8"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86,422</w:t>
            </w:r>
          </w:p>
        </w:tc>
        <w:tc>
          <w:tcPr>
            <w:tcW w:w="960" w:type="dxa"/>
            <w:tcBorders>
              <w:top w:val="single" w:sz="4" w:space="0" w:color="auto"/>
              <w:left w:val="nil"/>
              <w:bottom w:val="single" w:sz="8" w:space="0" w:color="auto"/>
              <w:right w:val="nil"/>
            </w:tcBorders>
            <w:shd w:val="clear" w:color="auto" w:fill="auto"/>
            <w:noWrap/>
            <w:vAlign w:val="bottom"/>
            <w:hideMark/>
          </w:tcPr>
          <w:p w14:paraId="12950B8F"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93,479</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7AE92E35"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99,070</w:t>
            </w:r>
          </w:p>
        </w:tc>
        <w:tc>
          <w:tcPr>
            <w:tcW w:w="1580" w:type="dxa"/>
            <w:tcBorders>
              <w:top w:val="single" w:sz="4" w:space="0" w:color="auto"/>
              <w:left w:val="nil"/>
              <w:bottom w:val="single" w:sz="8" w:space="0" w:color="auto"/>
              <w:right w:val="single" w:sz="8" w:space="0" w:color="auto"/>
            </w:tcBorders>
            <w:shd w:val="clear" w:color="auto" w:fill="auto"/>
            <w:noWrap/>
            <w:vAlign w:val="bottom"/>
            <w:hideMark/>
          </w:tcPr>
          <w:p w14:paraId="5E9EAF79" w14:textId="77777777" w:rsidR="007E54B8" w:rsidRPr="007E54B8" w:rsidRDefault="007E54B8" w:rsidP="007E54B8">
            <w:pPr>
              <w:spacing w:after="0" w:line="240" w:lineRule="auto"/>
              <w:jc w:val="center"/>
              <w:rPr>
                <w:rFonts w:ascii="Calibri" w:eastAsia="Times New Roman" w:hAnsi="Calibri" w:cs="Calibri"/>
                <w:b/>
                <w:bCs/>
                <w:kern w:val="0"/>
                <w14:ligatures w14:val="none"/>
              </w:rPr>
            </w:pPr>
            <w:r w:rsidRPr="007E54B8">
              <w:rPr>
                <w:rFonts w:ascii="Calibri" w:eastAsia="Times New Roman" w:hAnsi="Calibri" w:cs="Calibri"/>
                <w:b/>
                <w:bCs/>
                <w:kern w:val="0"/>
                <w14:ligatures w14:val="none"/>
              </w:rPr>
              <w:t>26.8%</w:t>
            </w:r>
          </w:p>
        </w:tc>
      </w:tr>
    </w:tbl>
    <w:p w14:paraId="69CD4075" w14:textId="77777777" w:rsidR="00AB4D0F" w:rsidRDefault="00AB4D0F" w:rsidP="007E54B8">
      <w:pPr>
        <w:spacing w:before="120" w:after="120" w:line="360" w:lineRule="auto"/>
      </w:pPr>
    </w:p>
    <w:p w14:paraId="68F8D270" w14:textId="6E70D07C" w:rsidR="004F0772" w:rsidRDefault="004F0772" w:rsidP="000224C4">
      <w:pPr>
        <w:pStyle w:val="Heading1"/>
        <w:rPr>
          <w:rFonts w:hint="eastAsia"/>
        </w:rPr>
      </w:pPr>
      <w:bookmarkStart w:id="38" w:name="_Toc187401751"/>
      <w:r>
        <w:t xml:space="preserve">Predicting </w:t>
      </w:r>
      <w:r w:rsidR="009965EE">
        <w:t>Shifts</w:t>
      </w:r>
      <w:r w:rsidR="004244C9">
        <w:t xml:space="preserve"> </w:t>
      </w:r>
      <w:r w:rsidR="009965EE">
        <w:t xml:space="preserve">in Utilization </w:t>
      </w:r>
      <w:r>
        <w:t xml:space="preserve">for </w:t>
      </w:r>
      <w:r w:rsidR="00DF7C05">
        <w:t xml:space="preserve">Inpatient </w:t>
      </w:r>
      <w:r>
        <w:t>Cancer Services</w:t>
      </w:r>
      <w:bookmarkEnd w:id="38"/>
    </w:p>
    <w:p w14:paraId="41B2CCAA" w14:textId="0F97F53B" w:rsidR="001E5225" w:rsidRDefault="001E5225" w:rsidP="004F0772">
      <w:pPr>
        <w:numPr>
          <w:ilvl w:val="0"/>
          <w:numId w:val="4"/>
        </w:numPr>
        <w:spacing w:before="120" w:after="120" w:line="360" w:lineRule="auto"/>
        <w:jc w:val="both"/>
      </w:pPr>
      <w:r w:rsidRPr="00B1234F">
        <w:t xml:space="preserve">The prior section estimated the projected demand for the </w:t>
      </w:r>
      <w:r>
        <w:t xml:space="preserve">inpatient cancer care services through </w:t>
      </w:r>
      <w:r w:rsidRPr="00B1234F">
        <w:t xml:space="preserve">2040. This section </w:t>
      </w:r>
      <w:r>
        <w:t xml:space="preserve">describes the methodology </w:t>
      </w:r>
      <w:r w:rsidR="003813F3">
        <w:t xml:space="preserve">employed for the ICA analysis, and its </w:t>
      </w:r>
      <w:r>
        <w:t>economic rationale</w:t>
      </w:r>
      <w:r w:rsidR="003813F3">
        <w:t>,</w:t>
      </w:r>
      <w:r>
        <w:t xml:space="preserve"> for predicting shifts in utilization patterns and </w:t>
      </w:r>
      <w:r w:rsidR="003813F3">
        <w:t>estimates the impact of those shifts under various scenarios.</w:t>
      </w:r>
    </w:p>
    <w:p w14:paraId="0C782E86" w14:textId="692F9CBC" w:rsidR="003813F3" w:rsidRDefault="003813F3" w:rsidP="004F0772">
      <w:pPr>
        <w:numPr>
          <w:ilvl w:val="0"/>
          <w:numId w:val="4"/>
        </w:numPr>
        <w:spacing w:before="120" w:after="120" w:line="360" w:lineRule="auto"/>
        <w:jc w:val="both"/>
      </w:pPr>
      <w:r>
        <w:t xml:space="preserve">DFCI’s DoN Application envisions that a significant percentage of patients currently receiving medical oncology services at BWH from DFCI physicians will shift to receiving care in the new </w:t>
      </w:r>
      <w:r>
        <w:lastRenderedPageBreak/>
        <w:t xml:space="preserve">DFCI facility. The Application also envisions patients receiving medical oncology services at BIDMC will shift to the new DFCI facility. Similarly, the Application envisions </w:t>
      </w:r>
      <w:r w:rsidR="00982566">
        <w:t xml:space="preserve">DFCI </w:t>
      </w:r>
      <w:r>
        <w:t>patients receiving surgical oncology services at BWH will shift to BIDMC.</w:t>
      </w:r>
      <w:r>
        <w:rPr>
          <w:rStyle w:val="FootnoteReference"/>
        </w:rPr>
        <w:footnoteReference w:id="62"/>
      </w:r>
      <w:r>
        <w:t xml:space="preserve"> </w:t>
      </w:r>
    </w:p>
    <w:p w14:paraId="091A4AEF" w14:textId="3D6C49F5" w:rsidR="003813F3" w:rsidRDefault="003813F3" w:rsidP="004F0772">
      <w:pPr>
        <w:numPr>
          <w:ilvl w:val="0"/>
          <w:numId w:val="4"/>
        </w:numPr>
        <w:spacing w:before="120" w:after="120" w:line="360" w:lineRule="auto"/>
        <w:jc w:val="both"/>
      </w:pPr>
      <w:r>
        <w:t xml:space="preserve">In order to model the </w:t>
      </w:r>
      <w:r w:rsidR="00DC2ADA">
        <w:t xml:space="preserve">impact and </w:t>
      </w:r>
      <w:r>
        <w:t>reasonableness of these projections, the ICA analysis modeled the impact of medical inpatient cancer care discharges from DFCI (both those in DFCI licensed beds and BWH leased beds) and BIDMC shifting to the new DFCI facility</w:t>
      </w:r>
      <w:r w:rsidR="00DC2ADA">
        <w:t xml:space="preserve"> with DFCI’s surgical patients shifting to BIDMC. </w:t>
      </w:r>
    </w:p>
    <w:p w14:paraId="0D05F3E3" w14:textId="52A0A3C4" w:rsidR="009B0E30" w:rsidRDefault="00DC2ADA" w:rsidP="00017609">
      <w:pPr>
        <w:numPr>
          <w:ilvl w:val="0"/>
          <w:numId w:val="4"/>
        </w:numPr>
        <w:spacing w:before="120" w:after="120" w:line="360" w:lineRule="auto"/>
        <w:jc w:val="both"/>
      </w:pPr>
      <w:r w:rsidRPr="00DC2ADA">
        <w:t>The predicted shifts in utilization of inpatient cancer care between providers presented above is based upon a key assumption</w:t>
      </w:r>
      <w:r w:rsidR="00982566">
        <w:t>, namely that</w:t>
      </w:r>
      <w:r w:rsidRPr="00DC2ADA">
        <w:t xml:space="preserve"> </w:t>
      </w:r>
      <w:r w:rsidRPr="00982566">
        <w:t>DFCI inpatient patients will move from receiving care at BWH to the new facility</w:t>
      </w:r>
      <w:r w:rsidRPr="00DC2ADA">
        <w:t>.</w:t>
      </w:r>
      <w:r>
        <w:t xml:space="preserve"> </w:t>
      </w:r>
      <w:r w:rsidRPr="00DC2ADA">
        <w:t xml:space="preserve">The basis for this assumption is founded in </w:t>
      </w:r>
      <w:bookmarkStart w:id="39" w:name="_Hlk180271833"/>
      <w:r w:rsidRPr="00DC2ADA">
        <w:t>research showing cancer care patients’ decisions about site of care is strongly influenced by their physicians.</w:t>
      </w:r>
      <w:bookmarkEnd w:id="39"/>
      <w:r>
        <w:rPr>
          <w:rStyle w:val="FootnoteReference"/>
        </w:rPr>
        <w:footnoteReference w:id="63"/>
      </w:r>
      <w:r>
        <w:t xml:space="preserve"> </w:t>
      </w:r>
      <w:r w:rsidR="00B45981">
        <w:t>T</w:t>
      </w:r>
      <w:r>
        <w:t xml:space="preserve">he empirical analysis discussed in Section </w:t>
      </w:r>
      <w:r w:rsidR="00C228C7">
        <w:t>V</w:t>
      </w:r>
      <w:r>
        <w:t xml:space="preserve"> above demonstrating that nearly all DFCI cancer patients admitted through the emergency department in 2022 had a previous encounter with a DFCI physician also provides strong evidence consistent with this assumption. </w:t>
      </w:r>
    </w:p>
    <w:p w14:paraId="55F85073" w14:textId="2497E11A" w:rsidR="00E52D6C" w:rsidRDefault="00E52D6C" w:rsidP="00017609">
      <w:pPr>
        <w:numPr>
          <w:ilvl w:val="0"/>
          <w:numId w:val="4"/>
        </w:numPr>
        <w:spacing w:before="120" w:after="120" w:line="360" w:lineRule="auto"/>
        <w:jc w:val="both"/>
      </w:pPr>
      <w:r>
        <w:t>Because DFCI does not employ primary care physicians while MGB does, some cancer care referrals from MGB physicians currently to DFCI through BWH may in the future not go to DFCI</w:t>
      </w:r>
      <w:r w:rsidR="006C2FF2">
        <w:t xml:space="preserve">, potentially </w:t>
      </w:r>
      <w:r>
        <w:t>limit</w:t>
      </w:r>
      <w:r w:rsidR="006C2FF2">
        <w:t>ing</w:t>
      </w:r>
      <w:r>
        <w:t xml:space="preserve"> the number of inpatient cancer care discharges that will shift from MGB to DFCI. However, the baseline analyses presented below, under a third of MGB academic medical center discharges of medical cancer care patients are projected to shift to the new proposed DFCI facility. This leaves substantial </w:t>
      </w:r>
      <w:r w:rsidR="006C2FF2">
        <w:t>scope</w:t>
      </w:r>
      <w:r>
        <w:t xml:space="preserve"> for patients with MGB employed primary care physicians to not move to the new proposed facility.</w:t>
      </w:r>
    </w:p>
    <w:p w14:paraId="2B44A2DC" w14:textId="0499A49C" w:rsidR="009B0E30" w:rsidRDefault="00DC2ADA" w:rsidP="00017609">
      <w:pPr>
        <w:numPr>
          <w:ilvl w:val="0"/>
          <w:numId w:val="4"/>
        </w:numPr>
        <w:spacing w:before="120" w:after="120" w:line="360" w:lineRule="auto"/>
        <w:jc w:val="both"/>
      </w:pPr>
      <w:r>
        <w:t>Another consideration in evaluating the reasonableness of the assumption that DFCI’s patients will shift to the new facility</w:t>
      </w:r>
      <w:r w:rsidR="009B0E30">
        <w:t xml:space="preserve"> is the new facility’s lack of its own emergency department. </w:t>
      </w:r>
      <w:r w:rsidRPr="00DC2ADA">
        <w:t>A significant portion (41% in 2022) of DFCI’s existing admissions come through the BWH emergency department.</w:t>
      </w:r>
      <w:r>
        <w:t xml:space="preserve"> </w:t>
      </w:r>
      <w:r w:rsidR="009B0E30">
        <w:t xml:space="preserve">Though the </w:t>
      </w:r>
      <w:r w:rsidRPr="00DC2ADA">
        <w:t xml:space="preserve">new DFCI facility will not have its own </w:t>
      </w:r>
      <w:r w:rsidR="009B0E30">
        <w:t>emergency department</w:t>
      </w:r>
      <w:r w:rsidRPr="00DC2ADA">
        <w:t xml:space="preserve">, it will be physically connected to the BIDMC </w:t>
      </w:r>
      <w:r w:rsidR="009B0E30">
        <w:t xml:space="preserve">emergency department, somewhat mitigating the concern that this </w:t>
      </w:r>
      <w:r w:rsidR="009B0E30">
        <w:lastRenderedPageBreak/>
        <w:t>restriction will limit DFCI’s existing patient’s access to the new facility.</w:t>
      </w:r>
      <w:r>
        <w:t xml:space="preserve"> </w:t>
      </w:r>
      <w:r w:rsidR="009B0E30">
        <w:t>The impact of this dynamic is explored further in sensitivity analyses presented below.</w:t>
      </w:r>
    </w:p>
    <w:p w14:paraId="17D96427" w14:textId="5C7C14C3" w:rsidR="004913A9" w:rsidRDefault="009B0E30" w:rsidP="00017609">
      <w:pPr>
        <w:numPr>
          <w:ilvl w:val="0"/>
          <w:numId w:val="4"/>
        </w:numPr>
        <w:spacing w:before="120" w:after="120" w:line="360" w:lineRule="auto"/>
        <w:jc w:val="both"/>
      </w:pPr>
      <w:r>
        <w:t>In 2025, DFCI is projected to have 1,045 medical inpatient cancer care discharges in its licensed beds and 5,136 medical inpatient cancer care discharges in beds leased from BWH (6,181 total).</w:t>
      </w:r>
      <w:r>
        <w:rPr>
          <w:rStyle w:val="FootnoteReference"/>
        </w:rPr>
        <w:footnoteReference w:id="64"/>
      </w:r>
      <w:r>
        <w:t xml:space="preserve"> BIDMC is projected to have 5,089 medical inpatient cancer care discharges in 2025. These 11,270 discharges form the initial pool of </w:t>
      </w:r>
      <w:r w:rsidR="004913A9">
        <w:t xml:space="preserve">medical </w:t>
      </w:r>
      <w:r>
        <w:t xml:space="preserve">discharges that could </w:t>
      </w:r>
      <w:r w:rsidR="004913A9">
        <w:t xml:space="preserve">shift to the new DFCI facility. In 2025, DFCI is projected to have 1,597 surgical inpatient cancer care discharges (between its licensed and leased beds) that could shift to BIDMC, adding to </w:t>
      </w:r>
      <w:r w:rsidR="00982566">
        <w:t>BIDMC’s</w:t>
      </w:r>
      <w:r w:rsidR="004913A9">
        <w:t xml:space="preserve"> 933 </w:t>
      </w:r>
      <w:r w:rsidR="00982566">
        <w:t xml:space="preserve">surgical inpatient cancer care </w:t>
      </w:r>
      <w:r w:rsidR="004913A9">
        <w:t xml:space="preserve">discharges. </w:t>
      </w:r>
    </w:p>
    <w:p w14:paraId="1B78C56E" w14:textId="2B785CB6" w:rsidR="009B0E30" w:rsidRDefault="004913A9" w:rsidP="00017609">
      <w:pPr>
        <w:numPr>
          <w:ilvl w:val="0"/>
          <w:numId w:val="4"/>
        </w:numPr>
        <w:spacing w:before="120" w:after="120" w:line="360" w:lineRule="auto"/>
        <w:jc w:val="both"/>
      </w:pPr>
      <w:r w:rsidRPr="009B0E30">
        <w:t xml:space="preserve">If all DFCI and BIDMC medical inpatient cancer care discharges shift to the new DFCI facility, it would have an </w:t>
      </w:r>
      <w:r w:rsidRPr="00982566">
        <w:t>average daily census (ADC) of 265 in 2025. This does</w:t>
      </w:r>
      <w:r w:rsidR="00982566" w:rsidRPr="00982566">
        <w:t xml:space="preserve"> </w:t>
      </w:r>
      <w:r w:rsidRPr="00982566">
        <w:t>n</w:t>
      </w:r>
      <w:r w:rsidR="00982566" w:rsidRPr="00982566">
        <w:t>o</w:t>
      </w:r>
      <w:r w:rsidRPr="00982566">
        <w:t>t ac</w:t>
      </w:r>
      <w:r w:rsidRPr="009B0E30">
        <w:t>count for out-of-state demand for DFCI care which has historically accounted for 20% of DFCI discharges and would increase ADC by an estimated 33 patients.</w:t>
      </w:r>
      <w:r>
        <w:t xml:space="preserve"> The new DFCI facility is planned to have 300 inpatient beds. Using a typical approach of 85% maximum </w:t>
      </w:r>
      <w:r w:rsidR="00FB53D8">
        <w:t>occupancy</w:t>
      </w:r>
      <w:r>
        <w:t>, t</w:t>
      </w:r>
      <w:r w:rsidRPr="009B0E30">
        <w:t xml:space="preserve">he new facility’s </w:t>
      </w:r>
      <w:r w:rsidRPr="004913A9">
        <w:t>maximum average daily census would be 255</w:t>
      </w:r>
      <w:r w:rsidRPr="009B0E30">
        <w:t>.</w:t>
      </w:r>
      <w:r>
        <w:t xml:space="preserve"> Therefore, e</w:t>
      </w:r>
      <w:r w:rsidR="009B0E30" w:rsidRPr="009B0E30">
        <w:t xml:space="preserve">xisting demand from DFCI and BIDMC </w:t>
      </w:r>
      <w:r>
        <w:t xml:space="preserve">medical inpatient cancer care </w:t>
      </w:r>
      <w:r w:rsidR="009B0E30" w:rsidRPr="009B0E30">
        <w:t xml:space="preserve">patients </w:t>
      </w:r>
      <w:r w:rsidR="009B0E30" w:rsidRPr="00982566">
        <w:t>is projected to immediately exceed the capacity of the new DFCI facility.</w:t>
      </w:r>
      <w:r w:rsidRPr="00982566">
        <w:t xml:space="preserve"> </w:t>
      </w:r>
      <w:r w:rsidR="009B0E30" w:rsidRPr="00982566">
        <w:t>This excess demand will exist</w:t>
      </w:r>
      <w:r w:rsidR="009B0E30" w:rsidRPr="009B0E30">
        <w:t xml:space="preserve"> without drawing additional patients from competitors or increasing in utilization of advanced therapies.</w:t>
      </w:r>
    </w:p>
    <w:p w14:paraId="0DFCCD38" w14:textId="2E8CC185" w:rsidR="003E7B37" w:rsidRDefault="004913A9" w:rsidP="003E7B37">
      <w:pPr>
        <w:numPr>
          <w:ilvl w:val="0"/>
          <w:numId w:val="4"/>
        </w:numPr>
        <w:spacing w:before="120" w:after="120" w:line="360" w:lineRule="auto"/>
        <w:jc w:val="both"/>
      </w:pPr>
      <w:r>
        <w:t xml:space="preserve">To account for this capacity constraint, FTI estimated a second scenario </w:t>
      </w:r>
      <w:r w:rsidR="00FF5FB0">
        <w:t xml:space="preserve">that limited the number of patients shifting to the new DFCI facility to </w:t>
      </w:r>
      <w:r w:rsidR="00FB53D8">
        <w:t>a</w:t>
      </w:r>
      <w:r w:rsidR="00FF5FB0">
        <w:t xml:space="preserve"> hypothetical maximum </w:t>
      </w:r>
      <w:r w:rsidR="00FB53D8">
        <w:t xml:space="preserve">occupancy </w:t>
      </w:r>
      <w:r w:rsidR="00FF5FB0">
        <w:t>of 85%. The analysis first transferred all existing DFCI patients to the new facility with a proportional number of expected out-of-state DFCI discharges also expected to transfer.</w:t>
      </w:r>
      <w:r w:rsidR="003C40C7">
        <w:rPr>
          <w:rStyle w:val="FootnoteReference"/>
        </w:rPr>
        <w:footnoteReference w:id="65"/>
      </w:r>
      <w:r w:rsidR="00FF5FB0">
        <w:t xml:space="preserve"> The remaining 30,803 patient-bed days were then filled with BIDMC medical inpatient cancer care patients (3,348 of 5,089 discharges).</w:t>
      </w:r>
      <w:r w:rsidR="00FF5FB0">
        <w:rPr>
          <w:rStyle w:val="FootnoteReference"/>
        </w:rPr>
        <w:footnoteReference w:id="66"/>
      </w:r>
      <w:r w:rsidR="00FF5FB0">
        <w:t xml:space="preserve"> Table </w:t>
      </w:r>
      <w:r w:rsidR="00C228C7">
        <w:t>1</w:t>
      </w:r>
      <w:r w:rsidR="00AB290B">
        <w:t>4</w:t>
      </w:r>
      <w:r w:rsidR="00FF5FB0">
        <w:t xml:space="preserve"> shows the estimated result of these shifts.</w:t>
      </w:r>
      <w:r w:rsidR="00A102FF">
        <w:t xml:space="preserve"> The new DFCI facility is projected to have 9,529 medical inpatient cancer care discharges in 2025 (hitting its capacity), and BIDMC is projected to have 1,741 medical inpatient cancer care discharges and 2,530 surgical cancer care discharges. </w:t>
      </w:r>
      <w:r w:rsidR="008C6681">
        <w:t xml:space="preserve">BWH is projected to have 5,136 medical cancer care discharges shift to the new DFCI facility, 63.0% of the discharges previously occurring in BWH beds (or, equivalently, 32.5% of the total medical cancer care discharges </w:t>
      </w:r>
      <w:r w:rsidR="00DE3FDE">
        <w:t xml:space="preserve">that would have otherwise occurred </w:t>
      </w:r>
      <w:r w:rsidR="00A30898">
        <w:t xml:space="preserve">in MGB academic medical centers). The projected </w:t>
      </w:r>
      <w:r w:rsidR="00A30898">
        <w:lastRenderedPageBreak/>
        <w:t xml:space="preserve">shift of 3,348 medical cancer care discharges from BIDMC to the new DFCI facility represents 65.8% of BIDMC’s pre-shift count of these discharges. </w:t>
      </w:r>
      <w:r w:rsidR="00A102FF">
        <w:t xml:space="preserve">The net impact of these shifts in 2025 is 6,715 fewer inpatient cancer care discharges in BWH beds and 1,751 fewer inpatient cancer care discharges at BIDMC. </w:t>
      </w:r>
      <w:r w:rsidR="00A30898">
        <w:t>Because the new DFCI facility is projected to be capacity constrained with these shifts, n</w:t>
      </w:r>
      <w:r w:rsidR="00A102FF">
        <w:t>o other hospitals are projected to have changes in utilization under this scenario.</w:t>
      </w:r>
      <w:r w:rsidR="004743E1">
        <w:rPr>
          <w:rStyle w:val="FootnoteReference"/>
        </w:rPr>
        <w:footnoteReference w:id="67"/>
      </w:r>
    </w:p>
    <w:p w14:paraId="369AFBEC" w14:textId="2CAE6C2C" w:rsidR="00FF5FB0" w:rsidRDefault="00FF5FB0" w:rsidP="0041221B">
      <w:pPr>
        <w:pStyle w:val="Caption"/>
        <w:keepNext/>
        <w:jc w:val="center"/>
      </w:pPr>
      <w:bookmarkStart w:id="40" w:name="_Toc187401787"/>
      <w:r>
        <w:t xml:space="preserve">Table </w:t>
      </w:r>
      <w:fldSimple w:instr=" SEQ Table \* ARABIC ">
        <w:r w:rsidR="0085394E">
          <w:rPr>
            <w:noProof/>
          </w:rPr>
          <w:t>14</w:t>
        </w:r>
      </w:fldSimple>
      <w:r>
        <w:t>: Projected Inpatient Cancer Care Shifts from Proposed Project</w:t>
      </w:r>
      <w:bookmarkEnd w:id="40"/>
    </w:p>
    <w:tbl>
      <w:tblPr>
        <w:tblW w:w="0" w:type="auto"/>
        <w:tblLayout w:type="fixed"/>
        <w:tblCellMar>
          <w:left w:w="72" w:type="dxa"/>
          <w:right w:w="72" w:type="dxa"/>
        </w:tblCellMar>
        <w:tblLook w:val="04A0" w:firstRow="1" w:lastRow="0" w:firstColumn="1" w:lastColumn="0" w:noHBand="0" w:noVBand="1"/>
      </w:tblPr>
      <w:tblGrid>
        <w:gridCol w:w="4310"/>
        <w:gridCol w:w="838"/>
        <w:gridCol w:w="782"/>
        <w:gridCol w:w="56"/>
        <w:gridCol w:w="839"/>
        <w:gridCol w:w="838"/>
        <w:gridCol w:w="787"/>
        <w:gridCol w:w="51"/>
        <w:gridCol w:w="839"/>
      </w:tblGrid>
      <w:tr w:rsidR="00E40A50" w:rsidRPr="007E54B8" w14:paraId="0E9D116F" w14:textId="77777777" w:rsidTr="00426807">
        <w:trPr>
          <w:cantSplit/>
          <w:trHeight w:val="290"/>
          <w:tblHeader/>
        </w:trPr>
        <w:tc>
          <w:tcPr>
            <w:tcW w:w="4310" w:type="dxa"/>
            <w:tcBorders>
              <w:top w:val="single" w:sz="8" w:space="0" w:color="auto"/>
              <w:left w:val="single" w:sz="8" w:space="0" w:color="auto"/>
              <w:bottom w:val="nil"/>
              <w:right w:val="single" w:sz="8" w:space="0" w:color="auto"/>
            </w:tcBorders>
            <w:shd w:val="clear" w:color="000000" w:fill="002060"/>
            <w:noWrap/>
            <w:vAlign w:val="bottom"/>
            <w:hideMark/>
          </w:tcPr>
          <w:p w14:paraId="49B2A27B" w14:textId="77777777" w:rsidR="00E40A50" w:rsidRPr="007E54B8" w:rsidRDefault="00E40A50" w:rsidP="00E40A50">
            <w:pPr>
              <w:spacing w:after="0" w:line="240" w:lineRule="auto"/>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 </w:t>
            </w:r>
          </w:p>
        </w:tc>
        <w:tc>
          <w:tcPr>
            <w:tcW w:w="838" w:type="dxa"/>
            <w:tcBorders>
              <w:top w:val="single" w:sz="8" w:space="0" w:color="auto"/>
              <w:left w:val="nil"/>
              <w:bottom w:val="nil"/>
              <w:right w:val="single" w:sz="8" w:space="0" w:color="000000"/>
            </w:tcBorders>
            <w:shd w:val="clear" w:color="000000" w:fill="002060"/>
            <w:noWrap/>
            <w:vAlign w:val="center"/>
            <w:hideMark/>
          </w:tcPr>
          <w:p w14:paraId="16E90F90" w14:textId="77777777"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Medical Discharges</w:t>
            </w:r>
          </w:p>
        </w:tc>
        <w:tc>
          <w:tcPr>
            <w:tcW w:w="838" w:type="dxa"/>
            <w:gridSpan w:val="2"/>
            <w:tcBorders>
              <w:top w:val="single" w:sz="8" w:space="0" w:color="auto"/>
              <w:left w:val="nil"/>
              <w:bottom w:val="nil"/>
              <w:right w:val="single" w:sz="8" w:space="0" w:color="000000"/>
            </w:tcBorders>
            <w:shd w:val="clear" w:color="000000" w:fill="002060"/>
          </w:tcPr>
          <w:p w14:paraId="0606B34D" w14:textId="5ADBBD0D"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A13694">
              <w:rPr>
                <w:rFonts w:ascii="Calibri" w:eastAsia="Times New Roman" w:hAnsi="Calibri" w:cs="Calibri"/>
                <w:b/>
                <w:bCs/>
                <w:color w:val="FFFFFF"/>
                <w:kern w:val="0"/>
                <w:sz w:val="19"/>
                <w:szCs w:val="19"/>
                <w14:ligatures w14:val="none"/>
              </w:rPr>
              <w:t>Medical Discharges</w:t>
            </w:r>
          </w:p>
        </w:tc>
        <w:tc>
          <w:tcPr>
            <w:tcW w:w="839" w:type="dxa"/>
            <w:tcBorders>
              <w:top w:val="single" w:sz="8" w:space="0" w:color="auto"/>
              <w:left w:val="nil"/>
              <w:bottom w:val="nil"/>
              <w:right w:val="single" w:sz="8" w:space="0" w:color="000000"/>
            </w:tcBorders>
            <w:shd w:val="clear" w:color="000000" w:fill="002060"/>
          </w:tcPr>
          <w:p w14:paraId="651022F8" w14:textId="3AF08DFD"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A13694">
              <w:rPr>
                <w:rFonts w:ascii="Calibri" w:eastAsia="Times New Roman" w:hAnsi="Calibri" w:cs="Calibri"/>
                <w:b/>
                <w:bCs/>
                <w:color w:val="FFFFFF"/>
                <w:kern w:val="0"/>
                <w:sz w:val="19"/>
                <w:szCs w:val="19"/>
                <w14:ligatures w14:val="none"/>
              </w:rPr>
              <w:t>Medical Discharges</w:t>
            </w:r>
          </w:p>
        </w:tc>
        <w:tc>
          <w:tcPr>
            <w:tcW w:w="838" w:type="dxa"/>
            <w:tcBorders>
              <w:top w:val="single" w:sz="8" w:space="0" w:color="auto"/>
              <w:left w:val="nil"/>
              <w:bottom w:val="nil"/>
              <w:right w:val="single" w:sz="8" w:space="0" w:color="000000"/>
            </w:tcBorders>
            <w:shd w:val="clear" w:color="000000" w:fill="002060"/>
            <w:noWrap/>
            <w:vAlign w:val="center"/>
            <w:hideMark/>
          </w:tcPr>
          <w:p w14:paraId="4324462F" w14:textId="77777777"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Surgical Discharges</w:t>
            </w:r>
          </w:p>
        </w:tc>
        <w:tc>
          <w:tcPr>
            <w:tcW w:w="838" w:type="dxa"/>
            <w:gridSpan w:val="2"/>
            <w:tcBorders>
              <w:top w:val="single" w:sz="8" w:space="0" w:color="auto"/>
              <w:left w:val="nil"/>
              <w:bottom w:val="nil"/>
              <w:right w:val="single" w:sz="8" w:space="0" w:color="000000"/>
            </w:tcBorders>
            <w:shd w:val="clear" w:color="000000" w:fill="002060"/>
            <w:vAlign w:val="center"/>
          </w:tcPr>
          <w:p w14:paraId="61A54413" w14:textId="6F1ADB4A"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Surgical Discharges</w:t>
            </w:r>
          </w:p>
        </w:tc>
        <w:tc>
          <w:tcPr>
            <w:tcW w:w="839" w:type="dxa"/>
            <w:tcBorders>
              <w:top w:val="single" w:sz="8" w:space="0" w:color="auto"/>
              <w:left w:val="nil"/>
              <w:bottom w:val="nil"/>
              <w:right w:val="single" w:sz="8" w:space="0" w:color="000000"/>
            </w:tcBorders>
            <w:shd w:val="clear" w:color="000000" w:fill="002060"/>
            <w:vAlign w:val="center"/>
          </w:tcPr>
          <w:p w14:paraId="371A7F94" w14:textId="745B9CA4" w:rsidR="00E40A50" w:rsidRPr="007E54B8" w:rsidRDefault="00E40A50" w:rsidP="00E40A50">
            <w:pPr>
              <w:spacing w:after="0" w:line="240" w:lineRule="auto"/>
              <w:jc w:val="center"/>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Surgical Discharges</w:t>
            </w:r>
          </w:p>
        </w:tc>
      </w:tr>
      <w:tr w:rsidR="0041221B" w:rsidRPr="007E54B8" w14:paraId="59170C09" w14:textId="77777777" w:rsidTr="00426807">
        <w:trPr>
          <w:cantSplit/>
          <w:trHeight w:val="486"/>
          <w:tblHeader/>
        </w:trPr>
        <w:tc>
          <w:tcPr>
            <w:tcW w:w="4310" w:type="dxa"/>
            <w:tcBorders>
              <w:top w:val="nil"/>
              <w:left w:val="single" w:sz="8" w:space="0" w:color="auto"/>
              <w:bottom w:val="single" w:sz="8" w:space="0" w:color="auto"/>
              <w:right w:val="single" w:sz="8" w:space="0" w:color="auto"/>
            </w:tcBorders>
            <w:shd w:val="clear" w:color="000000" w:fill="002060"/>
            <w:vAlign w:val="bottom"/>
            <w:hideMark/>
          </w:tcPr>
          <w:p w14:paraId="3AB2796F" w14:textId="77777777" w:rsidR="007E54B8" w:rsidRPr="007E54B8" w:rsidRDefault="007E54B8" w:rsidP="007E54B8">
            <w:pPr>
              <w:spacing w:after="0" w:line="240" w:lineRule="auto"/>
              <w:rPr>
                <w:rFonts w:ascii="Calibri" w:eastAsia="Times New Roman" w:hAnsi="Calibri" w:cs="Calibri"/>
                <w:b/>
                <w:bCs/>
                <w:color w:val="FFFFFF"/>
                <w:kern w:val="0"/>
                <w:sz w:val="19"/>
                <w:szCs w:val="19"/>
                <w14:ligatures w14:val="none"/>
              </w:rPr>
            </w:pPr>
            <w:r w:rsidRPr="007E54B8">
              <w:rPr>
                <w:rFonts w:ascii="Calibri" w:eastAsia="Times New Roman" w:hAnsi="Calibri" w:cs="Calibri"/>
                <w:b/>
                <w:bCs/>
                <w:color w:val="FFFFFF"/>
                <w:kern w:val="0"/>
                <w:sz w:val="19"/>
                <w:szCs w:val="19"/>
                <w14:ligatures w14:val="none"/>
              </w:rPr>
              <w:t>Hospital</w:t>
            </w:r>
          </w:p>
        </w:tc>
        <w:tc>
          <w:tcPr>
            <w:tcW w:w="838" w:type="dxa"/>
            <w:tcBorders>
              <w:top w:val="nil"/>
              <w:left w:val="nil"/>
              <w:bottom w:val="single" w:sz="8" w:space="0" w:color="auto"/>
              <w:right w:val="nil"/>
            </w:tcBorders>
            <w:shd w:val="clear" w:color="000000" w:fill="002060"/>
            <w:vAlign w:val="bottom"/>
            <w:hideMark/>
          </w:tcPr>
          <w:p w14:paraId="6BE9744F"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Actual 2022</w:t>
            </w:r>
          </w:p>
        </w:tc>
        <w:tc>
          <w:tcPr>
            <w:tcW w:w="782" w:type="dxa"/>
            <w:tcBorders>
              <w:top w:val="nil"/>
              <w:left w:val="nil"/>
              <w:bottom w:val="single" w:sz="8" w:space="0" w:color="auto"/>
              <w:right w:val="nil"/>
            </w:tcBorders>
            <w:shd w:val="clear" w:color="000000" w:fill="002060"/>
            <w:vAlign w:val="bottom"/>
            <w:hideMark/>
          </w:tcPr>
          <w:p w14:paraId="761FE47F"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Status Quo 2025</w:t>
            </w:r>
          </w:p>
        </w:tc>
        <w:tc>
          <w:tcPr>
            <w:tcW w:w="895" w:type="dxa"/>
            <w:gridSpan w:val="2"/>
            <w:tcBorders>
              <w:top w:val="nil"/>
              <w:left w:val="nil"/>
              <w:bottom w:val="single" w:sz="8" w:space="0" w:color="auto"/>
              <w:right w:val="single" w:sz="8" w:space="0" w:color="auto"/>
            </w:tcBorders>
            <w:shd w:val="clear" w:color="000000" w:fill="002060"/>
            <w:vAlign w:val="bottom"/>
            <w:hideMark/>
          </w:tcPr>
          <w:p w14:paraId="408DC842"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Projected 2025</w:t>
            </w:r>
          </w:p>
        </w:tc>
        <w:tc>
          <w:tcPr>
            <w:tcW w:w="838" w:type="dxa"/>
            <w:tcBorders>
              <w:top w:val="nil"/>
              <w:left w:val="nil"/>
              <w:bottom w:val="single" w:sz="8" w:space="0" w:color="auto"/>
              <w:right w:val="nil"/>
            </w:tcBorders>
            <w:shd w:val="clear" w:color="000000" w:fill="002060"/>
            <w:vAlign w:val="bottom"/>
            <w:hideMark/>
          </w:tcPr>
          <w:p w14:paraId="1A486A04"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Actual 2022</w:t>
            </w:r>
          </w:p>
        </w:tc>
        <w:tc>
          <w:tcPr>
            <w:tcW w:w="787" w:type="dxa"/>
            <w:tcBorders>
              <w:top w:val="nil"/>
              <w:left w:val="nil"/>
              <w:bottom w:val="single" w:sz="8" w:space="0" w:color="auto"/>
              <w:right w:val="nil"/>
            </w:tcBorders>
            <w:shd w:val="clear" w:color="000000" w:fill="002060"/>
            <w:vAlign w:val="bottom"/>
            <w:hideMark/>
          </w:tcPr>
          <w:p w14:paraId="6717CD5A"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Status Quo 2025</w:t>
            </w:r>
          </w:p>
        </w:tc>
        <w:tc>
          <w:tcPr>
            <w:tcW w:w="890" w:type="dxa"/>
            <w:gridSpan w:val="2"/>
            <w:tcBorders>
              <w:top w:val="nil"/>
              <w:left w:val="nil"/>
              <w:bottom w:val="single" w:sz="8" w:space="0" w:color="auto"/>
              <w:right w:val="single" w:sz="8" w:space="0" w:color="auto"/>
            </w:tcBorders>
            <w:shd w:val="clear" w:color="000000" w:fill="002060"/>
            <w:vAlign w:val="bottom"/>
            <w:hideMark/>
          </w:tcPr>
          <w:p w14:paraId="172DF4DA" w14:textId="77777777" w:rsidR="007E54B8" w:rsidRPr="007E54B8" w:rsidRDefault="007E54B8" w:rsidP="007E54B8">
            <w:pPr>
              <w:spacing w:after="0" w:line="240" w:lineRule="auto"/>
              <w:jc w:val="center"/>
              <w:rPr>
                <w:rFonts w:ascii="Calibri" w:eastAsia="Times New Roman" w:hAnsi="Calibri" w:cs="Calibri"/>
                <w:i/>
                <w:iCs/>
                <w:color w:val="FFFFFF"/>
                <w:kern w:val="0"/>
                <w:sz w:val="19"/>
                <w:szCs w:val="19"/>
                <w14:ligatures w14:val="none"/>
              </w:rPr>
            </w:pPr>
            <w:r w:rsidRPr="007E54B8">
              <w:rPr>
                <w:rFonts w:ascii="Calibri" w:eastAsia="Times New Roman" w:hAnsi="Calibri" w:cs="Calibri"/>
                <w:i/>
                <w:iCs/>
                <w:color w:val="FFFFFF"/>
                <w:kern w:val="0"/>
                <w:sz w:val="19"/>
                <w:szCs w:val="19"/>
                <w14:ligatures w14:val="none"/>
              </w:rPr>
              <w:t>Projected 2025</w:t>
            </w:r>
          </w:p>
        </w:tc>
      </w:tr>
      <w:tr w:rsidR="0041221B" w:rsidRPr="007E54B8" w14:paraId="0961404F" w14:textId="77777777" w:rsidTr="00426807">
        <w:trPr>
          <w:cantSplit/>
          <w:trHeight w:val="275"/>
        </w:trPr>
        <w:tc>
          <w:tcPr>
            <w:tcW w:w="4310" w:type="dxa"/>
            <w:tcBorders>
              <w:top w:val="nil"/>
              <w:left w:val="single" w:sz="8" w:space="0" w:color="auto"/>
              <w:bottom w:val="dashed" w:sz="4" w:space="0" w:color="auto"/>
              <w:right w:val="single" w:sz="8" w:space="0" w:color="auto"/>
            </w:tcBorders>
            <w:shd w:val="clear" w:color="auto" w:fill="auto"/>
            <w:noWrap/>
            <w:vAlign w:val="center"/>
          </w:tcPr>
          <w:p w14:paraId="6897FCD3" w14:textId="0BE3E4C3" w:rsidR="0041221B" w:rsidRPr="003E7B37" w:rsidRDefault="0041221B" w:rsidP="0041221B">
            <w:pPr>
              <w:spacing w:after="0" w:line="240" w:lineRule="auto"/>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Dana-Farber Cancer Institute</w:t>
            </w:r>
            <w:r w:rsidRPr="003E7B37">
              <w:rPr>
                <w:rFonts w:ascii="Calibri" w:eastAsia="Times New Roman" w:hAnsi="Calibri" w:cs="Calibri"/>
                <w:kern w:val="0"/>
                <w:sz w:val="19"/>
                <w:szCs w:val="19"/>
                <w14:ligatures w14:val="none"/>
              </w:rPr>
              <w:t xml:space="preserve"> (Licensed Beds)</w:t>
            </w:r>
          </w:p>
        </w:tc>
        <w:tc>
          <w:tcPr>
            <w:tcW w:w="838" w:type="dxa"/>
            <w:tcBorders>
              <w:top w:val="nil"/>
              <w:left w:val="nil"/>
              <w:bottom w:val="dashed" w:sz="4" w:space="0" w:color="auto"/>
              <w:right w:val="nil"/>
            </w:tcBorders>
            <w:shd w:val="clear" w:color="auto" w:fill="auto"/>
            <w:noWrap/>
            <w:vAlign w:val="center"/>
          </w:tcPr>
          <w:p w14:paraId="29CB0FE2" w14:textId="4D199306" w:rsidR="0041221B" w:rsidRPr="003E7B37"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1,004</w:t>
            </w:r>
          </w:p>
        </w:tc>
        <w:tc>
          <w:tcPr>
            <w:tcW w:w="782" w:type="dxa"/>
            <w:tcBorders>
              <w:top w:val="nil"/>
              <w:left w:val="nil"/>
              <w:bottom w:val="dashed" w:sz="4" w:space="0" w:color="auto"/>
              <w:right w:val="nil"/>
            </w:tcBorders>
            <w:shd w:val="clear" w:color="auto" w:fill="auto"/>
            <w:noWrap/>
            <w:vAlign w:val="center"/>
          </w:tcPr>
          <w:p w14:paraId="6E2D13C9" w14:textId="692A2E0F" w:rsidR="0041221B" w:rsidRPr="003E7B37"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1,045</w:t>
            </w:r>
          </w:p>
        </w:tc>
        <w:tc>
          <w:tcPr>
            <w:tcW w:w="895" w:type="dxa"/>
            <w:gridSpan w:val="2"/>
            <w:tcBorders>
              <w:top w:val="nil"/>
              <w:left w:val="nil"/>
              <w:bottom w:val="dashed" w:sz="4" w:space="0" w:color="auto"/>
              <w:right w:val="single" w:sz="8" w:space="0" w:color="auto"/>
            </w:tcBorders>
            <w:shd w:val="clear" w:color="auto" w:fill="auto"/>
            <w:noWrap/>
            <w:vAlign w:val="center"/>
          </w:tcPr>
          <w:p w14:paraId="525CF92F" w14:textId="4FF7D6FA" w:rsidR="0041221B" w:rsidRPr="003E7B37" w:rsidRDefault="0041221B" w:rsidP="0041221B">
            <w:pPr>
              <w:spacing w:after="0" w:line="240" w:lineRule="auto"/>
              <w:jc w:val="center"/>
              <w:rPr>
                <w:rFonts w:ascii="Calibri" w:eastAsia="Times New Roman" w:hAnsi="Calibri" w:cs="Calibri"/>
                <w:kern w:val="0"/>
                <w:sz w:val="19"/>
                <w:szCs w:val="19"/>
                <w14:ligatures w14:val="none"/>
              </w:rPr>
            </w:pPr>
            <w:r w:rsidRPr="003E7B37">
              <w:rPr>
                <w:rFonts w:ascii="Calibri" w:eastAsia="Times New Roman" w:hAnsi="Calibri" w:cs="Calibri"/>
                <w:kern w:val="0"/>
                <w:sz w:val="19"/>
                <w:szCs w:val="19"/>
                <w14:ligatures w14:val="none"/>
              </w:rPr>
              <w:t>9, 529</w:t>
            </w:r>
          </w:p>
        </w:tc>
        <w:tc>
          <w:tcPr>
            <w:tcW w:w="838" w:type="dxa"/>
            <w:tcBorders>
              <w:top w:val="nil"/>
              <w:left w:val="nil"/>
              <w:bottom w:val="dashed" w:sz="4" w:space="0" w:color="auto"/>
              <w:right w:val="nil"/>
            </w:tcBorders>
            <w:shd w:val="clear" w:color="auto" w:fill="auto"/>
            <w:noWrap/>
            <w:vAlign w:val="center"/>
          </w:tcPr>
          <w:p w14:paraId="53D060F5" w14:textId="3A51C286" w:rsidR="0041221B" w:rsidRPr="003E7B37"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18</w:t>
            </w:r>
          </w:p>
        </w:tc>
        <w:tc>
          <w:tcPr>
            <w:tcW w:w="787" w:type="dxa"/>
            <w:tcBorders>
              <w:top w:val="nil"/>
              <w:left w:val="nil"/>
              <w:bottom w:val="dashed" w:sz="4" w:space="0" w:color="auto"/>
              <w:right w:val="nil"/>
            </w:tcBorders>
            <w:shd w:val="clear" w:color="auto" w:fill="auto"/>
            <w:noWrap/>
            <w:vAlign w:val="center"/>
          </w:tcPr>
          <w:p w14:paraId="7C246B85" w14:textId="6DA059C1" w:rsidR="0041221B" w:rsidRPr="003E7B37"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18</w:t>
            </w:r>
          </w:p>
        </w:tc>
        <w:tc>
          <w:tcPr>
            <w:tcW w:w="890" w:type="dxa"/>
            <w:gridSpan w:val="2"/>
            <w:tcBorders>
              <w:top w:val="nil"/>
              <w:left w:val="nil"/>
              <w:bottom w:val="dashed" w:sz="4" w:space="0" w:color="auto"/>
              <w:right w:val="single" w:sz="8" w:space="0" w:color="auto"/>
            </w:tcBorders>
            <w:shd w:val="clear" w:color="auto" w:fill="auto"/>
            <w:noWrap/>
            <w:vAlign w:val="center"/>
          </w:tcPr>
          <w:p w14:paraId="1C3DC953" w14:textId="77777777" w:rsidR="0041221B" w:rsidRPr="003E7B37" w:rsidRDefault="0041221B" w:rsidP="0041221B">
            <w:pPr>
              <w:spacing w:after="0" w:line="240" w:lineRule="auto"/>
              <w:jc w:val="center"/>
              <w:rPr>
                <w:rFonts w:ascii="Calibri" w:eastAsia="Times New Roman" w:hAnsi="Calibri" w:cs="Calibri"/>
                <w:kern w:val="0"/>
                <w:sz w:val="19"/>
                <w:szCs w:val="19"/>
                <w14:ligatures w14:val="none"/>
              </w:rPr>
            </w:pPr>
          </w:p>
        </w:tc>
      </w:tr>
      <w:tr w:rsidR="0041221B" w:rsidRPr="007E54B8" w14:paraId="10D9EEE6" w14:textId="77777777" w:rsidTr="00426807">
        <w:trPr>
          <w:cantSplit/>
          <w:trHeight w:val="275"/>
        </w:trPr>
        <w:tc>
          <w:tcPr>
            <w:tcW w:w="4310" w:type="dxa"/>
            <w:tcBorders>
              <w:top w:val="nil"/>
              <w:left w:val="single" w:sz="8" w:space="0" w:color="auto"/>
              <w:bottom w:val="dashed" w:sz="4" w:space="0" w:color="auto"/>
              <w:right w:val="single" w:sz="8" w:space="0" w:color="auto"/>
            </w:tcBorders>
            <w:shd w:val="clear" w:color="auto" w:fill="auto"/>
            <w:noWrap/>
            <w:vAlign w:val="center"/>
            <w:hideMark/>
          </w:tcPr>
          <w:p w14:paraId="6435A1FD" w14:textId="1283B4A9" w:rsidR="0041221B" w:rsidRPr="007E54B8" w:rsidRDefault="0041221B" w:rsidP="0041221B">
            <w:pPr>
              <w:spacing w:after="0" w:line="240" w:lineRule="auto"/>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Dana-Farber Cancer Institute</w:t>
            </w:r>
            <w:r w:rsidRPr="003E7B37">
              <w:rPr>
                <w:rFonts w:ascii="Calibri" w:eastAsia="Times New Roman" w:hAnsi="Calibri" w:cs="Calibri"/>
                <w:kern w:val="0"/>
                <w:sz w:val="19"/>
                <w:szCs w:val="19"/>
                <w14:ligatures w14:val="none"/>
              </w:rPr>
              <w:t xml:space="preserve"> (BWH Leased Beds)</w:t>
            </w:r>
          </w:p>
        </w:tc>
        <w:tc>
          <w:tcPr>
            <w:tcW w:w="838" w:type="dxa"/>
            <w:tcBorders>
              <w:top w:val="nil"/>
              <w:left w:val="nil"/>
              <w:bottom w:val="dashed" w:sz="4" w:space="0" w:color="auto"/>
              <w:right w:val="nil"/>
            </w:tcBorders>
            <w:shd w:val="clear" w:color="auto" w:fill="auto"/>
            <w:noWrap/>
            <w:vAlign w:val="center"/>
            <w:hideMark/>
          </w:tcPr>
          <w:p w14:paraId="78945640"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4,919</w:t>
            </w:r>
          </w:p>
        </w:tc>
        <w:tc>
          <w:tcPr>
            <w:tcW w:w="782" w:type="dxa"/>
            <w:tcBorders>
              <w:top w:val="nil"/>
              <w:left w:val="nil"/>
              <w:bottom w:val="dashed" w:sz="4" w:space="0" w:color="auto"/>
              <w:right w:val="nil"/>
            </w:tcBorders>
            <w:shd w:val="clear" w:color="auto" w:fill="auto"/>
            <w:noWrap/>
            <w:vAlign w:val="center"/>
            <w:hideMark/>
          </w:tcPr>
          <w:p w14:paraId="6DBDD24E"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5,136</w:t>
            </w:r>
          </w:p>
        </w:tc>
        <w:tc>
          <w:tcPr>
            <w:tcW w:w="895" w:type="dxa"/>
            <w:gridSpan w:val="2"/>
            <w:tcBorders>
              <w:top w:val="nil"/>
              <w:left w:val="nil"/>
              <w:bottom w:val="dashed" w:sz="4" w:space="0" w:color="auto"/>
              <w:right w:val="single" w:sz="8" w:space="0" w:color="auto"/>
            </w:tcBorders>
            <w:shd w:val="clear" w:color="auto" w:fill="auto"/>
            <w:noWrap/>
            <w:vAlign w:val="center"/>
            <w:hideMark/>
          </w:tcPr>
          <w:p w14:paraId="2639DA52" w14:textId="7438898C" w:rsidR="0041221B" w:rsidRPr="007E54B8" w:rsidRDefault="0041221B" w:rsidP="0041221B">
            <w:pPr>
              <w:spacing w:after="0" w:line="240" w:lineRule="auto"/>
              <w:jc w:val="center"/>
              <w:rPr>
                <w:rFonts w:ascii="Calibri" w:eastAsia="Times New Roman" w:hAnsi="Calibri" w:cs="Calibri"/>
                <w:kern w:val="0"/>
                <w:sz w:val="19"/>
                <w:szCs w:val="19"/>
                <w14:ligatures w14:val="none"/>
              </w:rPr>
            </w:pPr>
          </w:p>
        </w:tc>
        <w:tc>
          <w:tcPr>
            <w:tcW w:w="838" w:type="dxa"/>
            <w:tcBorders>
              <w:top w:val="nil"/>
              <w:left w:val="nil"/>
              <w:bottom w:val="dashed" w:sz="4" w:space="0" w:color="auto"/>
              <w:right w:val="nil"/>
            </w:tcBorders>
            <w:shd w:val="clear" w:color="auto" w:fill="auto"/>
            <w:noWrap/>
            <w:vAlign w:val="center"/>
            <w:hideMark/>
          </w:tcPr>
          <w:p w14:paraId="1479497E"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1,515</w:t>
            </w:r>
          </w:p>
        </w:tc>
        <w:tc>
          <w:tcPr>
            <w:tcW w:w="787" w:type="dxa"/>
            <w:tcBorders>
              <w:top w:val="nil"/>
              <w:left w:val="nil"/>
              <w:bottom w:val="dashed" w:sz="4" w:space="0" w:color="auto"/>
              <w:right w:val="nil"/>
            </w:tcBorders>
            <w:shd w:val="clear" w:color="auto" w:fill="auto"/>
            <w:noWrap/>
            <w:vAlign w:val="center"/>
            <w:hideMark/>
          </w:tcPr>
          <w:p w14:paraId="0C05281D"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1,579</w:t>
            </w:r>
          </w:p>
        </w:tc>
        <w:tc>
          <w:tcPr>
            <w:tcW w:w="890" w:type="dxa"/>
            <w:gridSpan w:val="2"/>
            <w:tcBorders>
              <w:top w:val="nil"/>
              <w:left w:val="nil"/>
              <w:bottom w:val="dashed" w:sz="4" w:space="0" w:color="auto"/>
              <w:right w:val="single" w:sz="8" w:space="0" w:color="auto"/>
            </w:tcBorders>
            <w:shd w:val="clear" w:color="auto" w:fill="auto"/>
            <w:noWrap/>
            <w:vAlign w:val="center"/>
            <w:hideMark/>
          </w:tcPr>
          <w:p w14:paraId="3CE0A2FF" w14:textId="3801ABD5" w:rsidR="0041221B" w:rsidRPr="007E54B8" w:rsidRDefault="0041221B" w:rsidP="0041221B">
            <w:pPr>
              <w:spacing w:after="0" w:line="240" w:lineRule="auto"/>
              <w:jc w:val="center"/>
              <w:rPr>
                <w:rFonts w:ascii="Calibri" w:eastAsia="Times New Roman" w:hAnsi="Calibri" w:cs="Calibri"/>
                <w:kern w:val="0"/>
                <w:sz w:val="19"/>
                <w:szCs w:val="19"/>
                <w14:ligatures w14:val="none"/>
              </w:rPr>
            </w:pPr>
          </w:p>
        </w:tc>
      </w:tr>
      <w:tr w:rsidR="0041221B" w:rsidRPr="007E54B8" w14:paraId="4CC12139" w14:textId="77777777" w:rsidTr="00426807">
        <w:trPr>
          <w:cantSplit/>
          <w:trHeight w:val="275"/>
        </w:trPr>
        <w:tc>
          <w:tcPr>
            <w:tcW w:w="4310" w:type="dxa"/>
            <w:tcBorders>
              <w:top w:val="nil"/>
              <w:left w:val="single" w:sz="8" w:space="0" w:color="auto"/>
              <w:bottom w:val="dashed" w:sz="4" w:space="0" w:color="auto"/>
              <w:right w:val="single" w:sz="8" w:space="0" w:color="auto"/>
            </w:tcBorders>
            <w:shd w:val="clear" w:color="auto" w:fill="auto"/>
            <w:noWrap/>
            <w:vAlign w:val="center"/>
            <w:hideMark/>
          </w:tcPr>
          <w:p w14:paraId="13AEB45D" w14:textId="77777777" w:rsidR="0041221B" w:rsidRPr="007E54B8" w:rsidRDefault="0041221B" w:rsidP="0041221B">
            <w:pPr>
              <w:spacing w:after="0" w:line="240" w:lineRule="auto"/>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Beth Israel Deaconess Medical Center - East Campus</w:t>
            </w:r>
          </w:p>
        </w:tc>
        <w:tc>
          <w:tcPr>
            <w:tcW w:w="838" w:type="dxa"/>
            <w:tcBorders>
              <w:top w:val="dashed" w:sz="4" w:space="0" w:color="auto"/>
              <w:left w:val="single" w:sz="8" w:space="0" w:color="auto"/>
              <w:bottom w:val="dashed" w:sz="4" w:space="0" w:color="auto"/>
              <w:right w:val="nil"/>
            </w:tcBorders>
            <w:shd w:val="clear" w:color="auto" w:fill="auto"/>
            <w:noWrap/>
            <w:vAlign w:val="center"/>
            <w:hideMark/>
          </w:tcPr>
          <w:p w14:paraId="304A2037"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4,764</w:t>
            </w:r>
          </w:p>
        </w:tc>
        <w:tc>
          <w:tcPr>
            <w:tcW w:w="782" w:type="dxa"/>
            <w:tcBorders>
              <w:top w:val="dashed" w:sz="4" w:space="0" w:color="auto"/>
              <w:left w:val="nil"/>
              <w:bottom w:val="dashed" w:sz="4" w:space="0" w:color="auto"/>
              <w:right w:val="nil"/>
            </w:tcBorders>
            <w:shd w:val="clear" w:color="auto" w:fill="auto"/>
            <w:noWrap/>
            <w:vAlign w:val="center"/>
            <w:hideMark/>
          </w:tcPr>
          <w:p w14:paraId="26C29BF3"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5,089</w:t>
            </w:r>
          </w:p>
        </w:tc>
        <w:tc>
          <w:tcPr>
            <w:tcW w:w="895" w:type="dxa"/>
            <w:gridSpan w:val="2"/>
            <w:tcBorders>
              <w:top w:val="dashed" w:sz="4" w:space="0" w:color="auto"/>
              <w:left w:val="nil"/>
              <w:bottom w:val="dashed" w:sz="4" w:space="0" w:color="auto"/>
              <w:right w:val="single" w:sz="8" w:space="0" w:color="auto"/>
            </w:tcBorders>
            <w:shd w:val="clear" w:color="auto" w:fill="auto"/>
            <w:noWrap/>
            <w:vAlign w:val="center"/>
            <w:hideMark/>
          </w:tcPr>
          <w:p w14:paraId="12E57513" w14:textId="2089DCEC"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3E7B37">
              <w:rPr>
                <w:rFonts w:ascii="Calibri" w:eastAsia="Times New Roman" w:hAnsi="Calibri" w:cs="Calibri"/>
                <w:kern w:val="0"/>
                <w:sz w:val="19"/>
                <w:szCs w:val="19"/>
                <w14:ligatures w14:val="none"/>
              </w:rPr>
              <w:t>1,741</w:t>
            </w:r>
          </w:p>
        </w:tc>
        <w:tc>
          <w:tcPr>
            <w:tcW w:w="838" w:type="dxa"/>
            <w:tcBorders>
              <w:top w:val="dashed" w:sz="4" w:space="0" w:color="auto"/>
              <w:left w:val="nil"/>
              <w:bottom w:val="dashed" w:sz="4" w:space="0" w:color="auto"/>
              <w:right w:val="nil"/>
            </w:tcBorders>
            <w:shd w:val="clear" w:color="auto" w:fill="auto"/>
            <w:noWrap/>
            <w:vAlign w:val="center"/>
            <w:hideMark/>
          </w:tcPr>
          <w:p w14:paraId="07C90B6F"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889</w:t>
            </w:r>
          </w:p>
        </w:tc>
        <w:tc>
          <w:tcPr>
            <w:tcW w:w="787" w:type="dxa"/>
            <w:tcBorders>
              <w:top w:val="dashed" w:sz="4" w:space="0" w:color="auto"/>
              <w:left w:val="nil"/>
              <w:bottom w:val="dashed" w:sz="4" w:space="0" w:color="auto"/>
              <w:right w:val="nil"/>
            </w:tcBorders>
            <w:shd w:val="clear" w:color="auto" w:fill="auto"/>
            <w:noWrap/>
            <w:vAlign w:val="center"/>
            <w:hideMark/>
          </w:tcPr>
          <w:p w14:paraId="46C85746"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933</w:t>
            </w:r>
          </w:p>
        </w:tc>
        <w:tc>
          <w:tcPr>
            <w:tcW w:w="890" w:type="dxa"/>
            <w:gridSpan w:val="2"/>
            <w:tcBorders>
              <w:top w:val="dashed" w:sz="4" w:space="0" w:color="auto"/>
              <w:left w:val="nil"/>
              <w:bottom w:val="dashed" w:sz="4" w:space="0" w:color="auto"/>
              <w:right w:val="single" w:sz="8" w:space="0" w:color="auto"/>
            </w:tcBorders>
            <w:shd w:val="clear" w:color="auto" w:fill="auto"/>
            <w:noWrap/>
            <w:vAlign w:val="center"/>
            <w:hideMark/>
          </w:tcPr>
          <w:p w14:paraId="0EC8E9E1" w14:textId="77777777" w:rsidR="0041221B" w:rsidRPr="007E54B8" w:rsidRDefault="0041221B" w:rsidP="0041221B">
            <w:pPr>
              <w:spacing w:after="0" w:line="240" w:lineRule="auto"/>
              <w:jc w:val="center"/>
              <w:rPr>
                <w:rFonts w:ascii="Calibri" w:eastAsia="Times New Roman" w:hAnsi="Calibri" w:cs="Calibri"/>
                <w:kern w:val="0"/>
                <w:sz w:val="19"/>
                <w:szCs w:val="19"/>
                <w14:ligatures w14:val="none"/>
              </w:rPr>
            </w:pPr>
            <w:r w:rsidRPr="007E54B8">
              <w:rPr>
                <w:rFonts w:ascii="Calibri" w:eastAsia="Times New Roman" w:hAnsi="Calibri" w:cs="Calibri"/>
                <w:kern w:val="0"/>
                <w:sz w:val="19"/>
                <w:szCs w:val="19"/>
                <w14:ligatures w14:val="none"/>
              </w:rPr>
              <w:t>2,530</w:t>
            </w:r>
          </w:p>
        </w:tc>
      </w:tr>
      <w:tr w:rsidR="0041221B" w:rsidRPr="007E54B8" w14:paraId="1B5A3244" w14:textId="77777777" w:rsidTr="00426807">
        <w:trPr>
          <w:cantSplit/>
          <w:trHeight w:val="275"/>
        </w:trPr>
        <w:tc>
          <w:tcPr>
            <w:tcW w:w="431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08A1752" w14:textId="4627D9E7" w:rsidR="0041221B" w:rsidRPr="007E54B8" w:rsidRDefault="0041221B" w:rsidP="0041221B">
            <w:pPr>
              <w:spacing w:after="0" w:line="240" w:lineRule="auto"/>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M</w:t>
            </w:r>
            <w:r w:rsidRPr="003E7B37">
              <w:rPr>
                <w:rFonts w:ascii="Calibri" w:eastAsia="Times New Roman" w:hAnsi="Calibri" w:cs="Calibri"/>
                <w:b/>
                <w:bCs/>
                <w:kern w:val="0"/>
                <w:sz w:val="19"/>
                <w:szCs w:val="19"/>
                <w14:ligatures w14:val="none"/>
              </w:rPr>
              <w:t>assachusetts</w:t>
            </w:r>
            <w:r w:rsidRPr="007E54B8">
              <w:rPr>
                <w:rFonts w:ascii="Calibri" w:eastAsia="Times New Roman" w:hAnsi="Calibri" w:cs="Calibri"/>
                <w:b/>
                <w:bCs/>
                <w:kern w:val="0"/>
                <w:sz w:val="19"/>
                <w:szCs w:val="19"/>
                <w14:ligatures w14:val="none"/>
              </w:rPr>
              <w:t xml:space="preserve"> Total</w:t>
            </w:r>
          </w:p>
        </w:tc>
        <w:tc>
          <w:tcPr>
            <w:tcW w:w="838" w:type="dxa"/>
            <w:tcBorders>
              <w:top w:val="single" w:sz="4" w:space="0" w:color="auto"/>
              <w:left w:val="nil"/>
              <w:bottom w:val="single" w:sz="8" w:space="0" w:color="auto"/>
              <w:right w:val="nil"/>
            </w:tcBorders>
            <w:shd w:val="clear" w:color="auto" w:fill="auto"/>
            <w:noWrap/>
            <w:vAlign w:val="center"/>
            <w:hideMark/>
          </w:tcPr>
          <w:p w14:paraId="3CAD7CD5"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63,576</w:t>
            </w:r>
          </w:p>
        </w:tc>
        <w:tc>
          <w:tcPr>
            <w:tcW w:w="782" w:type="dxa"/>
            <w:tcBorders>
              <w:top w:val="single" w:sz="4" w:space="0" w:color="auto"/>
              <w:left w:val="nil"/>
              <w:bottom w:val="single" w:sz="8" w:space="0" w:color="auto"/>
              <w:right w:val="nil"/>
            </w:tcBorders>
            <w:shd w:val="clear" w:color="auto" w:fill="auto"/>
            <w:noWrap/>
            <w:vAlign w:val="center"/>
            <w:hideMark/>
          </w:tcPr>
          <w:p w14:paraId="669ABB43"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68,047</w:t>
            </w:r>
          </w:p>
        </w:tc>
        <w:tc>
          <w:tcPr>
            <w:tcW w:w="895" w:type="dxa"/>
            <w:gridSpan w:val="2"/>
            <w:tcBorders>
              <w:top w:val="single" w:sz="4" w:space="0" w:color="auto"/>
              <w:left w:val="nil"/>
              <w:bottom w:val="single" w:sz="8" w:space="0" w:color="auto"/>
              <w:right w:val="single" w:sz="8" w:space="0" w:color="auto"/>
            </w:tcBorders>
            <w:shd w:val="clear" w:color="auto" w:fill="auto"/>
            <w:noWrap/>
            <w:vAlign w:val="center"/>
            <w:hideMark/>
          </w:tcPr>
          <w:p w14:paraId="590EE8E8"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68,047</w:t>
            </w:r>
          </w:p>
        </w:tc>
        <w:tc>
          <w:tcPr>
            <w:tcW w:w="838" w:type="dxa"/>
            <w:tcBorders>
              <w:top w:val="single" w:sz="4" w:space="0" w:color="auto"/>
              <w:left w:val="nil"/>
              <w:bottom w:val="single" w:sz="8" w:space="0" w:color="auto"/>
              <w:right w:val="nil"/>
            </w:tcBorders>
            <w:shd w:val="clear" w:color="auto" w:fill="auto"/>
            <w:noWrap/>
            <w:vAlign w:val="center"/>
            <w:hideMark/>
          </w:tcPr>
          <w:p w14:paraId="2C09F7E1"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9,579</w:t>
            </w:r>
          </w:p>
        </w:tc>
        <w:tc>
          <w:tcPr>
            <w:tcW w:w="787" w:type="dxa"/>
            <w:tcBorders>
              <w:top w:val="single" w:sz="4" w:space="0" w:color="auto"/>
              <w:left w:val="nil"/>
              <w:bottom w:val="single" w:sz="8" w:space="0" w:color="auto"/>
              <w:right w:val="nil"/>
            </w:tcBorders>
            <w:shd w:val="clear" w:color="auto" w:fill="auto"/>
            <w:noWrap/>
            <w:vAlign w:val="center"/>
            <w:hideMark/>
          </w:tcPr>
          <w:p w14:paraId="15774649"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10,076</w:t>
            </w:r>
          </w:p>
        </w:tc>
        <w:tc>
          <w:tcPr>
            <w:tcW w:w="890" w:type="dxa"/>
            <w:gridSpan w:val="2"/>
            <w:tcBorders>
              <w:top w:val="single" w:sz="4" w:space="0" w:color="auto"/>
              <w:left w:val="nil"/>
              <w:bottom w:val="single" w:sz="8" w:space="0" w:color="auto"/>
              <w:right w:val="single" w:sz="8" w:space="0" w:color="auto"/>
            </w:tcBorders>
            <w:shd w:val="clear" w:color="auto" w:fill="auto"/>
            <w:noWrap/>
            <w:vAlign w:val="center"/>
            <w:hideMark/>
          </w:tcPr>
          <w:p w14:paraId="1BD0264E" w14:textId="77777777" w:rsidR="0041221B" w:rsidRPr="007E54B8" w:rsidRDefault="0041221B" w:rsidP="0041221B">
            <w:pPr>
              <w:spacing w:after="0" w:line="240" w:lineRule="auto"/>
              <w:jc w:val="center"/>
              <w:rPr>
                <w:rFonts w:ascii="Calibri" w:eastAsia="Times New Roman" w:hAnsi="Calibri" w:cs="Calibri"/>
                <w:b/>
                <w:bCs/>
                <w:kern w:val="0"/>
                <w:sz w:val="19"/>
                <w:szCs w:val="19"/>
                <w14:ligatures w14:val="none"/>
              </w:rPr>
            </w:pPr>
            <w:r w:rsidRPr="007E54B8">
              <w:rPr>
                <w:rFonts w:ascii="Calibri" w:eastAsia="Times New Roman" w:hAnsi="Calibri" w:cs="Calibri"/>
                <w:b/>
                <w:bCs/>
                <w:kern w:val="0"/>
                <w:sz w:val="19"/>
                <w:szCs w:val="19"/>
                <w14:ligatures w14:val="none"/>
              </w:rPr>
              <w:t>10,076</w:t>
            </w:r>
          </w:p>
        </w:tc>
      </w:tr>
    </w:tbl>
    <w:p w14:paraId="5E4AA037" w14:textId="77777777" w:rsidR="007E54B8" w:rsidRDefault="007E54B8" w:rsidP="003E7B37">
      <w:pPr>
        <w:spacing w:after="120" w:line="360" w:lineRule="auto"/>
      </w:pPr>
    </w:p>
    <w:p w14:paraId="477A722B" w14:textId="753F7639" w:rsidR="001E5225" w:rsidRDefault="00DC2ADA" w:rsidP="00017609">
      <w:pPr>
        <w:numPr>
          <w:ilvl w:val="0"/>
          <w:numId w:val="4"/>
        </w:numPr>
        <w:spacing w:before="120" w:after="120" w:line="360" w:lineRule="auto"/>
        <w:jc w:val="both"/>
      </w:pPr>
      <w:r w:rsidRPr="00DC2ADA">
        <w:t xml:space="preserve">To explore the sensitivity of DFCI’s estimated need to </w:t>
      </w:r>
      <w:r w:rsidR="00A102FF">
        <w:t>shifting demand from the BWH emergency department</w:t>
      </w:r>
      <w:r w:rsidRPr="00DC2ADA">
        <w:t>, FTI estimated demand at the new DFCI facility if just half of emergency department admissions at BWH shifted to DFCI.</w:t>
      </w:r>
      <w:r>
        <w:t xml:space="preserve"> </w:t>
      </w:r>
      <w:r w:rsidRPr="00DC2ADA">
        <w:t>This condensed demand is still projected to exceed the capacity of the new DFCI facility</w:t>
      </w:r>
      <w:r w:rsidR="00FF5FB0">
        <w:t>.</w:t>
      </w:r>
      <w:r w:rsidR="00A102FF">
        <w:t xml:space="preserve"> Because, as discussed above, the significant majority of DFCI inpatient cancer care patients admitted through the emergency department have a pre-existing relationship with DFCI physicians</w:t>
      </w:r>
      <w:r w:rsidR="00551FAE">
        <w:t xml:space="preserve">, the estimated utilization of the new facility beds (i.e., full capacity utilization from its inception) </w:t>
      </w:r>
      <w:r w:rsidR="00A102FF">
        <w:t xml:space="preserve">is not sensitive to </w:t>
      </w:r>
      <w:r w:rsidR="00982566">
        <w:t xml:space="preserve">a proportion of </w:t>
      </w:r>
      <w:r w:rsidR="00A102FF">
        <w:t>these patients not shifting to the new DFCI facility.</w:t>
      </w:r>
    </w:p>
    <w:p w14:paraId="57B45A0C" w14:textId="00513BE0" w:rsidR="00F0742C" w:rsidRDefault="00F0742C" w:rsidP="00017609">
      <w:pPr>
        <w:numPr>
          <w:ilvl w:val="0"/>
          <w:numId w:val="4"/>
        </w:numPr>
        <w:spacing w:before="120" w:after="120" w:line="360" w:lineRule="auto"/>
        <w:jc w:val="both"/>
      </w:pPr>
      <w:r>
        <w:t>These p</w:t>
      </w:r>
      <w:r w:rsidRPr="00DC2ADA">
        <w:t xml:space="preserve">rojections of shifted care show 10% of new DFCI facility utilization will come from </w:t>
      </w:r>
      <w:r w:rsidR="00982566">
        <w:t>Medicaid</w:t>
      </w:r>
      <w:r w:rsidRPr="00DC2ADA">
        <w:t xml:space="preserve"> patients (similar to the share served by DFCI now).</w:t>
      </w:r>
      <w:r>
        <w:t xml:space="preserve"> </w:t>
      </w:r>
      <w:r w:rsidRPr="00DC2ADA">
        <w:t>The projected utilization model shows no diversion of resources away from existing safety net providers.</w:t>
      </w:r>
    </w:p>
    <w:p w14:paraId="175F48EE" w14:textId="330BE280" w:rsidR="00F0742C" w:rsidRDefault="00F0742C" w:rsidP="00F0742C">
      <w:pPr>
        <w:numPr>
          <w:ilvl w:val="0"/>
          <w:numId w:val="4"/>
        </w:numPr>
        <w:spacing w:before="120" w:after="120" w:line="360" w:lineRule="auto"/>
        <w:jc w:val="both"/>
      </w:pPr>
      <w:r>
        <w:t xml:space="preserve">The ICA </w:t>
      </w:r>
      <w:r w:rsidR="00982566">
        <w:t>Q</w:t>
      </w:r>
      <w:r>
        <w:t xml:space="preserve">uestions asked FTI to analyze DFCI’s projected need by bed type (i.e., ICU beds versus medical/surgical beds). </w:t>
      </w:r>
      <w:r w:rsidR="00DE6FEA">
        <w:t xml:space="preserve">DFCI’s projected inpatient bed demand methodology set out in the Application estimates bed demand by bed type. To estimate ICU bed demand, </w:t>
      </w:r>
      <w:r w:rsidR="00495C95">
        <w:t xml:space="preserve">the DFCI analysis </w:t>
      </w:r>
      <w:r w:rsidR="00DE6FEA">
        <w:t xml:space="preserve">reviewed Medicare cost report data from </w:t>
      </w:r>
      <w:r w:rsidR="006020D7">
        <w:t>“</w:t>
      </w:r>
      <w:r w:rsidR="00DE6FEA">
        <w:t>peer comprehensive cancer centers</w:t>
      </w:r>
      <w:r w:rsidR="006020D7">
        <w:t>”</w:t>
      </w:r>
      <w:r w:rsidR="00DE6FEA">
        <w:t xml:space="preserve"> and determined the</w:t>
      </w:r>
      <w:r w:rsidR="00982566">
        <w:t>ir</w:t>
      </w:r>
      <w:r w:rsidR="00DE6FEA">
        <w:t xml:space="preserve"> ICU census ranged between 7%-14% of the total ADC.</w:t>
      </w:r>
      <w:r w:rsidR="00DE6FEA">
        <w:rPr>
          <w:rStyle w:val="FootnoteReference"/>
        </w:rPr>
        <w:footnoteReference w:id="68"/>
      </w:r>
      <w:r w:rsidR="00DE6FEA">
        <w:t xml:space="preserve"> Data on bed types for existing DFCI patients was not available to FTI. The projections of shifted care above assume that current acuity levels are </w:t>
      </w:r>
      <w:r w:rsidR="00DE6FEA">
        <w:lastRenderedPageBreak/>
        <w:t>projected to stay the same. DFCI’s estimate of an average ICU daily census of 18.0 in 2032 makes up a relatively small proportion of both its overall projected demand and FTI’s projected total utilization.</w:t>
      </w:r>
      <w:r w:rsidR="00DE6FEA">
        <w:rPr>
          <w:rStyle w:val="FootnoteReference"/>
        </w:rPr>
        <w:footnoteReference w:id="69"/>
      </w:r>
      <w:r w:rsidR="00DE6FEA">
        <w:t xml:space="preserve"> Thus, the estimated need calculations (including the estimate that the new facility will be capacity constrained from inception) is not dependent on any ICU bed demand, though that demand may well form a part of the new DFCI facility utilization.</w:t>
      </w:r>
    </w:p>
    <w:p w14:paraId="409B5F4C" w14:textId="26A6EE9C" w:rsidR="00802C3F" w:rsidRDefault="00802C3F" w:rsidP="00017609">
      <w:pPr>
        <w:numPr>
          <w:ilvl w:val="0"/>
          <w:numId w:val="4"/>
        </w:numPr>
        <w:spacing w:before="120" w:after="120" w:line="360" w:lineRule="auto"/>
        <w:jc w:val="both"/>
      </w:pPr>
      <w:r>
        <w:t xml:space="preserve">The ICA </w:t>
      </w:r>
      <w:r w:rsidR="00982566">
        <w:t>Q</w:t>
      </w:r>
      <w:r>
        <w:t>uestions asked FTI to e</w:t>
      </w:r>
      <w:r w:rsidRPr="008B56A9">
        <w:t xml:space="preserve">valuate the potential for the </w:t>
      </w:r>
      <w:r>
        <w:t xml:space="preserve">Proposed Project </w:t>
      </w:r>
      <w:r w:rsidRPr="008B56A9">
        <w:t xml:space="preserve">to lead to </w:t>
      </w:r>
      <w:r w:rsidR="006020D7">
        <w:t>“</w:t>
      </w:r>
      <w:r w:rsidRPr="008B56A9">
        <w:t>supply-induced demand</w:t>
      </w:r>
      <w:r w:rsidR="006020D7">
        <w:t>”</w:t>
      </w:r>
      <w:r w:rsidRPr="008B56A9">
        <w:t xml:space="preserve"> for healthcare services</w:t>
      </w:r>
      <w:r>
        <w:t>. The foregoing analysis shows that th</w:t>
      </w:r>
      <w:r w:rsidRPr="00802C3F">
        <w:t xml:space="preserve">ere is </w:t>
      </w:r>
      <w:r w:rsidR="003003FA">
        <w:t xml:space="preserve">essentially </w:t>
      </w:r>
      <w:r w:rsidRPr="00802C3F">
        <w:t xml:space="preserve">no scope for supply-induced demand at </w:t>
      </w:r>
      <w:r w:rsidR="00B94787">
        <w:t xml:space="preserve">the </w:t>
      </w:r>
      <w:r w:rsidRPr="00802C3F">
        <w:t>new DFCI facility because it is projected to be immediately capacity constrained.</w:t>
      </w:r>
      <w:r>
        <w:t xml:space="preserve"> However, p</w:t>
      </w:r>
      <w:r w:rsidRPr="00802C3F">
        <w:t>rojected shifts in utilization away from BWH and (to a lesser degree) from BIDMC would leave a significant number of unused beds at those facilities.</w:t>
      </w:r>
      <w:r>
        <w:t xml:space="preserve"> The scenarios presented above do not model any changes in utilization at BWH or BIDMC. In each scenario above, BWH and BIDMC are projected to experience a decrease in utilization and, correspondingly, an increase in available bed capacity. These scenarios implicitly assume these systems </w:t>
      </w:r>
      <w:r w:rsidR="00982566">
        <w:t xml:space="preserve">will </w:t>
      </w:r>
      <w:r>
        <w:t>not change their behavior in response to the Proposed Project. However, each hospital system might reasonably be expected to respond strategically to this change in available capacity. For example, each might realign or consolidate services, systematize, or induce demand through competition with other systems for existing inpatient discharges (including for non-cancer care discharges) or through new patients that would otherwise not receive inpatient care</w:t>
      </w:r>
      <w:r w:rsidR="00BC48FC">
        <w:t xml:space="preserve"> (i.e., supply-induced demand).</w:t>
      </w:r>
    </w:p>
    <w:p w14:paraId="7688684F" w14:textId="56F56AF1" w:rsidR="005B39DB" w:rsidRDefault="00BC48FC" w:rsidP="003003FA">
      <w:pPr>
        <w:numPr>
          <w:ilvl w:val="0"/>
          <w:numId w:val="4"/>
        </w:numPr>
        <w:spacing w:before="120" w:after="120" w:line="360" w:lineRule="auto"/>
        <w:jc w:val="both"/>
      </w:pPr>
      <w:bookmarkStart w:id="41" w:name="_Hlk180271863"/>
      <w:r w:rsidRPr="00BC48FC">
        <w:t>Supply-induced demand has been widely studied in the economics and health services academic literature.</w:t>
      </w:r>
      <w:r>
        <w:t xml:space="preserve"> The literature shows m</w:t>
      </w:r>
      <w:r w:rsidRPr="00BC48FC">
        <w:t xml:space="preserve">ixed evidence on extent of </w:t>
      </w:r>
      <w:r>
        <w:t>supply-induced demand</w:t>
      </w:r>
      <w:r w:rsidRPr="00BC48FC">
        <w:t xml:space="preserve">, </w:t>
      </w:r>
      <w:r w:rsidR="00495C95">
        <w:t xml:space="preserve">yet includes </w:t>
      </w:r>
      <w:r w:rsidRPr="00BC48FC">
        <w:t xml:space="preserve">indications </w:t>
      </w:r>
      <w:r w:rsidR="00495C95">
        <w:t xml:space="preserve">of </w:t>
      </w:r>
      <w:r w:rsidRPr="00BC48FC">
        <w:t>financial incentives influence in physician behavior.</w:t>
      </w:r>
      <w:r>
        <w:rPr>
          <w:rStyle w:val="FootnoteReference"/>
        </w:rPr>
        <w:footnoteReference w:id="70"/>
      </w:r>
      <w:r>
        <w:t xml:space="preserve"> </w:t>
      </w:r>
      <w:bookmarkEnd w:id="41"/>
      <w:r w:rsidRPr="00BC48FC">
        <w:t xml:space="preserve">To investigate the extent to which </w:t>
      </w:r>
      <w:r w:rsidR="00495C95">
        <w:t xml:space="preserve">potential </w:t>
      </w:r>
      <w:r>
        <w:t>supply-induced</w:t>
      </w:r>
      <w:r w:rsidRPr="00BC48FC">
        <w:t xml:space="preserve"> </w:t>
      </w:r>
      <w:r>
        <w:t xml:space="preserve">demand </w:t>
      </w:r>
      <w:r w:rsidRPr="00BC48FC">
        <w:t xml:space="preserve">could </w:t>
      </w:r>
      <w:r>
        <w:t xml:space="preserve">impact utilization and total medical spending due to </w:t>
      </w:r>
      <w:r w:rsidRPr="00BC48FC">
        <w:t xml:space="preserve">the Proposed Project, FTI estimated </w:t>
      </w:r>
      <w:r w:rsidR="006020D7">
        <w:t>“</w:t>
      </w:r>
      <w:r w:rsidR="003003FA">
        <w:t xml:space="preserve">maximal-impact” </w:t>
      </w:r>
      <w:r w:rsidRPr="00BC48FC">
        <w:t>scenario</w:t>
      </w:r>
      <w:r w:rsidR="003003FA">
        <w:t>s</w:t>
      </w:r>
      <w:r w:rsidRPr="00BC48FC">
        <w:t xml:space="preserve"> in which 100% of newly available capacity </w:t>
      </w:r>
      <w:r>
        <w:t xml:space="preserve">at BWH and BIDMC </w:t>
      </w:r>
      <w:r w:rsidRPr="00BC48FC">
        <w:t xml:space="preserve">is </w:t>
      </w:r>
      <w:r w:rsidR="006020D7">
        <w:t>“</w:t>
      </w:r>
      <w:r>
        <w:t>back</w:t>
      </w:r>
      <w:r w:rsidRPr="00BC48FC">
        <w:t>filled</w:t>
      </w:r>
      <w:r w:rsidR="006020D7">
        <w:t>”</w:t>
      </w:r>
      <w:r w:rsidRPr="00BC48FC">
        <w:t xml:space="preserve"> by new, general </w:t>
      </w:r>
      <w:r>
        <w:t xml:space="preserve">acute care </w:t>
      </w:r>
      <w:r w:rsidRPr="00BC48FC">
        <w:t>inpatient</w:t>
      </w:r>
      <w:r>
        <w:t xml:space="preserve"> patients</w:t>
      </w:r>
      <w:r w:rsidR="003003FA">
        <w:t xml:space="preserve"> or, </w:t>
      </w:r>
      <w:r w:rsidR="003003FA">
        <w:lastRenderedPageBreak/>
        <w:t>alternatively, by cancer care patients</w:t>
      </w:r>
      <w:r w:rsidRPr="00BC48FC">
        <w:t>.</w:t>
      </w:r>
      <w:r w:rsidR="005B39DB" w:rsidRPr="005B39DB">
        <w:rPr>
          <w:rStyle w:val="FootnoteReference"/>
        </w:rPr>
        <w:t xml:space="preserve"> </w:t>
      </w:r>
      <w:r w:rsidR="005B39DB">
        <w:rPr>
          <w:rStyle w:val="FootnoteReference"/>
        </w:rPr>
        <w:footnoteReference w:id="71"/>
      </w:r>
      <w:r w:rsidR="00554CC1">
        <w:t xml:space="preserve"> </w:t>
      </w:r>
      <w:r w:rsidR="003003FA">
        <w:t xml:space="preserve">This scenario is equivalent from a cost impact perspective to no patients shift from BWH or BIDMC to the new DFCI facility and the new DFCI beds are filled by patients not currently receiving inpatient care. Similarly, this is cost-equivalent to any combination of DFCI, BWH, and BIDMC diverting patients from other academic medical centers and community hospitals into the newly available beds and then those hospitals filling their available beds with new patients. </w:t>
      </w:r>
    </w:p>
    <w:p w14:paraId="5421384A" w14:textId="01F46559" w:rsidR="007D7463" w:rsidRDefault="003003FA" w:rsidP="006256A8">
      <w:pPr>
        <w:numPr>
          <w:ilvl w:val="0"/>
          <w:numId w:val="4"/>
        </w:numPr>
        <w:spacing w:before="120" w:after="120" w:line="360" w:lineRule="auto"/>
        <w:jc w:val="both"/>
      </w:pPr>
      <w:r>
        <w:t>These scenarios estimate the maximum cost impact in the sense that they are more costly than any competitive reallocation of patients across hospitals that is not accompanied by full offset of capacity availability with patients that would otherwise be untreated in an inpatient setting.</w:t>
      </w:r>
      <w:r>
        <w:rPr>
          <w:rStyle w:val="FootnoteReference"/>
        </w:rPr>
        <w:footnoteReference w:id="72"/>
      </w:r>
      <w:r w:rsidR="005B39DB">
        <w:t xml:space="preserve"> </w:t>
      </w:r>
      <w:r w:rsidR="00554CC1">
        <w:t xml:space="preserve">While </w:t>
      </w:r>
      <w:r>
        <w:t xml:space="preserve">this approach likely overstates the </w:t>
      </w:r>
      <w:r w:rsidR="005B39DB">
        <w:t>extent of any supply-induced demand impact and is not based in economic evidence (</w:t>
      </w:r>
      <w:r w:rsidR="00554CC1">
        <w:t>and therefore not meant to represent actual predicted outcomes of the Proposed Project</w:t>
      </w:r>
      <w:r w:rsidR="005B39DB">
        <w:t>)</w:t>
      </w:r>
      <w:r w:rsidR="00554CC1">
        <w:t>, it bounds the maximum possible impact of supply-induced demand. To simulate this scenario, FTI g</w:t>
      </w:r>
      <w:r w:rsidR="00554CC1" w:rsidRPr="00554CC1">
        <w:t xml:space="preserve">enerated new </w:t>
      </w:r>
      <w:r w:rsidR="006020D7">
        <w:t>“</w:t>
      </w:r>
      <w:r w:rsidR="00554CC1" w:rsidRPr="00554CC1">
        <w:t>synthetic</w:t>
      </w:r>
      <w:r w:rsidR="006020D7">
        <w:t>”</w:t>
      </w:r>
      <w:r w:rsidR="00554CC1" w:rsidRPr="00554CC1">
        <w:t xml:space="preserve"> patient discharges matching the average existing acuity, payor mix, and prices of </w:t>
      </w:r>
      <w:r w:rsidR="00554CC1">
        <w:t xml:space="preserve">inpatient </w:t>
      </w:r>
      <w:r w:rsidR="00554CC1" w:rsidRPr="00554CC1">
        <w:t>care for these two hospitals</w:t>
      </w:r>
      <w:r w:rsidR="00F0742C">
        <w:t xml:space="preserve"> and used these patients to replace lost discharges at BWH and BIDMC one-for-one</w:t>
      </w:r>
      <w:r w:rsidR="00554CC1" w:rsidRPr="00554CC1">
        <w:t>.</w:t>
      </w:r>
      <w:r w:rsidR="00F0742C">
        <w:t xml:space="preserve"> The cost implications of this bounding exercise are reported in Section </w:t>
      </w:r>
      <w:r w:rsidR="00C228C7">
        <w:t>XII.C</w:t>
      </w:r>
      <w:r w:rsidR="00F0742C">
        <w:t xml:space="preserve"> below.</w:t>
      </w:r>
    </w:p>
    <w:p w14:paraId="4F80F12B" w14:textId="701490F8" w:rsidR="00F53E2B" w:rsidRDefault="00F53E2B" w:rsidP="000224C4">
      <w:pPr>
        <w:pStyle w:val="Heading1"/>
        <w:rPr>
          <w:rFonts w:hint="eastAsia"/>
        </w:rPr>
      </w:pPr>
      <w:bookmarkStart w:id="42" w:name="_Toc187401752"/>
      <w:r>
        <w:t xml:space="preserve">Prices for </w:t>
      </w:r>
      <w:r w:rsidR="00DF7C05">
        <w:t xml:space="preserve">Inpatient </w:t>
      </w:r>
      <w:r>
        <w:t>Cancer Care Services in Relevant Service Lines</w:t>
      </w:r>
      <w:bookmarkEnd w:id="42"/>
    </w:p>
    <w:p w14:paraId="7FED12EA" w14:textId="4EB4692A" w:rsidR="00C67E09" w:rsidRDefault="00C67E09" w:rsidP="00A422E4">
      <w:pPr>
        <w:numPr>
          <w:ilvl w:val="0"/>
          <w:numId w:val="4"/>
        </w:numPr>
        <w:spacing w:before="120" w:after="120" w:line="360" w:lineRule="auto"/>
        <w:jc w:val="both"/>
      </w:pPr>
      <w:r w:rsidRPr="00D705C0">
        <w:t xml:space="preserve">The ICA </w:t>
      </w:r>
      <w:r w:rsidR="00982566">
        <w:t xml:space="preserve">Questions and analysis </w:t>
      </w:r>
      <w:r w:rsidRPr="00D705C0">
        <w:t>involve evaluation of current pricing by service line and potential impact of the Proposed Project</w:t>
      </w:r>
      <w:r>
        <w:t xml:space="preserve"> on prices and medical spending</w:t>
      </w:r>
      <w:r w:rsidRPr="00D705C0">
        <w:t>. Th</w:t>
      </w:r>
      <w:r>
        <w:t xml:space="preserve">is section </w:t>
      </w:r>
      <w:r w:rsidRPr="00D705C0">
        <w:t xml:space="preserve">evaluates estimates of </w:t>
      </w:r>
      <w:r w:rsidR="000F07A5">
        <w:t xml:space="preserve">DFCI’s and other facilities’ </w:t>
      </w:r>
      <w:r w:rsidRPr="00D705C0">
        <w:t>pricin</w:t>
      </w:r>
      <w:r>
        <w:t>g</w:t>
      </w:r>
      <w:r w:rsidR="000F07A5">
        <w:t xml:space="preserve"> by payor type (commercial, Medicare, and </w:t>
      </w:r>
      <w:r w:rsidR="000E7074">
        <w:t>Medicaid</w:t>
      </w:r>
      <w:r w:rsidR="000F07A5">
        <w:t>) and service line</w:t>
      </w:r>
      <w:r>
        <w:t>.</w:t>
      </w:r>
      <w:r w:rsidR="000E7074">
        <w:rPr>
          <w:rStyle w:val="FootnoteReference"/>
        </w:rPr>
        <w:footnoteReference w:id="73"/>
      </w:r>
      <w:r w:rsidR="000F07A5">
        <w:t xml:space="preserve"> These estimates are used in conjunction with utilization projections to project total healthcare costs in Section XII. </w:t>
      </w:r>
    </w:p>
    <w:p w14:paraId="00B49166" w14:textId="206E7844" w:rsidR="000E7074" w:rsidRDefault="000E7074" w:rsidP="00A422E4">
      <w:pPr>
        <w:numPr>
          <w:ilvl w:val="0"/>
          <w:numId w:val="4"/>
        </w:numPr>
        <w:spacing w:before="120" w:after="120" w:line="360" w:lineRule="auto"/>
        <w:jc w:val="both"/>
      </w:pPr>
      <w:r>
        <w:t xml:space="preserve">Because the new DFCI facility will provide exclusively adult cancer care, this analysis restricts attention to adult patients (age eighteen and above) with a non-benign neoplasm diagnosis who were treated with an inpatient stay. This approach is consistent with the nature of the Proposed Project, the typical services observed in the claims data for DFCI physicians, and with DFCI’s own approach for </w:t>
      </w:r>
      <w:r>
        <w:lastRenderedPageBreak/>
        <w:t>characterizing its service</w:t>
      </w:r>
      <w:r w:rsidRPr="0081586F">
        <w:t>s.</w:t>
      </w:r>
      <w:r w:rsidRPr="0081586F">
        <w:rPr>
          <w:vertAlign w:val="superscript"/>
        </w:rPr>
        <w:footnoteReference w:id="74"/>
      </w:r>
      <w:r w:rsidRPr="006840C7">
        <w:rPr>
          <w:vertAlign w:val="superscript"/>
        </w:rPr>
        <w:t xml:space="preserve"> </w:t>
      </w:r>
      <w:r>
        <w:t xml:space="preserve">Specifically, cancer care diagnoses were identified in inpatient claims data and </w:t>
      </w:r>
      <w:r w:rsidRPr="00D57074">
        <w:t>inpatient case mix data</w:t>
      </w:r>
      <w:r>
        <w:t xml:space="preserve"> using the methodology described in Section VI</w:t>
      </w:r>
      <w:r w:rsidR="00C228C7">
        <w:t xml:space="preserve"> above</w:t>
      </w:r>
      <w:r>
        <w:t xml:space="preserve">. </w:t>
      </w:r>
    </w:p>
    <w:p w14:paraId="5B2A2403" w14:textId="47AF404C" w:rsidR="000E7074" w:rsidRDefault="000F07A5" w:rsidP="00A422E4">
      <w:pPr>
        <w:numPr>
          <w:ilvl w:val="0"/>
          <w:numId w:val="4"/>
        </w:numPr>
        <w:spacing w:before="120" w:after="120" w:line="360" w:lineRule="auto"/>
        <w:jc w:val="both"/>
      </w:pPr>
      <w:r>
        <w:t>The price estimation methodology employed closely mirror</w:t>
      </w:r>
      <w:r w:rsidR="00982566">
        <w:t>s</w:t>
      </w:r>
      <w:r>
        <w:t xml:space="preserve"> the approach used by CHIA</w:t>
      </w:r>
      <w:r w:rsidR="00CF5F35">
        <w:t xml:space="preserve"> in its Relative Price and Provider Price Variation in the Massachusetts Commercial Market reports</w:t>
      </w:r>
      <w:r>
        <w:t>.</w:t>
      </w:r>
      <w:r>
        <w:rPr>
          <w:rStyle w:val="FootnoteReference"/>
        </w:rPr>
        <w:footnoteReference w:id="75"/>
      </w:r>
      <w:r>
        <w:t xml:space="preserve"> </w:t>
      </w:r>
      <w:r w:rsidR="00C67E09">
        <w:t xml:space="preserve">To </w:t>
      </w:r>
      <w:r w:rsidR="00C67E09" w:rsidRPr="00B1234F">
        <w:t xml:space="preserve">isolate relevant </w:t>
      </w:r>
      <w:r w:rsidR="00C67E09">
        <w:t>prices, a number of restrictions were implemented in accordance with previous empirical work using CHIA’s claims data. Claims fitting the following criteria were dropped: denied claims;</w:t>
      </w:r>
      <w:r w:rsidR="000E7074">
        <w:t xml:space="preserve"> claims associated with professional fees; </w:t>
      </w:r>
      <w:r w:rsidR="00C67E09">
        <w:t>payments made on a capitated, bundled, or per-episode basis</w:t>
      </w:r>
      <w:r w:rsidR="000E7074">
        <w:t xml:space="preserve"> (among others)</w:t>
      </w:r>
      <w:r w:rsidR="00C67E09">
        <w:t>; duplicate claims; claims with negative or zero allowed amount; and claims where the allowed amount was less than 10% or more than 100% of the charged amount.</w:t>
      </w:r>
      <w:r>
        <w:t xml:space="preserve"> </w:t>
      </w:r>
    </w:p>
    <w:p w14:paraId="0EAAF562" w14:textId="4BFD9AD8" w:rsidR="00C67E09" w:rsidRDefault="000F07A5" w:rsidP="00A422E4">
      <w:pPr>
        <w:numPr>
          <w:ilvl w:val="0"/>
          <w:numId w:val="4"/>
        </w:numPr>
        <w:spacing w:before="120" w:after="120" w:line="360" w:lineRule="auto"/>
        <w:jc w:val="both"/>
      </w:pPr>
      <w:r>
        <w:t xml:space="preserve">After these restrictions were applied, average price was calculated as the </w:t>
      </w:r>
      <w:r w:rsidR="003A6DDE">
        <w:t>average of allowed amounts (weighted by case mix index in the case of inpatient discharges).</w:t>
      </w:r>
      <w:r w:rsidR="003A6DDE">
        <w:rPr>
          <w:rStyle w:val="FootnoteReference"/>
        </w:rPr>
        <w:footnoteReference w:id="76"/>
      </w:r>
      <w:r w:rsidR="003A6DDE">
        <w:t xml:space="preserve"> Each price was then divided by the average statewide price in that service line to present prices on a relative basis. Thus, a relative average price of 1.20 is interpreted as a price 20% above the statewide average price.</w:t>
      </w:r>
    </w:p>
    <w:p w14:paraId="276EC143" w14:textId="66E03003" w:rsidR="000E7074" w:rsidRDefault="00E202CA" w:rsidP="00A422E4">
      <w:pPr>
        <w:numPr>
          <w:ilvl w:val="0"/>
          <w:numId w:val="4"/>
        </w:numPr>
        <w:spacing w:before="120" w:after="120" w:line="360" w:lineRule="auto"/>
        <w:jc w:val="both"/>
      </w:pPr>
      <w:r>
        <w:t xml:space="preserve">As shown in Table </w:t>
      </w:r>
      <w:r w:rsidR="00C228C7">
        <w:t>1</w:t>
      </w:r>
      <w:r w:rsidR="00AB290B">
        <w:t>5</w:t>
      </w:r>
      <w:r>
        <w:t xml:space="preserve">, </w:t>
      </w:r>
      <w:r w:rsidR="000E7074" w:rsidRPr="006C39C6">
        <w:t xml:space="preserve">DFCI’s relative prices in 2021 were </w:t>
      </w:r>
      <w:r w:rsidR="00495C95">
        <w:t xml:space="preserve">estimated at </w:t>
      </w:r>
      <w:r w:rsidR="000E7074" w:rsidRPr="006C39C6">
        <w:t>1.41 (commercial), 1.01 (Medicare), and 0.92 (</w:t>
      </w:r>
      <w:r w:rsidR="000E7074">
        <w:t>Medicaid</w:t>
      </w:r>
      <w:r w:rsidR="000E7074" w:rsidRPr="006C39C6">
        <w:t>).</w:t>
      </w:r>
      <w:r w:rsidR="000E7074">
        <w:t xml:space="preserve"> </w:t>
      </w:r>
    </w:p>
    <w:p w14:paraId="34318625" w14:textId="4656CE95" w:rsidR="00B96761" w:rsidRDefault="00B96761" w:rsidP="0041221B">
      <w:pPr>
        <w:pStyle w:val="Caption"/>
        <w:keepNext/>
        <w:jc w:val="center"/>
      </w:pPr>
      <w:bookmarkStart w:id="43" w:name="_Toc187401788"/>
      <w:r>
        <w:t xml:space="preserve">Table </w:t>
      </w:r>
      <w:fldSimple w:instr=" SEQ Table \* ARABIC ">
        <w:r w:rsidR="0085394E">
          <w:rPr>
            <w:noProof/>
          </w:rPr>
          <w:t>15</w:t>
        </w:r>
      </w:fldSimple>
      <w:r>
        <w:t>: Estimated Relative Prices by Hospital and Payor, 2021</w:t>
      </w:r>
      <w:r>
        <w:rPr>
          <w:rStyle w:val="FootnoteReference"/>
        </w:rPr>
        <w:footnoteReference w:id="77"/>
      </w:r>
      <w:bookmarkEnd w:id="43"/>
    </w:p>
    <w:tbl>
      <w:tblPr>
        <w:tblW w:w="0" w:type="auto"/>
        <w:jc w:val="center"/>
        <w:tblCellMar>
          <w:left w:w="58" w:type="dxa"/>
          <w:right w:w="58" w:type="dxa"/>
        </w:tblCellMar>
        <w:tblLook w:val="04A0" w:firstRow="1" w:lastRow="0" w:firstColumn="1" w:lastColumn="0" w:noHBand="0" w:noVBand="1"/>
      </w:tblPr>
      <w:tblGrid>
        <w:gridCol w:w="2349"/>
        <w:gridCol w:w="4155"/>
        <w:gridCol w:w="1034"/>
        <w:gridCol w:w="961"/>
        <w:gridCol w:w="841"/>
      </w:tblGrid>
      <w:tr w:rsidR="00A30E09" w:rsidRPr="000649D5" w14:paraId="614E8878" w14:textId="77777777" w:rsidTr="00243603">
        <w:trPr>
          <w:cantSplit/>
          <w:trHeight w:val="290"/>
          <w:tblHeader/>
          <w:jc w:val="center"/>
        </w:trPr>
        <w:tc>
          <w:tcPr>
            <w:tcW w:w="0" w:type="auto"/>
            <w:tcBorders>
              <w:top w:val="single" w:sz="8" w:space="0" w:color="auto"/>
              <w:left w:val="single" w:sz="8" w:space="0" w:color="auto"/>
              <w:bottom w:val="nil"/>
              <w:right w:val="nil"/>
            </w:tcBorders>
            <w:shd w:val="clear" w:color="000000" w:fill="002060"/>
            <w:noWrap/>
            <w:vAlign w:val="bottom"/>
            <w:hideMark/>
          </w:tcPr>
          <w:p w14:paraId="6928A909" w14:textId="77777777" w:rsidR="00A30E09" w:rsidRPr="000649D5" w:rsidRDefault="00A30E09" w:rsidP="00A30E09">
            <w:pPr>
              <w:spacing w:after="0" w:line="240" w:lineRule="auto"/>
              <w:rPr>
                <w:rFonts w:ascii="Calibri" w:eastAsia="Times New Roman" w:hAnsi="Calibri" w:cs="Calibri"/>
                <w:color w:val="FFFFFF"/>
                <w:kern w:val="0"/>
                <w:sz w:val="19"/>
                <w:szCs w:val="19"/>
                <w14:ligatures w14:val="none"/>
              </w:rPr>
            </w:pPr>
            <w:r w:rsidRPr="000649D5">
              <w:rPr>
                <w:rFonts w:ascii="Calibri" w:eastAsia="Times New Roman" w:hAnsi="Calibri" w:cs="Calibri"/>
                <w:color w:val="FFFFFF"/>
                <w:kern w:val="0"/>
                <w:sz w:val="19"/>
                <w:szCs w:val="19"/>
                <w14:ligatures w14:val="none"/>
              </w:rPr>
              <w:t> </w:t>
            </w:r>
          </w:p>
        </w:tc>
        <w:tc>
          <w:tcPr>
            <w:tcW w:w="4155" w:type="dxa"/>
            <w:tcBorders>
              <w:top w:val="single" w:sz="8" w:space="0" w:color="auto"/>
              <w:left w:val="nil"/>
              <w:bottom w:val="nil"/>
              <w:right w:val="nil"/>
            </w:tcBorders>
            <w:shd w:val="clear" w:color="000000" w:fill="002060"/>
            <w:noWrap/>
            <w:vAlign w:val="bottom"/>
            <w:hideMark/>
          </w:tcPr>
          <w:p w14:paraId="57E9C01E" w14:textId="77777777" w:rsidR="00A30E09" w:rsidRPr="000649D5" w:rsidRDefault="00A30E09" w:rsidP="00A30E09">
            <w:pPr>
              <w:spacing w:after="0" w:line="240" w:lineRule="auto"/>
              <w:rPr>
                <w:rFonts w:ascii="Calibri" w:eastAsia="Times New Roman" w:hAnsi="Calibri" w:cs="Calibri"/>
                <w:color w:val="FFFFFF"/>
                <w:kern w:val="0"/>
                <w:sz w:val="19"/>
                <w:szCs w:val="19"/>
                <w14:ligatures w14:val="none"/>
              </w:rPr>
            </w:pPr>
            <w:r w:rsidRPr="000649D5">
              <w:rPr>
                <w:rFonts w:ascii="Calibri" w:eastAsia="Times New Roman" w:hAnsi="Calibri" w:cs="Calibri"/>
                <w:color w:val="FFFFFF"/>
                <w:kern w:val="0"/>
                <w:sz w:val="19"/>
                <w:szCs w:val="19"/>
                <w14:ligatures w14:val="none"/>
              </w:rPr>
              <w:t> </w:t>
            </w:r>
          </w:p>
        </w:tc>
        <w:tc>
          <w:tcPr>
            <w:tcW w:w="902" w:type="dxa"/>
            <w:tcBorders>
              <w:top w:val="single" w:sz="8" w:space="0" w:color="auto"/>
              <w:left w:val="nil"/>
              <w:bottom w:val="nil"/>
              <w:right w:val="single" w:sz="8" w:space="0" w:color="000000"/>
            </w:tcBorders>
            <w:shd w:val="clear" w:color="000000" w:fill="002060"/>
            <w:noWrap/>
            <w:vAlign w:val="bottom"/>
            <w:hideMark/>
          </w:tcPr>
          <w:p w14:paraId="765A8F13" w14:textId="77777777" w:rsidR="00A30E09" w:rsidRPr="000649D5" w:rsidRDefault="00A30E09" w:rsidP="00A30E09">
            <w:pPr>
              <w:spacing w:after="0" w:line="240" w:lineRule="auto"/>
              <w:jc w:val="center"/>
              <w:rPr>
                <w:rFonts w:ascii="Calibri" w:eastAsia="Times New Roman" w:hAnsi="Calibri" w:cs="Calibri"/>
                <w:b/>
                <w:bCs/>
                <w:color w:val="FFFFFF"/>
                <w:kern w:val="0"/>
                <w:sz w:val="19"/>
                <w:szCs w:val="19"/>
                <w14:ligatures w14:val="none"/>
              </w:rPr>
            </w:pPr>
            <w:r w:rsidRPr="000649D5">
              <w:rPr>
                <w:rFonts w:ascii="Calibri" w:eastAsia="Times New Roman" w:hAnsi="Calibri" w:cs="Calibri"/>
                <w:b/>
                <w:bCs/>
                <w:color w:val="FFFFFF"/>
                <w:kern w:val="0"/>
                <w:sz w:val="19"/>
                <w:szCs w:val="19"/>
                <w14:ligatures w14:val="none"/>
              </w:rPr>
              <w:t>Relative Price</w:t>
            </w:r>
          </w:p>
        </w:tc>
        <w:tc>
          <w:tcPr>
            <w:tcW w:w="1081" w:type="dxa"/>
            <w:tcBorders>
              <w:top w:val="single" w:sz="8" w:space="0" w:color="auto"/>
              <w:left w:val="nil"/>
              <w:bottom w:val="nil"/>
              <w:right w:val="single" w:sz="8" w:space="0" w:color="000000"/>
            </w:tcBorders>
            <w:shd w:val="clear" w:color="000000" w:fill="002060"/>
          </w:tcPr>
          <w:p w14:paraId="0B2FB3E8" w14:textId="2A10F295" w:rsidR="00A30E09" w:rsidRPr="000649D5" w:rsidRDefault="00A30E09" w:rsidP="00A30E09">
            <w:pPr>
              <w:spacing w:after="0" w:line="240" w:lineRule="auto"/>
              <w:jc w:val="center"/>
              <w:rPr>
                <w:rFonts w:ascii="Calibri" w:eastAsia="Times New Roman" w:hAnsi="Calibri" w:cs="Calibri"/>
                <w:b/>
                <w:bCs/>
                <w:color w:val="FFFFFF"/>
                <w:kern w:val="0"/>
                <w:sz w:val="19"/>
                <w:szCs w:val="19"/>
                <w14:ligatures w14:val="none"/>
              </w:rPr>
            </w:pPr>
            <w:r w:rsidRPr="0090487D">
              <w:rPr>
                <w:rFonts w:ascii="Calibri" w:eastAsia="Times New Roman" w:hAnsi="Calibri" w:cs="Calibri"/>
                <w:b/>
                <w:bCs/>
                <w:color w:val="FFFFFF"/>
                <w:kern w:val="0"/>
                <w:sz w:val="19"/>
                <w:szCs w:val="19"/>
                <w14:ligatures w14:val="none"/>
              </w:rPr>
              <w:t>Relative Price</w:t>
            </w:r>
          </w:p>
        </w:tc>
        <w:tc>
          <w:tcPr>
            <w:tcW w:w="853" w:type="dxa"/>
            <w:tcBorders>
              <w:top w:val="single" w:sz="8" w:space="0" w:color="auto"/>
              <w:left w:val="nil"/>
              <w:bottom w:val="nil"/>
              <w:right w:val="single" w:sz="8" w:space="0" w:color="000000"/>
            </w:tcBorders>
            <w:shd w:val="clear" w:color="000000" w:fill="002060"/>
          </w:tcPr>
          <w:p w14:paraId="3D7C36C9" w14:textId="6737192A" w:rsidR="00A30E09" w:rsidRPr="000649D5" w:rsidRDefault="00A30E09" w:rsidP="00A30E09">
            <w:pPr>
              <w:spacing w:after="0" w:line="240" w:lineRule="auto"/>
              <w:jc w:val="center"/>
              <w:rPr>
                <w:rFonts w:ascii="Calibri" w:eastAsia="Times New Roman" w:hAnsi="Calibri" w:cs="Calibri"/>
                <w:b/>
                <w:bCs/>
                <w:color w:val="FFFFFF"/>
                <w:kern w:val="0"/>
                <w:sz w:val="19"/>
                <w:szCs w:val="19"/>
                <w14:ligatures w14:val="none"/>
              </w:rPr>
            </w:pPr>
            <w:r w:rsidRPr="0090487D">
              <w:rPr>
                <w:rFonts w:ascii="Calibri" w:eastAsia="Times New Roman" w:hAnsi="Calibri" w:cs="Calibri"/>
                <w:b/>
                <w:bCs/>
                <w:color w:val="FFFFFF"/>
                <w:kern w:val="0"/>
                <w:sz w:val="19"/>
                <w:szCs w:val="19"/>
                <w14:ligatures w14:val="none"/>
              </w:rPr>
              <w:t>Relative Price</w:t>
            </w:r>
          </w:p>
        </w:tc>
      </w:tr>
      <w:tr w:rsidR="000649D5" w:rsidRPr="000649D5" w14:paraId="67CE6612" w14:textId="77777777" w:rsidTr="00243603">
        <w:trPr>
          <w:cantSplit/>
          <w:trHeight w:val="240"/>
          <w:tblHeader/>
          <w:jc w:val="center"/>
        </w:trPr>
        <w:tc>
          <w:tcPr>
            <w:tcW w:w="0" w:type="auto"/>
            <w:tcBorders>
              <w:top w:val="nil"/>
              <w:left w:val="single" w:sz="8" w:space="0" w:color="auto"/>
              <w:bottom w:val="nil"/>
              <w:right w:val="nil"/>
            </w:tcBorders>
            <w:shd w:val="clear" w:color="000000" w:fill="002060"/>
            <w:vAlign w:val="bottom"/>
            <w:hideMark/>
          </w:tcPr>
          <w:p w14:paraId="1CD6606D" w14:textId="00C0DB7B" w:rsidR="000649D5" w:rsidRPr="000649D5" w:rsidRDefault="000649D5" w:rsidP="000649D5">
            <w:pPr>
              <w:spacing w:after="0" w:line="240" w:lineRule="auto"/>
              <w:rPr>
                <w:rFonts w:asciiTheme="minorHAnsi" w:eastAsia="Times New Roman" w:hAnsiTheme="minorHAnsi" w:cstheme="minorHAnsi"/>
                <w:b/>
                <w:bCs/>
                <w:color w:val="FFFFFF"/>
                <w:kern w:val="0"/>
                <w:sz w:val="19"/>
                <w:szCs w:val="19"/>
                <w14:ligatures w14:val="none"/>
              </w:rPr>
            </w:pPr>
            <w:r w:rsidRPr="000649D5">
              <w:rPr>
                <w:rFonts w:asciiTheme="minorHAnsi" w:eastAsia="Times New Roman" w:hAnsiTheme="minorHAnsi" w:cstheme="minorHAnsi"/>
                <w:b/>
                <w:bCs/>
                <w:color w:val="FFFFFF"/>
                <w:kern w:val="0"/>
                <w:sz w:val="19"/>
                <w:szCs w:val="19"/>
                <w14:ligatures w14:val="none"/>
              </w:rPr>
              <w:t>System</w:t>
            </w:r>
            <w:r w:rsidRPr="003E7B37">
              <w:rPr>
                <w:rFonts w:asciiTheme="minorHAnsi" w:eastAsia="Times New Roman" w:hAnsiTheme="minorHAnsi" w:cstheme="minorHAnsi"/>
                <w:b/>
                <w:bCs/>
                <w:color w:val="FFFFFF"/>
                <w:kern w:val="0"/>
                <w:sz w:val="19"/>
                <w:szCs w:val="19"/>
                <w14:ligatures w14:val="none"/>
              </w:rPr>
              <w:t xml:space="preserve"> Name</w:t>
            </w:r>
          </w:p>
        </w:tc>
        <w:tc>
          <w:tcPr>
            <w:tcW w:w="0" w:type="auto"/>
            <w:tcBorders>
              <w:top w:val="nil"/>
              <w:left w:val="nil"/>
              <w:bottom w:val="nil"/>
              <w:right w:val="nil"/>
            </w:tcBorders>
            <w:shd w:val="clear" w:color="000000" w:fill="002060"/>
            <w:vAlign w:val="bottom"/>
            <w:hideMark/>
          </w:tcPr>
          <w:p w14:paraId="673E0099" w14:textId="2C3153F4" w:rsidR="000649D5" w:rsidRPr="000649D5" w:rsidRDefault="000649D5" w:rsidP="000649D5">
            <w:pPr>
              <w:spacing w:after="0" w:line="240" w:lineRule="auto"/>
              <w:rPr>
                <w:rFonts w:asciiTheme="minorHAnsi" w:eastAsia="Times New Roman" w:hAnsiTheme="minorHAnsi" w:cstheme="minorHAnsi"/>
                <w:b/>
                <w:bCs/>
                <w:color w:val="FFFFFF"/>
                <w:kern w:val="0"/>
                <w:sz w:val="19"/>
                <w:szCs w:val="19"/>
                <w14:ligatures w14:val="none"/>
              </w:rPr>
            </w:pPr>
            <w:r w:rsidRPr="000649D5">
              <w:rPr>
                <w:rFonts w:asciiTheme="minorHAnsi" w:eastAsia="Times New Roman" w:hAnsiTheme="minorHAnsi" w:cstheme="minorHAnsi"/>
                <w:b/>
                <w:bCs/>
                <w:color w:val="FFFFFF"/>
                <w:kern w:val="0"/>
                <w:sz w:val="19"/>
                <w:szCs w:val="19"/>
                <w14:ligatures w14:val="none"/>
              </w:rPr>
              <w:t>Hospital</w:t>
            </w:r>
            <w:r w:rsidRPr="003E7B37">
              <w:rPr>
                <w:rFonts w:asciiTheme="minorHAnsi" w:eastAsia="Times New Roman" w:hAnsiTheme="minorHAnsi" w:cstheme="minorHAnsi"/>
                <w:b/>
                <w:bCs/>
                <w:color w:val="FFFFFF"/>
                <w:kern w:val="0"/>
                <w:sz w:val="19"/>
                <w:szCs w:val="19"/>
                <w14:ligatures w14:val="none"/>
              </w:rPr>
              <w:t xml:space="preserve"> Name</w:t>
            </w:r>
          </w:p>
        </w:tc>
        <w:tc>
          <w:tcPr>
            <w:tcW w:w="0" w:type="auto"/>
            <w:tcBorders>
              <w:top w:val="nil"/>
              <w:left w:val="nil"/>
              <w:bottom w:val="nil"/>
              <w:right w:val="nil"/>
            </w:tcBorders>
            <w:shd w:val="clear" w:color="000000" w:fill="002060"/>
            <w:vAlign w:val="bottom"/>
            <w:hideMark/>
          </w:tcPr>
          <w:p w14:paraId="50A9E6F7" w14:textId="77777777" w:rsidR="000649D5" w:rsidRPr="000649D5" w:rsidRDefault="000649D5" w:rsidP="000649D5">
            <w:pPr>
              <w:spacing w:after="0" w:line="240" w:lineRule="auto"/>
              <w:jc w:val="center"/>
              <w:rPr>
                <w:rFonts w:asciiTheme="minorHAnsi" w:eastAsia="Times New Roman" w:hAnsiTheme="minorHAnsi" w:cstheme="minorHAnsi"/>
                <w:i/>
                <w:iCs/>
                <w:color w:val="FFFFFF"/>
                <w:kern w:val="0"/>
                <w:sz w:val="19"/>
                <w:szCs w:val="19"/>
                <w14:ligatures w14:val="none"/>
              </w:rPr>
            </w:pPr>
            <w:r w:rsidRPr="000649D5">
              <w:rPr>
                <w:rFonts w:asciiTheme="minorHAnsi" w:eastAsia="Times New Roman" w:hAnsiTheme="minorHAnsi" w:cstheme="minorHAnsi"/>
                <w:i/>
                <w:iCs/>
                <w:color w:val="FFFFFF"/>
                <w:kern w:val="0"/>
                <w:sz w:val="19"/>
                <w:szCs w:val="19"/>
                <w14:ligatures w14:val="none"/>
              </w:rPr>
              <w:t>Commercial</w:t>
            </w:r>
          </w:p>
        </w:tc>
        <w:tc>
          <w:tcPr>
            <w:tcW w:w="0" w:type="auto"/>
            <w:tcBorders>
              <w:top w:val="nil"/>
              <w:left w:val="nil"/>
              <w:bottom w:val="nil"/>
              <w:right w:val="nil"/>
            </w:tcBorders>
            <w:shd w:val="clear" w:color="000000" w:fill="002060"/>
            <w:vAlign w:val="bottom"/>
            <w:hideMark/>
          </w:tcPr>
          <w:p w14:paraId="210E7576" w14:textId="77777777" w:rsidR="000649D5" w:rsidRPr="000649D5" w:rsidRDefault="000649D5" w:rsidP="000649D5">
            <w:pPr>
              <w:spacing w:after="0" w:line="240" w:lineRule="auto"/>
              <w:jc w:val="center"/>
              <w:rPr>
                <w:rFonts w:asciiTheme="minorHAnsi" w:eastAsia="Times New Roman" w:hAnsiTheme="minorHAnsi" w:cstheme="minorHAnsi"/>
                <w:i/>
                <w:iCs/>
                <w:color w:val="FFFFFF"/>
                <w:kern w:val="0"/>
                <w:sz w:val="19"/>
                <w:szCs w:val="19"/>
                <w14:ligatures w14:val="none"/>
              </w:rPr>
            </w:pPr>
            <w:r w:rsidRPr="000649D5">
              <w:rPr>
                <w:rFonts w:asciiTheme="minorHAnsi" w:eastAsia="Times New Roman" w:hAnsiTheme="minorHAnsi" w:cstheme="minorHAnsi"/>
                <w:i/>
                <w:iCs/>
                <w:color w:val="FFFFFF"/>
                <w:kern w:val="0"/>
                <w:sz w:val="19"/>
                <w:szCs w:val="19"/>
                <w14:ligatures w14:val="none"/>
              </w:rPr>
              <w:t>Medicare</w:t>
            </w:r>
          </w:p>
        </w:tc>
        <w:tc>
          <w:tcPr>
            <w:tcW w:w="0" w:type="auto"/>
            <w:tcBorders>
              <w:top w:val="nil"/>
              <w:left w:val="nil"/>
              <w:bottom w:val="nil"/>
              <w:right w:val="single" w:sz="8" w:space="0" w:color="auto"/>
            </w:tcBorders>
            <w:shd w:val="clear" w:color="000000" w:fill="002060"/>
            <w:vAlign w:val="bottom"/>
            <w:hideMark/>
          </w:tcPr>
          <w:p w14:paraId="42BD00A4" w14:textId="77777777" w:rsidR="000649D5" w:rsidRPr="000649D5" w:rsidRDefault="000649D5" w:rsidP="000649D5">
            <w:pPr>
              <w:spacing w:after="0" w:line="240" w:lineRule="auto"/>
              <w:jc w:val="center"/>
              <w:rPr>
                <w:rFonts w:asciiTheme="minorHAnsi" w:eastAsia="Times New Roman" w:hAnsiTheme="minorHAnsi" w:cstheme="minorHAnsi"/>
                <w:i/>
                <w:iCs/>
                <w:color w:val="FFFFFF"/>
                <w:kern w:val="0"/>
                <w:sz w:val="19"/>
                <w:szCs w:val="19"/>
                <w14:ligatures w14:val="none"/>
              </w:rPr>
            </w:pPr>
            <w:r w:rsidRPr="000649D5">
              <w:rPr>
                <w:rFonts w:asciiTheme="minorHAnsi" w:eastAsia="Times New Roman" w:hAnsiTheme="minorHAnsi" w:cstheme="minorHAnsi"/>
                <w:i/>
                <w:iCs/>
                <w:color w:val="FFFFFF"/>
                <w:kern w:val="0"/>
                <w:sz w:val="19"/>
                <w:szCs w:val="19"/>
                <w14:ligatures w14:val="none"/>
              </w:rPr>
              <w:t>Medicaid</w:t>
            </w:r>
          </w:p>
        </w:tc>
      </w:tr>
      <w:tr w:rsidR="000649D5" w:rsidRPr="000649D5" w14:paraId="2867BC11" w14:textId="77777777" w:rsidTr="00243603">
        <w:trPr>
          <w:cantSplit/>
          <w:trHeight w:val="275"/>
          <w:jc w:val="center"/>
        </w:trPr>
        <w:tc>
          <w:tcPr>
            <w:tcW w:w="0" w:type="auto"/>
            <w:tcBorders>
              <w:top w:val="nil"/>
              <w:left w:val="single" w:sz="8" w:space="0" w:color="auto"/>
              <w:bottom w:val="single" w:sz="4" w:space="0" w:color="auto"/>
              <w:right w:val="nil"/>
            </w:tcBorders>
            <w:shd w:val="clear" w:color="auto" w:fill="auto"/>
            <w:noWrap/>
            <w:vAlign w:val="bottom"/>
            <w:hideMark/>
          </w:tcPr>
          <w:p w14:paraId="34C3D117"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Baystate Health</w:t>
            </w:r>
          </w:p>
        </w:tc>
        <w:tc>
          <w:tcPr>
            <w:tcW w:w="0" w:type="auto"/>
            <w:tcBorders>
              <w:top w:val="nil"/>
              <w:left w:val="nil"/>
              <w:bottom w:val="single" w:sz="4" w:space="0" w:color="auto"/>
              <w:right w:val="nil"/>
            </w:tcBorders>
            <w:shd w:val="clear" w:color="auto" w:fill="auto"/>
            <w:noWrap/>
            <w:vAlign w:val="bottom"/>
            <w:hideMark/>
          </w:tcPr>
          <w:p w14:paraId="5739276F"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Baystate Medical Center</w:t>
            </w:r>
          </w:p>
        </w:tc>
        <w:tc>
          <w:tcPr>
            <w:tcW w:w="0" w:type="auto"/>
            <w:tcBorders>
              <w:top w:val="nil"/>
              <w:left w:val="nil"/>
              <w:bottom w:val="single" w:sz="4" w:space="0" w:color="auto"/>
              <w:right w:val="nil"/>
            </w:tcBorders>
            <w:shd w:val="clear" w:color="auto" w:fill="auto"/>
            <w:noWrap/>
            <w:vAlign w:val="bottom"/>
            <w:hideMark/>
          </w:tcPr>
          <w:p w14:paraId="46AAC37C"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1.29</w:t>
            </w:r>
          </w:p>
        </w:tc>
        <w:tc>
          <w:tcPr>
            <w:tcW w:w="0" w:type="auto"/>
            <w:tcBorders>
              <w:top w:val="nil"/>
              <w:left w:val="nil"/>
              <w:bottom w:val="single" w:sz="4" w:space="0" w:color="auto"/>
              <w:right w:val="nil"/>
            </w:tcBorders>
            <w:shd w:val="clear" w:color="auto" w:fill="auto"/>
            <w:noWrap/>
            <w:vAlign w:val="bottom"/>
            <w:hideMark/>
          </w:tcPr>
          <w:p w14:paraId="201A570C"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0.99</w:t>
            </w:r>
          </w:p>
        </w:tc>
        <w:tc>
          <w:tcPr>
            <w:tcW w:w="0" w:type="auto"/>
            <w:tcBorders>
              <w:top w:val="nil"/>
              <w:left w:val="nil"/>
              <w:bottom w:val="single" w:sz="4" w:space="0" w:color="auto"/>
              <w:right w:val="single" w:sz="8" w:space="0" w:color="auto"/>
            </w:tcBorders>
            <w:shd w:val="clear" w:color="auto" w:fill="auto"/>
            <w:noWrap/>
            <w:vAlign w:val="bottom"/>
            <w:hideMark/>
          </w:tcPr>
          <w:p w14:paraId="2D8A2986"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0.82</w:t>
            </w:r>
          </w:p>
        </w:tc>
      </w:tr>
      <w:tr w:rsidR="000649D5" w:rsidRPr="000649D5" w14:paraId="5D8CCFF6" w14:textId="77777777" w:rsidTr="00243603">
        <w:trPr>
          <w:cantSplit/>
          <w:trHeight w:val="275"/>
          <w:jc w:val="center"/>
        </w:trPr>
        <w:tc>
          <w:tcPr>
            <w:tcW w:w="0" w:type="auto"/>
            <w:tcBorders>
              <w:top w:val="nil"/>
              <w:left w:val="single" w:sz="8" w:space="0" w:color="auto"/>
              <w:bottom w:val="single" w:sz="4" w:space="0" w:color="auto"/>
              <w:right w:val="nil"/>
            </w:tcBorders>
            <w:shd w:val="clear" w:color="000000" w:fill="C9F8E8"/>
            <w:noWrap/>
            <w:vAlign w:val="bottom"/>
            <w:hideMark/>
          </w:tcPr>
          <w:p w14:paraId="2EA6AF78"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Beth Israel Lahey Health</w:t>
            </w:r>
          </w:p>
        </w:tc>
        <w:tc>
          <w:tcPr>
            <w:tcW w:w="0" w:type="auto"/>
            <w:tcBorders>
              <w:top w:val="nil"/>
              <w:left w:val="nil"/>
              <w:bottom w:val="single" w:sz="4" w:space="0" w:color="auto"/>
              <w:right w:val="nil"/>
            </w:tcBorders>
            <w:shd w:val="clear" w:color="000000" w:fill="C9F8E8"/>
            <w:noWrap/>
            <w:vAlign w:val="bottom"/>
            <w:hideMark/>
          </w:tcPr>
          <w:p w14:paraId="4BA65986"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Beth Israel Deaconess Medical Center - East Campus</w:t>
            </w:r>
          </w:p>
        </w:tc>
        <w:tc>
          <w:tcPr>
            <w:tcW w:w="0" w:type="auto"/>
            <w:tcBorders>
              <w:top w:val="nil"/>
              <w:left w:val="nil"/>
              <w:bottom w:val="single" w:sz="4" w:space="0" w:color="auto"/>
              <w:right w:val="nil"/>
            </w:tcBorders>
            <w:shd w:val="clear" w:color="000000" w:fill="C9F8E8"/>
            <w:noWrap/>
            <w:vAlign w:val="bottom"/>
            <w:hideMark/>
          </w:tcPr>
          <w:p w14:paraId="47C535BB"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1.76</w:t>
            </w:r>
          </w:p>
        </w:tc>
        <w:tc>
          <w:tcPr>
            <w:tcW w:w="0" w:type="auto"/>
            <w:tcBorders>
              <w:top w:val="nil"/>
              <w:left w:val="nil"/>
              <w:bottom w:val="single" w:sz="4" w:space="0" w:color="auto"/>
              <w:right w:val="nil"/>
            </w:tcBorders>
            <w:shd w:val="clear" w:color="000000" w:fill="C9F8E8"/>
            <w:noWrap/>
            <w:vAlign w:val="bottom"/>
            <w:hideMark/>
          </w:tcPr>
          <w:p w14:paraId="73AB2EC8"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1.00</w:t>
            </w:r>
          </w:p>
        </w:tc>
        <w:tc>
          <w:tcPr>
            <w:tcW w:w="0" w:type="auto"/>
            <w:tcBorders>
              <w:top w:val="nil"/>
              <w:left w:val="nil"/>
              <w:bottom w:val="single" w:sz="4" w:space="0" w:color="auto"/>
              <w:right w:val="single" w:sz="8" w:space="0" w:color="auto"/>
            </w:tcBorders>
            <w:shd w:val="clear" w:color="000000" w:fill="C9F8E8"/>
            <w:noWrap/>
            <w:vAlign w:val="bottom"/>
            <w:hideMark/>
          </w:tcPr>
          <w:p w14:paraId="092EA56C"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0.62</w:t>
            </w:r>
          </w:p>
        </w:tc>
      </w:tr>
      <w:tr w:rsidR="000649D5" w:rsidRPr="000649D5" w14:paraId="39645D80" w14:textId="77777777" w:rsidTr="00243603">
        <w:trPr>
          <w:cantSplit/>
          <w:trHeight w:val="275"/>
          <w:jc w:val="center"/>
        </w:trPr>
        <w:tc>
          <w:tcPr>
            <w:tcW w:w="0" w:type="auto"/>
            <w:tcBorders>
              <w:top w:val="nil"/>
              <w:left w:val="single" w:sz="8" w:space="0" w:color="auto"/>
              <w:bottom w:val="single" w:sz="4" w:space="0" w:color="auto"/>
              <w:right w:val="nil"/>
            </w:tcBorders>
            <w:shd w:val="clear" w:color="auto" w:fill="auto"/>
            <w:noWrap/>
            <w:vAlign w:val="bottom"/>
            <w:hideMark/>
          </w:tcPr>
          <w:p w14:paraId="7E130540"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Boston Medical Center</w:t>
            </w:r>
          </w:p>
        </w:tc>
        <w:tc>
          <w:tcPr>
            <w:tcW w:w="0" w:type="auto"/>
            <w:tcBorders>
              <w:top w:val="nil"/>
              <w:left w:val="nil"/>
              <w:bottom w:val="single" w:sz="4" w:space="0" w:color="auto"/>
              <w:right w:val="nil"/>
            </w:tcBorders>
            <w:shd w:val="clear" w:color="auto" w:fill="auto"/>
            <w:noWrap/>
            <w:vAlign w:val="bottom"/>
            <w:hideMark/>
          </w:tcPr>
          <w:p w14:paraId="3ABD763D" w14:textId="77777777" w:rsidR="000649D5" w:rsidRPr="000649D5" w:rsidRDefault="000649D5" w:rsidP="003E7B37">
            <w:pPr>
              <w:spacing w:after="0" w:line="240" w:lineRule="auto"/>
              <w:rPr>
                <w:rFonts w:asciiTheme="minorHAnsi" w:eastAsia="Times New Roman" w:hAnsiTheme="minorHAnsi" w:cstheme="minorHAnsi"/>
                <w:kern w:val="0"/>
                <w:sz w:val="19"/>
                <w:szCs w:val="19"/>
                <w:lang w:val="pt-BR"/>
                <w14:ligatures w14:val="none"/>
              </w:rPr>
            </w:pPr>
            <w:r w:rsidRPr="000649D5">
              <w:rPr>
                <w:rFonts w:asciiTheme="minorHAnsi" w:eastAsia="Times New Roman" w:hAnsiTheme="minorHAnsi" w:cstheme="minorHAnsi"/>
                <w:kern w:val="0"/>
                <w:sz w:val="19"/>
                <w:szCs w:val="19"/>
                <w:lang w:val="pt-BR"/>
                <w14:ligatures w14:val="none"/>
              </w:rPr>
              <w:t>Boston Medical Center - Menino Pavilion Campus</w:t>
            </w:r>
          </w:p>
        </w:tc>
        <w:tc>
          <w:tcPr>
            <w:tcW w:w="0" w:type="auto"/>
            <w:tcBorders>
              <w:top w:val="nil"/>
              <w:left w:val="nil"/>
              <w:bottom w:val="single" w:sz="4" w:space="0" w:color="auto"/>
              <w:right w:val="nil"/>
            </w:tcBorders>
            <w:shd w:val="clear" w:color="auto" w:fill="auto"/>
            <w:noWrap/>
            <w:vAlign w:val="bottom"/>
            <w:hideMark/>
          </w:tcPr>
          <w:p w14:paraId="116DE418"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1.54</w:t>
            </w:r>
          </w:p>
        </w:tc>
        <w:tc>
          <w:tcPr>
            <w:tcW w:w="0" w:type="auto"/>
            <w:tcBorders>
              <w:top w:val="nil"/>
              <w:left w:val="nil"/>
              <w:bottom w:val="single" w:sz="4" w:space="0" w:color="auto"/>
              <w:right w:val="nil"/>
            </w:tcBorders>
            <w:shd w:val="clear" w:color="auto" w:fill="auto"/>
            <w:noWrap/>
            <w:vAlign w:val="bottom"/>
            <w:hideMark/>
          </w:tcPr>
          <w:p w14:paraId="3FD42FB4"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1.52</w:t>
            </w:r>
          </w:p>
        </w:tc>
        <w:tc>
          <w:tcPr>
            <w:tcW w:w="0" w:type="auto"/>
            <w:tcBorders>
              <w:top w:val="nil"/>
              <w:left w:val="nil"/>
              <w:bottom w:val="single" w:sz="4" w:space="0" w:color="auto"/>
              <w:right w:val="single" w:sz="8" w:space="0" w:color="auto"/>
            </w:tcBorders>
            <w:shd w:val="clear" w:color="auto" w:fill="auto"/>
            <w:noWrap/>
            <w:vAlign w:val="bottom"/>
            <w:hideMark/>
          </w:tcPr>
          <w:p w14:paraId="4A36F511"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0.81</w:t>
            </w:r>
          </w:p>
        </w:tc>
      </w:tr>
      <w:tr w:rsidR="000649D5" w:rsidRPr="000649D5" w14:paraId="001D0406" w14:textId="77777777" w:rsidTr="00243603">
        <w:trPr>
          <w:cantSplit/>
          <w:trHeight w:val="275"/>
          <w:jc w:val="center"/>
        </w:trPr>
        <w:tc>
          <w:tcPr>
            <w:tcW w:w="0" w:type="auto"/>
            <w:tcBorders>
              <w:top w:val="nil"/>
              <w:left w:val="single" w:sz="8" w:space="0" w:color="auto"/>
              <w:bottom w:val="single" w:sz="4" w:space="0" w:color="auto"/>
              <w:right w:val="nil"/>
            </w:tcBorders>
            <w:shd w:val="clear" w:color="000000" w:fill="C9F8E8"/>
            <w:noWrap/>
            <w:vAlign w:val="bottom"/>
            <w:hideMark/>
          </w:tcPr>
          <w:p w14:paraId="5A63C68C"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Dana-Farber Cancer Institute</w:t>
            </w:r>
          </w:p>
        </w:tc>
        <w:tc>
          <w:tcPr>
            <w:tcW w:w="0" w:type="auto"/>
            <w:tcBorders>
              <w:top w:val="nil"/>
              <w:left w:val="nil"/>
              <w:bottom w:val="single" w:sz="4" w:space="0" w:color="auto"/>
              <w:right w:val="nil"/>
            </w:tcBorders>
            <w:shd w:val="clear" w:color="000000" w:fill="C9F8E8"/>
            <w:noWrap/>
            <w:vAlign w:val="bottom"/>
            <w:hideMark/>
          </w:tcPr>
          <w:p w14:paraId="40C4DAE7"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Dana-Farber Cancer Institute</w:t>
            </w:r>
          </w:p>
        </w:tc>
        <w:tc>
          <w:tcPr>
            <w:tcW w:w="0" w:type="auto"/>
            <w:tcBorders>
              <w:top w:val="nil"/>
              <w:left w:val="nil"/>
              <w:bottom w:val="single" w:sz="4" w:space="0" w:color="auto"/>
              <w:right w:val="nil"/>
            </w:tcBorders>
            <w:shd w:val="clear" w:color="000000" w:fill="C9F8E8"/>
            <w:noWrap/>
            <w:vAlign w:val="bottom"/>
            <w:hideMark/>
          </w:tcPr>
          <w:p w14:paraId="5B0E94ED"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1.41</w:t>
            </w:r>
          </w:p>
        </w:tc>
        <w:tc>
          <w:tcPr>
            <w:tcW w:w="0" w:type="auto"/>
            <w:tcBorders>
              <w:top w:val="nil"/>
              <w:left w:val="nil"/>
              <w:bottom w:val="single" w:sz="4" w:space="0" w:color="auto"/>
              <w:right w:val="nil"/>
            </w:tcBorders>
            <w:shd w:val="clear" w:color="000000" w:fill="C9F8E8"/>
            <w:noWrap/>
            <w:vAlign w:val="bottom"/>
            <w:hideMark/>
          </w:tcPr>
          <w:p w14:paraId="59742D1A"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1.01</w:t>
            </w:r>
          </w:p>
        </w:tc>
        <w:tc>
          <w:tcPr>
            <w:tcW w:w="0" w:type="auto"/>
            <w:tcBorders>
              <w:top w:val="nil"/>
              <w:left w:val="nil"/>
              <w:bottom w:val="single" w:sz="4" w:space="0" w:color="auto"/>
              <w:right w:val="single" w:sz="8" w:space="0" w:color="auto"/>
            </w:tcBorders>
            <w:shd w:val="clear" w:color="000000" w:fill="C9F8E8"/>
            <w:noWrap/>
            <w:vAlign w:val="bottom"/>
            <w:hideMark/>
          </w:tcPr>
          <w:p w14:paraId="58F31297"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0.92</w:t>
            </w:r>
          </w:p>
        </w:tc>
      </w:tr>
      <w:tr w:rsidR="000649D5" w:rsidRPr="000649D5" w14:paraId="1EBAED10" w14:textId="77777777" w:rsidTr="00243603">
        <w:trPr>
          <w:cantSplit/>
          <w:trHeight w:val="275"/>
          <w:jc w:val="center"/>
        </w:trPr>
        <w:tc>
          <w:tcPr>
            <w:tcW w:w="0" w:type="auto"/>
            <w:tcBorders>
              <w:top w:val="nil"/>
              <w:left w:val="single" w:sz="8" w:space="0" w:color="auto"/>
              <w:bottom w:val="single" w:sz="4" w:space="0" w:color="auto"/>
              <w:right w:val="nil"/>
            </w:tcBorders>
            <w:shd w:val="clear" w:color="000000" w:fill="C9F8E8"/>
            <w:noWrap/>
            <w:vAlign w:val="bottom"/>
            <w:hideMark/>
          </w:tcPr>
          <w:p w14:paraId="7430137F"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Mass General Brigham</w:t>
            </w:r>
          </w:p>
        </w:tc>
        <w:tc>
          <w:tcPr>
            <w:tcW w:w="0" w:type="auto"/>
            <w:tcBorders>
              <w:top w:val="nil"/>
              <w:left w:val="nil"/>
              <w:bottom w:val="single" w:sz="4" w:space="0" w:color="auto"/>
              <w:right w:val="nil"/>
            </w:tcBorders>
            <w:shd w:val="clear" w:color="000000" w:fill="C9F8E8"/>
            <w:noWrap/>
            <w:vAlign w:val="bottom"/>
            <w:hideMark/>
          </w:tcPr>
          <w:p w14:paraId="7368ED9D"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Brigham and Women's Hospital</w:t>
            </w:r>
          </w:p>
        </w:tc>
        <w:tc>
          <w:tcPr>
            <w:tcW w:w="0" w:type="auto"/>
            <w:tcBorders>
              <w:top w:val="nil"/>
              <w:left w:val="nil"/>
              <w:bottom w:val="single" w:sz="4" w:space="0" w:color="auto"/>
              <w:right w:val="nil"/>
            </w:tcBorders>
            <w:shd w:val="clear" w:color="000000" w:fill="C9F8E8"/>
            <w:noWrap/>
            <w:vAlign w:val="bottom"/>
            <w:hideMark/>
          </w:tcPr>
          <w:p w14:paraId="1B709FA4"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1.77</w:t>
            </w:r>
          </w:p>
        </w:tc>
        <w:tc>
          <w:tcPr>
            <w:tcW w:w="0" w:type="auto"/>
            <w:tcBorders>
              <w:top w:val="nil"/>
              <w:left w:val="nil"/>
              <w:bottom w:val="single" w:sz="4" w:space="0" w:color="auto"/>
              <w:right w:val="nil"/>
            </w:tcBorders>
            <w:shd w:val="clear" w:color="000000" w:fill="C9F8E8"/>
            <w:noWrap/>
            <w:vAlign w:val="bottom"/>
            <w:hideMark/>
          </w:tcPr>
          <w:p w14:paraId="4AA916F1"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1.06</w:t>
            </w:r>
          </w:p>
        </w:tc>
        <w:tc>
          <w:tcPr>
            <w:tcW w:w="0" w:type="auto"/>
            <w:tcBorders>
              <w:top w:val="nil"/>
              <w:left w:val="nil"/>
              <w:bottom w:val="single" w:sz="4" w:space="0" w:color="auto"/>
              <w:right w:val="single" w:sz="8" w:space="0" w:color="auto"/>
            </w:tcBorders>
            <w:shd w:val="clear" w:color="000000" w:fill="C9F8E8"/>
            <w:noWrap/>
            <w:vAlign w:val="bottom"/>
            <w:hideMark/>
          </w:tcPr>
          <w:p w14:paraId="53E1F683"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0.83</w:t>
            </w:r>
          </w:p>
        </w:tc>
      </w:tr>
      <w:tr w:rsidR="000649D5" w:rsidRPr="000649D5" w14:paraId="121E4C75" w14:textId="77777777" w:rsidTr="00243603">
        <w:trPr>
          <w:cantSplit/>
          <w:trHeight w:val="275"/>
          <w:jc w:val="center"/>
        </w:trPr>
        <w:tc>
          <w:tcPr>
            <w:tcW w:w="0" w:type="auto"/>
            <w:tcBorders>
              <w:top w:val="nil"/>
              <w:left w:val="single" w:sz="8" w:space="0" w:color="auto"/>
              <w:bottom w:val="single" w:sz="4" w:space="0" w:color="auto"/>
              <w:right w:val="nil"/>
            </w:tcBorders>
            <w:shd w:val="clear" w:color="auto" w:fill="auto"/>
            <w:noWrap/>
            <w:vAlign w:val="bottom"/>
            <w:hideMark/>
          </w:tcPr>
          <w:p w14:paraId="042540C1"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Mass General Brigham</w:t>
            </w:r>
          </w:p>
        </w:tc>
        <w:tc>
          <w:tcPr>
            <w:tcW w:w="0" w:type="auto"/>
            <w:tcBorders>
              <w:top w:val="nil"/>
              <w:left w:val="nil"/>
              <w:bottom w:val="single" w:sz="4" w:space="0" w:color="auto"/>
              <w:right w:val="nil"/>
            </w:tcBorders>
            <w:shd w:val="clear" w:color="auto" w:fill="auto"/>
            <w:noWrap/>
            <w:vAlign w:val="bottom"/>
            <w:hideMark/>
          </w:tcPr>
          <w:p w14:paraId="2431D999"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Massachusetts General Hospital</w:t>
            </w:r>
          </w:p>
        </w:tc>
        <w:tc>
          <w:tcPr>
            <w:tcW w:w="0" w:type="auto"/>
            <w:tcBorders>
              <w:top w:val="nil"/>
              <w:left w:val="nil"/>
              <w:bottom w:val="single" w:sz="4" w:space="0" w:color="auto"/>
              <w:right w:val="nil"/>
            </w:tcBorders>
            <w:shd w:val="clear" w:color="auto" w:fill="auto"/>
            <w:noWrap/>
            <w:vAlign w:val="bottom"/>
            <w:hideMark/>
          </w:tcPr>
          <w:p w14:paraId="27757FE0"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2.01</w:t>
            </w:r>
          </w:p>
        </w:tc>
        <w:tc>
          <w:tcPr>
            <w:tcW w:w="0" w:type="auto"/>
            <w:tcBorders>
              <w:top w:val="nil"/>
              <w:left w:val="nil"/>
              <w:bottom w:val="single" w:sz="4" w:space="0" w:color="auto"/>
              <w:right w:val="nil"/>
            </w:tcBorders>
            <w:shd w:val="clear" w:color="auto" w:fill="auto"/>
            <w:noWrap/>
            <w:vAlign w:val="bottom"/>
            <w:hideMark/>
          </w:tcPr>
          <w:p w14:paraId="61B77E2D"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1.07</w:t>
            </w:r>
          </w:p>
        </w:tc>
        <w:tc>
          <w:tcPr>
            <w:tcW w:w="0" w:type="auto"/>
            <w:tcBorders>
              <w:top w:val="nil"/>
              <w:left w:val="nil"/>
              <w:bottom w:val="single" w:sz="4" w:space="0" w:color="auto"/>
              <w:right w:val="single" w:sz="8" w:space="0" w:color="auto"/>
            </w:tcBorders>
            <w:shd w:val="clear" w:color="auto" w:fill="auto"/>
            <w:noWrap/>
            <w:vAlign w:val="bottom"/>
            <w:hideMark/>
          </w:tcPr>
          <w:p w14:paraId="57708154"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0.81</w:t>
            </w:r>
          </w:p>
        </w:tc>
      </w:tr>
      <w:tr w:rsidR="000649D5" w:rsidRPr="000649D5" w14:paraId="7EF08446" w14:textId="77777777" w:rsidTr="00243603">
        <w:trPr>
          <w:cantSplit/>
          <w:trHeight w:val="275"/>
          <w:jc w:val="center"/>
        </w:trPr>
        <w:tc>
          <w:tcPr>
            <w:tcW w:w="0" w:type="auto"/>
            <w:tcBorders>
              <w:top w:val="nil"/>
              <w:left w:val="single" w:sz="8" w:space="0" w:color="auto"/>
              <w:bottom w:val="single" w:sz="4" w:space="0" w:color="auto"/>
              <w:right w:val="nil"/>
            </w:tcBorders>
            <w:shd w:val="clear" w:color="auto" w:fill="auto"/>
            <w:noWrap/>
            <w:vAlign w:val="bottom"/>
            <w:hideMark/>
          </w:tcPr>
          <w:p w14:paraId="2F67EF49"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South Shore Health System</w:t>
            </w:r>
          </w:p>
        </w:tc>
        <w:tc>
          <w:tcPr>
            <w:tcW w:w="0" w:type="auto"/>
            <w:tcBorders>
              <w:top w:val="nil"/>
              <w:left w:val="nil"/>
              <w:bottom w:val="single" w:sz="4" w:space="0" w:color="auto"/>
              <w:right w:val="nil"/>
            </w:tcBorders>
            <w:shd w:val="clear" w:color="auto" w:fill="auto"/>
            <w:noWrap/>
            <w:vAlign w:val="bottom"/>
            <w:hideMark/>
          </w:tcPr>
          <w:p w14:paraId="415381A3"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South Shore Hospital</w:t>
            </w:r>
          </w:p>
        </w:tc>
        <w:tc>
          <w:tcPr>
            <w:tcW w:w="0" w:type="auto"/>
            <w:tcBorders>
              <w:top w:val="nil"/>
              <w:left w:val="nil"/>
              <w:bottom w:val="single" w:sz="4" w:space="0" w:color="auto"/>
              <w:right w:val="nil"/>
            </w:tcBorders>
            <w:shd w:val="clear" w:color="auto" w:fill="auto"/>
            <w:noWrap/>
            <w:vAlign w:val="bottom"/>
            <w:hideMark/>
          </w:tcPr>
          <w:p w14:paraId="3BA113F2"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1.04</w:t>
            </w:r>
          </w:p>
        </w:tc>
        <w:tc>
          <w:tcPr>
            <w:tcW w:w="0" w:type="auto"/>
            <w:tcBorders>
              <w:top w:val="nil"/>
              <w:left w:val="nil"/>
              <w:bottom w:val="single" w:sz="4" w:space="0" w:color="auto"/>
              <w:right w:val="nil"/>
            </w:tcBorders>
            <w:shd w:val="clear" w:color="auto" w:fill="auto"/>
            <w:noWrap/>
            <w:vAlign w:val="bottom"/>
            <w:hideMark/>
          </w:tcPr>
          <w:p w14:paraId="2D86FA90"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0.73</w:t>
            </w:r>
          </w:p>
        </w:tc>
        <w:tc>
          <w:tcPr>
            <w:tcW w:w="0" w:type="auto"/>
            <w:tcBorders>
              <w:top w:val="nil"/>
              <w:left w:val="nil"/>
              <w:bottom w:val="single" w:sz="4" w:space="0" w:color="auto"/>
              <w:right w:val="single" w:sz="8" w:space="0" w:color="auto"/>
            </w:tcBorders>
            <w:shd w:val="clear" w:color="auto" w:fill="auto"/>
            <w:noWrap/>
            <w:vAlign w:val="bottom"/>
            <w:hideMark/>
          </w:tcPr>
          <w:p w14:paraId="2E474360"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0.61</w:t>
            </w:r>
          </w:p>
        </w:tc>
      </w:tr>
      <w:tr w:rsidR="000649D5" w:rsidRPr="000649D5" w14:paraId="1408953F" w14:textId="77777777" w:rsidTr="00243603">
        <w:trPr>
          <w:cantSplit/>
          <w:trHeight w:val="275"/>
          <w:jc w:val="center"/>
        </w:trPr>
        <w:tc>
          <w:tcPr>
            <w:tcW w:w="0" w:type="auto"/>
            <w:tcBorders>
              <w:top w:val="nil"/>
              <w:left w:val="single" w:sz="8" w:space="0" w:color="auto"/>
              <w:bottom w:val="single" w:sz="8" w:space="0" w:color="auto"/>
              <w:right w:val="nil"/>
            </w:tcBorders>
            <w:shd w:val="clear" w:color="auto" w:fill="auto"/>
            <w:noWrap/>
            <w:vAlign w:val="bottom"/>
            <w:hideMark/>
          </w:tcPr>
          <w:p w14:paraId="6C0F7FCB"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Tufts Medicine</w:t>
            </w:r>
          </w:p>
        </w:tc>
        <w:tc>
          <w:tcPr>
            <w:tcW w:w="0" w:type="auto"/>
            <w:tcBorders>
              <w:top w:val="nil"/>
              <w:left w:val="nil"/>
              <w:bottom w:val="single" w:sz="8" w:space="0" w:color="auto"/>
              <w:right w:val="nil"/>
            </w:tcBorders>
            <w:shd w:val="clear" w:color="auto" w:fill="auto"/>
            <w:noWrap/>
            <w:vAlign w:val="bottom"/>
            <w:hideMark/>
          </w:tcPr>
          <w:p w14:paraId="29A66D15" w14:textId="77777777" w:rsidR="000649D5" w:rsidRPr="000649D5" w:rsidRDefault="000649D5" w:rsidP="003E7B37">
            <w:pPr>
              <w:spacing w:after="0" w:line="240" w:lineRule="auto"/>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Tufts Medical Center</w:t>
            </w:r>
          </w:p>
        </w:tc>
        <w:tc>
          <w:tcPr>
            <w:tcW w:w="0" w:type="auto"/>
            <w:tcBorders>
              <w:top w:val="nil"/>
              <w:left w:val="nil"/>
              <w:bottom w:val="single" w:sz="8" w:space="0" w:color="auto"/>
              <w:right w:val="nil"/>
            </w:tcBorders>
            <w:shd w:val="clear" w:color="auto" w:fill="auto"/>
            <w:noWrap/>
            <w:vAlign w:val="bottom"/>
            <w:hideMark/>
          </w:tcPr>
          <w:p w14:paraId="70B38C7A"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2.05</w:t>
            </w:r>
          </w:p>
        </w:tc>
        <w:tc>
          <w:tcPr>
            <w:tcW w:w="0" w:type="auto"/>
            <w:tcBorders>
              <w:top w:val="nil"/>
              <w:left w:val="nil"/>
              <w:bottom w:val="single" w:sz="8" w:space="0" w:color="auto"/>
              <w:right w:val="nil"/>
            </w:tcBorders>
            <w:shd w:val="clear" w:color="auto" w:fill="auto"/>
            <w:noWrap/>
            <w:vAlign w:val="bottom"/>
            <w:hideMark/>
          </w:tcPr>
          <w:p w14:paraId="332119F5"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1.19</w:t>
            </w:r>
          </w:p>
        </w:tc>
        <w:tc>
          <w:tcPr>
            <w:tcW w:w="0" w:type="auto"/>
            <w:tcBorders>
              <w:top w:val="nil"/>
              <w:left w:val="nil"/>
              <w:bottom w:val="single" w:sz="8" w:space="0" w:color="auto"/>
              <w:right w:val="single" w:sz="8" w:space="0" w:color="auto"/>
            </w:tcBorders>
            <w:shd w:val="clear" w:color="auto" w:fill="auto"/>
            <w:noWrap/>
            <w:vAlign w:val="bottom"/>
            <w:hideMark/>
          </w:tcPr>
          <w:p w14:paraId="17EDACBD" w14:textId="77777777" w:rsidR="000649D5" w:rsidRPr="000649D5" w:rsidRDefault="000649D5" w:rsidP="003E7B37">
            <w:pPr>
              <w:spacing w:after="0" w:line="240" w:lineRule="auto"/>
              <w:jc w:val="center"/>
              <w:rPr>
                <w:rFonts w:asciiTheme="minorHAnsi" w:eastAsia="Times New Roman" w:hAnsiTheme="minorHAnsi" w:cstheme="minorHAnsi"/>
                <w:kern w:val="0"/>
                <w:sz w:val="19"/>
                <w:szCs w:val="19"/>
                <w14:ligatures w14:val="none"/>
              </w:rPr>
            </w:pPr>
            <w:r w:rsidRPr="000649D5">
              <w:rPr>
                <w:rFonts w:asciiTheme="minorHAnsi" w:eastAsia="Times New Roman" w:hAnsiTheme="minorHAnsi" w:cstheme="minorHAnsi"/>
                <w:kern w:val="0"/>
                <w:sz w:val="19"/>
                <w:szCs w:val="19"/>
                <w14:ligatures w14:val="none"/>
              </w:rPr>
              <w:t>1.01</w:t>
            </w:r>
          </w:p>
        </w:tc>
      </w:tr>
    </w:tbl>
    <w:p w14:paraId="21763551" w14:textId="77777777" w:rsidR="000649D5" w:rsidRDefault="000649D5" w:rsidP="007A6977">
      <w:pPr>
        <w:spacing w:line="360" w:lineRule="auto"/>
      </w:pPr>
    </w:p>
    <w:p w14:paraId="1CC400FE" w14:textId="1A727033" w:rsidR="002F5B27" w:rsidRPr="00445C21" w:rsidRDefault="002F5B27" w:rsidP="00E202CA">
      <w:pPr>
        <w:numPr>
          <w:ilvl w:val="0"/>
          <w:numId w:val="4"/>
        </w:numPr>
        <w:spacing w:before="120" w:after="120" w:line="360" w:lineRule="auto"/>
        <w:jc w:val="both"/>
      </w:pPr>
      <w:r w:rsidRPr="00445C21">
        <w:t xml:space="preserve">DFCI is classified by the Centers for Medicare &amp; Medicaid Services (CMS) as a PPS-Exempt Cancer Hospital (PCH) and is exempt from the usual Acute Inpatient Prospective Payment System and </w:t>
      </w:r>
      <w:r w:rsidRPr="00445C21">
        <w:lastRenderedPageBreak/>
        <w:t>Outpatient Prospective Payment System.</w:t>
      </w:r>
      <w:r w:rsidRPr="00445C21">
        <w:rPr>
          <w:rStyle w:val="FootnoteReference"/>
        </w:rPr>
        <w:footnoteReference w:id="78"/>
      </w:r>
      <w:r w:rsidRPr="00445C21">
        <w:t xml:space="preserve"> The U.S. Government Accountability Office found that PCHs received, on average, 42% more in Medicare inpatient payments relative to what they would have otherwise been paid under the typical reimbursement approach.</w:t>
      </w:r>
      <w:r w:rsidRPr="00445C21">
        <w:rPr>
          <w:rStyle w:val="FootnoteReference"/>
        </w:rPr>
        <w:footnoteReference w:id="79"/>
      </w:r>
      <w:r w:rsidRPr="00445C21">
        <w:t xml:space="preserve"> However, this </w:t>
      </w:r>
      <w:r w:rsidR="001D3925" w:rsidRPr="00445C21">
        <w:t>report also found that the increased payments to DFCI were much smaller (7.8%).</w:t>
      </w:r>
      <w:r w:rsidR="001D3925" w:rsidRPr="00445C21">
        <w:rPr>
          <w:rStyle w:val="FootnoteReference"/>
        </w:rPr>
        <w:footnoteReference w:id="80"/>
      </w:r>
    </w:p>
    <w:p w14:paraId="1400C136" w14:textId="6B2E1BC5" w:rsidR="008E5BF7" w:rsidRDefault="00E202CA" w:rsidP="00E202CA">
      <w:pPr>
        <w:numPr>
          <w:ilvl w:val="0"/>
          <w:numId w:val="4"/>
        </w:numPr>
        <w:spacing w:before="120" w:after="120" w:line="360" w:lineRule="auto"/>
        <w:jc w:val="both"/>
      </w:pPr>
      <w:r w:rsidRPr="006C39C6">
        <w:t xml:space="preserve">Because the Proposed Project is predicted to shift medical utilization of care from BWH and BIDMC to DFCI and surgical utilization from BWH to BIDMC, the relative prices between these three entities </w:t>
      </w:r>
      <w:r w:rsidR="00495C95">
        <w:t>are</w:t>
      </w:r>
      <w:r w:rsidRPr="006C39C6">
        <w:t xml:space="preserve"> relevant for estimating changes in total healthcare </w:t>
      </w:r>
      <w:r>
        <w:t>spending</w:t>
      </w:r>
      <w:r w:rsidRPr="006C39C6">
        <w:t>. DFCI’s commercial prices are</w:t>
      </w:r>
      <w:r>
        <w:t>,</w:t>
      </w:r>
      <w:r w:rsidRPr="006C39C6">
        <w:t xml:space="preserve"> on average</w:t>
      </w:r>
      <w:r>
        <w:t>,</w:t>
      </w:r>
      <w:r w:rsidRPr="006C39C6">
        <w:t xml:space="preserve"> lower than BWH (-20.6%) and BIDMC (-19.8%). Medicare reimbursement is similar </w:t>
      </w:r>
      <w:r w:rsidRPr="00744867">
        <w:t>between DFCI and BIDMC, with BWH hav</w:t>
      </w:r>
      <w:r>
        <w:t>ing</w:t>
      </w:r>
      <w:r w:rsidRPr="00744867">
        <w:t xml:space="preserve"> somewhat higher average </w:t>
      </w:r>
      <w:r>
        <w:t xml:space="preserve">Medicare </w:t>
      </w:r>
      <w:r w:rsidRPr="00744867">
        <w:t xml:space="preserve">reimbursement. </w:t>
      </w:r>
      <w:r w:rsidR="00982566">
        <w:t>Medicaid</w:t>
      </w:r>
      <w:r>
        <w:t xml:space="preserve"> </w:t>
      </w:r>
      <w:r w:rsidRPr="00744867">
        <w:t>reimbursement is lower than for other payors across all hospitals. DFCI’s average, acuity</w:t>
      </w:r>
      <w:r w:rsidR="00982566">
        <w:t>-</w:t>
      </w:r>
      <w:r w:rsidRPr="00744867">
        <w:t xml:space="preserve">adjusted </w:t>
      </w:r>
      <w:r w:rsidR="00982566">
        <w:t>Medicaid</w:t>
      </w:r>
      <w:r w:rsidRPr="00744867">
        <w:t xml:space="preserve"> reimbursement is marginally higher than at BWH; BIDMC has significantly</w:t>
      </w:r>
      <w:r w:rsidRPr="006C39C6">
        <w:t xml:space="preserve"> lower estimated </w:t>
      </w:r>
      <w:r w:rsidR="00982566">
        <w:t>Medicaid</w:t>
      </w:r>
      <w:r w:rsidRPr="006C39C6">
        <w:t xml:space="preserve"> reimbursement</w:t>
      </w:r>
      <w:r>
        <w:t>.</w:t>
      </w:r>
    </w:p>
    <w:p w14:paraId="32F3272E" w14:textId="196FFE58" w:rsidR="000224C4" w:rsidRPr="00762734" w:rsidRDefault="00A422E4" w:rsidP="000224C4">
      <w:pPr>
        <w:pStyle w:val="Heading1"/>
        <w:rPr>
          <w:rFonts w:hint="eastAsia"/>
        </w:rPr>
      </w:pPr>
      <w:bookmarkStart w:id="44" w:name="_Toc187401753"/>
      <w:r>
        <w:t xml:space="preserve">Forecasted Impacts of </w:t>
      </w:r>
      <w:r w:rsidR="00982566">
        <w:t xml:space="preserve">the </w:t>
      </w:r>
      <w:r>
        <w:t>Proposed Project on</w:t>
      </w:r>
      <w:r w:rsidR="00DF7C05">
        <w:t xml:space="preserve"> Inpatient Cancer Care</w:t>
      </w:r>
      <w:r>
        <w:t xml:space="preserve"> Shares, Prices, and Spending</w:t>
      </w:r>
      <w:bookmarkEnd w:id="44"/>
      <w:r>
        <w:t xml:space="preserve"> </w:t>
      </w:r>
    </w:p>
    <w:p w14:paraId="33496CD0" w14:textId="19457270" w:rsidR="00B27A65" w:rsidRDefault="001E2460" w:rsidP="008C4EE0">
      <w:pPr>
        <w:pStyle w:val="Heading2"/>
        <w:numPr>
          <w:ilvl w:val="0"/>
          <w:numId w:val="16"/>
        </w:numPr>
      </w:pPr>
      <w:bookmarkStart w:id="45" w:name="_Toc187401754"/>
      <w:r>
        <w:t xml:space="preserve">Projected </w:t>
      </w:r>
      <w:r w:rsidR="00A422E4">
        <w:t>Changes in Shares</w:t>
      </w:r>
      <w:bookmarkEnd w:id="45"/>
    </w:p>
    <w:p w14:paraId="057DC05B" w14:textId="00DDED34" w:rsidR="008E5BF7" w:rsidRDefault="008E5BF7" w:rsidP="008E5BF7">
      <w:pPr>
        <w:numPr>
          <w:ilvl w:val="0"/>
          <w:numId w:val="4"/>
        </w:numPr>
        <w:spacing w:before="120" w:after="120" w:line="360" w:lineRule="auto"/>
        <w:ind w:hanging="547"/>
        <w:jc w:val="both"/>
      </w:pPr>
      <w:r w:rsidRPr="008E5BF7">
        <w:t>The next step in the empirical analysis of impact on pricing</w:t>
      </w:r>
      <w:r>
        <w:t xml:space="preserve">, </w:t>
      </w:r>
      <w:r w:rsidRPr="008E5BF7">
        <w:t>competition</w:t>
      </w:r>
      <w:r>
        <w:t>, utilization, and spending</w:t>
      </w:r>
      <w:r w:rsidRPr="008E5BF7">
        <w:t xml:space="preserve"> </w:t>
      </w:r>
      <w:r>
        <w:t xml:space="preserve">is to estimate the </w:t>
      </w:r>
      <w:r w:rsidRPr="008E5BF7">
        <w:t xml:space="preserve">change in market share for </w:t>
      </w:r>
      <w:r>
        <w:t xml:space="preserve">DFCI and other relevant providers due to shifts in patients between </w:t>
      </w:r>
      <w:r w:rsidR="00180383">
        <w:t>facilities</w:t>
      </w:r>
      <w:r>
        <w:t xml:space="preserve">. </w:t>
      </w:r>
      <w:r w:rsidRPr="008E5BF7">
        <w:t xml:space="preserve">These estimates are provided for </w:t>
      </w:r>
      <w:r>
        <w:t xml:space="preserve">each relevant service line in the relevant </w:t>
      </w:r>
      <w:r w:rsidRPr="008E5BF7">
        <w:t>service areas</w:t>
      </w:r>
      <w:r w:rsidR="00E31608">
        <w:t xml:space="preserve">. Because government prices are set administratively rather than by negotiation, market shares for commercially-insured patients </w:t>
      </w:r>
      <w:r w:rsidR="00982566">
        <w:t>were</w:t>
      </w:r>
      <w:r w:rsidR="00E31608">
        <w:t xml:space="preserve"> evaluated.</w:t>
      </w:r>
      <w:r w:rsidR="000D32F8">
        <w:t xml:space="preserve"> </w:t>
      </w:r>
      <w:r w:rsidR="000D32F8" w:rsidRPr="000D32F8">
        <w:t xml:space="preserve">Because these changes in shares are used to evaluate changes in competition and bargaining leverage at the facility level, DFCI discharges in BWH-licensed beds </w:t>
      </w:r>
      <w:r w:rsidR="00982566">
        <w:t>were</w:t>
      </w:r>
      <w:r w:rsidR="000D32F8" w:rsidRPr="000D32F8">
        <w:t xml:space="preserve"> allocated to BWH for purpose of this calculation.</w:t>
      </w:r>
      <w:r w:rsidR="000D32F8">
        <w:t xml:space="preserve"> These shares, therefore, differ from the physician-based approach discussed above. </w:t>
      </w:r>
    </w:p>
    <w:p w14:paraId="72829D42" w14:textId="24582B40" w:rsidR="008E5BF7" w:rsidRDefault="000D32F8" w:rsidP="00017609">
      <w:pPr>
        <w:numPr>
          <w:ilvl w:val="0"/>
          <w:numId w:val="4"/>
        </w:numPr>
        <w:spacing w:before="120" w:after="120" w:line="360" w:lineRule="auto"/>
        <w:ind w:hanging="547"/>
        <w:jc w:val="both"/>
      </w:pPr>
      <w:r>
        <w:t xml:space="preserve">Table </w:t>
      </w:r>
      <w:r w:rsidR="00C228C7">
        <w:t>1</w:t>
      </w:r>
      <w:r w:rsidR="00AB290B">
        <w:t>6</w:t>
      </w:r>
      <w:r>
        <w:t xml:space="preserve"> </w:t>
      </w:r>
      <w:r w:rsidR="00E31608">
        <w:t>report</w:t>
      </w:r>
      <w:r>
        <w:t>s</w:t>
      </w:r>
      <w:r w:rsidR="00E31608">
        <w:t xml:space="preserve"> </w:t>
      </w:r>
      <w:r>
        <w:t xml:space="preserve">the </w:t>
      </w:r>
      <w:r w:rsidR="00E31608">
        <w:t xml:space="preserve">status quo and projected 2025 shares </w:t>
      </w:r>
      <w:r>
        <w:t xml:space="preserve">of inpatient cancer care services </w:t>
      </w:r>
      <w:r w:rsidR="00E31608">
        <w:t xml:space="preserve">for </w:t>
      </w:r>
      <w:r w:rsidR="00E31608" w:rsidRPr="000D32F8">
        <w:t>commercially-insured</w:t>
      </w:r>
      <w:r w:rsidR="00E31608">
        <w:t xml:space="preserve"> patients </w:t>
      </w:r>
      <w:r>
        <w:t xml:space="preserve">in Massachusetts for the baseline scenario under which the DFCI facility is constrained by capacity limits. </w:t>
      </w:r>
      <w:r w:rsidRPr="000D32F8">
        <w:t xml:space="preserve">DFCI’s facility share of commercial inpatient cancer care discharges is forecast to increase by 15.9%, while BWH’s share is forecast to decrease by 15.3% and </w:t>
      </w:r>
      <w:r w:rsidRPr="000D32F8">
        <w:lastRenderedPageBreak/>
        <w:t>BIDMC’s share is forecast to decrease by 0.6%.</w:t>
      </w:r>
      <w:r>
        <w:t xml:space="preserve"> </w:t>
      </w:r>
      <w:r w:rsidR="00CF5F35">
        <w:t xml:space="preserve">Because shifts </w:t>
      </w:r>
      <w:r w:rsidR="00B94787">
        <w:t xml:space="preserve">in </w:t>
      </w:r>
      <w:r w:rsidR="00CF5F35">
        <w:t>the projections only implicate DFCI, BWH, and BIDMC, s</w:t>
      </w:r>
      <w:r>
        <w:t>hares for other hospitals and health systems are forecast to remain unchanged.</w:t>
      </w:r>
      <w:r w:rsidR="0007120E">
        <w:rPr>
          <w:rStyle w:val="FootnoteReference"/>
        </w:rPr>
        <w:footnoteReference w:id="81"/>
      </w:r>
      <w:r>
        <w:t xml:space="preserve"> </w:t>
      </w:r>
    </w:p>
    <w:p w14:paraId="3321E92C" w14:textId="6EEAC68F" w:rsidR="000D32F8" w:rsidRDefault="000D32F8" w:rsidP="007C5AC4">
      <w:pPr>
        <w:pStyle w:val="Caption"/>
        <w:keepNext/>
        <w:jc w:val="center"/>
      </w:pPr>
      <w:bookmarkStart w:id="46" w:name="_Toc187401789"/>
      <w:r>
        <w:t xml:space="preserve">Table </w:t>
      </w:r>
      <w:fldSimple w:instr=" SEQ Table \* ARABIC ">
        <w:r w:rsidR="0085394E">
          <w:rPr>
            <w:noProof/>
          </w:rPr>
          <w:t>16</w:t>
        </w:r>
      </w:fldSimple>
      <w:r>
        <w:t xml:space="preserve">: Projected Statewide </w:t>
      </w:r>
      <w:r w:rsidR="00C22865">
        <w:t xml:space="preserve">Inpatient Cancer Care </w:t>
      </w:r>
      <w:r w:rsidR="002944A0">
        <w:t xml:space="preserve">Commercial </w:t>
      </w:r>
      <w:r>
        <w:t xml:space="preserve">Shares </w:t>
      </w:r>
      <w:r w:rsidR="00C22865">
        <w:t>by Hospital</w:t>
      </w:r>
      <w:bookmarkEnd w:id="46"/>
    </w:p>
    <w:tbl>
      <w:tblPr>
        <w:tblW w:w="9350" w:type="dxa"/>
        <w:jc w:val="center"/>
        <w:tblLayout w:type="fixed"/>
        <w:tblLook w:val="04A0" w:firstRow="1" w:lastRow="0" w:firstColumn="1" w:lastColumn="0" w:noHBand="0" w:noVBand="1"/>
      </w:tblPr>
      <w:tblGrid>
        <w:gridCol w:w="5280"/>
        <w:gridCol w:w="1220"/>
        <w:gridCol w:w="275"/>
        <w:gridCol w:w="1495"/>
        <w:gridCol w:w="1080"/>
      </w:tblGrid>
      <w:tr w:rsidR="007C5AC4" w:rsidRPr="007C5AC4" w14:paraId="05F13548" w14:textId="77777777" w:rsidTr="00403016">
        <w:trPr>
          <w:cantSplit/>
          <w:trHeight w:val="583"/>
          <w:tblHeader/>
          <w:jc w:val="center"/>
        </w:trPr>
        <w:tc>
          <w:tcPr>
            <w:tcW w:w="5280" w:type="dxa"/>
            <w:tcBorders>
              <w:top w:val="single" w:sz="8" w:space="0" w:color="auto"/>
              <w:left w:val="single" w:sz="8" w:space="0" w:color="auto"/>
              <w:bottom w:val="single" w:sz="8" w:space="0" w:color="auto"/>
              <w:right w:val="nil"/>
            </w:tcBorders>
            <w:shd w:val="clear" w:color="000000" w:fill="002060"/>
            <w:vAlign w:val="bottom"/>
            <w:hideMark/>
          </w:tcPr>
          <w:p w14:paraId="3E7C52EB" w14:textId="77777777" w:rsidR="007C5AC4" w:rsidRPr="007C5AC4" w:rsidRDefault="007C5AC4" w:rsidP="007C5AC4">
            <w:pPr>
              <w:spacing w:after="0" w:line="240" w:lineRule="auto"/>
              <w:rPr>
                <w:rFonts w:ascii="Calibri" w:eastAsia="Times New Roman" w:hAnsi="Calibri" w:cs="Calibri"/>
                <w:b/>
                <w:bCs/>
                <w:color w:val="FFFFFF"/>
                <w:kern w:val="0"/>
                <w14:ligatures w14:val="none"/>
              </w:rPr>
            </w:pPr>
            <w:r w:rsidRPr="007C5AC4">
              <w:rPr>
                <w:rFonts w:ascii="Calibri" w:eastAsia="Times New Roman" w:hAnsi="Calibri" w:cs="Calibri"/>
                <w:b/>
                <w:bCs/>
                <w:color w:val="FFFFFF"/>
                <w:kern w:val="0"/>
                <w14:ligatures w14:val="none"/>
              </w:rPr>
              <w:t>Hospital</w:t>
            </w:r>
          </w:p>
        </w:tc>
        <w:tc>
          <w:tcPr>
            <w:tcW w:w="1495" w:type="dxa"/>
            <w:gridSpan w:val="2"/>
            <w:tcBorders>
              <w:top w:val="single" w:sz="8" w:space="0" w:color="auto"/>
              <w:left w:val="single" w:sz="8" w:space="0" w:color="auto"/>
              <w:bottom w:val="single" w:sz="8" w:space="0" w:color="auto"/>
              <w:right w:val="nil"/>
            </w:tcBorders>
            <w:shd w:val="clear" w:color="000000" w:fill="002060"/>
            <w:vAlign w:val="bottom"/>
            <w:hideMark/>
          </w:tcPr>
          <w:p w14:paraId="4285DBCF" w14:textId="77777777" w:rsidR="007C5AC4" w:rsidRPr="007C5AC4" w:rsidRDefault="007C5AC4" w:rsidP="007C5AC4">
            <w:pPr>
              <w:spacing w:after="0" w:line="240" w:lineRule="auto"/>
              <w:jc w:val="center"/>
              <w:rPr>
                <w:rFonts w:ascii="Calibri" w:eastAsia="Times New Roman" w:hAnsi="Calibri" w:cs="Calibri"/>
                <w:b/>
                <w:bCs/>
                <w:color w:val="FFFFFF"/>
                <w:kern w:val="0"/>
                <w14:ligatures w14:val="none"/>
              </w:rPr>
            </w:pPr>
            <w:r w:rsidRPr="007C5AC4">
              <w:rPr>
                <w:rFonts w:ascii="Calibri" w:eastAsia="Times New Roman" w:hAnsi="Calibri" w:cs="Calibri"/>
                <w:b/>
                <w:bCs/>
                <w:color w:val="FFFFFF"/>
                <w:kern w:val="0"/>
                <w14:ligatures w14:val="none"/>
              </w:rPr>
              <w:t>Status Quo 2025 Share</w:t>
            </w:r>
          </w:p>
        </w:tc>
        <w:tc>
          <w:tcPr>
            <w:tcW w:w="1495" w:type="dxa"/>
            <w:tcBorders>
              <w:top w:val="single" w:sz="8" w:space="0" w:color="auto"/>
              <w:left w:val="nil"/>
              <w:bottom w:val="single" w:sz="8" w:space="0" w:color="auto"/>
              <w:right w:val="single" w:sz="8" w:space="0" w:color="auto"/>
            </w:tcBorders>
            <w:shd w:val="clear" w:color="000000" w:fill="002060"/>
            <w:vAlign w:val="bottom"/>
            <w:hideMark/>
          </w:tcPr>
          <w:p w14:paraId="244E7742" w14:textId="77777777" w:rsidR="007C5AC4" w:rsidRPr="007C5AC4" w:rsidRDefault="007C5AC4" w:rsidP="007C5AC4">
            <w:pPr>
              <w:spacing w:after="0" w:line="240" w:lineRule="auto"/>
              <w:jc w:val="center"/>
              <w:rPr>
                <w:rFonts w:ascii="Calibri" w:eastAsia="Times New Roman" w:hAnsi="Calibri" w:cs="Calibri"/>
                <w:b/>
                <w:bCs/>
                <w:color w:val="FFFFFF"/>
                <w:kern w:val="0"/>
                <w14:ligatures w14:val="none"/>
              </w:rPr>
            </w:pPr>
            <w:r w:rsidRPr="007C5AC4">
              <w:rPr>
                <w:rFonts w:ascii="Calibri" w:eastAsia="Times New Roman" w:hAnsi="Calibri" w:cs="Calibri"/>
                <w:b/>
                <w:bCs/>
                <w:color w:val="FFFFFF"/>
                <w:kern w:val="0"/>
                <w14:ligatures w14:val="none"/>
              </w:rPr>
              <w:t>Projected 2025 Share</w:t>
            </w:r>
          </w:p>
        </w:tc>
        <w:tc>
          <w:tcPr>
            <w:tcW w:w="1080" w:type="dxa"/>
            <w:tcBorders>
              <w:top w:val="single" w:sz="8" w:space="0" w:color="auto"/>
              <w:left w:val="nil"/>
              <w:bottom w:val="single" w:sz="8" w:space="0" w:color="auto"/>
              <w:right w:val="single" w:sz="8" w:space="0" w:color="auto"/>
            </w:tcBorders>
            <w:shd w:val="clear" w:color="000000" w:fill="002060"/>
            <w:vAlign w:val="bottom"/>
            <w:hideMark/>
          </w:tcPr>
          <w:p w14:paraId="7141D765" w14:textId="3FE87608" w:rsidR="007C5AC4" w:rsidRPr="007C5AC4" w:rsidRDefault="007C5AC4" w:rsidP="007C5AC4">
            <w:pPr>
              <w:spacing w:after="0" w:line="240" w:lineRule="auto"/>
              <w:jc w:val="center"/>
              <w:rPr>
                <w:rFonts w:ascii="Calibri" w:eastAsia="Times New Roman" w:hAnsi="Calibri" w:cs="Calibri"/>
                <w:b/>
                <w:bCs/>
                <w:color w:val="FFFFFF"/>
                <w:kern w:val="0"/>
                <w14:ligatures w14:val="none"/>
              </w:rPr>
            </w:pPr>
            <w:r w:rsidRPr="007C5AC4">
              <w:rPr>
                <w:rFonts w:ascii="Calibri" w:eastAsia="Times New Roman" w:hAnsi="Calibri" w:cs="Calibri"/>
                <w:b/>
                <w:bCs/>
                <w:color w:val="FFFFFF"/>
                <w:kern w:val="0"/>
                <w14:ligatures w14:val="none"/>
              </w:rPr>
              <w:t>Change</w:t>
            </w:r>
          </w:p>
        </w:tc>
      </w:tr>
      <w:tr w:rsidR="007C5AC4" w:rsidRPr="007C5AC4" w14:paraId="37DC5FC5" w14:textId="77777777" w:rsidTr="00403016">
        <w:trPr>
          <w:cantSplit/>
          <w:trHeight w:val="290"/>
          <w:jc w:val="center"/>
        </w:trPr>
        <w:tc>
          <w:tcPr>
            <w:tcW w:w="5280" w:type="dxa"/>
            <w:tcBorders>
              <w:top w:val="nil"/>
              <w:left w:val="single" w:sz="8" w:space="0" w:color="auto"/>
              <w:bottom w:val="dashed" w:sz="4" w:space="0" w:color="auto"/>
              <w:right w:val="single" w:sz="8" w:space="0" w:color="auto"/>
            </w:tcBorders>
            <w:shd w:val="clear" w:color="auto" w:fill="auto"/>
            <w:noWrap/>
            <w:vAlign w:val="bottom"/>
            <w:hideMark/>
          </w:tcPr>
          <w:p w14:paraId="1195BABD" w14:textId="77777777" w:rsidR="007C5AC4" w:rsidRPr="007C5AC4" w:rsidRDefault="007C5AC4" w:rsidP="007C5AC4">
            <w:pPr>
              <w:spacing w:after="0" w:line="240" w:lineRule="auto"/>
              <w:rPr>
                <w:rFonts w:ascii="Calibri" w:eastAsia="Times New Roman" w:hAnsi="Calibri" w:cs="Calibri"/>
                <w:kern w:val="0"/>
                <w14:ligatures w14:val="none"/>
              </w:rPr>
            </w:pPr>
            <w:r w:rsidRPr="007C5AC4">
              <w:rPr>
                <w:rFonts w:ascii="Calibri" w:eastAsia="Times New Roman" w:hAnsi="Calibri" w:cs="Calibri"/>
                <w:kern w:val="0"/>
                <w14:ligatures w14:val="none"/>
              </w:rPr>
              <w:t>Dana-Farber Cancer Institute</w:t>
            </w:r>
          </w:p>
        </w:tc>
        <w:tc>
          <w:tcPr>
            <w:tcW w:w="1495" w:type="dxa"/>
            <w:gridSpan w:val="2"/>
            <w:tcBorders>
              <w:top w:val="nil"/>
              <w:left w:val="single" w:sz="8" w:space="0" w:color="auto"/>
              <w:bottom w:val="dashed" w:sz="4" w:space="0" w:color="auto"/>
              <w:right w:val="nil"/>
            </w:tcBorders>
            <w:shd w:val="clear" w:color="auto" w:fill="auto"/>
            <w:noWrap/>
            <w:vAlign w:val="bottom"/>
            <w:hideMark/>
          </w:tcPr>
          <w:p w14:paraId="3829A540" w14:textId="77777777"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2.3%</w:t>
            </w:r>
          </w:p>
        </w:tc>
        <w:tc>
          <w:tcPr>
            <w:tcW w:w="1495" w:type="dxa"/>
            <w:tcBorders>
              <w:top w:val="nil"/>
              <w:left w:val="nil"/>
              <w:bottom w:val="dashed" w:sz="4" w:space="0" w:color="auto"/>
              <w:right w:val="single" w:sz="8" w:space="0" w:color="auto"/>
            </w:tcBorders>
            <w:shd w:val="clear" w:color="auto" w:fill="auto"/>
            <w:noWrap/>
            <w:vAlign w:val="bottom"/>
            <w:hideMark/>
          </w:tcPr>
          <w:p w14:paraId="30B551C2" w14:textId="23264DFC" w:rsidR="007C5AC4" w:rsidRPr="007C5AC4" w:rsidRDefault="007C5AC4" w:rsidP="007C5AC4">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18.1</w:t>
            </w:r>
            <w:r w:rsidRPr="007C5AC4">
              <w:rPr>
                <w:rFonts w:ascii="Calibri" w:eastAsia="Times New Roman" w:hAnsi="Calibri" w:cs="Calibri"/>
                <w:kern w:val="0"/>
                <w14:ligatures w14:val="none"/>
              </w:rPr>
              <w:t xml:space="preserve"> %</w:t>
            </w:r>
          </w:p>
        </w:tc>
        <w:tc>
          <w:tcPr>
            <w:tcW w:w="1080" w:type="dxa"/>
            <w:tcBorders>
              <w:top w:val="nil"/>
              <w:left w:val="single" w:sz="8" w:space="0" w:color="auto"/>
              <w:bottom w:val="dashed" w:sz="4" w:space="0" w:color="auto"/>
              <w:right w:val="single" w:sz="8" w:space="0" w:color="auto"/>
            </w:tcBorders>
            <w:shd w:val="clear" w:color="auto" w:fill="auto"/>
            <w:noWrap/>
            <w:vAlign w:val="bottom"/>
            <w:hideMark/>
          </w:tcPr>
          <w:p w14:paraId="370E3A39" w14:textId="1841B153"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1</w:t>
            </w:r>
            <w:r>
              <w:rPr>
                <w:rFonts w:ascii="Calibri" w:eastAsia="Times New Roman" w:hAnsi="Calibri" w:cs="Calibri"/>
                <w:kern w:val="0"/>
                <w14:ligatures w14:val="none"/>
              </w:rPr>
              <w:t>5.9</w:t>
            </w:r>
            <w:r w:rsidRPr="007C5AC4">
              <w:rPr>
                <w:rFonts w:ascii="Calibri" w:eastAsia="Times New Roman" w:hAnsi="Calibri" w:cs="Calibri"/>
                <w:kern w:val="0"/>
                <w14:ligatures w14:val="none"/>
              </w:rPr>
              <w:t>%</w:t>
            </w:r>
          </w:p>
        </w:tc>
      </w:tr>
      <w:tr w:rsidR="007C5AC4" w:rsidRPr="007C5AC4" w14:paraId="213D110F" w14:textId="77777777" w:rsidTr="00403016">
        <w:trPr>
          <w:cantSplit/>
          <w:trHeight w:val="290"/>
          <w:jc w:val="center"/>
        </w:trPr>
        <w:tc>
          <w:tcPr>
            <w:tcW w:w="5280" w:type="dxa"/>
            <w:tcBorders>
              <w:top w:val="nil"/>
              <w:left w:val="single" w:sz="8" w:space="0" w:color="auto"/>
              <w:bottom w:val="dashed" w:sz="4" w:space="0" w:color="auto"/>
              <w:right w:val="single" w:sz="8" w:space="0" w:color="auto"/>
            </w:tcBorders>
            <w:shd w:val="clear" w:color="auto" w:fill="auto"/>
            <w:noWrap/>
            <w:vAlign w:val="bottom"/>
            <w:hideMark/>
          </w:tcPr>
          <w:p w14:paraId="1C52D1D9" w14:textId="49D0811E" w:rsidR="007C5AC4" w:rsidRPr="007C5AC4" w:rsidRDefault="007C5AC4" w:rsidP="007C5AC4">
            <w:pPr>
              <w:spacing w:after="0" w:line="240" w:lineRule="auto"/>
              <w:rPr>
                <w:rFonts w:ascii="Calibri" w:eastAsia="Times New Roman" w:hAnsi="Calibri" w:cs="Calibri"/>
                <w:kern w:val="0"/>
                <w14:ligatures w14:val="none"/>
              </w:rPr>
            </w:pPr>
            <w:r w:rsidRPr="007C5AC4">
              <w:rPr>
                <w:rFonts w:ascii="Calibri" w:eastAsia="Times New Roman" w:hAnsi="Calibri" w:cs="Calibri"/>
                <w:kern w:val="0"/>
                <w14:ligatures w14:val="none"/>
              </w:rPr>
              <w:t>Br</w:t>
            </w:r>
            <w:r>
              <w:rPr>
                <w:rFonts w:ascii="Calibri" w:eastAsia="Times New Roman" w:hAnsi="Calibri" w:cs="Calibri"/>
                <w:kern w:val="0"/>
                <w14:ligatures w14:val="none"/>
              </w:rPr>
              <w:t>i</w:t>
            </w:r>
            <w:r w:rsidRPr="007C5AC4">
              <w:rPr>
                <w:rFonts w:ascii="Calibri" w:eastAsia="Times New Roman" w:hAnsi="Calibri" w:cs="Calibri"/>
                <w:kern w:val="0"/>
                <w14:ligatures w14:val="none"/>
              </w:rPr>
              <w:t>gham and Women's Hospital</w:t>
            </w:r>
          </w:p>
        </w:tc>
        <w:tc>
          <w:tcPr>
            <w:tcW w:w="1495" w:type="dxa"/>
            <w:gridSpan w:val="2"/>
            <w:tcBorders>
              <w:top w:val="nil"/>
              <w:left w:val="single" w:sz="8" w:space="0" w:color="auto"/>
              <w:bottom w:val="dashed" w:sz="4" w:space="0" w:color="auto"/>
              <w:right w:val="nil"/>
            </w:tcBorders>
            <w:shd w:val="clear" w:color="auto" w:fill="auto"/>
            <w:noWrap/>
            <w:vAlign w:val="bottom"/>
            <w:hideMark/>
          </w:tcPr>
          <w:p w14:paraId="30493E09" w14:textId="77777777"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20.6%</w:t>
            </w:r>
          </w:p>
        </w:tc>
        <w:tc>
          <w:tcPr>
            <w:tcW w:w="1495" w:type="dxa"/>
            <w:tcBorders>
              <w:top w:val="nil"/>
              <w:left w:val="nil"/>
              <w:bottom w:val="dashed" w:sz="4" w:space="0" w:color="auto"/>
              <w:right w:val="single" w:sz="8" w:space="0" w:color="auto"/>
            </w:tcBorders>
            <w:shd w:val="clear" w:color="auto" w:fill="auto"/>
            <w:noWrap/>
            <w:vAlign w:val="bottom"/>
            <w:hideMark/>
          </w:tcPr>
          <w:p w14:paraId="04DDAEB3" w14:textId="77777777"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5.3%</w:t>
            </w:r>
          </w:p>
        </w:tc>
        <w:tc>
          <w:tcPr>
            <w:tcW w:w="1080" w:type="dxa"/>
            <w:tcBorders>
              <w:top w:val="nil"/>
              <w:left w:val="single" w:sz="8" w:space="0" w:color="auto"/>
              <w:bottom w:val="dashed" w:sz="4" w:space="0" w:color="auto"/>
              <w:right w:val="single" w:sz="8" w:space="0" w:color="auto"/>
            </w:tcBorders>
            <w:shd w:val="clear" w:color="auto" w:fill="auto"/>
            <w:noWrap/>
            <w:vAlign w:val="bottom"/>
            <w:hideMark/>
          </w:tcPr>
          <w:p w14:paraId="4783AAD2" w14:textId="77777777"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-15.3%</w:t>
            </w:r>
          </w:p>
        </w:tc>
      </w:tr>
      <w:tr w:rsidR="007C5AC4" w:rsidRPr="007C5AC4" w14:paraId="74BD1C63" w14:textId="77777777" w:rsidTr="00403016">
        <w:trPr>
          <w:cantSplit/>
          <w:trHeight w:val="300"/>
          <w:jc w:val="center"/>
        </w:trPr>
        <w:tc>
          <w:tcPr>
            <w:tcW w:w="5280" w:type="dxa"/>
            <w:tcBorders>
              <w:top w:val="nil"/>
              <w:left w:val="single" w:sz="8" w:space="0" w:color="auto"/>
              <w:bottom w:val="single" w:sz="8" w:space="0" w:color="auto"/>
              <w:right w:val="single" w:sz="8" w:space="0" w:color="auto"/>
            </w:tcBorders>
            <w:shd w:val="clear" w:color="auto" w:fill="auto"/>
            <w:noWrap/>
            <w:vAlign w:val="bottom"/>
            <w:hideMark/>
          </w:tcPr>
          <w:p w14:paraId="3EC42CF6" w14:textId="77777777" w:rsidR="007C5AC4" w:rsidRPr="007C5AC4" w:rsidRDefault="007C5AC4" w:rsidP="007C5AC4">
            <w:pPr>
              <w:spacing w:after="0" w:line="240" w:lineRule="auto"/>
              <w:rPr>
                <w:rFonts w:ascii="Calibri" w:eastAsia="Times New Roman" w:hAnsi="Calibri" w:cs="Calibri"/>
                <w:kern w:val="0"/>
                <w14:ligatures w14:val="none"/>
              </w:rPr>
            </w:pPr>
            <w:r w:rsidRPr="007C5AC4">
              <w:rPr>
                <w:rFonts w:ascii="Calibri" w:eastAsia="Times New Roman" w:hAnsi="Calibri" w:cs="Calibri"/>
                <w:kern w:val="0"/>
                <w14:ligatures w14:val="none"/>
              </w:rPr>
              <w:t>Beth Israel Deaconess Medical Center - East Campus</w:t>
            </w:r>
          </w:p>
        </w:tc>
        <w:tc>
          <w:tcPr>
            <w:tcW w:w="1495" w:type="dxa"/>
            <w:gridSpan w:val="2"/>
            <w:tcBorders>
              <w:top w:val="nil"/>
              <w:left w:val="single" w:sz="8" w:space="0" w:color="auto"/>
              <w:bottom w:val="single" w:sz="8" w:space="0" w:color="auto"/>
              <w:right w:val="nil"/>
            </w:tcBorders>
            <w:shd w:val="clear" w:color="auto" w:fill="auto"/>
            <w:noWrap/>
            <w:vAlign w:val="bottom"/>
            <w:hideMark/>
          </w:tcPr>
          <w:p w14:paraId="06FDC245" w14:textId="77777777"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8.9%</w:t>
            </w:r>
          </w:p>
        </w:tc>
        <w:tc>
          <w:tcPr>
            <w:tcW w:w="1495" w:type="dxa"/>
            <w:tcBorders>
              <w:top w:val="nil"/>
              <w:left w:val="nil"/>
              <w:bottom w:val="single" w:sz="8" w:space="0" w:color="auto"/>
              <w:right w:val="single" w:sz="8" w:space="0" w:color="auto"/>
            </w:tcBorders>
            <w:shd w:val="clear" w:color="auto" w:fill="auto"/>
            <w:noWrap/>
            <w:vAlign w:val="bottom"/>
            <w:hideMark/>
          </w:tcPr>
          <w:p w14:paraId="50128FEE" w14:textId="70D163D8" w:rsidR="007C5AC4" w:rsidRPr="007C5AC4" w:rsidRDefault="007C5AC4" w:rsidP="007C5AC4">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8.4</w:t>
            </w:r>
            <w:r w:rsidRPr="007C5AC4">
              <w:rPr>
                <w:rFonts w:ascii="Calibri" w:eastAsia="Times New Roman" w:hAnsi="Calibri" w:cs="Calibri"/>
                <w:kern w:val="0"/>
                <w14:ligatures w14:val="none"/>
              </w:rPr>
              <w:t>%</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73288682" w14:textId="5A6A52EB" w:rsidR="007C5AC4" w:rsidRPr="007C5AC4" w:rsidRDefault="007C5AC4" w:rsidP="007C5AC4">
            <w:pPr>
              <w:spacing w:after="0" w:line="240" w:lineRule="auto"/>
              <w:jc w:val="center"/>
              <w:rPr>
                <w:rFonts w:ascii="Calibri" w:eastAsia="Times New Roman" w:hAnsi="Calibri" w:cs="Calibri"/>
                <w:kern w:val="0"/>
                <w14:ligatures w14:val="none"/>
              </w:rPr>
            </w:pPr>
            <w:r w:rsidRPr="007C5AC4">
              <w:rPr>
                <w:rFonts w:ascii="Calibri" w:eastAsia="Times New Roman" w:hAnsi="Calibri" w:cs="Calibri"/>
                <w:kern w:val="0"/>
                <w14:ligatures w14:val="none"/>
              </w:rPr>
              <w:t>-</w:t>
            </w:r>
            <w:r>
              <w:rPr>
                <w:rFonts w:ascii="Calibri" w:eastAsia="Times New Roman" w:hAnsi="Calibri" w:cs="Calibri"/>
                <w:kern w:val="0"/>
                <w14:ligatures w14:val="none"/>
              </w:rPr>
              <w:t>0.6</w:t>
            </w:r>
            <w:r w:rsidRPr="007C5AC4">
              <w:rPr>
                <w:rFonts w:ascii="Calibri" w:eastAsia="Times New Roman" w:hAnsi="Calibri" w:cs="Calibri"/>
                <w:kern w:val="0"/>
                <w14:ligatures w14:val="none"/>
              </w:rPr>
              <w:t>%</w:t>
            </w:r>
          </w:p>
        </w:tc>
      </w:tr>
      <w:tr w:rsidR="007C5AC4" w:rsidRPr="007C5AC4" w14:paraId="4617C5B1" w14:textId="77777777" w:rsidTr="00403016">
        <w:trPr>
          <w:cantSplit/>
          <w:trHeight w:val="300"/>
          <w:jc w:val="center"/>
        </w:trPr>
        <w:tc>
          <w:tcPr>
            <w:tcW w:w="5280" w:type="dxa"/>
            <w:tcBorders>
              <w:top w:val="nil"/>
              <w:left w:val="single" w:sz="8" w:space="0" w:color="auto"/>
              <w:bottom w:val="single" w:sz="8" w:space="0" w:color="auto"/>
              <w:right w:val="single" w:sz="8" w:space="0" w:color="auto"/>
            </w:tcBorders>
            <w:shd w:val="clear" w:color="auto" w:fill="auto"/>
            <w:noWrap/>
            <w:vAlign w:val="bottom"/>
            <w:hideMark/>
          </w:tcPr>
          <w:p w14:paraId="15F70937" w14:textId="77777777" w:rsidR="007C5AC4" w:rsidRPr="007C5AC4" w:rsidRDefault="007C5AC4" w:rsidP="007C5AC4">
            <w:pPr>
              <w:spacing w:after="0" w:line="240" w:lineRule="auto"/>
              <w:rPr>
                <w:rFonts w:ascii="Calibri" w:eastAsia="Times New Roman" w:hAnsi="Calibri" w:cs="Calibri"/>
                <w:i/>
                <w:iCs/>
                <w:kern w:val="0"/>
                <w14:ligatures w14:val="none"/>
              </w:rPr>
            </w:pPr>
            <w:r w:rsidRPr="007C5AC4">
              <w:rPr>
                <w:rFonts w:ascii="Calibri" w:eastAsia="Times New Roman" w:hAnsi="Calibri" w:cs="Calibri"/>
                <w:i/>
                <w:iCs/>
                <w:kern w:val="0"/>
                <w14:ligatures w14:val="none"/>
              </w:rPr>
              <w:t>Herfindahl-Hirschman Index</w:t>
            </w:r>
          </w:p>
        </w:tc>
        <w:tc>
          <w:tcPr>
            <w:tcW w:w="1220" w:type="dxa"/>
            <w:tcBorders>
              <w:top w:val="single" w:sz="8" w:space="0" w:color="auto"/>
              <w:left w:val="nil"/>
              <w:bottom w:val="single" w:sz="8" w:space="0" w:color="auto"/>
              <w:right w:val="nil"/>
            </w:tcBorders>
            <w:shd w:val="clear" w:color="auto" w:fill="auto"/>
            <w:noWrap/>
            <w:vAlign w:val="bottom"/>
            <w:hideMark/>
          </w:tcPr>
          <w:p w14:paraId="41293136" w14:textId="6581D262" w:rsidR="007C5AC4" w:rsidRPr="007C5AC4" w:rsidRDefault="007C5AC4" w:rsidP="007C5AC4">
            <w:pPr>
              <w:spacing w:after="0" w:line="240" w:lineRule="auto"/>
              <w:jc w:val="center"/>
              <w:rPr>
                <w:rFonts w:ascii="Calibri" w:eastAsia="Times New Roman" w:hAnsi="Calibri" w:cs="Calibri"/>
                <w:i/>
                <w:iCs/>
                <w:kern w:val="0"/>
                <w14:ligatures w14:val="none"/>
              </w:rPr>
            </w:pPr>
            <w:r>
              <w:rPr>
                <w:rFonts w:ascii="Calibri" w:eastAsia="Times New Roman" w:hAnsi="Calibri" w:cs="Calibri"/>
                <w:i/>
                <w:iCs/>
                <w:kern w:val="0"/>
                <w14:ligatures w14:val="none"/>
              </w:rPr>
              <w:t xml:space="preserve">    </w:t>
            </w:r>
            <w:r w:rsidRPr="007C5AC4">
              <w:rPr>
                <w:rFonts w:ascii="Calibri" w:eastAsia="Times New Roman" w:hAnsi="Calibri" w:cs="Calibri"/>
                <w:i/>
                <w:iCs/>
                <w:kern w:val="0"/>
                <w14:ligatures w14:val="none"/>
              </w:rPr>
              <w:t>2,261</w:t>
            </w:r>
          </w:p>
        </w:tc>
        <w:tc>
          <w:tcPr>
            <w:tcW w:w="177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451C13A" w14:textId="4F60AF9D" w:rsidR="007C5AC4" w:rsidRPr="007C5AC4" w:rsidRDefault="007C5AC4" w:rsidP="007C5AC4">
            <w:pPr>
              <w:spacing w:after="0" w:line="240" w:lineRule="auto"/>
              <w:jc w:val="center"/>
              <w:rPr>
                <w:rFonts w:ascii="Calibri" w:eastAsia="Times New Roman" w:hAnsi="Calibri" w:cs="Calibri"/>
                <w:i/>
                <w:iCs/>
                <w:kern w:val="0"/>
                <w14:ligatures w14:val="none"/>
              </w:rPr>
            </w:pPr>
            <w:r>
              <w:rPr>
                <w:rFonts w:ascii="Calibri" w:eastAsia="Times New Roman" w:hAnsi="Calibri" w:cs="Calibri"/>
                <w:i/>
                <w:iCs/>
                <w:kern w:val="0"/>
                <w14:ligatures w14:val="none"/>
              </w:rPr>
              <w:t xml:space="preserve">   </w:t>
            </w:r>
            <w:r w:rsidRPr="007C5AC4">
              <w:rPr>
                <w:rFonts w:ascii="Calibri" w:eastAsia="Times New Roman" w:hAnsi="Calibri" w:cs="Calibri"/>
                <w:i/>
                <w:iCs/>
                <w:kern w:val="0"/>
                <w14:ligatures w14:val="none"/>
              </w:rPr>
              <w:t>1,</w:t>
            </w:r>
            <w:r>
              <w:rPr>
                <w:rFonts w:ascii="Calibri" w:eastAsia="Times New Roman" w:hAnsi="Calibri" w:cs="Calibri"/>
                <w:i/>
                <w:iCs/>
                <w:kern w:val="0"/>
                <w14:ligatures w14:val="none"/>
              </w:rPr>
              <w:t>493</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2F6EBB64" w14:textId="1CA510A0" w:rsidR="007C5AC4" w:rsidRPr="007C5AC4" w:rsidRDefault="007C5AC4" w:rsidP="007C5AC4">
            <w:pPr>
              <w:spacing w:after="0" w:line="240" w:lineRule="auto"/>
              <w:jc w:val="center"/>
              <w:rPr>
                <w:rFonts w:ascii="Calibri" w:eastAsia="Times New Roman" w:hAnsi="Calibri" w:cs="Calibri"/>
                <w:i/>
                <w:iCs/>
                <w:kern w:val="0"/>
                <w14:ligatures w14:val="none"/>
              </w:rPr>
            </w:pPr>
            <w:r w:rsidRPr="007C5AC4">
              <w:rPr>
                <w:rFonts w:ascii="Calibri" w:eastAsia="Times New Roman" w:hAnsi="Calibri" w:cs="Calibri"/>
                <w:i/>
                <w:iCs/>
                <w:kern w:val="0"/>
                <w14:ligatures w14:val="none"/>
              </w:rPr>
              <w:t>-7</w:t>
            </w:r>
            <w:r>
              <w:rPr>
                <w:rFonts w:ascii="Calibri" w:eastAsia="Times New Roman" w:hAnsi="Calibri" w:cs="Calibri"/>
                <w:i/>
                <w:iCs/>
                <w:kern w:val="0"/>
                <w14:ligatures w14:val="none"/>
              </w:rPr>
              <w:t>68</w:t>
            </w:r>
          </w:p>
        </w:tc>
      </w:tr>
    </w:tbl>
    <w:p w14:paraId="2E8F004E" w14:textId="77777777" w:rsidR="007C5AC4" w:rsidRDefault="007C5AC4" w:rsidP="007A6977">
      <w:pPr>
        <w:spacing w:after="0" w:line="360" w:lineRule="auto"/>
        <w:ind w:left="-7"/>
      </w:pPr>
    </w:p>
    <w:p w14:paraId="5D39C58A" w14:textId="2C1CA526" w:rsidR="007A6977" w:rsidRDefault="00E31608" w:rsidP="00C748CC">
      <w:pPr>
        <w:numPr>
          <w:ilvl w:val="0"/>
          <w:numId w:val="4"/>
        </w:numPr>
        <w:spacing w:before="120" w:after="120" w:line="360" w:lineRule="auto"/>
        <w:ind w:hanging="547"/>
        <w:jc w:val="both"/>
      </w:pPr>
      <w:r>
        <w:t xml:space="preserve">Table </w:t>
      </w:r>
      <w:r w:rsidR="00C228C7">
        <w:t>1</w:t>
      </w:r>
      <w:r w:rsidR="00AB290B">
        <w:t>7</w:t>
      </w:r>
      <w:r>
        <w:t xml:space="preserve"> shows the projected market shares for 2025-2040 </w:t>
      </w:r>
      <w:r w:rsidR="00036963">
        <w:t>by payor type</w:t>
      </w:r>
      <w:r>
        <w:t xml:space="preserve">. The shares do not materially change from those projected for 2025, with the change in DFCI shares </w:t>
      </w:r>
      <w:r w:rsidR="001E2460">
        <w:t>declining somewhat over time.</w:t>
      </w:r>
      <w:r>
        <w:t xml:space="preserve"> These </w:t>
      </w:r>
      <w:r w:rsidR="006020D7">
        <w:t>“</w:t>
      </w:r>
      <w:r>
        <w:t>out-year</w:t>
      </w:r>
      <w:r w:rsidR="006020D7">
        <w:t>”</w:t>
      </w:r>
      <w:r>
        <w:t xml:space="preserve"> estimated changes are driven by trends in </w:t>
      </w:r>
      <w:r w:rsidRPr="00491A77">
        <w:t>patient population</w:t>
      </w:r>
      <w:r>
        <w:t xml:space="preserve"> demographics</w:t>
      </w:r>
      <w:r w:rsidRPr="00491A77">
        <w:t xml:space="preserve">, not </w:t>
      </w:r>
      <w:r>
        <w:t xml:space="preserve">by </w:t>
      </w:r>
      <w:r w:rsidRPr="00491A77">
        <w:t>utilization or facilit</w:t>
      </w:r>
      <w:r>
        <w:t>ies</w:t>
      </w:r>
      <w:r w:rsidRPr="00491A77">
        <w:t xml:space="preserve">. </w:t>
      </w:r>
      <w:r w:rsidR="00EA5981">
        <w:t>C</w:t>
      </w:r>
      <w:r>
        <w:t>ommercially-insured patients a</w:t>
      </w:r>
      <w:r w:rsidR="00EA5981">
        <w:t>re</w:t>
      </w:r>
      <w:r>
        <w:t xml:space="preserve"> most relevant when assessing impacts on changes in health expenditures both through redistribution among differentially-priced facilities and changes, if any, in hospital negotiating power. </w:t>
      </w:r>
      <w:r w:rsidR="00EA5981">
        <w:t>A</w:t>
      </w:r>
      <w:r w:rsidR="00ED2F0E">
        <w:t xml:space="preserve">nalysis </w:t>
      </w:r>
      <w:r w:rsidR="00ED2F0E" w:rsidRPr="00ED2F0E">
        <w:t xml:space="preserve">for patients covered by </w:t>
      </w:r>
      <w:r w:rsidR="001E2460">
        <w:t>Medicare</w:t>
      </w:r>
      <w:r w:rsidR="00ED2F0E" w:rsidRPr="00ED2F0E">
        <w:t xml:space="preserve"> and </w:t>
      </w:r>
      <w:r w:rsidR="001E2460">
        <w:t xml:space="preserve">Medicaid </w:t>
      </w:r>
      <w:r w:rsidR="00EA5981">
        <w:t>in Table 1</w:t>
      </w:r>
      <w:r w:rsidR="00AB290B">
        <w:t>7</w:t>
      </w:r>
      <w:r w:rsidR="00EA5981">
        <w:t xml:space="preserve"> </w:t>
      </w:r>
      <w:r w:rsidR="00ED2F0E">
        <w:t xml:space="preserve">show </w:t>
      </w:r>
      <w:r w:rsidR="00ED2F0E" w:rsidRPr="00ED2F0E">
        <w:t xml:space="preserve">substantially similar </w:t>
      </w:r>
      <w:r w:rsidR="00ED2F0E">
        <w:t xml:space="preserve">results, </w:t>
      </w:r>
      <w:r w:rsidR="00ED2F0E" w:rsidRPr="00ED2F0E">
        <w:t xml:space="preserve">suggesting that the effect of </w:t>
      </w:r>
      <w:r w:rsidR="00ED2F0E">
        <w:t xml:space="preserve">the Proposed Project </w:t>
      </w:r>
      <w:r w:rsidR="00ED2F0E" w:rsidRPr="00ED2F0E">
        <w:t>would be similar for these patients as for commercial patients.</w:t>
      </w:r>
      <w:r w:rsidR="00ED2F0E">
        <w:t xml:space="preserve"> </w:t>
      </w:r>
      <w:r>
        <w:t>The medical spending estimates that follow</w:t>
      </w:r>
      <w:r w:rsidR="00ED2F0E">
        <w:t xml:space="preserve"> </w:t>
      </w:r>
      <w:r>
        <w:t>incorporate shifts in shares across all payors</w:t>
      </w:r>
      <w:r w:rsidR="00ED2F0E">
        <w:t xml:space="preserve">, including Medicare and </w:t>
      </w:r>
      <w:r w:rsidR="00F7130C">
        <w:t>Medicaid</w:t>
      </w:r>
      <w:r>
        <w:t>.</w:t>
      </w:r>
    </w:p>
    <w:p w14:paraId="5212E0A0" w14:textId="16AB73E0" w:rsidR="00103D53" w:rsidRDefault="00103D53" w:rsidP="0041221B">
      <w:pPr>
        <w:pStyle w:val="Caption"/>
        <w:keepNext/>
        <w:jc w:val="center"/>
      </w:pPr>
      <w:bookmarkStart w:id="47" w:name="_Toc187401790"/>
      <w:r w:rsidRPr="0041221B">
        <w:t>Table</w:t>
      </w:r>
      <w:r>
        <w:t xml:space="preserve"> </w:t>
      </w:r>
      <w:fldSimple w:instr=" SEQ Table \* ARABIC ">
        <w:r w:rsidR="0085394E">
          <w:rPr>
            <w:noProof/>
          </w:rPr>
          <w:t>17</w:t>
        </w:r>
      </w:fldSimple>
      <w:r>
        <w:t xml:space="preserve">: Projected Inpatient </w:t>
      </w:r>
      <w:r w:rsidR="00C22865">
        <w:t xml:space="preserve">Cancer Care </w:t>
      </w:r>
      <w:r>
        <w:t xml:space="preserve">Shares for DFCI by </w:t>
      </w:r>
      <w:r w:rsidR="00036963">
        <w:t>Payor Type, 2025-2040</w:t>
      </w:r>
      <w:bookmarkEnd w:id="47"/>
    </w:p>
    <w:tbl>
      <w:tblPr>
        <w:tblW w:w="0" w:type="auto"/>
        <w:jc w:val="center"/>
        <w:tblLayout w:type="fixed"/>
        <w:tblLook w:val="04A0" w:firstRow="1" w:lastRow="0" w:firstColumn="1" w:lastColumn="0" w:noHBand="0" w:noVBand="1"/>
      </w:tblPr>
      <w:tblGrid>
        <w:gridCol w:w="1287"/>
        <w:gridCol w:w="1503"/>
        <w:gridCol w:w="859"/>
        <w:gridCol w:w="860"/>
        <w:gridCol w:w="860"/>
        <w:gridCol w:w="860"/>
      </w:tblGrid>
      <w:tr w:rsidR="0041221B" w:rsidRPr="001D3E05" w14:paraId="3E8B36BE" w14:textId="77777777" w:rsidTr="00403016">
        <w:trPr>
          <w:cantSplit/>
          <w:trHeight w:val="259"/>
          <w:tblHeader/>
          <w:jc w:val="center"/>
        </w:trPr>
        <w:tc>
          <w:tcPr>
            <w:tcW w:w="1287" w:type="dxa"/>
            <w:tcBorders>
              <w:top w:val="single" w:sz="8" w:space="0" w:color="auto"/>
              <w:left w:val="single" w:sz="8" w:space="0" w:color="auto"/>
              <w:bottom w:val="nil"/>
            </w:tcBorders>
            <w:shd w:val="clear" w:color="000000" w:fill="002060"/>
            <w:noWrap/>
            <w:vAlign w:val="bottom"/>
            <w:hideMark/>
          </w:tcPr>
          <w:p w14:paraId="4BD72EA9" w14:textId="77777777" w:rsidR="0041221B" w:rsidRPr="001D3E05" w:rsidRDefault="0041221B" w:rsidP="001D3E05">
            <w:pPr>
              <w:spacing w:after="0" w:line="240" w:lineRule="auto"/>
              <w:rPr>
                <w:rFonts w:ascii="Calibri" w:eastAsia="Times New Roman" w:hAnsi="Calibri" w:cs="Calibri"/>
                <w:b/>
                <w:bCs/>
                <w:color w:val="FFFFFF"/>
                <w:kern w:val="0"/>
                <w14:ligatures w14:val="none"/>
              </w:rPr>
            </w:pPr>
            <w:r w:rsidRPr="001D3E05">
              <w:rPr>
                <w:rFonts w:ascii="Calibri" w:eastAsia="Times New Roman" w:hAnsi="Calibri" w:cs="Calibri"/>
                <w:b/>
                <w:bCs/>
                <w:color w:val="FFFFFF"/>
                <w:kern w:val="0"/>
                <w14:ligatures w14:val="none"/>
              </w:rPr>
              <w:t> </w:t>
            </w:r>
          </w:p>
        </w:tc>
        <w:tc>
          <w:tcPr>
            <w:tcW w:w="1503" w:type="dxa"/>
            <w:tcBorders>
              <w:top w:val="single" w:sz="8" w:space="0" w:color="auto"/>
              <w:left w:val="nil"/>
            </w:tcBorders>
            <w:shd w:val="clear" w:color="000000" w:fill="002060"/>
            <w:noWrap/>
            <w:vAlign w:val="bottom"/>
            <w:hideMark/>
          </w:tcPr>
          <w:p w14:paraId="5F099544" w14:textId="1B0D8084" w:rsidR="0041221B" w:rsidRPr="001D3E05" w:rsidRDefault="0041221B" w:rsidP="0041221B">
            <w:pPr>
              <w:spacing w:after="0" w:line="240" w:lineRule="auto"/>
              <w:jc w:val="center"/>
              <w:rPr>
                <w:rFonts w:ascii="Calibri" w:eastAsia="Times New Roman" w:hAnsi="Calibri" w:cs="Calibri"/>
                <w:b/>
                <w:bCs/>
                <w:color w:val="FFFFFF"/>
                <w:kern w:val="0"/>
                <w14:ligatures w14:val="none"/>
              </w:rPr>
            </w:pPr>
          </w:p>
        </w:tc>
        <w:tc>
          <w:tcPr>
            <w:tcW w:w="3439" w:type="dxa"/>
            <w:gridSpan w:val="4"/>
            <w:tcBorders>
              <w:top w:val="single" w:sz="8" w:space="0" w:color="auto"/>
              <w:left w:val="nil"/>
              <w:bottom w:val="nil"/>
              <w:right w:val="single" w:sz="8" w:space="0" w:color="000000"/>
            </w:tcBorders>
            <w:shd w:val="clear" w:color="000000" w:fill="002060"/>
            <w:noWrap/>
            <w:vAlign w:val="bottom"/>
            <w:hideMark/>
          </w:tcPr>
          <w:p w14:paraId="0DB04672" w14:textId="30BD54A2" w:rsidR="0041221B" w:rsidRPr="001D3E05" w:rsidRDefault="0041221B" w:rsidP="001D3E05">
            <w:pPr>
              <w:spacing w:after="0" w:line="240" w:lineRule="auto"/>
              <w:jc w:val="center"/>
              <w:rPr>
                <w:rFonts w:ascii="Calibri" w:eastAsia="Times New Roman" w:hAnsi="Calibri" w:cs="Calibri"/>
                <w:b/>
                <w:bCs/>
                <w:color w:val="FFFFFF"/>
                <w:kern w:val="0"/>
                <w14:ligatures w14:val="none"/>
              </w:rPr>
            </w:pPr>
            <w:r w:rsidRPr="001D3E05">
              <w:rPr>
                <w:rFonts w:ascii="Calibri" w:eastAsia="Times New Roman" w:hAnsi="Calibri" w:cs="Calibri"/>
                <w:b/>
                <w:bCs/>
                <w:color w:val="FFFFFF"/>
                <w:kern w:val="0"/>
                <w14:ligatures w14:val="none"/>
              </w:rPr>
              <w:t>Projected</w:t>
            </w:r>
            <w:r>
              <w:rPr>
                <w:rFonts w:ascii="Calibri" w:eastAsia="Times New Roman" w:hAnsi="Calibri" w:cs="Calibri"/>
                <w:b/>
                <w:bCs/>
                <w:color w:val="FFFFFF"/>
                <w:kern w:val="0"/>
                <w14:ligatures w14:val="none"/>
              </w:rPr>
              <w:t xml:space="preserve"> Share</w:t>
            </w:r>
          </w:p>
        </w:tc>
      </w:tr>
      <w:tr w:rsidR="0041221B" w:rsidRPr="001D3E05" w14:paraId="02D92121" w14:textId="77777777" w:rsidTr="00403016">
        <w:trPr>
          <w:cantSplit/>
          <w:trHeight w:val="83"/>
          <w:tblHeader/>
          <w:jc w:val="center"/>
        </w:trPr>
        <w:tc>
          <w:tcPr>
            <w:tcW w:w="1287" w:type="dxa"/>
            <w:tcBorders>
              <w:top w:val="nil"/>
              <w:left w:val="single" w:sz="8" w:space="0" w:color="auto"/>
              <w:bottom w:val="single" w:sz="4" w:space="0" w:color="auto"/>
            </w:tcBorders>
            <w:shd w:val="clear" w:color="000000" w:fill="002060"/>
            <w:noWrap/>
            <w:vAlign w:val="bottom"/>
            <w:hideMark/>
          </w:tcPr>
          <w:p w14:paraId="7DBFDAC1" w14:textId="77777777" w:rsidR="0041221B" w:rsidRPr="001D3E05" w:rsidRDefault="0041221B" w:rsidP="001D3E05">
            <w:pPr>
              <w:spacing w:after="0" w:line="240" w:lineRule="auto"/>
              <w:rPr>
                <w:rFonts w:ascii="Calibri" w:eastAsia="Times New Roman" w:hAnsi="Calibri" w:cs="Calibri"/>
                <w:b/>
                <w:bCs/>
                <w:color w:val="FFFFFF"/>
                <w:kern w:val="0"/>
                <w14:ligatures w14:val="none"/>
              </w:rPr>
            </w:pPr>
            <w:r w:rsidRPr="001D3E05">
              <w:rPr>
                <w:rFonts w:ascii="Calibri" w:eastAsia="Times New Roman" w:hAnsi="Calibri" w:cs="Calibri"/>
                <w:b/>
                <w:bCs/>
                <w:color w:val="FFFFFF"/>
                <w:kern w:val="0"/>
                <w14:ligatures w14:val="none"/>
              </w:rPr>
              <w:t>Payer</w:t>
            </w:r>
          </w:p>
        </w:tc>
        <w:tc>
          <w:tcPr>
            <w:tcW w:w="1503" w:type="dxa"/>
            <w:tcBorders>
              <w:left w:val="nil"/>
              <w:bottom w:val="single" w:sz="4" w:space="0" w:color="auto"/>
            </w:tcBorders>
            <w:shd w:val="clear" w:color="000000" w:fill="002060"/>
            <w:noWrap/>
            <w:vAlign w:val="bottom"/>
            <w:hideMark/>
          </w:tcPr>
          <w:p w14:paraId="391ACDB9" w14:textId="700815E0" w:rsidR="0041221B" w:rsidRPr="001D3E05" w:rsidRDefault="00403016" w:rsidP="0041221B">
            <w:pPr>
              <w:spacing w:after="0" w:line="240" w:lineRule="auto"/>
              <w:jc w:val="center"/>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2025 Status Quo Share</w:t>
            </w:r>
          </w:p>
        </w:tc>
        <w:tc>
          <w:tcPr>
            <w:tcW w:w="859" w:type="dxa"/>
            <w:tcBorders>
              <w:top w:val="nil"/>
              <w:left w:val="nil"/>
              <w:bottom w:val="single" w:sz="4" w:space="0" w:color="auto"/>
              <w:right w:val="nil"/>
            </w:tcBorders>
            <w:shd w:val="clear" w:color="000000" w:fill="002060"/>
            <w:noWrap/>
            <w:vAlign w:val="bottom"/>
            <w:hideMark/>
          </w:tcPr>
          <w:p w14:paraId="54530BF8" w14:textId="1AF5447C" w:rsidR="0041221B" w:rsidRPr="001D3E05" w:rsidRDefault="0041221B" w:rsidP="001D3E05">
            <w:pPr>
              <w:spacing w:after="0" w:line="240" w:lineRule="auto"/>
              <w:jc w:val="center"/>
              <w:rPr>
                <w:rFonts w:ascii="Calibri" w:eastAsia="Times New Roman" w:hAnsi="Calibri" w:cs="Calibri"/>
                <w:i/>
                <w:iCs/>
                <w:color w:val="FFFFFF"/>
                <w:kern w:val="0"/>
                <w14:ligatures w14:val="none"/>
              </w:rPr>
            </w:pPr>
            <w:r w:rsidRPr="001D3E05">
              <w:rPr>
                <w:rFonts w:ascii="Calibri" w:eastAsia="Times New Roman" w:hAnsi="Calibri" w:cs="Calibri"/>
                <w:i/>
                <w:iCs/>
                <w:color w:val="FFFFFF"/>
                <w:kern w:val="0"/>
                <w14:ligatures w14:val="none"/>
              </w:rPr>
              <w:t>2025</w:t>
            </w:r>
          </w:p>
        </w:tc>
        <w:tc>
          <w:tcPr>
            <w:tcW w:w="860" w:type="dxa"/>
            <w:tcBorders>
              <w:top w:val="nil"/>
              <w:left w:val="nil"/>
              <w:bottom w:val="single" w:sz="4" w:space="0" w:color="auto"/>
              <w:right w:val="nil"/>
            </w:tcBorders>
            <w:shd w:val="clear" w:color="000000" w:fill="002060"/>
            <w:noWrap/>
            <w:vAlign w:val="bottom"/>
            <w:hideMark/>
          </w:tcPr>
          <w:p w14:paraId="10FF1A2A" w14:textId="77777777" w:rsidR="0041221B" w:rsidRPr="001D3E05" w:rsidRDefault="0041221B" w:rsidP="001D3E05">
            <w:pPr>
              <w:spacing w:after="0" w:line="240" w:lineRule="auto"/>
              <w:jc w:val="center"/>
              <w:rPr>
                <w:rFonts w:ascii="Calibri" w:eastAsia="Times New Roman" w:hAnsi="Calibri" w:cs="Calibri"/>
                <w:i/>
                <w:iCs/>
                <w:color w:val="FFFFFF"/>
                <w:kern w:val="0"/>
                <w14:ligatures w14:val="none"/>
              </w:rPr>
            </w:pPr>
            <w:r w:rsidRPr="001D3E05">
              <w:rPr>
                <w:rFonts w:ascii="Calibri" w:eastAsia="Times New Roman" w:hAnsi="Calibri" w:cs="Calibri"/>
                <w:i/>
                <w:iCs/>
                <w:color w:val="FFFFFF"/>
                <w:kern w:val="0"/>
                <w14:ligatures w14:val="none"/>
              </w:rPr>
              <w:t>2030</w:t>
            </w:r>
          </w:p>
        </w:tc>
        <w:tc>
          <w:tcPr>
            <w:tcW w:w="860" w:type="dxa"/>
            <w:tcBorders>
              <w:top w:val="nil"/>
              <w:left w:val="nil"/>
              <w:bottom w:val="single" w:sz="4" w:space="0" w:color="auto"/>
              <w:right w:val="nil"/>
            </w:tcBorders>
            <w:shd w:val="clear" w:color="000000" w:fill="002060"/>
            <w:noWrap/>
            <w:vAlign w:val="bottom"/>
            <w:hideMark/>
          </w:tcPr>
          <w:p w14:paraId="259B7468" w14:textId="77777777" w:rsidR="0041221B" w:rsidRPr="001D3E05" w:rsidRDefault="0041221B" w:rsidP="001D3E05">
            <w:pPr>
              <w:spacing w:after="0" w:line="240" w:lineRule="auto"/>
              <w:jc w:val="center"/>
              <w:rPr>
                <w:rFonts w:ascii="Calibri" w:eastAsia="Times New Roman" w:hAnsi="Calibri" w:cs="Calibri"/>
                <w:i/>
                <w:iCs/>
                <w:color w:val="FFFFFF"/>
                <w:kern w:val="0"/>
                <w14:ligatures w14:val="none"/>
              </w:rPr>
            </w:pPr>
            <w:r w:rsidRPr="001D3E05">
              <w:rPr>
                <w:rFonts w:ascii="Calibri" w:eastAsia="Times New Roman" w:hAnsi="Calibri" w:cs="Calibri"/>
                <w:i/>
                <w:iCs/>
                <w:color w:val="FFFFFF"/>
                <w:kern w:val="0"/>
                <w14:ligatures w14:val="none"/>
              </w:rPr>
              <w:t>2035</w:t>
            </w:r>
          </w:p>
        </w:tc>
        <w:tc>
          <w:tcPr>
            <w:tcW w:w="860" w:type="dxa"/>
            <w:tcBorders>
              <w:top w:val="nil"/>
              <w:left w:val="nil"/>
              <w:bottom w:val="single" w:sz="4" w:space="0" w:color="auto"/>
              <w:right w:val="single" w:sz="8" w:space="0" w:color="auto"/>
            </w:tcBorders>
            <w:shd w:val="clear" w:color="000000" w:fill="002060"/>
            <w:noWrap/>
            <w:vAlign w:val="bottom"/>
            <w:hideMark/>
          </w:tcPr>
          <w:p w14:paraId="57CD87A1" w14:textId="77777777" w:rsidR="0041221B" w:rsidRPr="001D3E05" w:rsidRDefault="0041221B" w:rsidP="001D3E05">
            <w:pPr>
              <w:spacing w:after="0" w:line="240" w:lineRule="auto"/>
              <w:jc w:val="center"/>
              <w:rPr>
                <w:rFonts w:ascii="Calibri" w:eastAsia="Times New Roman" w:hAnsi="Calibri" w:cs="Calibri"/>
                <w:i/>
                <w:iCs/>
                <w:color w:val="FFFFFF"/>
                <w:kern w:val="0"/>
                <w14:ligatures w14:val="none"/>
              </w:rPr>
            </w:pPr>
            <w:r w:rsidRPr="001D3E05">
              <w:rPr>
                <w:rFonts w:ascii="Calibri" w:eastAsia="Times New Roman" w:hAnsi="Calibri" w:cs="Calibri"/>
                <w:i/>
                <w:iCs/>
                <w:color w:val="FFFFFF"/>
                <w:kern w:val="0"/>
                <w14:ligatures w14:val="none"/>
              </w:rPr>
              <w:t>2040</w:t>
            </w:r>
          </w:p>
        </w:tc>
      </w:tr>
      <w:tr w:rsidR="0041221B" w:rsidRPr="001D3E05" w14:paraId="7C802164" w14:textId="77777777" w:rsidTr="00403016">
        <w:trPr>
          <w:cantSplit/>
          <w:trHeight w:val="290"/>
          <w:jc w:val="center"/>
        </w:trPr>
        <w:tc>
          <w:tcPr>
            <w:tcW w:w="1287" w:type="dxa"/>
            <w:tcBorders>
              <w:top w:val="single" w:sz="4" w:space="0" w:color="auto"/>
              <w:left w:val="single" w:sz="4" w:space="0" w:color="auto"/>
              <w:bottom w:val="dashed" w:sz="4" w:space="0" w:color="auto"/>
              <w:right w:val="nil"/>
            </w:tcBorders>
            <w:shd w:val="clear" w:color="auto" w:fill="auto"/>
            <w:noWrap/>
            <w:vAlign w:val="bottom"/>
            <w:hideMark/>
          </w:tcPr>
          <w:p w14:paraId="5ED8A935" w14:textId="0F84A64F" w:rsidR="0041221B" w:rsidRPr="001D3E05" w:rsidRDefault="0041221B" w:rsidP="0041221B">
            <w:pPr>
              <w:spacing w:after="0" w:line="240" w:lineRule="auto"/>
              <w:rPr>
                <w:rFonts w:ascii="Calibri" w:eastAsia="Times New Roman" w:hAnsi="Calibri" w:cs="Calibri"/>
                <w:kern w:val="0"/>
                <w14:ligatures w14:val="none"/>
              </w:rPr>
            </w:pPr>
            <w:r w:rsidRPr="001D3E05">
              <w:rPr>
                <w:rFonts w:ascii="Calibri" w:eastAsia="Times New Roman" w:hAnsi="Calibri" w:cs="Calibri"/>
                <w:kern w:val="0"/>
                <w14:ligatures w14:val="none"/>
              </w:rPr>
              <w:t>Commer</w:t>
            </w:r>
            <w:r>
              <w:rPr>
                <w:rFonts w:ascii="Calibri" w:eastAsia="Times New Roman" w:hAnsi="Calibri" w:cs="Calibri"/>
                <w:kern w:val="0"/>
                <w14:ligatures w14:val="none"/>
              </w:rPr>
              <w:t>c</w:t>
            </w:r>
            <w:r w:rsidRPr="001D3E05">
              <w:rPr>
                <w:rFonts w:ascii="Calibri" w:eastAsia="Times New Roman" w:hAnsi="Calibri" w:cs="Calibri"/>
                <w:kern w:val="0"/>
                <w14:ligatures w14:val="none"/>
              </w:rPr>
              <w:t>ial</w:t>
            </w:r>
          </w:p>
        </w:tc>
        <w:tc>
          <w:tcPr>
            <w:tcW w:w="1503" w:type="dxa"/>
            <w:tcBorders>
              <w:top w:val="single" w:sz="4" w:space="0" w:color="auto"/>
              <w:left w:val="nil"/>
              <w:bottom w:val="dashed" w:sz="4" w:space="0" w:color="auto"/>
            </w:tcBorders>
            <w:shd w:val="clear" w:color="auto" w:fill="auto"/>
            <w:noWrap/>
            <w:vAlign w:val="bottom"/>
            <w:hideMark/>
          </w:tcPr>
          <w:p w14:paraId="0C684879" w14:textId="35544868"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w:t>
            </w:r>
            <w:r w:rsidRPr="001D3E05">
              <w:rPr>
                <w:rFonts w:ascii="Calibri" w:eastAsia="Times New Roman" w:hAnsi="Calibri" w:cs="Calibri"/>
                <w:kern w:val="0"/>
                <w14:ligatures w14:val="none"/>
              </w:rPr>
              <w:t>%</w:t>
            </w:r>
          </w:p>
        </w:tc>
        <w:tc>
          <w:tcPr>
            <w:tcW w:w="859" w:type="dxa"/>
            <w:tcBorders>
              <w:top w:val="single" w:sz="4" w:space="0" w:color="auto"/>
              <w:left w:val="nil"/>
              <w:bottom w:val="dashed" w:sz="4" w:space="0" w:color="auto"/>
              <w:right w:val="nil"/>
            </w:tcBorders>
            <w:shd w:val="clear" w:color="auto" w:fill="auto"/>
            <w:noWrap/>
            <w:vAlign w:val="bottom"/>
            <w:hideMark/>
          </w:tcPr>
          <w:p w14:paraId="17B10A79" w14:textId="68F0F09C"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18</w:t>
            </w:r>
            <w:r w:rsidRPr="001D3E05">
              <w:rPr>
                <w:rFonts w:ascii="Calibri" w:eastAsia="Times New Roman" w:hAnsi="Calibri" w:cs="Calibri"/>
                <w:kern w:val="0"/>
                <w14:ligatures w14:val="none"/>
              </w:rPr>
              <w:t>%</w:t>
            </w:r>
          </w:p>
        </w:tc>
        <w:tc>
          <w:tcPr>
            <w:tcW w:w="860" w:type="dxa"/>
            <w:tcBorders>
              <w:top w:val="single" w:sz="4" w:space="0" w:color="auto"/>
              <w:left w:val="nil"/>
              <w:bottom w:val="dashed" w:sz="4" w:space="0" w:color="auto"/>
              <w:right w:val="nil"/>
            </w:tcBorders>
            <w:shd w:val="clear" w:color="auto" w:fill="auto"/>
            <w:noWrap/>
            <w:vAlign w:val="bottom"/>
            <w:hideMark/>
          </w:tcPr>
          <w:p w14:paraId="7DEB867D" w14:textId="21C531F9"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18%</w:t>
            </w:r>
          </w:p>
        </w:tc>
        <w:tc>
          <w:tcPr>
            <w:tcW w:w="860" w:type="dxa"/>
            <w:tcBorders>
              <w:top w:val="single" w:sz="4" w:space="0" w:color="auto"/>
              <w:left w:val="nil"/>
              <w:bottom w:val="dashed" w:sz="4" w:space="0" w:color="auto"/>
              <w:right w:val="nil"/>
            </w:tcBorders>
            <w:shd w:val="clear" w:color="auto" w:fill="auto"/>
            <w:noWrap/>
            <w:vAlign w:val="bottom"/>
            <w:hideMark/>
          </w:tcPr>
          <w:p w14:paraId="4F937500" w14:textId="142F6B92"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18%</w:t>
            </w:r>
          </w:p>
        </w:tc>
        <w:tc>
          <w:tcPr>
            <w:tcW w:w="860" w:type="dxa"/>
            <w:tcBorders>
              <w:top w:val="single" w:sz="4" w:space="0" w:color="auto"/>
              <w:left w:val="nil"/>
              <w:bottom w:val="dashed" w:sz="4" w:space="0" w:color="auto"/>
              <w:right w:val="single" w:sz="4" w:space="0" w:color="auto"/>
            </w:tcBorders>
            <w:shd w:val="clear" w:color="auto" w:fill="auto"/>
            <w:noWrap/>
            <w:vAlign w:val="bottom"/>
            <w:hideMark/>
          </w:tcPr>
          <w:p w14:paraId="66FC6A1F" w14:textId="4CA5554D"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17%</w:t>
            </w:r>
          </w:p>
        </w:tc>
      </w:tr>
      <w:tr w:rsidR="0041221B" w:rsidRPr="001D3E05" w14:paraId="3491C2E4" w14:textId="77777777" w:rsidTr="00403016">
        <w:trPr>
          <w:cantSplit/>
          <w:trHeight w:val="290"/>
          <w:jc w:val="center"/>
        </w:trPr>
        <w:tc>
          <w:tcPr>
            <w:tcW w:w="1287" w:type="dxa"/>
            <w:tcBorders>
              <w:top w:val="dashed" w:sz="4" w:space="0" w:color="auto"/>
              <w:left w:val="single" w:sz="4" w:space="0" w:color="auto"/>
              <w:bottom w:val="dashed" w:sz="4" w:space="0" w:color="auto"/>
              <w:right w:val="nil"/>
            </w:tcBorders>
            <w:shd w:val="clear" w:color="auto" w:fill="auto"/>
            <w:noWrap/>
            <w:vAlign w:val="bottom"/>
            <w:hideMark/>
          </w:tcPr>
          <w:p w14:paraId="5A8DFC60" w14:textId="264A9980" w:rsidR="0041221B" w:rsidRPr="001D3E05" w:rsidRDefault="0041221B" w:rsidP="0041221B">
            <w:pPr>
              <w:spacing w:after="0" w:line="240" w:lineRule="auto"/>
              <w:rPr>
                <w:rFonts w:ascii="Calibri" w:eastAsia="Times New Roman" w:hAnsi="Calibri" w:cs="Calibri"/>
                <w:kern w:val="0"/>
                <w14:ligatures w14:val="none"/>
              </w:rPr>
            </w:pPr>
            <w:r>
              <w:rPr>
                <w:rFonts w:ascii="Calibri" w:eastAsia="Times New Roman" w:hAnsi="Calibri" w:cs="Calibri"/>
                <w:kern w:val="0"/>
                <w14:ligatures w14:val="none"/>
              </w:rPr>
              <w:t>Medicaid</w:t>
            </w:r>
          </w:p>
        </w:tc>
        <w:tc>
          <w:tcPr>
            <w:tcW w:w="1503" w:type="dxa"/>
            <w:tcBorders>
              <w:top w:val="dashed" w:sz="4" w:space="0" w:color="auto"/>
              <w:left w:val="nil"/>
              <w:bottom w:val="dashed" w:sz="4" w:space="0" w:color="auto"/>
            </w:tcBorders>
            <w:shd w:val="clear" w:color="auto" w:fill="auto"/>
            <w:noWrap/>
            <w:vAlign w:val="bottom"/>
            <w:hideMark/>
          </w:tcPr>
          <w:p w14:paraId="7375785E" w14:textId="7E1F16BB"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w:t>
            </w:r>
            <w:r w:rsidRPr="001D3E05">
              <w:rPr>
                <w:rFonts w:ascii="Calibri" w:eastAsia="Times New Roman" w:hAnsi="Calibri" w:cs="Calibri"/>
                <w:kern w:val="0"/>
                <w14:ligatures w14:val="none"/>
              </w:rPr>
              <w:t>%</w:t>
            </w:r>
          </w:p>
        </w:tc>
        <w:tc>
          <w:tcPr>
            <w:tcW w:w="859" w:type="dxa"/>
            <w:tcBorders>
              <w:top w:val="dashed" w:sz="4" w:space="0" w:color="auto"/>
              <w:left w:val="nil"/>
              <w:bottom w:val="dashed" w:sz="4" w:space="0" w:color="auto"/>
              <w:right w:val="nil"/>
            </w:tcBorders>
            <w:shd w:val="clear" w:color="auto" w:fill="auto"/>
            <w:noWrap/>
            <w:vAlign w:val="bottom"/>
            <w:hideMark/>
          </w:tcPr>
          <w:p w14:paraId="7C97ACD9" w14:textId="2382CDB9"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14</w:t>
            </w:r>
            <w:r w:rsidRPr="001D3E05">
              <w:rPr>
                <w:rFonts w:ascii="Calibri" w:eastAsia="Times New Roman" w:hAnsi="Calibri" w:cs="Calibri"/>
                <w:kern w:val="0"/>
                <w14:ligatures w14:val="none"/>
              </w:rPr>
              <w:t>%</w:t>
            </w:r>
          </w:p>
        </w:tc>
        <w:tc>
          <w:tcPr>
            <w:tcW w:w="860" w:type="dxa"/>
            <w:tcBorders>
              <w:top w:val="dashed" w:sz="4" w:space="0" w:color="auto"/>
              <w:left w:val="nil"/>
              <w:bottom w:val="dashed" w:sz="4" w:space="0" w:color="auto"/>
              <w:right w:val="nil"/>
            </w:tcBorders>
            <w:shd w:val="clear" w:color="auto" w:fill="auto"/>
            <w:noWrap/>
            <w:vAlign w:val="bottom"/>
            <w:hideMark/>
          </w:tcPr>
          <w:p w14:paraId="61CF0707" w14:textId="64580921"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13%</w:t>
            </w:r>
          </w:p>
        </w:tc>
        <w:tc>
          <w:tcPr>
            <w:tcW w:w="860" w:type="dxa"/>
            <w:tcBorders>
              <w:top w:val="dashed" w:sz="4" w:space="0" w:color="auto"/>
              <w:left w:val="nil"/>
              <w:bottom w:val="dashed" w:sz="4" w:space="0" w:color="auto"/>
              <w:right w:val="nil"/>
            </w:tcBorders>
            <w:shd w:val="clear" w:color="auto" w:fill="auto"/>
            <w:noWrap/>
            <w:vAlign w:val="bottom"/>
            <w:hideMark/>
          </w:tcPr>
          <w:p w14:paraId="5E4D7DAB" w14:textId="7A6EE9B3"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13%</w:t>
            </w:r>
          </w:p>
        </w:tc>
        <w:tc>
          <w:tcPr>
            <w:tcW w:w="860" w:type="dxa"/>
            <w:tcBorders>
              <w:top w:val="dashed" w:sz="4" w:space="0" w:color="auto"/>
              <w:left w:val="nil"/>
              <w:bottom w:val="dashed" w:sz="4" w:space="0" w:color="auto"/>
              <w:right w:val="single" w:sz="4" w:space="0" w:color="auto"/>
            </w:tcBorders>
            <w:shd w:val="clear" w:color="auto" w:fill="auto"/>
            <w:noWrap/>
            <w:vAlign w:val="bottom"/>
            <w:hideMark/>
          </w:tcPr>
          <w:p w14:paraId="5DDAF910" w14:textId="205A89DB"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13%</w:t>
            </w:r>
          </w:p>
        </w:tc>
      </w:tr>
      <w:tr w:rsidR="0041221B" w:rsidRPr="001D3E05" w14:paraId="0A1EB6FD" w14:textId="77777777" w:rsidTr="00403016">
        <w:trPr>
          <w:cantSplit/>
          <w:trHeight w:val="290"/>
          <w:jc w:val="center"/>
        </w:trPr>
        <w:tc>
          <w:tcPr>
            <w:tcW w:w="1287" w:type="dxa"/>
            <w:tcBorders>
              <w:top w:val="dashed" w:sz="4" w:space="0" w:color="auto"/>
              <w:left w:val="single" w:sz="4" w:space="0" w:color="auto"/>
              <w:bottom w:val="single" w:sz="4" w:space="0" w:color="auto"/>
              <w:right w:val="nil"/>
            </w:tcBorders>
            <w:shd w:val="clear" w:color="auto" w:fill="auto"/>
            <w:noWrap/>
            <w:vAlign w:val="bottom"/>
            <w:hideMark/>
          </w:tcPr>
          <w:p w14:paraId="56EE63C4" w14:textId="4763304D" w:rsidR="0041221B" w:rsidRPr="001D3E05" w:rsidRDefault="0041221B" w:rsidP="0041221B">
            <w:pPr>
              <w:spacing w:after="0" w:line="240" w:lineRule="auto"/>
              <w:rPr>
                <w:rFonts w:ascii="Calibri" w:eastAsia="Times New Roman" w:hAnsi="Calibri" w:cs="Calibri"/>
                <w:kern w:val="0"/>
                <w14:ligatures w14:val="none"/>
              </w:rPr>
            </w:pPr>
            <w:r>
              <w:rPr>
                <w:rFonts w:ascii="Calibri" w:eastAsia="Times New Roman" w:hAnsi="Calibri" w:cs="Calibri"/>
                <w:kern w:val="0"/>
                <w14:ligatures w14:val="none"/>
              </w:rPr>
              <w:t>Medicare</w:t>
            </w:r>
          </w:p>
        </w:tc>
        <w:tc>
          <w:tcPr>
            <w:tcW w:w="1503" w:type="dxa"/>
            <w:tcBorders>
              <w:top w:val="dashed" w:sz="4" w:space="0" w:color="auto"/>
              <w:left w:val="nil"/>
              <w:bottom w:val="single" w:sz="4" w:space="0" w:color="auto"/>
            </w:tcBorders>
            <w:shd w:val="clear" w:color="auto" w:fill="auto"/>
            <w:noWrap/>
            <w:vAlign w:val="bottom"/>
            <w:hideMark/>
          </w:tcPr>
          <w:p w14:paraId="5E70C163" w14:textId="7321C8DB" w:rsidR="0041221B" w:rsidRPr="001D3E05" w:rsidRDefault="0041221B" w:rsidP="0041221B">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w:t>
            </w:r>
            <w:r w:rsidRPr="001D3E05">
              <w:rPr>
                <w:rFonts w:ascii="Calibri" w:eastAsia="Times New Roman" w:hAnsi="Calibri" w:cs="Calibri"/>
                <w:kern w:val="0"/>
                <w14:ligatures w14:val="none"/>
              </w:rPr>
              <w:t>%</w:t>
            </w:r>
          </w:p>
        </w:tc>
        <w:tc>
          <w:tcPr>
            <w:tcW w:w="859" w:type="dxa"/>
            <w:tcBorders>
              <w:top w:val="dashed" w:sz="4" w:space="0" w:color="auto"/>
              <w:left w:val="nil"/>
              <w:bottom w:val="single" w:sz="4" w:space="0" w:color="auto"/>
              <w:right w:val="nil"/>
            </w:tcBorders>
            <w:shd w:val="clear" w:color="auto" w:fill="auto"/>
            <w:noWrap/>
            <w:vAlign w:val="bottom"/>
            <w:hideMark/>
          </w:tcPr>
          <w:p w14:paraId="26B7D426" w14:textId="1BE4A43F" w:rsidR="0041221B" w:rsidRPr="001D3E05" w:rsidRDefault="0041221B" w:rsidP="0041221B">
            <w:pPr>
              <w:spacing w:after="0" w:line="240" w:lineRule="auto"/>
              <w:jc w:val="center"/>
              <w:rPr>
                <w:rFonts w:ascii="Calibri" w:eastAsia="Times New Roman" w:hAnsi="Calibri" w:cs="Calibri"/>
                <w:kern w:val="0"/>
                <w14:ligatures w14:val="none"/>
              </w:rPr>
            </w:pPr>
            <w:r w:rsidRPr="001D3E05">
              <w:rPr>
                <w:rFonts w:ascii="Calibri" w:eastAsia="Times New Roman" w:hAnsi="Calibri" w:cs="Calibri"/>
                <w:kern w:val="0"/>
                <w14:ligatures w14:val="none"/>
              </w:rPr>
              <w:t>10%</w:t>
            </w:r>
          </w:p>
        </w:tc>
        <w:tc>
          <w:tcPr>
            <w:tcW w:w="860" w:type="dxa"/>
            <w:tcBorders>
              <w:top w:val="dashed" w:sz="4" w:space="0" w:color="auto"/>
              <w:left w:val="nil"/>
              <w:bottom w:val="single" w:sz="4" w:space="0" w:color="auto"/>
              <w:right w:val="nil"/>
            </w:tcBorders>
            <w:shd w:val="clear" w:color="auto" w:fill="auto"/>
            <w:noWrap/>
            <w:vAlign w:val="bottom"/>
            <w:hideMark/>
          </w:tcPr>
          <w:p w14:paraId="75527FD5" w14:textId="03E09772" w:rsidR="0041221B" w:rsidRPr="001D3E05" w:rsidRDefault="0041221B" w:rsidP="0041221B">
            <w:pPr>
              <w:spacing w:after="0" w:line="240" w:lineRule="auto"/>
              <w:jc w:val="center"/>
              <w:rPr>
                <w:rFonts w:ascii="Calibri" w:eastAsia="Times New Roman" w:hAnsi="Calibri" w:cs="Calibri"/>
                <w:kern w:val="0"/>
                <w14:ligatures w14:val="none"/>
              </w:rPr>
            </w:pPr>
            <w:r w:rsidRPr="001D3E05">
              <w:rPr>
                <w:rFonts w:ascii="Calibri" w:eastAsia="Times New Roman" w:hAnsi="Calibri" w:cs="Calibri"/>
                <w:kern w:val="0"/>
                <w14:ligatures w14:val="none"/>
              </w:rPr>
              <w:t>10%</w:t>
            </w:r>
          </w:p>
        </w:tc>
        <w:tc>
          <w:tcPr>
            <w:tcW w:w="860" w:type="dxa"/>
            <w:tcBorders>
              <w:top w:val="dashed" w:sz="4" w:space="0" w:color="auto"/>
              <w:left w:val="nil"/>
              <w:bottom w:val="single" w:sz="4" w:space="0" w:color="auto"/>
              <w:right w:val="nil"/>
            </w:tcBorders>
            <w:shd w:val="clear" w:color="auto" w:fill="auto"/>
            <w:noWrap/>
            <w:vAlign w:val="bottom"/>
            <w:hideMark/>
          </w:tcPr>
          <w:p w14:paraId="78FEF9E6" w14:textId="6376DF87" w:rsidR="0041221B" w:rsidRPr="001D3E05" w:rsidRDefault="0041221B" w:rsidP="0041221B">
            <w:pPr>
              <w:spacing w:after="0" w:line="240" w:lineRule="auto"/>
              <w:jc w:val="center"/>
              <w:rPr>
                <w:rFonts w:ascii="Calibri" w:eastAsia="Times New Roman" w:hAnsi="Calibri" w:cs="Calibri"/>
                <w:kern w:val="0"/>
                <w14:ligatures w14:val="none"/>
              </w:rPr>
            </w:pPr>
            <w:r w:rsidRPr="001D3E05">
              <w:rPr>
                <w:rFonts w:ascii="Calibri" w:eastAsia="Times New Roman" w:hAnsi="Calibri" w:cs="Calibri"/>
                <w:kern w:val="0"/>
                <w14:ligatures w14:val="none"/>
              </w:rPr>
              <w:t>10%</w:t>
            </w:r>
          </w:p>
        </w:tc>
        <w:tc>
          <w:tcPr>
            <w:tcW w:w="860" w:type="dxa"/>
            <w:tcBorders>
              <w:top w:val="dashed" w:sz="4" w:space="0" w:color="auto"/>
              <w:left w:val="nil"/>
              <w:bottom w:val="single" w:sz="4" w:space="0" w:color="auto"/>
              <w:right w:val="single" w:sz="4" w:space="0" w:color="auto"/>
            </w:tcBorders>
            <w:shd w:val="clear" w:color="auto" w:fill="auto"/>
            <w:noWrap/>
            <w:vAlign w:val="bottom"/>
            <w:hideMark/>
          </w:tcPr>
          <w:p w14:paraId="68C5DF91" w14:textId="1B036C33" w:rsidR="0041221B" w:rsidRPr="001D3E05" w:rsidRDefault="0041221B" w:rsidP="0041221B">
            <w:pPr>
              <w:spacing w:after="0" w:line="240" w:lineRule="auto"/>
              <w:jc w:val="center"/>
              <w:rPr>
                <w:rFonts w:ascii="Calibri" w:eastAsia="Times New Roman" w:hAnsi="Calibri" w:cs="Calibri"/>
                <w:kern w:val="0"/>
                <w14:ligatures w14:val="none"/>
              </w:rPr>
            </w:pPr>
            <w:r w:rsidRPr="001D3E05">
              <w:rPr>
                <w:rFonts w:ascii="Calibri" w:eastAsia="Times New Roman" w:hAnsi="Calibri" w:cs="Calibri"/>
                <w:kern w:val="0"/>
                <w14:ligatures w14:val="none"/>
              </w:rPr>
              <w:t>10%</w:t>
            </w:r>
          </w:p>
        </w:tc>
      </w:tr>
    </w:tbl>
    <w:p w14:paraId="59C9CA5A" w14:textId="77777777" w:rsidR="007C5AC4" w:rsidRPr="00E31608" w:rsidRDefault="007C5AC4" w:rsidP="007A6977">
      <w:pPr>
        <w:spacing w:after="0" w:line="360" w:lineRule="auto"/>
      </w:pPr>
    </w:p>
    <w:p w14:paraId="0F4E28B3" w14:textId="6658508B" w:rsidR="00B27A65" w:rsidRDefault="00A422E4" w:rsidP="008C4EE0">
      <w:pPr>
        <w:pStyle w:val="Heading2"/>
      </w:pPr>
      <w:bookmarkStart w:id="48" w:name="_Toc187401755"/>
      <w:r>
        <w:t>Changes in Prices</w:t>
      </w:r>
      <w:bookmarkEnd w:id="48"/>
    </w:p>
    <w:p w14:paraId="181BAB43" w14:textId="3A769C83" w:rsidR="00ED2F0E" w:rsidRDefault="00211EF9" w:rsidP="00A422E4">
      <w:pPr>
        <w:numPr>
          <w:ilvl w:val="0"/>
          <w:numId w:val="4"/>
        </w:numPr>
        <w:spacing w:before="120" w:after="120" w:line="360" w:lineRule="auto"/>
        <w:ind w:hanging="547"/>
        <w:jc w:val="both"/>
      </w:pPr>
      <w:r>
        <w:t xml:space="preserve">The ICA </w:t>
      </w:r>
      <w:r w:rsidR="00F7130C">
        <w:t xml:space="preserve">Questions </w:t>
      </w:r>
      <w:r>
        <w:t xml:space="preserve">include estimated or predicted </w:t>
      </w:r>
      <w:r w:rsidRPr="00D705C0">
        <w:t>changes in prices</w:t>
      </w:r>
      <w:r>
        <w:t xml:space="preserve"> due to the Proposed Project </w:t>
      </w:r>
      <w:r w:rsidRPr="00D705C0">
        <w:t xml:space="preserve">based on forecasted changes in </w:t>
      </w:r>
      <w:r>
        <w:t xml:space="preserve">DFCI’s price levels, its negotiating leverage, </w:t>
      </w:r>
      <w:r w:rsidRPr="00D705C0">
        <w:t>site</w:t>
      </w:r>
      <w:r>
        <w:t>s</w:t>
      </w:r>
      <w:r w:rsidRPr="00D705C0">
        <w:t xml:space="preserve"> of care</w:t>
      </w:r>
      <w:r>
        <w:t>, and the mix of services utilized</w:t>
      </w:r>
      <w:r w:rsidRPr="00D705C0">
        <w:t>.</w:t>
      </w:r>
      <w:r w:rsidR="00AB60CC">
        <w:t xml:space="preserve"> </w:t>
      </w:r>
      <w:r w:rsidR="00AB60CC" w:rsidRPr="00AB60CC">
        <w:t>Average prices for inpatient cancer care may change due to changes in DFCI’s price levels, its negotiating leverage, competition, sites of care, or the mix of services utilized.</w:t>
      </w:r>
    </w:p>
    <w:p w14:paraId="5A79ED32" w14:textId="77777777" w:rsidR="00445C21" w:rsidRDefault="00211EF9" w:rsidP="00A422E4">
      <w:pPr>
        <w:numPr>
          <w:ilvl w:val="0"/>
          <w:numId w:val="4"/>
        </w:numPr>
        <w:spacing w:before="120" w:after="120" w:line="360" w:lineRule="auto"/>
        <w:ind w:hanging="547"/>
        <w:jc w:val="both"/>
      </w:pPr>
      <w:r>
        <w:lastRenderedPageBreak/>
        <w:t xml:space="preserve">As demonstrated above, DFCI’s current prices in relevant service lines are significantly below other market providers (e.g., BWH, MGH, and BIDMC). While increased hospital bed capacity under its direct control (as opposed to leased from BWH) does not necessarily imply that it will command additional economic influence in negotiating with payors, </w:t>
      </w:r>
      <w:r w:rsidR="00F7130C">
        <w:t>FTI</w:t>
      </w:r>
      <w:r>
        <w:t xml:space="preserve"> sought to address the possibility that increased costs of providing care in the new facility and/or additional bargaining leverage will </w:t>
      </w:r>
      <w:r w:rsidR="00A602A9">
        <w:t xml:space="preserve">lead to </w:t>
      </w:r>
      <w:r>
        <w:t>incre</w:t>
      </w:r>
      <w:r w:rsidR="00A602A9">
        <w:t xml:space="preserve">ased DFCI inpatient cancer care prices. Consequently, we analyzed </w:t>
      </w:r>
      <w:r w:rsidR="00AB60CC">
        <w:t>three</w:t>
      </w:r>
      <w:r w:rsidR="00A602A9">
        <w:t xml:space="preserve"> pricing benchmarks as potential DFCI commercial inpatient cancer care price levels: (1) status quo prices, (2) BIDMC prices, </w:t>
      </w:r>
      <w:r w:rsidR="001E2460">
        <w:t xml:space="preserve">and </w:t>
      </w:r>
      <w:r w:rsidR="00A602A9">
        <w:t>(3) weighted average DFCI-BWH prices</w:t>
      </w:r>
      <w:r w:rsidR="002916B0">
        <w:t xml:space="preserve"> (i.e., the average prices of DFCI and BWH, weighted by the number of DFCI discharges occurring in DFCI-licensed beds and BWH-leased beds respectively)</w:t>
      </w:r>
      <w:r w:rsidR="00A602A9">
        <w:t xml:space="preserve">. Table </w:t>
      </w:r>
      <w:r w:rsidR="00C228C7">
        <w:t>1</w:t>
      </w:r>
      <w:r w:rsidR="00AB290B">
        <w:t>8</w:t>
      </w:r>
      <w:r w:rsidR="00A602A9">
        <w:t xml:space="preserve"> presents these pricing benchmarks. </w:t>
      </w:r>
      <w:r w:rsidR="00AB60CC">
        <w:t xml:space="preserve">The primary impact of using either scenario (2) or (3) prices is to increase DFCI’s projected commercial prices by more than 20%. This captures </w:t>
      </w:r>
      <w:r w:rsidR="007B3608">
        <w:t>a possible scenario under which</w:t>
      </w:r>
      <w:r w:rsidR="00AB60CC">
        <w:t xml:space="preserve"> DFCI</w:t>
      </w:r>
      <w:r w:rsidR="007B3608">
        <w:t xml:space="preserve">’s additional capacity and patient populations lead to greater </w:t>
      </w:r>
      <w:r w:rsidR="00AB60CC">
        <w:t>commercial p</w:t>
      </w:r>
      <w:r w:rsidR="007B3608">
        <w:t>rices.</w:t>
      </w:r>
      <w:r w:rsidR="00AB60CC">
        <w:t xml:space="preserve"> </w:t>
      </w:r>
    </w:p>
    <w:p w14:paraId="7E6EB2B9" w14:textId="666343A5" w:rsidR="00211EF9" w:rsidRDefault="00445C21" w:rsidP="00017609">
      <w:pPr>
        <w:numPr>
          <w:ilvl w:val="0"/>
          <w:numId w:val="4"/>
        </w:numPr>
        <w:spacing w:before="120" w:after="120" w:line="360" w:lineRule="auto"/>
        <w:ind w:hanging="547"/>
        <w:jc w:val="both"/>
      </w:pPr>
      <w:r>
        <w:t xml:space="preserve">Though </w:t>
      </w:r>
      <w:r w:rsidRPr="00445C21">
        <w:t>g</w:t>
      </w:r>
      <w:r w:rsidR="00AB60CC" w:rsidRPr="00445C21">
        <w:t xml:space="preserve">overnment administered (Medicare and </w:t>
      </w:r>
      <w:r w:rsidR="00F7130C" w:rsidRPr="00445C21">
        <w:t>Medicaid</w:t>
      </w:r>
      <w:r w:rsidR="00AB60CC" w:rsidRPr="00445C21">
        <w:t xml:space="preserve">) prices will not be impacted by changes </w:t>
      </w:r>
      <w:r w:rsidR="00EE4A31" w:rsidRPr="00445C21">
        <w:t xml:space="preserve">in </w:t>
      </w:r>
      <w:r w:rsidR="00AB60CC" w:rsidRPr="00445C21">
        <w:t>bargaining leverage from increased DFCI bed capacity</w:t>
      </w:r>
      <w:r w:rsidRPr="00445C21">
        <w:t>, DFCI</w:t>
      </w:r>
      <w:r w:rsidR="00DE3FDE">
        <w:t>’s PCH status</w:t>
      </w:r>
      <w:r w:rsidRPr="00445C21">
        <w:t xml:space="preserve"> </w:t>
      </w:r>
      <w:r w:rsidR="00DE3FDE">
        <w:t xml:space="preserve">ties </w:t>
      </w:r>
      <w:r w:rsidRPr="00445C21">
        <w:t xml:space="preserve">its Medicare reimbursement </w:t>
      </w:r>
      <w:r w:rsidR="00DE3FDE">
        <w:t xml:space="preserve">to </w:t>
      </w:r>
      <w:r w:rsidRPr="00445C21">
        <w:t xml:space="preserve">its reported costs (see Section XI above). </w:t>
      </w:r>
      <w:r>
        <w:t>Pricing scenario (1) incorporate</w:t>
      </w:r>
      <w:r w:rsidR="00967F13">
        <w:t>s</w:t>
      </w:r>
      <w:r>
        <w:t xml:space="preserve"> this </w:t>
      </w:r>
      <w:r w:rsidR="00DE3FDE">
        <w:t>reimbursement status</w:t>
      </w:r>
      <w:r>
        <w:t xml:space="preserve"> based on DFCI’s existing costs, with scenarios (2) and (3) changing Medicare reimbursement to the BIDMC and BWH-DFCI average levels. </w:t>
      </w:r>
      <w:r w:rsidRPr="00445C21">
        <w:t>Were DFCI’s cost-per-discharge for Medicare patients to change due to the Proposed Project</w:t>
      </w:r>
      <w:r w:rsidR="00967F13">
        <w:t xml:space="preserve"> (including potentially due to increased incurred costs from operating as a standalone facility compared to its current costs operating in conjunction with BWH)</w:t>
      </w:r>
      <w:r w:rsidRPr="00445C21">
        <w:t xml:space="preserve">, </w:t>
      </w:r>
      <w:r w:rsidR="00DE3FDE">
        <w:t xml:space="preserve">its </w:t>
      </w:r>
      <w:r w:rsidRPr="00445C21">
        <w:t>Medicare reimbursement and cost of care</w:t>
      </w:r>
      <w:r w:rsidR="00DE3FDE">
        <w:t xml:space="preserve"> could also increase</w:t>
      </w:r>
      <w:r w:rsidRPr="00445C21">
        <w:t xml:space="preserve">. </w:t>
      </w:r>
      <w:r>
        <w:t xml:space="preserve">To account for this possibility, as shown in Table 18, FTI modeled a fourth scenario under which commercial and Medicaid prices were </w:t>
      </w:r>
      <w:r w:rsidR="00DE3FDE">
        <w:t>modeled</w:t>
      </w:r>
      <w:r>
        <w:t xml:space="preserve"> as in scenario (3), but relative Medicare prices increased to match the median </w:t>
      </w:r>
      <w:r w:rsidR="00967F13">
        <w:t xml:space="preserve">reimbursement increase over estimated </w:t>
      </w:r>
      <w:r>
        <w:t xml:space="preserve">IPPS </w:t>
      </w:r>
      <w:r w:rsidR="00967F13">
        <w:t xml:space="preserve">payments </w:t>
      </w:r>
      <w:r>
        <w:t>among other PPS exempt cancer hospitals.</w:t>
      </w:r>
      <w:r>
        <w:rPr>
          <w:rStyle w:val="FootnoteReference"/>
        </w:rPr>
        <w:footnoteReference w:id="82"/>
      </w:r>
      <w:r w:rsidR="00AB60CC">
        <w:t xml:space="preserve"> Estimated medical spending impacts </w:t>
      </w:r>
      <w:r w:rsidR="00967F13">
        <w:t xml:space="preserve">for the four pricing scenarios </w:t>
      </w:r>
      <w:r w:rsidR="00AB60CC">
        <w:t>are presented below.</w:t>
      </w:r>
    </w:p>
    <w:p w14:paraId="776BC0D4" w14:textId="47F6C484" w:rsidR="00AB60CC" w:rsidRDefault="00AB60CC" w:rsidP="001D3E05">
      <w:pPr>
        <w:pStyle w:val="Caption"/>
        <w:keepNext/>
        <w:jc w:val="center"/>
      </w:pPr>
      <w:bookmarkStart w:id="49" w:name="_Toc187401791"/>
      <w:r>
        <w:t xml:space="preserve">Table </w:t>
      </w:r>
      <w:fldSimple w:instr=" SEQ Table \* ARABIC ">
        <w:r w:rsidR="0085394E">
          <w:rPr>
            <w:noProof/>
          </w:rPr>
          <w:t>18</w:t>
        </w:r>
      </w:fldSimple>
      <w:r>
        <w:t>: Alternative Projected DFCI Pricing Scenarios</w:t>
      </w:r>
      <w:bookmarkEnd w:id="49"/>
    </w:p>
    <w:tbl>
      <w:tblPr>
        <w:tblW w:w="4927" w:type="dxa"/>
        <w:jc w:val="center"/>
        <w:tblLayout w:type="fixed"/>
        <w:tblLook w:val="04A0" w:firstRow="1" w:lastRow="0" w:firstColumn="1" w:lastColumn="0" w:noHBand="0" w:noVBand="1"/>
      </w:tblPr>
      <w:tblGrid>
        <w:gridCol w:w="1287"/>
        <w:gridCol w:w="910"/>
        <w:gridCol w:w="910"/>
        <w:gridCol w:w="910"/>
        <w:gridCol w:w="910"/>
      </w:tblGrid>
      <w:tr w:rsidR="009E2A0B" w:rsidRPr="009E2A0B" w14:paraId="540BEBB4" w14:textId="77777777" w:rsidTr="00403016">
        <w:trPr>
          <w:cantSplit/>
          <w:trHeight w:val="290"/>
          <w:tblHeader/>
          <w:jc w:val="center"/>
        </w:trPr>
        <w:tc>
          <w:tcPr>
            <w:tcW w:w="1287" w:type="dxa"/>
            <w:tcBorders>
              <w:top w:val="single" w:sz="8" w:space="0" w:color="auto"/>
              <w:left w:val="single" w:sz="8" w:space="0" w:color="auto"/>
              <w:bottom w:val="nil"/>
              <w:right w:val="single" w:sz="8" w:space="0" w:color="auto"/>
            </w:tcBorders>
            <w:shd w:val="clear" w:color="000000" w:fill="002060"/>
            <w:noWrap/>
            <w:vAlign w:val="bottom"/>
            <w:hideMark/>
          </w:tcPr>
          <w:p w14:paraId="1856DECE" w14:textId="77777777" w:rsidR="009E2A0B" w:rsidRPr="009E2A0B" w:rsidRDefault="009E2A0B" w:rsidP="009E2A0B">
            <w:pPr>
              <w:spacing w:after="0" w:line="240" w:lineRule="auto"/>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 </w:t>
            </w:r>
          </w:p>
        </w:tc>
        <w:tc>
          <w:tcPr>
            <w:tcW w:w="3640" w:type="dxa"/>
            <w:gridSpan w:val="4"/>
            <w:tcBorders>
              <w:top w:val="single" w:sz="8" w:space="0" w:color="auto"/>
              <w:left w:val="nil"/>
              <w:bottom w:val="nil"/>
              <w:right w:val="single" w:sz="8" w:space="0" w:color="000000"/>
            </w:tcBorders>
            <w:shd w:val="clear" w:color="000000" w:fill="002060"/>
            <w:noWrap/>
            <w:vAlign w:val="bottom"/>
            <w:hideMark/>
          </w:tcPr>
          <w:p w14:paraId="57AE47F8" w14:textId="77777777" w:rsidR="009E2A0B" w:rsidRPr="009E2A0B" w:rsidRDefault="009E2A0B"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DFCI Pricing Scenario</w:t>
            </w:r>
          </w:p>
        </w:tc>
      </w:tr>
      <w:tr w:rsidR="009E2A0B" w:rsidRPr="009E2A0B" w14:paraId="0E67A8E6" w14:textId="77777777" w:rsidTr="00403016">
        <w:trPr>
          <w:cantSplit/>
          <w:trHeight w:val="300"/>
          <w:tblHeader/>
          <w:jc w:val="center"/>
        </w:trPr>
        <w:tc>
          <w:tcPr>
            <w:tcW w:w="1287" w:type="dxa"/>
            <w:tcBorders>
              <w:top w:val="nil"/>
              <w:left w:val="single" w:sz="8" w:space="0" w:color="auto"/>
              <w:bottom w:val="single" w:sz="8" w:space="0" w:color="auto"/>
              <w:right w:val="single" w:sz="8" w:space="0" w:color="auto"/>
            </w:tcBorders>
            <w:shd w:val="clear" w:color="000000" w:fill="002060"/>
            <w:noWrap/>
            <w:vAlign w:val="bottom"/>
            <w:hideMark/>
          </w:tcPr>
          <w:p w14:paraId="685E46D5" w14:textId="77777777" w:rsidR="009E2A0B" w:rsidRPr="009E2A0B" w:rsidRDefault="009E2A0B" w:rsidP="009E2A0B">
            <w:pPr>
              <w:spacing w:after="0" w:line="240" w:lineRule="auto"/>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Payor</w:t>
            </w:r>
          </w:p>
        </w:tc>
        <w:tc>
          <w:tcPr>
            <w:tcW w:w="910" w:type="dxa"/>
            <w:tcBorders>
              <w:top w:val="nil"/>
              <w:left w:val="nil"/>
              <w:bottom w:val="single" w:sz="8" w:space="0" w:color="auto"/>
              <w:right w:val="nil"/>
            </w:tcBorders>
            <w:shd w:val="clear" w:color="000000" w:fill="002060"/>
            <w:noWrap/>
            <w:vAlign w:val="bottom"/>
            <w:hideMark/>
          </w:tcPr>
          <w:p w14:paraId="03D04F8B"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(1)</w:t>
            </w:r>
          </w:p>
        </w:tc>
        <w:tc>
          <w:tcPr>
            <w:tcW w:w="910" w:type="dxa"/>
            <w:tcBorders>
              <w:top w:val="nil"/>
              <w:left w:val="nil"/>
              <w:bottom w:val="single" w:sz="8" w:space="0" w:color="auto"/>
              <w:right w:val="nil"/>
            </w:tcBorders>
            <w:shd w:val="clear" w:color="000000" w:fill="002060"/>
            <w:noWrap/>
            <w:vAlign w:val="bottom"/>
            <w:hideMark/>
          </w:tcPr>
          <w:p w14:paraId="69884C21"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(2)</w:t>
            </w:r>
          </w:p>
        </w:tc>
        <w:tc>
          <w:tcPr>
            <w:tcW w:w="910" w:type="dxa"/>
            <w:tcBorders>
              <w:top w:val="nil"/>
              <w:left w:val="nil"/>
              <w:bottom w:val="single" w:sz="8" w:space="0" w:color="auto"/>
              <w:right w:val="nil"/>
            </w:tcBorders>
            <w:shd w:val="clear" w:color="000000" w:fill="002060"/>
            <w:vAlign w:val="bottom"/>
            <w:hideMark/>
          </w:tcPr>
          <w:p w14:paraId="2CDD7684"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(3)</w:t>
            </w:r>
          </w:p>
        </w:tc>
        <w:tc>
          <w:tcPr>
            <w:tcW w:w="910" w:type="dxa"/>
            <w:tcBorders>
              <w:top w:val="nil"/>
              <w:left w:val="nil"/>
              <w:bottom w:val="single" w:sz="8" w:space="0" w:color="auto"/>
              <w:right w:val="single" w:sz="8" w:space="0" w:color="auto"/>
            </w:tcBorders>
            <w:shd w:val="clear" w:color="000000" w:fill="002060"/>
            <w:vAlign w:val="bottom"/>
            <w:hideMark/>
          </w:tcPr>
          <w:p w14:paraId="47186857"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(4)</w:t>
            </w:r>
          </w:p>
        </w:tc>
      </w:tr>
      <w:tr w:rsidR="009E2A0B" w:rsidRPr="009E2A0B" w14:paraId="60B7E120" w14:textId="77777777" w:rsidTr="00403016">
        <w:trPr>
          <w:cantSplit/>
          <w:trHeight w:val="290"/>
          <w:jc w:val="center"/>
        </w:trPr>
        <w:tc>
          <w:tcPr>
            <w:tcW w:w="1287" w:type="dxa"/>
            <w:tcBorders>
              <w:top w:val="nil"/>
              <w:left w:val="single" w:sz="8" w:space="0" w:color="auto"/>
              <w:bottom w:val="dashed" w:sz="4" w:space="0" w:color="auto"/>
              <w:right w:val="nil"/>
            </w:tcBorders>
            <w:shd w:val="clear" w:color="auto" w:fill="auto"/>
            <w:noWrap/>
            <w:vAlign w:val="bottom"/>
            <w:hideMark/>
          </w:tcPr>
          <w:p w14:paraId="39C74A7C" w14:textId="6E9E9A53"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Commerc</w:t>
            </w:r>
            <w:r>
              <w:rPr>
                <w:rFonts w:ascii="Calibri" w:eastAsia="Times New Roman" w:hAnsi="Calibri" w:cs="Calibri"/>
                <w:kern w:val="0"/>
                <w14:ligatures w14:val="none"/>
              </w:rPr>
              <w:t>i</w:t>
            </w:r>
            <w:r w:rsidRPr="009E2A0B">
              <w:rPr>
                <w:rFonts w:ascii="Calibri" w:eastAsia="Times New Roman" w:hAnsi="Calibri" w:cs="Calibri"/>
                <w:kern w:val="0"/>
                <w14:ligatures w14:val="none"/>
              </w:rPr>
              <w:t>al</w:t>
            </w:r>
          </w:p>
        </w:tc>
        <w:tc>
          <w:tcPr>
            <w:tcW w:w="910" w:type="dxa"/>
            <w:tcBorders>
              <w:top w:val="nil"/>
              <w:left w:val="single" w:sz="8" w:space="0" w:color="auto"/>
              <w:bottom w:val="dashed" w:sz="4" w:space="0" w:color="auto"/>
              <w:right w:val="nil"/>
            </w:tcBorders>
            <w:shd w:val="clear" w:color="auto" w:fill="auto"/>
            <w:noWrap/>
            <w:vAlign w:val="bottom"/>
            <w:hideMark/>
          </w:tcPr>
          <w:p w14:paraId="2D81431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1.41</w:t>
            </w:r>
          </w:p>
        </w:tc>
        <w:tc>
          <w:tcPr>
            <w:tcW w:w="910" w:type="dxa"/>
            <w:tcBorders>
              <w:top w:val="nil"/>
              <w:left w:val="nil"/>
              <w:bottom w:val="dashed" w:sz="4" w:space="0" w:color="auto"/>
              <w:right w:val="nil"/>
            </w:tcBorders>
            <w:shd w:val="clear" w:color="auto" w:fill="auto"/>
            <w:noWrap/>
            <w:vAlign w:val="bottom"/>
            <w:hideMark/>
          </w:tcPr>
          <w:p w14:paraId="52F7FDEF"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1.76</w:t>
            </w:r>
          </w:p>
        </w:tc>
        <w:tc>
          <w:tcPr>
            <w:tcW w:w="910" w:type="dxa"/>
            <w:tcBorders>
              <w:top w:val="nil"/>
              <w:left w:val="nil"/>
              <w:bottom w:val="dashed" w:sz="4" w:space="0" w:color="auto"/>
              <w:right w:val="nil"/>
            </w:tcBorders>
            <w:shd w:val="clear" w:color="auto" w:fill="auto"/>
            <w:vAlign w:val="bottom"/>
            <w:hideMark/>
          </w:tcPr>
          <w:p w14:paraId="0ED58A3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1.73</w:t>
            </w:r>
          </w:p>
        </w:tc>
        <w:tc>
          <w:tcPr>
            <w:tcW w:w="910" w:type="dxa"/>
            <w:tcBorders>
              <w:top w:val="nil"/>
              <w:left w:val="nil"/>
              <w:bottom w:val="dashed" w:sz="4" w:space="0" w:color="auto"/>
              <w:right w:val="single" w:sz="8" w:space="0" w:color="auto"/>
            </w:tcBorders>
            <w:shd w:val="clear" w:color="auto" w:fill="auto"/>
            <w:noWrap/>
            <w:vAlign w:val="bottom"/>
            <w:hideMark/>
          </w:tcPr>
          <w:p w14:paraId="312482B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1.73</w:t>
            </w:r>
          </w:p>
        </w:tc>
      </w:tr>
      <w:tr w:rsidR="009E2A0B" w:rsidRPr="009E2A0B" w14:paraId="6554F7CF" w14:textId="77777777" w:rsidTr="00403016">
        <w:trPr>
          <w:cantSplit/>
          <w:trHeight w:val="290"/>
          <w:jc w:val="center"/>
        </w:trPr>
        <w:tc>
          <w:tcPr>
            <w:tcW w:w="1287" w:type="dxa"/>
            <w:tcBorders>
              <w:top w:val="nil"/>
              <w:left w:val="single" w:sz="8" w:space="0" w:color="auto"/>
              <w:bottom w:val="dashed" w:sz="4" w:space="0" w:color="auto"/>
              <w:right w:val="nil"/>
            </w:tcBorders>
            <w:shd w:val="clear" w:color="auto" w:fill="auto"/>
            <w:noWrap/>
            <w:vAlign w:val="bottom"/>
            <w:hideMark/>
          </w:tcPr>
          <w:p w14:paraId="09447460"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Medicare</w:t>
            </w:r>
          </w:p>
        </w:tc>
        <w:tc>
          <w:tcPr>
            <w:tcW w:w="910" w:type="dxa"/>
            <w:tcBorders>
              <w:top w:val="dashed" w:sz="4" w:space="0" w:color="auto"/>
              <w:left w:val="single" w:sz="8" w:space="0" w:color="auto"/>
              <w:bottom w:val="dashed" w:sz="4" w:space="0" w:color="auto"/>
              <w:right w:val="nil"/>
            </w:tcBorders>
            <w:shd w:val="clear" w:color="auto" w:fill="auto"/>
            <w:noWrap/>
            <w:vAlign w:val="bottom"/>
            <w:hideMark/>
          </w:tcPr>
          <w:p w14:paraId="223141FF"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1.01</w:t>
            </w:r>
          </w:p>
        </w:tc>
        <w:tc>
          <w:tcPr>
            <w:tcW w:w="910" w:type="dxa"/>
            <w:tcBorders>
              <w:top w:val="dashed" w:sz="4" w:space="0" w:color="auto"/>
              <w:left w:val="nil"/>
              <w:bottom w:val="dashed" w:sz="4" w:space="0" w:color="auto"/>
              <w:right w:val="nil"/>
            </w:tcBorders>
            <w:shd w:val="clear" w:color="auto" w:fill="auto"/>
            <w:noWrap/>
            <w:vAlign w:val="bottom"/>
            <w:hideMark/>
          </w:tcPr>
          <w:p w14:paraId="56BD932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1.00</w:t>
            </w:r>
          </w:p>
        </w:tc>
        <w:tc>
          <w:tcPr>
            <w:tcW w:w="910" w:type="dxa"/>
            <w:tcBorders>
              <w:top w:val="dashed" w:sz="4" w:space="0" w:color="auto"/>
              <w:left w:val="nil"/>
              <w:bottom w:val="dashed" w:sz="4" w:space="0" w:color="auto"/>
              <w:right w:val="nil"/>
            </w:tcBorders>
            <w:shd w:val="clear" w:color="auto" w:fill="auto"/>
            <w:vAlign w:val="bottom"/>
            <w:hideMark/>
          </w:tcPr>
          <w:p w14:paraId="41C4006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1.06</w:t>
            </w:r>
          </w:p>
        </w:tc>
        <w:tc>
          <w:tcPr>
            <w:tcW w:w="910" w:type="dxa"/>
            <w:tcBorders>
              <w:top w:val="dashed" w:sz="4" w:space="0" w:color="auto"/>
              <w:left w:val="nil"/>
              <w:bottom w:val="dashed" w:sz="4" w:space="0" w:color="auto"/>
              <w:right w:val="single" w:sz="8" w:space="0" w:color="auto"/>
            </w:tcBorders>
            <w:shd w:val="clear" w:color="auto" w:fill="auto"/>
            <w:noWrap/>
            <w:vAlign w:val="bottom"/>
            <w:hideMark/>
          </w:tcPr>
          <w:p w14:paraId="174FA40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1.12</w:t>
            </w:r>
          </w:p>
        </w:tc>
      </w:tr>
      <w:tr w:rsidR="009E2A0B" w:rsidRPr="009E2A0B" w14:paraId="371D1E61" w14:textId="77777777" w:rsidTr="00403016">
        <w:trPr>
          <w:cantSplit/>
          <w:trHeight w:val="300"/>
          <w:jc w:val="center"/>
        </w:trPr>
        <w:tc>
          <w:tcPr>
            <w:tcW w:w="1287" w:type="dxa"/>
            <w:tcBorders>
              <w:top w:val="nil"/>
              <w:left w:val="single" w:sz="8" w:space="0" w:color="auto"/>
              <w:bottom w:val="single" w:sz="8" w:space="0" w:color="auto"/>
              <w:right w:val="nil"/>
            </w:tcBorders>
            <w:shd w:val="clear" w:color="auto" w:fill="auto"/>
            <w:noWrap/>
            <w:vAlign w:val="bottom"/>
            <w:hideMark/>
          </w:tcPr>
          <w:p w14:paraId="07B3BAC9" w14:textId="1957FFD6" w:rsidR="009E2A0B" w:rsidRPr="009E2A0B" w:rsidRDefault="009E2A0B" w:rsidP="009E2A0B">
            <w:pPr>
              <w:spacing w:after="0" w:line="240" w:lineRule="auto"/>
              <w:rPr>
                <w:rFonts w:ascii="Calibri" w:eastAsia="Times New Roman" w:hAnsi="Calibri" w:cs="Calibri"/>
                <w:kern w:val="0"/>
                <w14:ligatures w14:val="none"/>
              </w:rPr>
            </w:pPr>
            <w:r>
              <w:rPr>
                <w:rFonts w:ascii="Calibri" w:eastAsia="Times New Roman" w:hAnsi="Calibri" w:cs="Calibri"/>
                <w:kern w:val="0"/>
                <w14:ligatures w14:val="none"/>
              </w:rPr>
              <w:lastRenderedPageBreak/>
              <w:t>Medicaid</w:t>
            </w:r>
          </w:p>
        </w:tc>
        <w:tc>
          <w:tcPr>
            <w:tcW w:w="910" w:type="dxa"/>
            <w:tcBorders>
              <w:top w:val="nil"/>
              <w:left w:val="single" w:sz="8" w:space="0" w:color="auto"/>
              <w:bottom w:val="single" w:sz="8" w:space="0" w:color="auto"/>
              <w:right w:val="nil"/>
            </w:tcBorders>
            <w:shd w:val="clear" w:color="auto" w:fill="auto"/>
            <w:noWrap/>
            <w:vAlign w:val="bottom"/>
            <w:hideMark/>
          </w:tcPr>
          <w:p w14:paraId="15116AC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0.92</w:t>
            </w:r>
          </w:p>
        </w:tc>
        <w:tc>
          <w:tcPr>
            <w:tcW w:w="910" w:type="dxa"/>
            <w:tcBorders>
              <w:top w:val="nil"/>
              <w:left w:val="nil"/>
              <w:bottom w:val="single" w:sz="8" w:space="0" w:color="auto"/>
              <w:right w:val="nil"/>
            </w:tcBorders>
            <w:shd w:val="clear" w:color="auto" w:fill="auto"/>
            <w:noWrap/>
            <w:vAlign w:val="bottom"/>
            <w:hideMark/>
          </w:tcPr>
          <w:p w14:paraId="583AA2F2"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0.62</w:t>
            </w:r>
          </w:p>
        </w:tc>
        <w:tc>
          <w:tcPr>
            <w:tcW w:w="910" w:type="dxa"/>
            <w:tcBorders>
              <w:top w:val="nil"/>
              <w:left w:val="nil"/>
              <w:bottom w:val="single" w:sz="8" w:space="0" w:color="auto"/>
              <w:right w:val="nil"/>
            </w:tcBorders>
            <w:shd w:val="clear" w:color="auto" w:fill="auto"/>
            <w:vAlign w:val="bottom"/>
            <w:hideMark/>
          </w:tcPr>
          <w:p w14:paraId="5C89F667"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0.84</w:t>
            </w:r>
          </w:p>
        </w:tc>
        <w:tc>
          <w:tcPr>
            <w:tcW w:w="910" w:type="dxa"/>
            <w:tcBorders>
              <w:top w:val="nil"/>
              <w:left w:val="nil"/>
              <w:bottom w:val="single" w:sz="8" w:space="0" w:color="auto"/>
              <w:right w:val="single" w:sz="8" w:space="0" w:color="auto"/>
            </w:tcBorders>
            <w:shd w:val="clear" w:color="auto" w:fill="auto"/>
            <w:noWrap/>
            <w:vAlign w:val="bottom"/>
            <w:hideMark/>
          </w:tcPr>
          <w:p w14:paraId="33BEBB1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0.84</w:t>
            </w:r>
          </w:p>
        </w:tc>
      </w:tr>
    </w:tbl>
    <w:p w14:paraId="4C99E8F9" w14:textId="77777777" w:rsidR="009E2A0B" w:rsidRDefault="009E2A0B" w:rsidP="007A6977">
      <w:pPr>
        <w:spacing w:after="0" w:line="360" w:lineRule="auto"/>
      </w:pPr>
    </w:p>
    <w:p w14:paraId="1DF7B426" w14:textId="6BE95791" w:rsidR="00664A4B" w:rsidRDefault="00664A4B" w:rsidP="00A422E4">
      <w:pPr>
        <w:numPr>
          <w:ilvl w:val="0"/>
          <w:numId w:val="4"/>
        </w:numPr>
        <w:spacing w:before="120" w:after="120" w:line="360" w:lineRule="auto"/>
        <w:ind w:hanging="547"/>
        <w:jc w:val="both"/>
      </w:pPr>
      <w:r w:rsidRPr="00B1234F">
        <w:t xml:space="preserve">In order to respond to the ICA questions concerning the impact of changes in market share on price, </w:t>
      </w:r>
      <w:r w:rsidR="00F7130C">
        <w:t xml:space="preserve">FTI </w:t>
      </w:r>
      <w:r w:rsidRPr="00B1234F">
        <w:t xml:space="preserve">referred to the economic literature on healthcare that </w:t>
      </w:r>
      <w:r w:rsidR="00495C95">
        <w:t>considers</w:t>
      </w:r>
      <w:r w:rsidRPr="00B1234F">
        <w:t xml:space="preserve"> price increases </w:t>
      </w:r>
      <w:r w:rsidR="00495C95">
        <w:t xml:space="preserve">associated with </w:t>
      </w:r>
      <w:r w:rsidRPr="00B1234F">
        <w:t>changes in market shares with the HHI measure of concentration. This literature</w:t>
      </w:r>
      <w:r>
        <w:t xml:space="preserve"> covers a wide range of factors involved in assessing bargaining power in healthcare but provides a means </w:t>
      </w:r>
      <w:r w:rsidR="00495C95">
        <w:t xml:space="preserve">subject to these assumptions </w:t>
      </w:r>
      <w:r>
        <w:t>to</w:t>
      </w:r>
      <w:r w:rsidRPr="00B1234F">
        <w:t xml:space="preserve"> </w:t>
      </w:r>
      <w:r>
        <w:t>construct</w:t>
      </w:r>
      <w:r w:rsidRPr="00B1234F">
        <w:t xml:space="preserve"> </w:t>
      </w:r>
      <w:r>
        <w:t xml:space="preserve">empirical </w:t>
      </w:r>
      <w:r w:rsidRPr="00B1234F">
        <w:t>estimates of the relationship between changes in HHI and price for purposes of evaluation</w:t>
      </w:r>
      <w:r>
        <w:t xml:space="preserve"> of the ICA </w:t>
      </w:r>
      <w:r w:rsidR="00F7130C">
        <w:t>Q</w:t>
      </w:r>
      <w:r>
        <w:t>uestions</w:t>
      </w:r>
      <w:r w:rsidRPr="00B1234F">
        <w:t>.</w:t>
      </w:r>
      <w:r>
        <w:rPr>
          <w:rStyle w:val="FootnoteReference"/>
        </w:rPr>
        <w:footnoteReference w:id="83"/>
      </w:r>
      <w:r>
        <w:t xml:space="preserve"> </w:t>
      </w:r>
      <w:r w:rsidR="00AB60CC">
        <w:t xml:space="preserve">As shown in </w:t>
      </w:r>
      <w:r>
        <w:t xml:space="preserve">Table </w:t>
      </w:r>
      <w:r w:rsidR="00C228C7">
        <w:t>1</w:t>
      </w:r>
      <w:r w:rsidR="00AB290B">
        <w:t>6</w:t>
      </w:r>
      <w:r>
        <w:t xml:space="preserve"> </w:t>
      </w:r>
      <w:r w:rsidR="00AB60CC">
        <w:t xml:space="preserve">above, based on the forecasted changes in shares of commercially-insured patients, </w:t>
      </w:r>
      <w:r w:rsidR="00AB60CC" w:rsidRPr="00B1234F">
        <w:t>HHI</w:t>
      </w:r>
      <w:r w:rsidR="00AB60CC">
        <w:t>, a</w:t>
      </w:r>
      <w:r w:rsidR="00AB60CC" w:rsidRPr="00B1234F">
        <w:t xml:space="preserve"> measure of </w:t>
      </w:r>
      <w:r w:rsidR="00AB60CC">
        <w:t xml:space="preserve">market </w:t>
      </w:r>
      <w:r w:rsidR="00AB60CC" w:rsidRPr="00B1234F">
        <w:t>concentration</w:t>
      </w:r>
      <w:r w:rsidR="00AB60CC">
        <w:t>, is estimated to decrease by 768 from 2,261 to 1,493.</w:t>
      </w:r>
      <w:r w:rsidR="007B3608">
        <w:rPr>
          <w:rStyle w:val="FootnoteReference"/>
        </w:rPr>
        <w:footnoteReference w:id="84"/>
      </w:r>
      <w:r w:rsidR="00AB60CC">
        <w:t xml:space="preserve"> The decrease comes from a splitting of patients currently treated in BWH-licensed beds into a less concentrated split between DFCI and BWH.</w:t>
      </w:r>
      <w:r w:rsidR="00F17176">
        <w:t xml:space="preserve"> Because HHI is estimated to decline due to the Proposed Project, there is no indication that prices will be pressured upward due to changes in market concentration; rather, there may be downward pressure on prices. </w:t>
      </w:r>
      <w:r w:rsidR="000F4D25">
        <w:t xml:space="preserve">Furthermore, the Proposed Project will not place any limitations on other market participants, including BWH and MGB more broadly, from </w:t>
      </w:r>
      <w:r w:rsidR="007B3608">
        <w:t xml:space="preserve">responding and competing with DFCI and BIDMC. </w:t>
      </w:r>
      <w:r w:rsidR="00AB60CC">
        <w:t xml:space="preserve">Because of the numerous caveats and uncertainty regarding the relationship between HHI, market concentration, and commercial prices in the literature, we </w:t>
      </w:r>
      <w:r w:rsidR="00F17176">
        <w:t xml:space="preserve">provide </w:t>
      </w:r>
      <w:r w:rsidR="00AB60CC">
        <w:t xml:space="preserve">a </w:t>
      </w:r>
      <w:r w:rsidR="00F17176">
        <w:t>conservative estimate</w:t>
      </w:r>
      <w:r w:rsidR="004478B0">
        <w:t xml:space="preserve"> of</w:t>
      </w:r>
      <w:r w:rsidR="00F17176">
        <w:t xml:space="preserve"> </w:t>
      </w:r>
      <w:r w:rsidR="004478B0">
        <w:t xml:space="preserve">price impacts on </w:t>
      </w:r>
      <w:r w:rsidR="00F17176">
        <w:t>healthcare costs</w:t>
      </w:r>
      <w:r w:rsidR="004478B0">
        <w:t xml:space="preserve"> and </w:t>
      </w:r>
      <w:r w:rsidR="00F17176">
        <w:t xml:space="preserve">do not incorporate any price decreases from concentration changes into the estimates below. </w:t>
      </w:r>
    </w:p>
    <w:p w14:paraId="57659B58" w14:textId="49F8A271" w:rsidR="00A422E4" w:rsidRDefault="00F17176" w:rsidP="00A422E4">
      <w:pPr>
        <w:numPr>
          <w:ilvl w:val="0"/>
          <w:numId w:val="4"/>
        </w:numPr>
        <w:spacing w:before="120" w:after="120" w:line="360" w:lineRule="auto"/>
        <w:jc w:val="both"/>
      </w:pPr>
      <w:r>
        <w:t xml:space="preserve">In addition to the changes in provider-specific prices discussed above, the average market price may change due to changes in the distribution of patients between higher and lower-cost providers and services. Because the Proposed Project is estimated to primarily shift </w:t>
      </w:r>
      <w:r w:rsidR="005613CC">
        <w:t>in</w:t>
      </w:r>
      <w:r>
        <w:t>patient</w:t>
      </w:r>
      <w:r w:rsidR="005613CC">
        <w:t xml:space="preserve"> discharges</w:t>
      </w:r>
      <w:r>
        <w:t xml:space="preserve"> to </w:t>
      </w:r>
      <w:r w:rsidR="005613CC">
        <w:t>lower-priced providers (</w:t>
      </w:r>
      <w:r>
        <w:t>DFCI and</w:t>
      </w:r>
      <w:r w:rsidR="005613CC">
        <w:t>,</w:t>
      </w:r>
      <w:r>
        <w:t xml:space="preserve"> to a lesser extent</w:t>
      </w:r>
      <w:r w:rsidR="005613CC">
        <w:t xml:space="preserve">, </w:t>
      </w:r>
      <w:r>
        <w:t>BIDMC</w:t>
      </w:r>
      <w:r w:rsidR="005613CC">
        <w:t xml:space="preserve">) from a higher-priced provider (BWH), the </w:t>
      </w:r>
      <w:r w:rsidR="005613CC">
        <w:lastRenderedPageBreak/>
        <w:t>average price for inpatient cancer care is projected to decline. There is no projected impact on price due to changes in the mix of services provided.</w:t>
      </w:r>
    </w:p>
    <w:p w14:paraId="35E8ECD9" w14:textId="6516CD05" w:rsidR="00B27A65" w:rsidRDefault="00A422E4" w:rsidP="008C4EE0">
      <w:pPr>
        <w:pStyle w:val="Heading2"/>
      </w:pPr>
      <w:bookmarkStart w:id="51" w:name="_Toc187401756"/>
      <w:r>
        <w:t>Changes in Total Medical Spending</w:t>
      </w:r>
      <w:bookmarkEnd w:id="51"/>
    </w:p>
    <w:p w14:paraId="2639C8B3" w14:textId="64D94809" w:rsidR="00C67E09" w:rsidRDefault="005613CC" w:rsidP="005613CC">
      <w:pPr>
        <w:numPr>
          <w:ilvl w:val="0"/>
          <w:numId w:val="4"/>
        </w:numPr>
        <w:spacing w:before="120" w:after="120" w:line="360" w:lineRule="auto"/>
        <w:jc w:val="both"/>
      </w:pPr>
      <w:r>
        <w:t xml:space="preserve">To project the impact of the Proposed Project on total healthcare costs, </w:t>
      </w:r>
      <w:r w:rsidR="00C228C7">
        <w:t>FTI</w:t>
      </w:r>
      <w:r>
        <w:t xml:space="preserve"> combined the estimated utilization demand from Sections IX and X and the price analysis described in Section XI. Projected prices (including the benchmark prices for DFCI) were matched to each inpatient discharge in each service line, service area, and utilization scenario. Total healthcare costs were totaled by summing </w:t>
      </w:r>
      <w:r w:rsidR="00C67E09">
        <w:t xml:space="preserve">costs for each service line in its relevant service area. </w:t>
      </w:r>
    </w:p>
    <w:p w14:paraId="1534E0C2" w14:textId="0B7D4934" w:rsidR="00C67E09" w:rsidRDefault="00C67E09" w:rsidP="004B0AE3">
      <w:pPr>
        <w:numPr>
          <w:ilvl w:val="0"/>
          <w:numId w:val="4"/>
        </w:numPr>
        <w:spacing w:before="120" w:after="120" w:line="360" w:lineRule="auto"/>
        <w:jc w:val="both"/>
      </w:pPr>
      <w:r>
        <w:t xml:space="preserve">Table </w:t>
      </w:r>
      <w:r w:rsidR="00C228C7">
        <w:t>1</w:t>
      </w:r>
      <w:r w:rsidR="00AB290B">
        <w:t>9</w:t>
      </w:r>
      <w:r>
        <w:t xml:space="preserve"> presents estimated projected changes in healthcare costs for inpatient cancer care from 2025-2040 for each DFCI price </w:t>
      </w:r>
      <w:r w:rsidR="00551DA3">
        <w:t>scenario</w:t>
      </w:r>
      <w:r>
        <w:t>.</w:t>
      </w:r>
      <w:r w:rsidR="004B0AE3">
        <w:t xml:space="preserve"> </w:t>
      </w:r>
      <w:r w:rsidR="004B0AE3" w:rsidRPr="004B0AE3">
        <w:t xml:space="preserve">With status quo DFCI prices, the Proposed Project is </w:t>
      </w:r>
      <w:r w:rsidR="004B0AE3" w:rsidRPr="00F7130C">
        <w:t xml:space="preserve">forecast to decrease total medical spending for inpatient cancer care for Massachusetts residents by 1.8% </w:t>
      </w:r>
      <w:r w:rsidR="008F5C6C">
        <w:t xml:space="preserve">($28.4 million) </w:t>
      </w:r>
      <w:r w:rsidR="004B0AE3" w:rsidRPr="00F7130C">
        <w:t>in 2025. Even if DFCI</w:t>
      </w:r>
      <w:r w:rsidR="004B0AE3" w:rsidRPr="004B0AE3">
        <w:t xml:space="preserve"> were able to raise its prices to the level of BIDMC prices or closer to BWH prices, medical spending is forecast to decrease or remain essentially flat.</w:t>
      </w:r>
      <w:r w:rsidR="004B0AE3">
        <w:t xml:space="preserve"> </w:t>
      </w:r>
      <w:r w:rsidR="006C00E0">
        <w:t xml:space="preserve">If Medicare reimbursement </w:t>
      </w:r>
      <w:r w:rsidR="00550EAF">
        <w:t xml:space="preserve">were to also </w:t>
      </w:r>
      <w:r w:rsidR="006C00E0">
        <w:t>increase</w:t>
      </w:r>
      <w:r w:rsidR="00550EAF">
        <w:t xml:space="preserve"> substantially</w:t>
      </w:r>
      <w:r w:rsidR="006C00E0">
        <w:t>, total medical spending is forecast to increase by 0.7%</w:t>
      </w:r>
      <w:r w:rsidR="008F5C6C">
        <w:t xml:space="preserve"> ($10.9 million)</w:t>
      </w:r>
      <w:r w:rsidR="006C00E0">
        <w:t xml:space="preserve">. </w:t>
      </w:r>
      <w:r w:rsidR="004B0AE3" w:rsidRPr="004B0AE3">
        <w:t xml:space="preserve">These effects </w:t>
      </w:r>
      <w:r w:rsidR="004B0AE3">
        <w:t xml:space="preserve">are forecast to </w:t>
      </w:r>
      <w:r w:rsidR="004B0AE3" w:rsidRPr="004B0AE3">
        <w:t>persist from 2025 through 2040.</w:t>
      </w:r>
      <w:r w:rsidR="004B0AE3">
        <w:t xml:space="preserve"> </w:t>
      </w:r>
      <w:r w:rsidR="004B0AE3" w:rsidRPr="004B0AE3">
        <w:t xml:space="preserve">These estimates may understate projected cost savings </w:t>
      </w:r>
      <w:r w:rsidR="00F7130C">
        <w:t xml:space="preserve">from </w:t>
      </w:r>
      <w:r w:rsidR="004B0AE3" w:rsidRPr="004B0AE3">
        <w:t>the Proposed Project due to</w:t>
      </w:r>
      <w:r w:rsidR="004B0AE3">
        <w:t xml:space="preserve"> f</w:t>
      </w:r>
      <w:r w:rsidR="004B0AE3" w:rsidRPr="004B0AE3">
        <w:t>ailure to incorporate impacts of decreased market concentration and potentially increased competition</w:t>
      </w:r>
      <w:r w:rsidR="004B0AE3">
        <w:t>, o</w:t>
      </w:r>
      <w:r w:rsidR="004B0AE3" w:rsidRPr="004B0AE3">
        <w:t>verstating potential price increases by DFCI following the construction of its new facility</w:t>
      </w:r>
      <w:r w:rsidR="004B0AE3">
        <w:t>, or u</w:t>
      </w:r>
      <w:r w:rsidR="004B0AE3" w:rsidRPr="004B0AE3">
        <w:t>nderestimation of DFCI’s ability to accommodate excess demand</w:t>
      </w:r>
      <w:r w:rsidR="004B0AE3">
        <w:t xml:space="preserve">. </w:t>
      </w:r>
    </w:p>
    <w:p w14:paraId="6E26CAA8" w14:textId="654A21D6" w:rsidR="00551DA3" w:rsidRDefault="00551DA3" w:rsidP="001D3E05">
      <w:pPr>
        <w:pStyle w:val="Caption"/>
        <w:keepNext/>
        <w:jc w:val="center"/>
      </w:pPr>
      <w:bookmarkStart w:id="52" w:name="_Toc187401792"/>
      <w:r>
        <w:t xml:space="preserve">Table </w:t>
      </w:r>
      <w:fldSimple w:instr=" SEQ Table \* ARABIC ">
        <w:r w:rsidR="0085394E">
          <w:rPr>
            <w:noProof/>
          </w:rPr>
          <w:t>19</w:t>
        </w:r>
      </w:fldSimple>
      <w:r>
        <w:t>: Estimated Changes in Inpatient Cancer Care Costs</w:t>
      </w:r>
      <w:bookmarkEnd w:id="52"/>
    </w:p>
    <w:tbl>
      <w:tblPr>
        <w:tblW w:w="0" w:type="auto"/>
        <w:tblLayout w:type="fixed"/>
        <w:tblLook w:val="04A0" w:firstRow="1" w:lastRow="0" w:firstColumn="1" w:lastColumn="0" w:noHBand="0" w:noVBand="1"/>
      </w:tblPr>
      <w:tblGrid>
        <w:gridCol w:w="1070"/>
        <w:gridCol w:w="732"/>
        <w:gridCol w:w="732"/>
        <w:gridCol w:w="732"/>
        <w:gridCol w:w="732"/>
        <w:gridCol w:w="1397"/>
        <w:gridCol w:w="1397"/>
        <w:gridCol w:w="1218"/>
        <w:gridCol w:w="1330"/>
      </w:tblGrid>
      <w:tr w:rsidR="009E2A0B" w:rsidRPr="009E2A0B" w14:paraId="6550227C" w14:textId="77777777" w:rsidTr="004111A5">
        <w:trPr>
          <w:cantSplit/>
          <w:trHeight w:val="290"/>
          <w:tblHeader/>
        </w:trPr>
        <w:tc>
          <w:tcPr>
            <w:tcW w:w="1070" w:type="dxa"/>
            <w:tcBorders>
              <w:top w:val="single" w:sz="8" w:space="0" w:color="auto"/>
              <w:left w:val="single" w:sz="8" w:space="0" w:color="auto"/>
              <w:right w:val="single" w:sz="8" w:space="0" w:color="auto"/>
            </w:tcBorders>
            <w:shd w:val="clear" w:color="000000" w:fill="002060"/>
            <w:vAlign w:val="bottom"/>
            <w:hideMark/>
          </w:tcPr>
          <w:p w14:paraId="21242A8B" w14:textId="4DE908F4" w:rsidR="009E2A0B" w:rsidRPr="009E2A0B" w:rsidRDefault="009E2A0B" w:rsidP="009E2A0B">
            <w:pPr>
              <w:spacing w:after="0" w:line="240" w:lineRule="auto"/>
              <w:rPr>
                <w:rFonts w:ascii="Calibri" w:eastAsia="Times New Roman" w:hAnsi="Calibri" w:cs="Calibri"/>
                <w:b/>
                <w:bCs/>
                <w:color w:val="FFFFFF"/>
                <w:kern w:val="0"/>
                <w14:ligatures w14:val="none"/>
              </w:rPr>
            </w:pPr>
          </w:p>
        </w:tc>
        <w:tc>
          <w:tcPr>
            <w:tcW w:w="2928" w:type="dxa"/>
            <w:gridSpan w:val="4"/>
            <w:tcBorders>
              <w:top w:val="single" w:sz="8" w:space="0" w:color="auto"/>
              <w:left w:val="nil"/>
              <w:bottom w:val="nil"/>
              <w:right w:val="single" w:sz="8" w:space="0" w:color="000000"/>
            </w:tcBorders>
            <w:shd w:val="clear" w:color="000000" w:fill="002060"/>
            <w:noWrap/>
            <w:vAlign w:val="bottom"/>
            <w:hideMark/>
          </w:tcPr>
          <w:p w14:paraId="0380EACB" w14:textId="77777777" w:rsidR="009E2A0B" w:rsidRPr="009E2A0B" w:rsidRDefault="009E2A0B"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DFCI Pricing Scenario</w:t>
            </w:r>
          </w:p>
        </w:tc>
        <w:tc>
          <w:tcPr>
            <w:tcW w:w="5342" w:type="dxa"/>
            <w:gridSpan w:val="4"/>
            <w:tcBorders>
              <w:top w:val="single" w:sz="8" w:space="0" w:color="auto"/>
              <w:left w:val="nil"/>
              <w:bottom w:val="nil"/>
              <w:right w:val="single" w:sz="8" w:space="0" w:color="000000"/>
            </w:tcBorders>
            <w:shd w:val="clear" w:color="000000" w:fill="002060"/>
            <w:noWrap/>
            <w:vAlign w:val="bottom"/>
            <w:hideMark/>
          </w:tcPr>
          <w:p w14:paraId="03BC2E7D" w14:textId="77777777" w:rsidR="009E2A0B" w:rsidRPr="009E2A0B" w:rsidRDefault="009E2A0B"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DFCI Pricing Scenario</w:t>
            </w:r>
          </w:p>
        </w:tc>
      </w:tr>
      <w:tr w:rsidR="001D3E05" w:rsidRPr="009E2A0B" w14:paraId="42E2C4BF" w14:textId="77777777" w:rsidTr="004111A5">
        <w:trPr>
          <w:cantSplit/>
          <w:trHeight w:val="300"/>
          <w:tblHeader/>
        </w:trPr>
        <w:tc>
          <w:tcPr>
            <w:tcW w:w="1070" w:type="dxa"/>
            <w:tcBorders>
              <w:left w:val="single" w:sz="8" w:space="0" w:color="auto"/>
              <w:bottom w:val="single" w:sz="8" w:space="0" w:color="000000"/>
              <w:right w:val="single" w:sz="8" w:space="0" w:color="auto"/>
            </w:tcBorders>
            <w:shd w:val="clear" w:color="000000" w:fill="002060"/>
            <w:vAlign w:val="center"/>
            <w:hideMark/>
          </w:tcPr>
          <w:p w14:paraId="4E47EE46" w14:textId="00095E66" w:rsidR="009E2A0B" w:rsidRPr="009E2A0B" w:rsidRDefault="004111A5" w:rsidP="009E2A0B">
            <w:pPr>
              <w:spacing w:after="0" w:line="240" w:lineRule="auto"/>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Forecast Year</w:t>
            </w:r>
          </w:p>
        </w:tc>
        <w:tc>
          <w:tcPr>
            <w:tcW w:w="732" w:type="dxa"/>
            <w:tcBorders>
              <w:top w:val="nil"/>
              <w:left w:val="nil"/>
              <w:bottom w:val="nil"/>
              <w:right w:val="nil"/>
            </w:tcBorders>
            <w:shd w:val="clear" w:color="000000" w:fill="002060"/>
            <w:noWrap/>
            <w:vAlign w:val="bottom"/>
            <w:hideMark/>
          </w:tcPr>
          <w:p w14:paraId="388CDD9B"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(1)</w:t>
            </w:r>
          </w:p>
        </w:tc>
        <w:tc>
          <w:tcPr>
            <w:tcW w:w="732" w:type="dxa"/>
            <w:tcBorders>
              <w:top w:val="nil"/>
              <w:left w:val="nil"/>
              <w:bottom w:val="nil"/>
              <w:right w:val="nil"/>
            </w:tcBorders>
            <w:shd w:val="clear" w:color="000000" w:fill="002060"/>
            <w:noWrap/>
            <w:vAlign w:val="bottom"/>
            <w:hideMark/>
          </w:tcPr>
          <w:p w14:paraId="0F1E458C"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(2)</w:t>
            </w:r>
          </w:p>
        </w:tc>
        <w:tc>
          <w:tcPr>
            <w:tcW w:w="732" w:type="dxa"/>
            <w:tcBorders>
              <w:top w:val="nil"/>
              <w:left w:val="nil"/>
              <w:bottom w:val="nil"/>
              <w:right w:val="nil"/>
            </w:tcBorders>
            <w:shd w:val="clear" w:color="000000" w:fill="002060"/>
            <w:vAlign w:val="bottom"/>
            <w:hideMark/>
          </w:tcPr>
          <w:p w14:paraId="175ED538"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(3)</w:t>
            </w:r>
          </w:p>
        </w:tc>
        <w:tc>
          <w:tcPr>
            <w:tcW w:w="732" w:type="dxa"/>
            <w:tcBorders>
              <w:top w:val="nil"/>
              <w:left w:val="nil"/>
              <w:bottom w:val="nil"/>
              <w:right w:val="single" w:sz="8" w:space="0" w:color="auto"/>
            </w:tcBorders>
            <w:shd w:val="clear" w:color="000000" w:fill="002060"/>
            <w:vAlign w:val="bottom"/>
            <w:hideMark/>
          </w:tcPr>
          <w:p w14:paraId="2C267227"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(4)</w:t>
            </w:r>
          </w:p>
        </w:tc>
        <w:tc>
          <w:tcPr>
            <w:tcW w:w="1397" w:type="dxa"/>
            <w:tcBorders>
              <w:top w:val="nil"/>
              <w:left w:val="nil"/>
              <w:bottom w:val="nil"/>
              <w:right w:val="nil"/>
            </w:tcBorders>
            <w:shd w:val="clear" w:color="000000" w:fill="002060"/>
            <w:noWrap/>
            <w:vAlign w:val="bottom"/>
            <w:hideMark/>
          </w:tcPr>
          <w:p w14:paraId="59F60D78"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(1)</w:t>
            </w:r>
          </w:p>
        </w:tc>
        <w:tc>
          <w:tcPr>
            <w:tcW w:w="1397" w:type="dxa"/>
            <w:tcBorders>
              <w:top w:val="nil"/>
              <w:left w:val="nil"/>
              <w:bottom w:val="nil"/>
              <w:right w:val="nil"/>
            </w:tcBorders>
            <w:shd w:val="clear" w:color="000000" w:fill="002060"/>
            <w:noWrap/>
            <w:vAlign w:val="bottom"/>
            <w:hideMark/>
          </w:tcPr>
          <w:p w14:paraId="4F6FA37D"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(2)</w:t>
            </w:r>
          </w:p>
        </w:tc>
        <w:tc>
          <w:tcPr>
            <w:tcW w:w="1218" w:type="dxa"/>
            <w:tcBorders>
              <w:top w:val="nil"/>
              <w:left w:val="nil"/>
              <w:bottom w:val="nil"/>
              <w:right w:val="nil"/>
            </w:tcBorders>
            <w:shd w:val="clear" w:color="000000" w:fill="002060"/>
            <w:vAlign w:val="bottom"/>
            <w:hideMark/>
          </w:tcPr>
          <w:p w14:paraId="08DFC5A9"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(3)</w:t>
            </w:r>
          </w:p>
        </w:tc>
        <w:tc>
          <w:tcPr>
            <w:tcW w:w="1330" w:type="dxa"/>
            <w:tcBorders>
              <w:top w:val="nil"/>
              <w:left w:val="nil"/>
              <w:bottom w:val="nil"/>
              <w:right w:val="single" w:sz="8" w:space="0" w:color="auto"/>
            </w:tcBorders>
            <w:shd w:val="clear" w:color="000000" w:fill="002060"/>
            <w:vAlign w:val="bottom"/>
            <w:hideMark/>
          </w:tcPr>
          <w:p w14:paraId="0BAE904E"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(4)</w:t>
            </w:r>
          </w:p>
        </w:tc>
      </w:tr>
      <w:tr w:rsidR="001D3E05" w:rsidRPr="009E2A0B" w14:paraId="0B220E8A" w14:textId="77777777" w:rsidTr="004111A5">
        <w:trPr>
          <w:cantSplit/>
          <w:trHeight w:val="290"/>
        </w:trPr>
        <w:tc>
          <w:tcPr>
            <w:tcW w:w="1070" w:type="dxa"/>
            <w:tcBorders>
              <w:top w:val="nil"/>
              <w:left w:val="single" w:sz="8" w:space="0" w:color="auto"/>
              <w:bottom w:val="dashed" w:sz="4" w:space="0" w:color="auto"/>
              <w:right w:val="single" w:sz="8" w:space="0" w:color="auto"/>
            </w:tcBorders>
            <w:shd w:val="clear" w:color="auto" w:fill="auto"/>
            <w:noWrap/>
            <w:vAlign w:val="bottom"/>
            <w:hideMark/>
          </w:tcPr>
          <w:p w14:paraId="10A2A703"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2025</w:t>
            </w:r>
          </w:p>
        </w:tc>
        <w:tc>
          <w:tcPr>
            <w:tcW w:w="732" w:type="dxa"/>
            <w:tcBorders>
              <w:top w:val="single" w:sz="8" w:space="0" w:color="auto"/>
              <w:left w:val="nil"/>
              <w:bottom w:val="dashed" w:sz="4" w:space="0" w:color="auto"/>
              <w:right w:val="nil"/>
            </w:tcBorders>
            <w:shd w:val="clear" w:color="auto" w:fill="auto"/>
            <w:noWrap/>
            <w:vAlign w:val="bottom"/>
            <w:hideMark/>
          </w:tcPr>
          <w:p w14:paraId="4AEDC67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-1.8%</w:t>
            </w:r>
          </w:p>
        </w:tc>
        <w:tc>
          <w:tcPr>
            <w:tcW w:w="732" w:type="dxa"/>
            <w:tcBorders>
              <w:top w:val="single" w:sz="8" w:space="0" w:color="auto"/>
              <w:left w:val="nil"/>
              <w:bottom w:val="dashed" w:sz="4" w:space="0" w:color="auto"/>
              <w:right w:val="nil"/>
            </w:tcBorders>
            <w:shd w:val="clear" w:color="auto" w:fill="auto"/>
            <w:noWrap/>
            <w:vAlign w:val="bottom"/>
            <w:hideMark/>
          </w:tcPr>
          <w:p w14:paraId="1EE40C7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-0.5%</w:t>
            </w:r>
          </w:p>
        </w:tc>
        <w:tc>
          <w:tcPr>
            <w:tcW w:w="732" w:type="dxa"/>
            <w:tcBorders>
              <w:top w:val="single" w:sz="8" w:space="0" w:color="auto"/>
              <w:left w:val="nil"/>
              <w:bottom w:val="dashed" w:sz="4" w:space="0" w:color="auto"/>
              <w:right w:val="nil"/>
            </w:tcBorders>
            <w:shd w:val="clear" w:color="auto" w:fill="auto"/>
            <w:noWrap/>
            <w:vAlign w:val="bottom"/>
            <w:hideMark/>
          </w:tcPr>
          <w:p w14:paraId="2DBFECE8"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0.1%</w:t>
            </w:r>
          </w:p>
        </w:tc>
        <w:tc>
          <w:tcPr>
            <w:tcW w:w="732" w:type="dxa"/>
            <w:tcBorders>
              <w:top w:val="single" w:sz="8" w:space="0" w:color="auto"/>
              <w:left w:val="nil"/>
              <w:bottom w:val="dashed" w:sz="4" w:space="0" w:color="auto"/>
              <w:right w:val="single" w:sz="8" w:space="0" w:color="auto"/>
            </w:tcBorders>
            <w:shd w:val="clear" w:color="auto" w:fill="auto"/>
            <w:noWrap/>
            <w:vAlign w:val="bottom"/>
            <w:hideMark/>
          </w:tcPr>
          <w:p w14:paraId="36F03D6C"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0.7%</w:t>
            </w:r>
          </w:p>
        </w:tc>
        <w:tc>
          <w:tcPr>
            <w:tcW w:w="1397" w:type="dxa"/>
            <w:tcBorders>
              <w:top w:val="single" w:sz="8" w:space="0" w:color="auto"/>
              <w:left w:val="nil"/>
              <w:bottom w:val="dashed" w:sz="4" w:space="0" w:color="auto"/>
              <w:right w:val="nil"/>
            </w:tcBorders>
            <w:shd w:val="clear" w:color="auto" w:fill="auto"/>
            <w:noWrap/>
            <w:vAlign w:val="bottom"/>
            <w:hideMark/>
          </w:tcPr>
          <w:p w14:paraId="39713A77"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-$28,426,978</w:t>
            </w:r>
          </w:p>
        </w:tc>
        <w:tc>
          <w:tcPr>
            <w:tcW w:w="1397" w:type="dxa"/>
            <w:tcBorders>
              <w:top w:val="single" w:sz="8" w:space="0" w:color="auto"/>
              <w:left w:val="nil"/>
              <w:bottom w:val="dashed" w:sz="4" w:space="0" w:color="auto"/>
              <w:right w:val="nil"/>
            </w:tcBorders>
            <w:shd w:val="clear" w:color="auto" w:fill="auto"/>
            <w:noWrap/>
            <w:vAlign w:val="bottom"/>
            <w:hideMark/>
          </w:tcPr>
          <w:p w14:paraId="47DCC617"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-$8,617,109</w:t>
            </w:r>
          </w:p>
        </w:tc>
        <w:tc>
          <w:tcPr>
            <w:tcW w:w="1218" w:type="dxa"/>
            <w:tcBorders>
              <w:top w:val="single" w:sz="8" w:space="0" w:color="auto"/>
              <w:left w:val="nil"/>
              <w:bottom w:val="dashed" w:sz="4" w:space="0" w:color="auto"/>
              <w:right w:val="nil"/>
            </w:tcBorders>
            <w:shd w:val="clear" w:color="auto" w:fill="auto"/>
            <w:vAlign w:val="bottom"/>
            <w:hideMark/>
          </w:tcPr>
          <w:p w14:paraId="7BA8388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$1,531,061</w:t>
            </w:r>
          </w:p>
        </w:tc>
        <w:tc>
          <w:tcPr>
            <w:tcW w:w="1330" w:type="dxa"/>
            <w:tcBorders>
              <w:top w:val="single" w:sz="8" w:space="0" w:color="auto"/>
              <w:left w:val="nil"/>
              <w:bottom w:val="dashed" w:sz="4" w:space="0" w:color="auto"/>
              <w:right w:val="single" w:sz="8" w:space="0" w:color="auto"/>
            </w:tcBorders>
            <w:shd w:val="clear" w:color="auto" w:fill="auto"/>
            <w:noWrap/>
            <w:vAlign w:val="bottom"/>
            <w:hideMark/>
          </w:tcPr>
          <w:p w14:paraId="7F8E24A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$10,899,772</w:t>
            </w:r>
          </w:p>
        </w:tc>
      </w:tr>
      <w:tr w:rsidR="001D3E05" w:rsidRPr="009E2A0B" w14:paraId="59E4491E" w14:textId="77777777" w:rsidTr="004111A5">
        <w:trPr>
          <w:cantSplit/>
          <w:trHeight w:val="290"/>
        </w:trPr>
        <w:tc>
          <w:tcPr>
            <w:tcW w:w="1070" w:type="dxa"/>
            <w:tcBorders>
              <w:top w:val="nil"/>
              <w:left w:val="single" w:sz="8" w:space="0" w:color="auto"/>
              <w:bottom w:val="dashed" w:sz="4" w:space="0" w:color="auto"/>
              <w:right w:val="single" w:sz="8" w:space="0" w:color="auto"/>
            </w:tcBorders>
            <w:shd w:val="clear" w:color="auto" w:fill="auto"/>
            <w:noWrap/>
            <w:vAlign w:val="bottom"/>
            <w:hideMark/>
          </w:tcPr>
          <w:p w14:paraId="34948A31"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2030</w:t>
            </w:r>
          </w:p>
        </w:tc>
        <w:tc>
          <w:tcPr>
            <w:tcW w:w="732" w:type="dxa"/>
            <w:tcBorders>
              <w:top w:val="dashed" w:sz="4" w:space="0" w:color="auto"/>
              <w:left w:val="single" w:sz="8" w:space="0" w:color="auto"/>
              <w:bottom w:val="dashed" w:sz="4" w:space="0" w:color="auto"/>
              <w:right w:val="nil"/>
            </w:tcBorders>
            <w:shd w:val="clear" w:color="auto" w:fill="auto"/>
            <w:noWrap/>
            <w:vAlign w:val="bottom"/>
            <w:hideMark/>
          </w:tcPr>
          <w:p w14:paraId="41864D4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-1.6%</w:t>
            </w:r>
          </w:p>
        </w:tc>
        <w:tc>
          <w:tcPr>
            <w:tcW w:w="732" w:type="dxa"/>
            <w:tcBorders>
              <w:top w:val="dashed" w:sz="4" w:space="0" w:color="auto"/>
              <w:left w:val="nil"/>
              <w:bottom w:val="dashed" w:sz="4" w:space="0" w:color="auto"/>
              <w:right w:val="nil"/>
            </w:tcBorders>
            <w:shd w:val="clear" w:color="auto" w:fill="auto"/>
            <w:noWrap/>
            <w:vAlign w:val="bottom"/>
            <w:hideMark/>
          </w:tcPr>
          <w:p w14:paraId="584F373E"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-0.5%</w:t>
            </w:r>
          </w:p>
        </w:tc>
        <w:tc>
          <w:tcPr>
            <w:tcW w:w="732" w:type="dxa"/>
            <w:tcBorders>
              <w:top w:val="dashed" w:sz="4" w:space="0" w:color="auto"/>
              <w:left w:val="nil"/>
              <w:bottom w:val="dashed" w:sz="4" w:space="0" w:color="auto"/>
              <w:right w:val="nil"/>
            </w:tcBorders>
            <w:shd w:val="clear" w:color="auto" w:fill="auto"/>
            <w:noWrap/>
            <w:vAlign w:val="bottom"/>
            <w:hideMark/>
          </w:tcPr>
          <w:p w14:paraId="720723EE"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0.1%</w:t>
            </w:r>
          </w:p>
        </w:tc>
        <w:tc>
          <w:tcPr>
            <w:tcW w:w="732" w:type="dxa"/>
            <w:tcBorders>
              <w:top w:val="dashed" w:sz="4" w:space="0" w:color="auto"/>
              <w:left w:val="nil"/>
              <w:bottom w:val="dashed" w:sz="4" w:space="0" w:color="auto"/>
              <w:right w:val="single" w:sz="8" w:space="0" w:color="auto"/>
            </w:tcBorders>
            <w:shd w:val="clear" w:color="auto" w:fill="auto"/>
            <w:noWrap/>
            <w:vAlign w:val="bottom"/>
            <w:hideMark/>
          </w:tcPr>
          <w:p w14:paraId="16FA5C92"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0.7%</w:t>
            </w:r>
          </w:p>
        </w:tc>
        <w:tc>
          <w:tcPr>
            <w:tcW w:w="1397" w:type="dxa"/>
            <w:tcBorders>
              <w:top w:val="dashed" w:sz="4" w:space="0" w:color="auto"/>
              <w:left w:val="nil"/>
              <w:bottom w:val="dashed" w:sz="4" w:space="0" w:color="auto"/>
              <w:right w:val="nil"/>
            </w:tcBorders>
            <w:shd w:val="clear" w:color="auto" w:fill="auto"/>
            <w:noWrap/>
            <w:vAlign w:val="bottom"/>
            <w:hideMark/>
          </w:tcPr>
          <w:p w14:paraId="1DBE114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-$28,386,425</w:t>
            </w:r>
          </w:p>
        </w:tc>
        <w:tc>
          <w:tcPr>
            <w:tcW w:w="1397" w:type="dxa"/>
            <w:tcBorders>
              <w:top w:val="dashed" w:sz="4" w:space="0" w:color="auto"/>
              <w:left w:val="nil"/>
              <w:bottom w:val="dashed" w:sz="4" w:space="0" w:color="auto"/>
              <w:right w:val="nil"/>
            </w:tcBorders>
            <w:shd w:val="clear" w:color="auto" w:fill="auto"/>
            <w:noWrap/>
            <w:vAlign w:val="bottom"/>
            <w:hideMark/>
          </w:tcPr>
          <w:p w14:paraId="1FAA7CA9"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-$9,458,406</w:t>
            </w:r>
          </w:p>
        </w:tc>
        <w:tc>
          <w:tcPr>
            <w:tcW w:w="1218" w:type="dxa"/>
            <w:tcBorders>
              <w:top w:val="dashed" w:sz="4" w:space="0" w:color="auto"/>
              <w:left w:val="nil"/>
              <w:bottom w:val="dashed" w:sz="4" w:space="0" w:color="auto"/>
              <w:right w:val="nil"/>
            </w:tcBorders>
            <w:shd w:val="clear" w:color="auto" w:fill="auto"/>
            <w:vAlign w:val="bottom"/>
            <w:hideMark/>
          </w:tcPr>
          <w:p w14:paraId="6A7D100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$1,705,125</w:t>
            </w:r>
          </w:p>
        </w:tc>
        <w:tc>
          <w:tcPr>
            <w:tcW w:w="1330" w:type="dxa"/>
            <w:tcBorders>
              <w:top w:val="dashed" w:sz="4" w:space="0" w:color="auto"/>
              <w:left w:val="nil"/>
              <w:bottom w:val="dashed" w:sz="4" w:space="0" w:color="auto"/>
              <w:right w:val="single" w:sz="8" w:space="0" w:color="auto"/>
            </w:tcBorders>
            <w:shd w:val="clear" w:color="auto" w:fill="auto"/>
            <w:noWrap/>
            <w:vAlign w:val="bottom"/>
            <w:hideMark/>
          </w:tcPr>
          <w:p w14:paraId="5ADC8B99"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$12,408,841</w:t>
            </w:r>
          </w:p>
        </w:tc>
      </w:tr>
      <w:tr w:rsidR="001D3E05" w:rsidRPr="009E2A0B" w14:paraId="6A16BC33" w14:textId="77777777" w:rsidTr="004111A5">
        <w:trPr>
          <w:cantSplit/>
          <w:trHeight w:val="290"/>
        </w:trPr>
        <w:tc>
          <w:tcPr>
            <w:tcW w:w="1070" w:type="dxa"/>
            <w:tcBorders>
              <w:top w:val="nil"/>
              <w:left w:val="single" w:sz="8" w:space="0" w:color="auto"/>
              <w:bottom w:val="dashed" w:sz="4" w:space="0" w:color="auto"/>
              <w:right w:val="single" w:sz="8" w:space="0" w:color="auto"/>
            </w:tcBorders>
            <w:shd w:val="clear" w:color="auto" w:fill="auto"/>
            <w:noWrap/>
            <w:vAlign w:val="bottom"/>
            <w:hideMark/>
          </w:tcPr>
          <w:p w14:paraId="25D5EA41"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2035</w:t>
            </w:r>
          </w:p>
        </w:tc>
        <w:tc>
          <w:tcPr>
            <w:tcW w:w="732" w:type="dxa"/>
            <w:tcBorders>
              <w:top w:val="nil"/>
              <w:left w:val="single" w:sz="8" w:space="0" w:color="auto"/>
              <w:bottom w:val="dashed" w:sz="4" w:space="0" w:color="auto"/>
              <w:right w:val="nil"/>
            </w:tcBorders>
            <w:shd w:val="clear" w:color="auto" w:fill="auto"/>
            <w:noWrap/>
            <w:vAlign w:val="bottom"/>
            <w:hideMark/>
          </w:tcPr>
          <w:p w14:paraId="1A8877B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-1.5%</w:t>
            </w:r>
          </w:p>
        </w:tc>
        <w:tc>
          <w:tcPr>
            <w:tcW w:w="732" w:type="dxa"/>
            <w:tcBorders>
              <w:top w:val="nil"/>
              <w:left w:val="nil"/>
              <w:bottom w:val="dashed" w:sz="4" w:space="0" w:color="auto"/>
              <w:right w:val="nil"/>
            </w:tcBorders>
            <w:shd w:val="clear" w:color="auto" w:fill="auto"/>
            <w:noWrap/>
            <w:vAlign w:val="bottom"/>
            <w:hideMark/>
          </w:tcPr>
          <w:p w14:paraId="0066430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-0.5%</w:t>
            </w:r>
          </w:p>
        </w:tc>
        <w:tc>
          <w:tcPr>
            <w:tcW w:w="732" w:type="dxa"/>
            <w:tcBorders>
              <w:top w:val="nil"/>
              <w:left w:val="nil"/>
              <w:bottom w:val="dashed" w:sz="4" w:space="0" w:color="auto"/>
              <w:right w:val="nil"/>
            </w:tcBorders>
            <w:shd w:val="clear" w:color="auto" w:fill="auto"/>
            <w:noWrap/>
            <w:vAlign w:val="bottom"/>
            <w:hideMark/>
          </w:tcPr>
          <w:p w14:paraId="6E258A27"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0.1%</w:t>
            </w:r>
          </w:p>
        </w:tc>
        <w:tc>
          <w:tcPr>
            <w:tcW w:w="732" w:type="dxa"/>
            <w:tcBorders>
              <w:top w:val="nil"/>
              <w:left w:val="nil"/>
              <w:bottom w:val="dashed" w:sz="4" w:space="0" w:color="auto"/>
              <w:right w:val="single" w:sz="8" w:space="0" w:color="auto"/>
            </w:tcBorders>
            <w:shd w:val="clear" w:color="auto" w:fill="auto"/>
            <w:noWrap/>
            <w:vAlign w:val="bottom"/>
            <w:hideMark/>
          </w:tcPr>
          <w:p w14:paraId="3131DFA0"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0.7%</w:t>
            </w:r>
          </w:p>
        </w:tc>
        <w:tc>
          <w:tcPr>
            <w:tcW w:w="1397" w:type="dxa"/>
            <w:tcBorders>
              <w:top w:val="nil"/>
              <w:left w:val="nil"/>
              <w:bottom w:val="dashed" w:sz="4" w:space="0" w:color="auto"/>
              <w:right w:val="nil"/>
            </w:tcBorders>
            <w:shd w:val="clear" w:color="auto" w:fill="auto"/>
            <w:noWrap/>
            <w:vAlign w:val="bottom"/>
            <w:hideMark/>
          </w:tcPr>
          <w:p w14:paraId="615CBCB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-$28,356,757</w:t>
            </w:r>
          </w:p>
        </w:tc>
        <w:tc>
          <w:tcPr>
            <w:tcW w:w="1397" w:type="dxa"/>
            <w:tcBorders>
              <w:top w:val="nil"/>
              <w:left w:val="nil"/>
              <w:bottom w:val="dashed" w:sz="4" w:space="0" w:color="auto"/>
              <w:right w:val="nil"/>
            </w:tcBorders>
            <w:shd w:val="clear" w:color="auto" w:fill="auto"/>
            <w:noWrap/>
            <w:vAlign w:val="bottom"/>
            <w:hideMark/>
          </w:tcPr>
          <w:p w14:paraId="3DC180A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-$10,035,570</w:t>
            </w:r>
          </w:p>
        </w:tc>
        <w:tc>
          <w:tcPr>
            <w:tcW w:w="1218" w:type="dxa"/>
            <w:tcBorders>
              <w:top w:val="nil"/>
              <w:left w:val="nil"/>
              <w:bottom w:val="dashed" w:sz="4" w:space="0" w:color="auto"/>
              <w:right w:val="nil"/>
            </w:tcBorders>
            <w:shd w:val="clear" w:color="auto" w:fill="auto"/>
            <w:vAlign w:val="bottom"/>
            <w:hideMark/>
          </w:tcPr>
          <w:p w14:paraId="4371EA1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$1,901,478</w:t>
            </w:r>
          </w:p>
        </w:tc>
        <w:tc>
          <w:tcPr>
            <w:tcW w:w="1330" w:type="dxa"/>
            <w:tcBorders>
              <w:top w:val="nil"/>
              <w:left w:val="nil"/>
              <w:bottom w:val="dashed" w:sz="4" w:space="0" w:color="auto"/>
              <w:right w:val="single" w:sz="8" w:space="0" w:color="auto"/>
            </w:tcBorders>
            <w:shd w:val="clear" w:color="auto" w:fill="auto"/>
            <w:noWrap/>
            <w:vAlign w:val="bottom"/>
            <w:hideMark/>
          </w:tcPr>
          <w:p w14:paraId="042DBF76"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$13,522,711</w:t>
            </w:r>
          </w:p>
        </w:tc>
      </w:tr>
      <w:tr w:rsidR="001D3E05" w:rsidRPr="009E2A0B" w14:paraId="6314592E" w14:textId="77777777" w:rsidTr="004111A5">
        <w:trPr>
          <w:cantSplit/>
          <w:trHeight w:val="300"/>
        </w:trPr>
        <w:tc>
          <w:tcPr>
            <w:tcW w:w="1070" w:type="dxa"/>
            <w:tcBorders>
              <w:top w:val="nil"/>
              <w:left w:val="single" w:sz="8" w:space="0" w:color="auto"/>
              <w:bottom w:val="single" w:sz="8" w:space="0" w:color="auto"/>
              <w:right w:val="single" w:sz="8" w:space="0" w:color="auto"/>
            </w:tcBorders>
            <w:shd w:val="clear" w:color="auto" w:fill="auto"/>
            <w:noWrap/>
            <w:vAlign w:val="bottom"/>
            <w:hideMark/>
          </w:tcPr>
          <w:p w14:paraId="053EE26C"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2040</w:t>
            </w:r>
          </w:p>
        </w:tc>
        <w:tc>
          <w:tcPr>
            <w:tcW w:w="732" w:type="dxa"/>
            <w:tcBorders>
              <w:top w:val="nil"/>
              <w:left w:val="single" w:sz="8" w:space="0" w:color="auto"/>
              <w:bottom w:val="single" w:sz="8" w:space="0" w:color="auto"/>
              <w:right w:val="nil"/>
            </w:tcBorders>
            <w:shd w:val="clear" w:color="auto" w:fill="auto"/>
            <w:noWrap/>
            <w:vAlign w:val="bottom"/>
            <w:hideMark/>
          </w:tcPr>
          <w:p w14:paraId="5881004E"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-1.5%</w:t>
            </w:r>
          </w:p>
        </w:tc>
        <w:tc>
          <w:tcPr>
            <w:tcW w:w="732" w:type="dxa"/>
            <w:tcBorders>
              <w:top w:val="nil"/>
              <w:left w:val="nil"/>
              <w:bottom w:val="single" w:sz="8" w:space="0" w:color="auto"/>
              <w:right w:val="nil"/>
            </w:tcBorders>
            <w:shd w:val="clear" w:color="auto" w:fill="auto"/>
            <w:noWrap/>
            <w:vAlign w:val="bottom"/>
            <w:hideMark/>
          </w:tcPr>
          <w:p w14:paraId="67F59D94"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-0.5%</w:t>
            </w:r>
          </w:p>
        </w:tc>
        <w:tc>
          <w:tcPr>
            <w:tcW w:w="732" w:type="dxa"/>
            <w:tcBorders>
              <w:top w:val="nil"/>
              <w:left w:val="nil"/>
              <w:bottom w:val="single" w:sz="8" w:space="0" w:color="auto"/>
              <w:right w:val="nil"/>
            </w:tcBorders>
            <w:shd w:val="clear" w:color="auto" w:fill="auto"/>
            <w:noWrap/>
            <w:vAlign w:val="bottom"/>
            <w:hideMark/>
          </w:tcPr>
          <w:p w14:paraId="54AB3086"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0.1%</w:t>
            </w:r>
          </w:p>
        </w:tc>
        <w:tc>
          <w:tcPr>
            <w:tcW w:w="732" w:type="dxa"/>
            <w:tcBorders>
              <w:top w:val="nil"/>
              <w:left w:val="nil"/>
              <w:bottom w:val="single" w:sz="8" w:space="0" w:color="auto"/>
              <w:right w:val="single" w:sz="8" w:space="0" w:color="auto"/>
            </w:tcBorders>
            <w:shd w:val="clear" w:color="auto" w:fill="auto"/>
            <w:noWrap/>
            <w:vAlign w:val="bottom"/>
            <w:hideMark/>
          </w:tcPr>
          <w:p w14:paraId="467164E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0.7%</w:t>
            </w:r>
          </w:p>
        </w:tc>
        <w:tc>
          <w:tcPr>
            <w:tcW w:w="1397" w:type="dxa"/>
            <w:tcBorders>
              <w:top w:val="nil"/>
              <w:left w:val="nil"/>
              <w:bottom w:val="single" w:sz="8" w:space="0" w:color="auto"/>
              <w:right w:val="nil"/>
            </w:tcBorders>
            <w:shd w:val="clear" w:color="auto" w:fill="auto"/>
            <w:noWrap/>
            <w:vAlign w:val="bottom"/>
            <w:hideMark/>
          </w:tcPr>
          <w:p w14:paraId="07383B00"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-$28,694,836</w:t>
            </w:r>
          </w:p>
        </w:tc>
        <w:tc>
          <w:tcPr>
            <w:tcW w:w="1397" w:type="dxa"/>
            <w:tcBorders>
              <w:top w:val="nil"/>
              <w:left w:val="nil"/>
              <w:bottom w:val="single" w:sz="8" w:space="0" w:color="auto"/>
              <w:right w:val="nil"/>
            </w:tcBorders>
            <w:shd w:val="clear" w:color="auto" w:fill="auto"/>
            <w:noWrap/>
            <w:vAlign w:val="bottom"/>
            <w:hideMark/>
          </w:tcPr>
          <w:p w14:paraId="133C1D02"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-$10,338,613</w:t>
            </w:r>
          </w:p>
        </w:tc>
        <w:tc>
          <w:tcPr>
            <w:tcW w:w="1218" w:type="dxa"/>
            <w:tcBorders>
              <w:top w:val="nil"/>
              <w:left w:val="nil"/>
              <w:bottom w:val="single" w:sz="8" w:space="0" w:color="auto"/>
              <w:right w:val="nil"/>
            </w:tcBorders>
            <w:shd w:val="clear" w:color="auto" w:fill="auto"/>
            <w:vAlign w:val="bottom"/>
            <w:hideMark/>
          </w:tcPr>
          <w:p w14:paraId="04319D70"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$2,063,742</w:t>
            </w:r>
          </w:p>
        </w:tc>
        <w:tc>
          <w:tcPr>
            <w:tcW w:w="1330" w:type="dxa"/>
            <w:tcBorders>
              <w:top w:val="nil"/>
              <w:left w:val="nil"/>
              <w:bottom w:val="single" w:sz="8" w:space="0" w:color="auto"/>
              <w:right w:val="single" w:sz="8" w:space="0" w:color="auto"/>
            </w:tcBorders>
            <w:shd w:val="clear" w:color="auto" w:fill="auto"/>
            <w:noWrap/>
            <w:vAlign w:val="bottom"/>
            <w:hideMark/>
          </w:tcPr>
          <w:p w14:paraId="7E717EA4"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$14,135,142</w:t>
            </w:r>
          </w:p>
        </w:tc>
      </w:tr>
    </w:tbl>
    <w:p w14:paraId="3FF666BD" w14:textId="77777777" w:rsidR="009E2A0B" w:rsidRDefault="009E2A0B" w:rsidP="007A6977">
      <w:pPr>
        <w:spacing w:after="120" w:line="360" w:lineRule="auto"/>
      </w:pPr>
    </w:p>
    <w:p w14:paraId="237E709B" w14:textId="5F167966" w:rsidR="00C67E09" w:rsidRDefault="004B0AE3" w:rsidP="00522378">
      <w:pPr>
        <w:numPr>
          <w:ilvl w:val="0"/>
          <w:numId w:val="4"/>
        </w:numPr>
        <w:spacing w:before="120" w:after="120" w:line="360" w:lineRule="auto"/>
        <w:jc w:val="both"/>
      </w:pPr>
      <w:r w:rsidRPr="004B0AE3">
        <w:t xml:space="preserve">To investigate the extent to which cost increases from </w:t>
      </w:r>
      <w:r>
        <w:t xml:space="preserve">supply-induced </w:t>
      </w:r>
      <w:r w:rsidR="00F7130C">
        <w:t xml:space="preserve">demand </w:t>
      </w:r>
      <w:r w:rsidRPr="004B0AE3">
        <w:t xml:space="preserve">could offset estimated cost savings from the Proposed Project, FTI estimated </w:t>
      </w:r>
      <w:r>
        <w:t xml:space="preserve">the </w:t>
      </w:r>
      <w:r w:rsidR="005A7069">
        <w:t xml:space="preserve">upper bound of any </w:t>
      </w:r>
      <w:r>
        <w:t>impact on medical spending</w:t>
      </w:r>
      <w:r w:rsidR="005A7069">
        <w:t>, as</w:t>
      </w:r>
      <w:r>
        <w:t xml:space="preserve"> described above</w:t>
      </w:r>
      <w:r w:rsidR="005A7069">
        <w:t>,</w:t>
      </w:r>
      <w:r>
        <w:t xml:space="preserve"> </w:t>
      </w:r>
      <w:r w:rsidRPr="004B0AE3">
        <w:t xml:space="preserve">in which 100% of newly available capacity is filled by new, general inpatient care </w:t>
      </w:r>
      <w:r w:rsidR="005A7069">
        <w:t xml:space="preserve">(or, alternatively, inpatient cancer care) </w:t>
      </w:r>
      <w:r w:rsidRPr="004B0AE3">
        <w:t>at BWH and BIDMC.</w:t>
      </w:r>
      <w:r>
        <w:t xml:space="preserve"> Table </w:t>
      </w:r>
      <w:r w:rsidR="00AB290B">
        <w:t>20</w:t>
      </w:r>
      <w:r>
        <w:t xml:space="preserve"> describes the inpatient total medical spending impacts for th</w:t>
      </w:r>
      <w:r w:rsidR="005A7069">
        <w:t>e general acute care scenario and Table 21 presents the inpatient cancer care scenario</w:t>
      </w:r>
      <w:r>
        <w:t xml:space="preserve">. </w:t>
      </w:r>
      <w:r w:rsidRPr="004B0AE3">
        <w:t xml:space="preserve">Even in </w:t>
      </w:r>
      <w:r w:rsidR="005A7069">
        <w:t xml:space="preserve">these </w:t>
      </w:r>
      <w:r>
        <w:t>scenario</w:t>
      </w:r>
      <w:r w:rsidR="005A7069">
        <w:t>s</w:t>
      </w:r>
      <w:r>
        <w:t>,</w:t>
      </w:r>
      <w:r w:rsidRPr="004B0AE3">
        <w:t xml:space="preserve"> the potential for the Proposed Project to lead </w:t>
      </w:r>
      <w:r w:rsidRPr="004B0AE3">
        <w:lastRenderedPageBreak/>
        <w:t xml:space="preserve">to </w:t>
      </w:r>
      <w:r>
        <w:t xml:space="preserve">supply induced demand related cost increases </w:t>
      </w:r>
      <w:r w:rsidRPr="004B0AE3">
        <w:t xml:space="preserve">is bounded by an estimated </w:t>
      </w:r>
      <w:r w:rsidRPr="005C2186">
        <w:t>2.7%-3.</w:t>
      </w:r>
      <w:r w:rsidR="006C00E0" w:rsidRPr="005C2186">
        <w:t>3</w:t>
      </w:r>
      <w:r w:rsidRPr="005C2186">
        <w:t xml:space="preserve">% </w:t>
      </w:r>
      <w:r w:rsidR="008F5C6C" w:rsidRPr="005C2186">
        <w:t>($2</w:t>
      </w:r>
      <w:r w:rsidR="009502AD">
        <w:t>39</w:t>
      </w:r>
      <w:r w:rsidR="008F5C6C" w:rsidRPr="005C2186">
        <w:t>M-$3</w:t>
      </w:r>
      <w:r w:rsidR="00903576" w:rsidRPr="005C2186">
        <w:t>29</w:t>
      </w:r>
      <w:r w:rsidR="008F5C6C" w:rsidRPr="005C2186">
        <w:t>M</w:t>
      </w:r>
      <w:r w:rsidR="008F5C6C">
        <w:t xml:space="preserve">) </w:t>
      </w:r>
      <w:r w:rsidRPr="004B0AE3">
        <w:t>cost increase for inpatient care</w:t>
      </w:r>
      <w:r>
        <w:t xml:space="preserve"> in Massachusetts.</w:t>
      </w:r>
      <w:r>
        <w:rPr>
          <w:rStyle w:val="FootnoteReference"/>
        </w:rPr>
        <w:footnoteReference w:id="85"/>
      </w:r>
      <w:r>
        <w:t xml:space="preserve"> T</w:t>
      </w:r>
      <w:r w:rsidRPr="004B0AE3">
        <w:t>his exercise also bounds the influence of other, non-</w:t>
      </w:r>
      <w:r>
        <w:t>supply induced demand</w:t>
      </w:r>
      <w:r w:rsidRPr="004B0AE3">
        <w:t xml:space="preserve"> realignments in care between hospitals, including realignments between hospitals within a system (e.g., BWH and MGH) and changes in competition for non-cancer care between hospitals.</w:t>
      </w:r>
      <w:r>
        <w:t xml:space="preserve"> </w:t>
      </w:r>
      <w:r w:rsidRPr="004B0AE3">
        <w:t xml:space="preserve">These estimates likely overstate the potential influence of </w:t>
      </w:r>
      <w:r>
        <w:t xml:space="preserve">supply-induced demand </w:t>
      </w:r>
      <w:r w:rsidRPr="004B0AE3">
        <w:t xml:space="preserve">because the scope for </w:t>
      </w:r>
      <w:r>
        <w:t xml:space="preserve">supply-induced demand </w:t>
      </w:r>
      <w:r w:rsidRPr="004B0AE3">
        <w:t xml:space="preserve">will </w:t>
      </w:r>
      <w:r w:rsidR="00AC0296">
        <w:t xml:space="preserve">significantly </w:t>
      </w:r>
      <w:r w:rsidRPr="004B0AE3">
        <w:t>diminish over time as demand naturally grows (including the large projected growth in cancer care from an aging population).</w:t>
      </w:r>
      <w:r w:rsidR="009E3D2B">
        <w:rPr>
          <w:rStyle w:val="FootnoteReference"/>
        </w:rPr>
        <w:footnoteReference w:id="86"/>
      </w:r>
      <w:r w:rsidRPr="004B0AE3">
        <w:t xml:space="preserve"> </w:t>
      </w:r>
      <w:r>
        <w:t xml:space="preserve">Supply-induced demand </w:t>
      </w:r>
      <w:r w:rsidRPr="004B0AE3">
        <w:t>effects, if any, are therefore likely to be a transitory phenomenon rather than persistent as modeled here.</w:t>
      </w:r>
    </w:p>
    <w:p w14:paraId="5ADFB0A5" w14:textId="697D805F" w:rsidR="004B0AE3" w:rsidRDefault="004B0AE3" w:rsidP="001D3E05">
      <w:pPr>
        <w:pStyle w:val="Caption"/>
        <w:keepNext/>
        <w:jc w:val="center"/>
      </w:pPr>
      <w:bookmarkStart w:id="53" w:name="_Toc187401793"/>
      <w:r>
        <w:t xml:space="preserve">Table </w:t>
      </w:r>
      <w:fldSimple w:instr=" SEQ Table \* ARABIC ">
        <w:r w:rsidR="0085394E">
          <w:rPr>
            <w:noProof/>
          </w:rPr>
          <w:t>20</w:t>
        </w:r>
      </w:fldSimple>
      <w:r>
        <w:t xml:space="preserve">: </w:t>
      </w:r>
      <w:bookmarkStart w:id="54" w:name="_Hlk180705072"/>
      <w:r>
        <w:t>Estimated Changes in Inpatient Care Costs with Supply-Induced Demand</w:t>
      </w:r>
      <w:bookmarkEnd w:id="54"/>
      <w:r w:rsidR="00AC0296">
        <w:t>, GAC Backfill</w:t>
      </w:r>
      <w:bookmarkEnd w:id="53"/>
    </w:p>
    <w:tbl>
      <w:tblPr>
        <w:tblW w:w="5000" w:type="pct"/>
        <w:tblCellMar>
          <w:left w:w="72" w:type="dxa"/>
          <w:right w:w="72" w:type="dxa"/>
        </w:tblCellMar>
        <w:tblLook w:val="04A0" w:firstRow="1" w:lastRow="0" w:firstColumn="1" w:lastColumn="0" w:noHBand="0" w:noVBand="1"/>
      </w:tblPr>
      <w:tblGrid>
        <w:gridCol w:w="1132"/>
        <w:gridCol w:w="661"/>
        <w:gridCol w:w="661"/>
        <w:gridCol w:w="661"/>
        <w:gridCol w:w="661"/>
        <w:gridCol w:w="1392"/>
        <w:gridCol w:w="1392"/>
        <w:gridCol w:w="1392"/>
        <w:gridCol w:w="1388"/>
      </w:tblGrid>
      <w:tr w:rsidR="007A6977" w:rsidRPr="009E2A0B" w14:paraId="742AB872" w14:textId="77777777" w:rsidTr="00722DD3">
        <w:trPr>
          <w:cantSplit/>
          <w:trHeight w:val="290"/>
          <w:tblHeader/>
        </w:trPr>
        <w:tc>
          <w:tcPr>
            <w:tcW w:w="606" w:type="pct"/>
            <w:tcBorders>
              <w:top w:val="single" w:sz="8" w:space="0" w:color="auto"/>
              <w:left w:val="single" w:sz="8" w:space="0" w:color="auto"/>
              <w:right w:val="single" w:sz="8" w:space="0" w:color="auto"/>
            </w:tcBorders>
            <w:shd w:val="clear" w:color="000000" w:fill="002060"/>
            <w:vAlign w:val="bottom"/>
            <w:hideMark/>
          </w:tcPr>
          <w:p w14:paraId="41383ADD" w14:textId="3B214459" w:rsidR="009E2A0B" w:rsidRPr="009E2A0B" w:rsidRDefault="009E2A0B" w:rsidP="009E2A0B">
            <w:pPr>
              <w:spacing w:after="0" w:line="240" w:lineRule="auto"/>
              <w:rPr>
                <w:rFonts w:ascii="Calibri" w:eastAsia="Times New Roman" w:hAnsi="Calibri" w:cs="Calibri"/>
                <w:b/>
                <w:bCs/>
                <w:color w:val="FFFFFF"/>
                <w:kern w:val="0"/>
                <w:sz w:val="21"/>
                <w:szCs w:val="21"/>
                <w14:ligatures w14:val="none"/>
              </w:rPr>
            </w:pPr>
          </w:p>
        </w:tc>
        <w:tc>
          <w:tcPr>
            <w:tcW w:w="1415" w:type="pct"/>
            <w:gridSpan w:val="4"/>
            <w:tcBorders>
              <w:top w:val="single" w:sz="8" w:space="0" w:color="auto"/>
              <w:left w:val="nil"/>
              <w:bottom w:val="nil"/>
              <w:right w:val="single" w:sz="8" w:space="0" w:color="000000"/>
            </w:tcBorders>
            <w:shd w:val="clear" w:color="000000" w:fill="002060"/>
            <w:noWrap/>
            <w:vAlign w:val="bottom"/>
            <w:hideMark/>
          </w:tcPr>
          <w:p w14:paraId="253705B5" w14:textId="77777777" w:rsidR="009E2A0B" w:rsidRPr="009E2A0B" w:rsidRDefault="009E2A0B" w:rsidP="009E2A0B">
            <w:pPr>
              <w:spacing w:after="0" w:line="240" w:lineRule="auto"/>
              <w:jc w:val="center"/>
              <w:rPr>
                <w:rFonts w:ascii="Calibri" w:eastAsia="Times New Roman" w:hAnsi="Calibri" w:cs="Calibri"/>
                <w:b/>
                <w:bCs/>
                <w:color w:val="FFFFFF"/>
                <w:kern w:val="0"/>
                <w:sz w:val="21"/>
                <w:szCs w:val="21"/>
                <w14:ligatures w14:val="none"/>
              </w:rPr>
            </w:pPr>
            <w:r w:rsidRPr="009E2A0B">
              <w:rPr>
                <w:rFonts w:ascii="Calibri" w:eastAsia="Times New Roman" w:hAnsi="Calibri" w:cs="Calibri"/>
                <w:b/>
                <w:bCs/>
                <w:color w:val="FFFFFF"/>
                <w:kern w:val="0"/>
                <w:sz w:val="21"/>
                <w:szCs w:val="21"/>
                <w14:ligatures w14:val="none"/>
              </w:rPr>
              <w:t>DFCI Pricing Scenario</w:t>
            </w:r>
          </w:p>
        </w:tc>
        <w:tc>
          <w:tcPr>
            <w:tcW w:w="2979" w:type="pct"/>
            <w:gridSpan w:val="4"/>
            <w:tcBorders>
              <w:top w:val="single" w:sz="8" w:space="0" w:color="auto"/>
              <w:left w:val="nil"/>
              <w:bottom w:val="nil"/>
              <w:right w:val="single" w:sz="8" w:space="0" w:color="000000"/>
            </w:tcBorders>
            <w:shd w:val="clear" w:color="000000" w:fill="002060"/>
            <w:noWrap/>
            <w:vAlign w:val="bottom"/>
            <w:hideMark/>
          </w:tcPr>
          <w:p w14:paraId="4AE2A6ED" w14:textId="77777777" w:rsidR="009E2A0B" w:rsidRPr="009E2A0B" w:rsidRDefault="009E2A0B" w:rsidP="009E2A0B">
            <w:pPr>
              <w:spacing w:after="0" w:line="240" w:lineRule="auto"/>
              <w:jc w:val="center"/>
              <w:rPr>
                <w:rFonts w:ascii="Calibri" w:eastAsia="Times New Roman" w:hAnsi="Calibri" w:cs="Calibri"/>
                <w:b/>
                <w:bCs/>
                <w:color w:val="FFFFFF"/>
                <w:kern w:val="0"/>
                <w:sz w:val="21"/>
                <w:szCs w:val="21"/>
                <w14:ligatures w14:val="none"/>
              </w:rPr>
            </w:pPr>
            <w:r w:rsidRPr="009E2A0B">
              <w:rPr>
                <w:rFonts w:ascii="Calibri" w:eastAsia="Times New Roman" w:hAnsi="Calibri" w:cs="Calibri"/>
                <w:b/>
                <w:bCs/>
                <w:color w:val="FFFFFF"/>
                <w:kern w:val="0"/>
                <w:sz w:val="21"/>
                <w:szCs w:val="21"/>
                <w14:ligatures w14:val="none"/>
              </w:rPr>
              <w:t>DFCI Pricing Scenario</w:t>
            </w:r>
          </w:p>
        </w:tc>
      </w:tr>
      <w:tr w:rsidR="001D3E05" w:rsidRPr="009E2A0B" w14:paraId="54B49619" w14:textId="77777777" w:rsidTr="00722DD3">
        <w:trPr>
          <w:cantSplit/>
          <w:trHeight w:val="300"/>
          <w:tblHeader/>
        </w:trPr>
        <w:tc>
          <w:tcPr>
            <w:tcW w:w="606" w:type="pct"/>
            <w:tcBorders>
              <w:left w:val="single" w:sz="8" w:space="0" w:color="auto"/>
              <w:bottom w:val="single" w:sz="8" w:space="0" w:color="000000"/>
              <w:right w:val="single" w:sz="8" w:space="0" w:color="auto"/>
            </w:tcBorders>
            <w:shd w:val="clear" w:color="000000" w:fill="002060"/>
            <w:vAlign w:val="center"/>
            <w:hideMark/>
          </w:tcPr>
          <w:p w14:paraId="25F2F244" w14:textId="0647DD5B" w:rsidR="009E2A0B" w:rsidRPr="009E2A0B" w:rsidRDefault="00722DD3" w:rsidP="009E2A0B">
            <w:pPr>
              <w:spacing w:after="0" w:line="240" w:lineRule="auto"/>
              <w:rPr>
                <w:rFonts w:ascii="Calibri" w:eastAsia="Times New Roman" w:hAnsi="Calibri" w:cs="Calibri"/>
                <w:b/>
                <w:bCs/>
                <w:color w:val="FFFFFF"/>
                <w:kern w:val="0"/>
                <w:sz w:val="21"/>
                <w:szCs w:val="21"/>
                <w14:ligatures w14:val="none"/>
              </w:rPr>
            </w:pPr>
            <w:r w:rsidRPr="009E2A0B">
              <w:rPr>
                <w:rFonts w:ascii="Calibri" w:eastAsia="Times New Roman" w:hAnsi="Calibri" w:cs="Calibri"/>
                <w:b/>
                <w:bCs/>
                <w:color w:val="FFFFFF"/>
                <w:kern w:val="0"/>
                <w:sz w:val="21"/>
                <w:szCs w:val="21"/>
                <w14:ligatures w14:val="none"/>
              </w:rPr>
              <w:t>Forecast Year</w:t>
            </w:r>
          </w:p>
        </w:tc>
        <w:tc>
          <w:tcPr>
            <w:tcW w:w="354" w:type="pct"/>
            <w:tcBorders>
              <w:top w:val="nil"/>
              <w:left w:val="nil"/>
              <w:bottom w:val="single" w:sz="8" w:space="0" w:color="auto"/>
              <w:right w:val="nil"/>
            </w:tcBorders>
            <w:shd w:val="clear" w:color="000000" w:fill="002060"/>
            <w:noWrap/>
            <w:vAlign w:val="bottom"/>
            <w:hideMark/>
          </w:tcPr>
          <w:p w14:paraId="7444D020"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(1)</w:t>
            </w:r>
          </w:p>
        </w:tc>
        <w:tc>
          <w:tcPr>
            <w:tcW w:w="354" w:type="pct"/>
            <w:tcBorders>
              <w:top w:val="nil"/>
              <w:left w:val="nil"/>
              <w:bottom w:val="single" w:sz="8" w:space="0" w:color="auto"/>
              <w:right w:val="nil"/>
            </w:tcBorders>
            <w:shd w:val="clear" w:color="000000" w:fill="002060"/>
            <w:noWrap/>
            <w:vAlign w:val="bottom"/>
            <w:hideMark/>
          </w:tcPr>
          <w:p w14:paraId="0EF14906"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(2)</w:t>
            </w:r>
          </w:p>
        </w:tc>
        <w:tc>
          <w:tcPr>
            <w:tcW w:w="354" w:type="pct"/>
            <w:tcBorders>
              <w:top w:val="nil"/>
              <w:left w:val="nil"/>
              <w:bottom w:val="single" w:sz="8" w:space="0" w:color="auto"/>
              <w:right w:val="nil"/>
            </w:tcBorders>
            <w:shd w:val="clear" w:color="000000" w:fill="002060"/>
            <w:vAlign w:val="bottom"/>
            <w:hideMark/>
          </w:tcPr>
          <w:p w14:paraId="598B2626"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(3)</w:t>
            </w:r>
          </w:p>
        </w:tc>
        <w:tc>
          <w:tcPr>
            <w:tcW w:w="354" w:type="pct"/>
            <w:tcBorders>
              <w:top w:val="nil"/>
              <w:left w:val="nil"/>
              <w:bottom w:val="single" w:sz="8" w:space="0" w:color="auto"/>
              <w:right w:val="single" w:sz="8" w:space="0" w:color="auto"/>
            </w:tcBorders>
            <w:shd w:val="clear" w:color="000000" w:fill="002060"/>
            <w:vAlign w:val="bottom"/>
            <w:hideMark/>
          </w:tcPr>
          <w:p w14:paraId="4A4357C5"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(4)</w:t>
            </w:r>
          </w:p>
        </w:tc>
        <w:tc>
          <w:tcPr>
            <w:tcW w:w="745" w:type="pct"/>
            <w:tcBorders>
              <w:top w:val="nil"/>
              <w:left w:val="nil"/>
              <w:bottom w:val="single" w:sz="8" w:space="0" w:color="auto"/>
              <w:right w:val="nil"/>
            </w:tcBorders>
            <w:shd w:val="clear" w:color="000000" w:fill="002060"/>
            <w:noWrap/>
            <w:vAlign w:val="bottom"/>
            <w:hideMark/>
          </w:tcPr>
          <w:p w14:paraId="148B03D9"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(1)</w:t>
            </w:r>
          </w:p>
        </w:tc>
        <w:tc>
          <w:tcPr>
            <w:tcW w:w="745" w:type="pct"/>
            <w:tcBorders>
              <w:top w:val="nil"/>
              <w:left w:val="nil"/>
              <w:bottom w:val="single" w:sz="8" w:space="0" w:color="auto"/>
              <w:right w:val="nil"/>
            </w:tcBorders>
            <w:shd w:val="clear" w:color="000000" w:fill="002060"/>
            <w:noWrap/>
            <w:vAlign w:val="bottom"/>
            <w:hideMark/>
          </w:tcPr>
          <w:p w14:paraId="341F6929"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(2)</w:t>
            </w:r>
          </w:p>
        </w:tc>
        <w:tc>
          <w:tcPr>
            <w:tcW w:w="745" w:type="pct"/>
            <w:tcBorders>
              <w:top w:val="nil"/>
              <w:left w:val="nil"/>
              <w:bottom w:val="single" w:sz="8" w:space="0" w:color="auto"/>
              <w:right w:val="nil"/>
            </w:tcBorders>
            <w:shd w:val="clear" w:color="000000" w:fill="002060"/>
            <w:vAlign w:val="bottom"/>
            <w:hideMark/>
          </w:tcPr>
          <w:p w14:paraId="34120EC1"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(3)</w:t>
            </w:r>
          </w:p>
        </w:tc>
        <w:tc>
          <w:tcPr>
            <w:tcW w:w="745" w:type="pct"/>
            <w:tcBorders>
              <w:top w:val="nil"/>
              <w:left w:val="nil"/>
              <w:bottom w:val="single" w:sz="8" w:space="0" w:color="auto"/>
              <w:right w:val="single" w:sz="8" w:space="0" w:color="auto"/>
            </w:tcBorders>
            <w:shd w:val="clear" w:color="000000" w:fill="002060"/>
            <w:vAlign w:val="bottom"/>
            <w:hideMark/>
          </w:tcPr>
          <w:p w14:paraId="33CCD92E" w14:textId="77777777" w:rsidR="009E2A0B" w:rsidRPr="009E2A0B" w:rsidRDefault="009E2A0B" w:rsidP="009E2A0B">
            <w:pPr>
              <w:spacing w:after="0" w:line="240" w:lineRule="auto"/>
              <w:jc w:val="center"/>
              <w:rPr>
                <w:rFonts w:ascii="Calibri" w:eastAsia="Times New Roman" w:hAnsi="Calibri" w:cs="Calibri"/>
                <w:i/>
                <w:iCs/>
                <w:color w:val="FFFFFF"/>
                <w:kern w:val="0"/>
                <w:sz w:val="21"/>
                <w:szCs w:val="21"/>
                <w14:ligatures w14:val="none"/>
              </w:rPr>
            </w:pPr>
            <w:r w:rsidRPr="009E2A0B">
              <w:rPr>
                <w:rFonts w:ascii="Calibri" w:eastAsia="Times New Roman" w:hAnsi="Calibri" w:cs="Calibri"/>
                <w:i/>
                <w:iCs/>
                <w:color w:val="FFFFFF"/>
                <w:kern w:val="0"/>
                <w:sz w:val="21"/>
                <w:szCs w:val="21"/>
                <w14:ligatures w14:val="none"/>
              </w:rPr>
              <w:t>(4)</w:t>
            </w:r>
          </w:p>
        </w:tc>
      </w:tr>
      <w:tr w:rsidR="007A6977" w:rsidRPr="009E2A0B" w14:paraId="1E4C78E1" w14:textId="77777777" w:rsidTr="00722DD3">
        <w:trPr>
          <w:cantSplit/>
          <w:trHeight w:val="290"/>
        </w:trPr>
        <w:tc>
          <w:tcPr>
            <w:tcW w:w="606" w:type="pct"/>
            <w:tcBorders>
              <w:top w:val="nil"/>
              <w:left w:val="single" w:sz="8" w:space="0" w:color="auto"/>
              <w:bottom w:val="dashed" w:sz="4" w:space="0" w:color="auto"/>
              <w:right w:val="single" w:sz="8" w:space="0" w:color="auto"/>
            </w:tcBorders>
            <w:shd w:val="clear" w:color="auto" w:fill="auto"/>
            <w:noWrap/>
            <w:vAlign w:val="bottom"/>
            <w:hideMark/>
          </w:tcPr>
          <w:p w14:paraId="2EEF1580" w14:textId="77777777" w:rsidR="009E2A0B" w:rsidRPr="009E2A0B" w:rsidRDefault="009E2A0B" w:rsidP="009E2A0B">
            <w:pPr>
              <w:spacing w:after="0" w:line="240" w:lineRule="auto"/>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2025</w:t>
            </w:r>
          </w:p>
        </w:tc>
        <w:tc>
          <w:tcPr>
            <w:tcW w:w="354" w:type="pct"/>
            <w:tcBorders>
              <w:top w:val="nil"/>
              <w:left w:val="nil"/>
              <w:bottom w:val="dashed" w:sz="4" w:space="0" w:color="auto"/>
              <w:right w:val="nil"/>
            </w:tcBorders>
            <w:shd w:val="clear" w:color="auto" w:fill="auto"/>
            <w:noWrap/>
            <w:vAlign w:val="bottom"/>
            <w:hideMark/>
          </w:tcPr>
          <w:p w14:paraId="25188FD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2.7%</w:t>
            </w:r>
          </w:p>
        </w:tc>
        <w:tc>
          <w:tcPr>
            <w:tcW w:w="354" w:type="pct"/>
            <w:tcBorders>
              <w:top w:val="nil"/>
              <w:left w:val="nil"/>
              <w:bottom w:val="dashed" w:sz="4" w:space="0" w:color="auto"/>
              <w:right w:val="nil"/>
            </w:tcBorders>
            <w:shd w:val="clear" w:color="auto" w:fill="auto"/>
            <w:noWrap/>
            <w:vAlign w:val="bottom"/>
            <w:hideMark/>
          </w:tcPr>
          <w:p w14:paraId="3A53EC40"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2.9%</w:t>
            </w:r>
          </w:p>
        </w:tc>
        <w:tc>
          <w:tcPr>
            <w:tcW w:w="354" w:type="pct"/>
            <w:tcBorders>
              <w:top w:val="nil"/>
              <w:left w:val="nil"/>
              <w:bottom w:val="dashed" w:sz="4" w:space="0" w:color="auto"/>
              <w:right w:val="nil"/>
            </w:tcBorders>
            <w:shd w:val="clear" w:color="auto" w:fill="auto"/>
            <w:noWrap/>
            <w:vAlign w:val="bottom"/>
            <w:hideMark/>
          </w:tcPr>
          <w:p w14:paraId="409B1A5B"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w:t>
            </w:r>
          </w:p>
        </w:tc>
        <w:tc>
          <w:tcPr>
            <w:tcW w:w="354" w:type="pct"/>
            <w:tcBorders>
              <w:top w:val="nil"/>
              <w:left w:val="nil"/>
              <w:bottom w:val="dashed" w:sz="4" w:space="0" w:color="auto"/>
              <w:right w:val="single" w:sz="8" w:space="0" w:color="auto"/>
            </w:tcBorders>
            <w:shd w:val="clear" w:color="auto" w:fill="auto"/>
            <w:noWrap/>
            <w:vAlign w:val="bottom"/>
            <w:hideMark/>
          </w:tcPr>
          <w:p w14:paraId="194EFD5D"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3.1%</w:t>
            </w:r>
          </w:p>
        </w:tc>
        <w:tc>
          <w:tcPr>
            <w:tcW w:w="745" w:type="pct"/>
            <w:tcBorders>
              <w:top w:val="nil"/>
              <w:left w:val="nil"/>
              <w:bottom w:val="dashed" w:sz="4" w:space="0" w:color="auto"/>
              <w:right w:val="nil"/>
            </w:tcBorders>
            <w:shd w:val="clear" w:color="auto" w:fill="auto"/>
            <w:noWrap/>
            <w:vAlign w:val="bottom"/>
            <w:hideMark/>
          </w:tcPr>
          <w:p w14:paraId="065A8645"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$239,264,431</w:t>
            </w:r>
          </w:p>
        </w:tc>
        <w:tc>
          <w:tcPr>
            <w:tcW w:w="745" w:type="pct"/>
            <w:tcBorders>
              <w:top w:val="nil"/>
              <w:left w:val="nil"/>
              <w:bottom w:val="dashed" w:sz="4" w:space="0" w:color="auto"/>
              <w:right w:val="nil"/>
            </w:tcBorders>
            <w:shd w:val="clear" w:color="auto" w:fill="auto"/>
            <w:noWrap/>
            <w:vAlign w:val="bottom"/>
            <w:hideMark/>
          </w:tcPr>
          <w:p w14:paraId="59DDC25B"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$259,074,304</w:t>
            </w:r>
          </w:p>
        </w:tc>
        <w:tc>
          <w:tcPr>
            <w:tcW w:w="745" w:type="pct"/>
            <w:tcBorders>
              <w:top w:val="nil"/>
              <w:left w:val="nil"/>
              <w:bottom w:val="dashed" w:sz="4" w:space="0" w:color="auto"/>
              <w:right w:val="nil"/>
            </w:tcBorders>
            <w:shd w:val="clear" w:color="auto" w:fill="auto"/>
            <w:noWrap/>
            <w:vAlign w:val="bottom"/>
            <w:hideMark/>
          </w:tcPr>
          <w:p w14:paraId="2B760D3A"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$269,222,464</w:t>
            </w:r>
          </w:p>
        </w:tc>
        <w:tc>
          <w:tcPr>
            <w:tcW w:w="745" w:type="pct"/>
            <w:tcBorders>
              <w:top w:val="nil"/>
              <w:left w:val="nil"/>
              <w:bottom w:val="dashed" w:sz="4" w:space="0" w:color="auto"/>
              <w:right w:val="single" w:sz="8" w:space="0" w:color="auto"/>
            </w:tcBorders>
            <w:shd w:val="clear" w:color="auto" w:fill="auto"/>
            <w:noWrap/>
            <w:vAlign w:val="bottom"/>
            <w:hideMark/>
          </w:tcPr>
          <w:p w14:paraId="6AE640AF"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$278,591,200</w:t>
            </w:r>
          </w:p>
        </w:tc>
      </w:tr>
      <w:tr w:rsidR="007A6977" w:rsidRPr="009E2A0B" w14:paraId="54541CB4" w14:textId="77777777" w:rsidTr="00722DD3">
        <w:trPr>
          <w:cantSplit/>
          <w:trHeight w:val="290"/>
        </w:trPr>
        <w:tc>
          <w:tcPr>
            <w:tcW w:w="606" w:type="pct"/>
            <w:tcBorders>
              <w:top w:val="nil"/>
              <w:left w:val="single" w:sz="8" w:space="0" w:color="auto"/>
              <w:bottom w:val="dashed" w:sz="4" w:space="0" w:color="auto"/>
              <w:right w:val="single" w:sz="8" w:space="0" w:color="auto"/>
            </w:tcBorders>
            <w:shd w:val="clear" w:color="auto" w:fill="auto"/>
            <w:noWrap/>
            <w:vAlign w:val="bottom"/>
            <w:hideMark/>
          </w:tcPr>
          <w:p w14:paraId="76C61A97" w14:textId="77777777" w:rsidR="009E2A0B" w:rsidRPr="009E2A0B" w:rsidRDefault="009E2A0B" w:rsidP="009E2A0B">
            <w:pPr>
              <w:spacing w:after="0" w:line="240" w:lineRule="auto"/>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2030</w:t>
            </w:r>
          </w:p>
        </w:tc>
        <w:tc>
          <w:tcPr>
            <w:tcW w:w="354" w:type="pct"/>
            <w:tcBorders>
              <w:top w:val="nil"/>
              <w:left w:val="nil"/>
              <w:bottom w:val="dashed" w:sz="4" w:space="0" w:color="auto"/>
              <w:right w:val="nil"/>
            </w:tcBorders>
            <w:shd w:val="clear" w:color="auto" w:fill="auto"/>
            <w:noWrap/>
            <w:vAlign w:val="bottom"/>
            <w:hideMark/>
          </w:tcPr>
          <w:p w14:paraId="28F6FE4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2.7%</w:t>
            </w:r>
          </w:p>
        </w:tc>
        <w:tc>
          <w:tcPr>
            <w:tcW w:w="354" w:type="pct"/>
            <w:tcBorders>
              <w:top w:val="dashed" w:sz="4" w:space="0" w:color="auto"/>
              <w:left w:val="nil"/>
              <w:bottom w:val="dashed" w:sz="4" w:space="0" w:color="auto"/>
              <w:right w:val="nil"/>
            </w:tcBorders>
            <w:shd w:val="clear" w:color="auto" w:fill="auto"/>
            <w:noWrap/>
            <w:vAlign w:val="bottom"/>
            <w:hideMark/>
          </w:tcPr>
          <w:p w14:paraId="2686BC19"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2.9%</w:t>
            </w:r>
          </w:p>
        </w:tc>
        <w:tc>
          <w:tcPr>
            <w:tcW w:w="354" w:type="pct"/>
            <w:tcBorders>
              <w:top w:val="dashed" w:sz="4" w:space="0" w:color="auto"/>
              <w:left w:val="nil"/>
              <w:bottom w:val="dashed" w:sz="4" w:space="0" w:color="auto"/>
              <w:right w:val="nil"/>
            </w:tcBorders>
            <w:shd w:val="clear" w:color="auto" w:fill="auto"/>
            <w:noWrap/>
            <w:vAlign w:val="bottom"/>
            <w:hideMark/>
          </w:tcPr>
          <w:p w14:paraId="19EAC2A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3.1%</w:t>
            </w:r>
          </w:p>
        </w:tc>
        <w:tc>
          <w:tcPr>
            <w:tcW w:w="354" w:type="pct"/>
            <w:tcBorders>
              <w:top w:val="nil"/>
              <w:left w:val="nil"/>
              <w:bottom w:val="dashed" w:sz="4" w:space="0" w:color="auto"/>
              <w:right w:val="single" w:sz="8" w:space="0" w:color="auto"/>
            </w:tcBorders>
            <w:shd w:val="clear" w:color="auto" w:fill="auto"/>
            <w:noWrap/>
            <w:vAlign w:val="bottom"/>
            <w:hideMark/>
          </w:tcPr>
          <w:p w14:paraId="5E3B5E82"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3.2%</w:t>
            </w:r>
          </w:p>
        </w:tc>
        <w:tc>
          <w:tcPr>
            <w:tcW w:w="745" w:type="pct"/>
            <w:tcBorders>
              <w:top w:val="nil"/>
              <w:left w:val="nil"/>
              <w:bottom w:val="dashed" w:sz="4" w:space="0" w:color="auto"/>
              <w:right w:val="nil"/>
            </w:tcBorders>
            <w:shd w:val="clear" w:color="auto" w:fill="auto"/>
            <w:noWrap/>
            <w:vAlign w:val="bottom"/>
            <w:hideMark/>
          </w:tcPr>
          <w:p w14:paraId="26A57E24"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$259,517,833</w:t>
            </w:r>
          </w:p>
        </w:tc>
        <w:tc>
          <w:tcPr>
            <w:tcW w:w="745" w:type="pct"/>
            <w:tcBorders>
              <w:top w:val="dashed" w:sz="4" w:space="0" w:color="auto"/>
              <w:left w:val="nil"/>
              <w:bottom w:val="dashed" w:sz="4" w:space="0" w:color="auto"/>
              <w:right w:val="nil"/>
            </w:tcBorders>
            <w:shd w:val="clear" w:color="auto" w:fill="auto"/>
            <w:noWrap/>
            <w:vAlign w:val="bottom"/>
            <w:hideMark/>
          </w:tcPr>
          <w:p w14:paraId="35E4E78C"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$278,445,856</w:t>
            </w:r>
          </w:p>
        </w:tc>
        <w:tc>
          <w:tcPr>
            <w:tcW w:w="745" w:type="pct"/>
            <w:tcBorders>
              <w:top w:val="dashed" w:sz="4" w:space="0" w:color="auto"/>
              <w:left w:val="nil"/>
              <w:bottom w:val="dashed" w:sz="4" w:space="0" w:color="auto"/>
              <w:right w:val="nil"/>
            </w:tcBorders>
            <w:shd w:val="clear" w:color="auto" w:fill="auto"/>
            <w:noWrap/>
            <w:vAlign w:val="bottom"/>
            <w:hideMark/>
          </w:tcPr>
          <w:p w14:paraId="2993AFB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$289,609,376</w:t>
            </w:r>
          </w:p>
        </w:tc>
        <w:tc>
          <w:tcPr>
            <w:tcW w:w="745" w:type="pct"/>
            <w:tcBorders>
              <w:top w:val="nil"/>
              <w:left w:val="nil"/>
              <w:bottom w:val="dashed" w:sz="4" w:space="0" w:color="auto"/>
              <w:right w:val="single" w:sz="8" w:space="0" w:color="auto"/>
            </w:tcBorders>
            <w:shd w:val="clear" w:color="auto" w:fill="auto"/>
            <w:noWrap/>
            <w:vAlign w:val="bottom"/>
            <w:hideMark/>
          </w:tcPr>
          <w:p w14:paraId="21C9C33F"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$300,313,088</w:t>
            </w:r>
          </w:p>
        </w:tc>
      </w:tr>
      <w:tr w:rsidR="007A6977" w:rsidRPr="009E2A0B" w14:paraId="0FC1031F" w14:textId="77777777" w:rsidTr="00722DD3">
        <w:trPr>
          <w:cantSplit/>
          <w:trHeight w:val="290"/>
        </w:trPr>
        <w:tc>
          <w:tcPr>
            <w:tcW w:w="606" w:type="pct"/>
            <w:tcBorders>
              <w:top w:val="nil"/>
              <w:left w:val="single" w:sz="8" w:space="0" w:color="auto"/>
              <w:bottom w:val="dashed" w:sz="4" w:space="0" w:color="auto"/>
              <w:right w:val="single" w:sz="8" w:space="0" w:color="auto"/>
            </w:tcBorders>
            <w:shd w:val="clear" w:color="auto" w:fill="auto"/>
            <w:noWrap/>
            <w:vAlign w:val="bottom"/>
            <w:hideMark/>
          </w:tcPr>
          <w:p w14:paraId="39DE16E8" w14:textId="77777777" w:rsidR="009E2A0B" w:rsidRPr="009E2A0B" w:rsidRDefault="009E2A0B" w:rsidP="009E2A0B">
            <w:pPr>
              <w:spacing w:after="0" w:line="240" w:lineRule="auto"/>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2035</w:t>
            </w:r>
          </w:p>
        </w:tc>
        <w:tc>
          <w:tcPr>
            <w:tcW w:w="354" w:type="pct"/>
            <w:tcBorders>
              <w:top w:val="nil"/>
              <w:left w:val="nil"/>
              <w:bottom w:val="dashed" w:sz="4" w:space="0" w:color="auto"/>
              <w:right w:val="nil"/>
            </w:tcBorders>
            <w:shd w:val="clear" w:color="auto" w:fill="auto"/>
            <w:noWrap/>
            <w:vAlign w:val="bottom"/>
            <w:hideMark/>
          </w:tcPr>
          <w:p w14:paraId="1821A33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2.8%</w:t>
            </w:r>
          </w:p>
        </w:tc>
        <w:tc>
          <w:tcPr>
            <w:tcW w:w="354" w:type="pct"/>
            <w:tcBorders>
              <w:top w:val="nil"/>
              <w:left w:val="nil"/>
              <w:bottom w:val="dashed" w:sz="4" w:space="0" w:color="auto"/>
              <w:right w:val="nil"/>
            </w:tcBorders>
            <w:shd w:val="clear" w:color="auto" w:fill="auto"/>
            <w:noWrap/>
            <w:vAlign w:val="bottom"/>
            <w:hideMark/>
          </w:tcPr>
          <w:p w14:paraId="5D8036A5"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w:t>
            </w:r>
          </w:p>
        </w:tc>
        <w:tc>
          <w:tcPr>
            <w:tcW w:w="354" w:type="pct"/>
            <w:tcBorders>
              <w:top w:val="nil"/>
              <w:left w:val="nil"/>
              <w:bottom w:val="dashed" w:sz="4" w:space="0" w:color="auto"/>
              <w:right w:val="nil"/>
            </w:tcBorders>
            <w:shd w:val="clear" w:color="auto" w:fill="auto"/>
            <w:noWrap/>
            <w:vAlign w:val="bottom"/>
            <w:hideMark/>
          </w:tcPr>
          <w:p w14:paraId="1ABD4FD4"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3.1%</w:t>
            </w:r>
          </w:p>
        </w:tc>
        <w:tc>
          <w:tcPr>
            <w:tcW w:w="354" w:type="pct"/>
            <w:tcBorders>
              <w:top w:val="nil"/>
              <w:left w:val="nil"/>
              <w:bottom w:val="dashed" w:sz="4" w:space="0" w:color="auto"/>
              <w:right w:val="single" w:sz="8" w:space="0" w:color="auto"/>
            </w:tcBorders>
            <w:shd w:val="clear" w:color="auto" w:fill="auto"/>
            <w:noWrap/>
            <w:vAlign w:val="bottom"/>
            <w:hideMark/>
          </w:tcPr>
          <w:p w14:paraId="6BAC4377"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3.2%</w:t>
            </w:r>
          </w:p>
        </w:tc>
        <w:tc>
          <w:tcPr>
            <w:tcW w:w="745" w:type="pct"/>
            <w:tcBorders>
              <w:top w:val="nil"/>
              <w:left w:val="nil"/>
              <w:bottom w:val="dashed" w:sz="4" w:space="0" w:color="auto"/>
              <w:right w:val="nil"/>
            </w:tcBorders>
            <w:shd w:val="clear" w:color="auto" w:fill="auto"/>
            <w:noWrap/>
            <w:vAlign w:val="bottom"/>
            <w:hideMark/>
          </w:tcPr>
          <w:p w14:paraId="4AA52910"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$275,147,938</w:t>
            </w:r>
          </w:p>
        </w:tc>
        <w:tc>
          <w:tcPr>
            <w:tcW w:w="745" w:type="pct"/>
            <w:tcBorders>
              <w:top w:val="nil"/>
              <w:left w:val="nil"/>
              <w:bottom w:val="dashed" w:sz="4" w:space="0" w:color="auto"/>
              <w:right w:val="nil"/>
            </w:tcBorders>
            <w:shd w:val="clear" w:color="auto" w:fill="auto"/>
            <w:noWrap/>
            <w:vAlign w:val="bottom"/>
            <w:hideMark/>
          </w:tcPr>
          <w:p w14:paraId="3D2515F7"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$293,469,120</w:t>
            </w:r>
          </w:p>
        </w:tc>
        <w:tc>
          <w:tcPr>
            <w:tcW w:w="745" w:type="pct"/>
            <w:tcBorders>
              <w:top w:val="nil"/>
              <w:left w:val="nil"/>
              <w:bottom w:val="dashed" w:sz="4" w:space="0" w:color="auto"/>
              <w:right w:val="nil"/>
            </w:tcBorders>
            <w:shd w:val="clear" w:color="auto" w:fill="auto"/>
            <w:noWrap/>
            <w:vAlign w:val="bottom"/>
            <w:hideMark/>
          </w:tcPr>
          <w:p w14:paraId="52C885B0"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$305,406,176</w:t>
            </w:r>
          </w:p>
        </w:tc>
        <w:tc>
          <w:tcPr>
            <w:tcW w:w="745" w:type="pct"/>
            <w:tcBorders>
              <w:top w:val="nil"/>
              <w:left w:val="nil"/>
              <w:bottom w:val="dashed" w:sz="4" w:space="0" w:color="auto"/>
              <w:right w:val="single" w:sz="8" w:space="0" w:color="auto"/>
            </w:tcBorders>
            <w:shd w:val="clear" w:color="auto" w:fill="auto"/>
            <w:noWrap/>
            <w:vAlign w:val="bottom"/>
            <w:hideMark/>
          </w:tcPr>
          <w:p w14:paraId="71BD8C6C"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$317,027,424</w:t>
            </w:r>
          </w:p>
        </w:tc>
      </w:tr>
      <w:tr w:rsidR="007A6977" w:rsidRPr="009E2A0B" w14:paraId="08A8E550" w14:textId="77777777" w:rsidTr="00722DD3">
        <w:trPr>
          <w:cantSplit/>
          <w:trHeight w:val="300"/>
        </w:trPr>
        <w:tc>
          <w:tcPr>
            <w:tcW w:w="606" w:type="pct"/>
            <w:tcBorders>
              <w:top w:val="nil"/>
              <w:left w:val="single" w:sz="8" w:space="0" w:color="auto"/>
              <w:bottom w:val="single" w:sz="8" w:space="0" w:color="auto"/>
              <w:right w:val="single" w:sz="8" w:space="0" w:color="auto"/>
            </w:tcBorders>
            <w:shd w:val="clear" w:color="auto" w:fill="auto"/>
            <w:noWrap/>
            <w:vAlign w:val="bottom"/>
            <w:hideMark/>
          </w:tcPr>
          <w:p w14:paraId="7AA187B6" w14:textId="77777777" w:rsidR="009E2A0B" w:rsidRPr="009E2A0B" w:rsidRDefault="009E2A0B" w:rsidP="009E2A0B">
            <w:pPr>
              <w:spacing w:after="0" w:line="240" w:lineRule="auto"/>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2040</w:t>
            </w:r>
          </w:p>
        </w:tc>
        <w:tc>
          <w:tcPr>
            <w:tcW w:w="354" w:type="pct"/>
            <w:tcBorders>
              <w:top w:val="nil"/>
              <w:left w:val="nil"/>
              <w:bottom w:val="single" w:sz="8" w:space="0" w:color="auto"/>
              <w:right w:val="nil"/>
            </w:tcBorders>
            <w:shd w:val="clear" w:color="auto" w:fill="auto"/>
            <w:noWrap/>
            <w:vAlign w:val="bottom"/>
            <w:hideMark/>
          </w:tcPr>
          <w:p w14:paraId="21E04DF3"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2.9%</w:t>
            </w:r>
          </w:p>
        </w:tc>
        <w:tc>
          <w:tcPr>
            <w:tcW w:w="354" w:type="pct"/>
            <w:tcBorders>
              <w:top w:val="nil"/>
              <w:left w:val="nil"/>
              <w:bottom w:val="single" w:sz="8" w:space="0" w:color="auto"/>
              <w:right w:val="nil"/>
            </w:tcBorders>
            <w:shd w:val="clear" w:color="auto" w:fill="auto"/>
            <w:noWrap/>
            <w:vAlign w:val="bottom"/>
            <w:hideMark/>
          </w:tcPr>
          <w:p w14:paraId="351B2E6E"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w:t>
            </w:r>
          </w:p>
        </w:tc>
        <w:tc>
          <w:tcPr>
            <w:tcW w:w="354" w:type="pct"/>
            <w:tcBorders>
              <w:top w:val="nil"/>
              <w:left w:val="nil"/>
              <w:bottom w:val="single" w:sz="8" w:space="0" w:color="auto"/>
              <w:right w:val="nil"/>
            </w:tcBorders>
            <w:shd w:val="clear" w:color="auto" w:fill="auto"/>
            <w:noWrap/>
            <w:vAlign w:val="bottom"/>
            <w:hideMark/>
          </w:tcPr>
          <w:p w14:paraId="6ED112EA"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3.2%</w:t>
            </w:r>
          </w:p>
        </w:tc>
        <w:tc>
          <w:tcPr>
            <w:tcW w:w="354" w:type="pct"/>
            <w:tcBorders>
              <w:top w:val="nil"/>
              <w:left w:val="nil"/>
              <w:bottom w:val="single" w:sz="8" w:space="0" w:color="auto"/>
              <w:right w:val="single" w:sz="8" w:space="0" w:color="auto"/>
            </w:tcBorders>
            <w:shd w:val="clear" w:color="auto" w:fill="auto"/>
            <w:noWrap/>
            <w:vAlign w:val="bottom"/>
            <w:hideMark/>
          </w:tcPr>
          <w:p w14:paraId="65CF9CDB"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3.3%</w:t>
            </w:r>
          </w:p>
        </w:tc>
        <w:tc>
          <w:tcPr>
            <w:tcW w:w="745" w:type="pct"/>
            <w:tcBorders>
              <w:top w:val="nil"/>
              <w:left w:val="nil"/>
              <w:bottom w:val="single" w:sz="8" w:space="0" w:color="auto"/>
              <w:right w:val="nil"/>
            </w:tcBorders>
            <w:shd w:val="clear" w:color="auto" w:fill="auto"/>
            <w:noWrap/>
            <w:vAlign w:val="bottom"/>
            <w:hideMark/>
          </w:tcPr>
          <w:p w14:paraId="68C17584"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$286,320,770</w:t>
            </w:r>
          </w:p>
        </w:tc>
        <w:tc>
          <w:tcPr>
            <w:tcW w:w="745" w:type="pct"/>
            <w:tcBorders>
              <w:top w:val="nil"/>
              <w:left w:val="nil"/>
              <w:bottom w:val="single" w:sz="8" w:space="0" w:color="auto"/>
              <w:right w:val="nil"/>
            </w:tcBorders>
            <w:shd w:val="clear" w:color="auto" w:fill="auto"/>
            <w:noWrap/>
            <w:vAlign w:val="bottom"/>
            <w:hideMark/>
          </w:tcPr>
          <w:p w14:paraId="60C641BC"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$304,676,992</w:t>
            </w:r>
          </w:p>
        </w:tc>
        <w:tc>
          <w:tcPr>
            <w:tcW w:w="745" w:type="pct"/>
            <w:tcBorders>
              <w:top w:val="nil"/>
              <w:left w:val="nil"/>
              <w:bottom w:val="single" w:sz="8" w:space="0" w:color="auto"/>
              <w:right w:val="nil"/>
            </w:tcBorders>
            <w:shd w:val="clear" w:color="auto" w:fill="auto"/>
            <w:noWrap/>
            <w:vAlign w:val="bottom"/>
            <w:hideMark/>
          </w:tcPr>
          <w:p w14:paraId="30D4C202"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$317,079,360</w:t>
            </w:r>
          </w:p>
        </w:tc>
        <w:tc>
          <w:tcPr>
            <w:tcW w:w="745" w:type="pct"/>
            <w:tcBorders>
              <w:top w:val="nil"/>
              <w:left w:val="nil"/>
              <w:bottom w:val="single" w:sz="8" w:space="0" w:color="auto"/>
              <w:right w:val="single" w:sz="8" w:space="0" w:color="auto"/>
            </w:tcBorders>
            <w:shd w:val="clear" w:color="auto" w:fill="auto"/>
            <w:noWrap/>
            <w:vAlign w:val="bottom"/>
            <w:hideMark/>
          </w:tcPr>
          <w:p w14:paraId="6D23921A" w14:textId="77777777" w:rsidR="009E2A0B" w:rsidRPr="009E2A0B" w:rsidRDefault="009E2A0B" w:rsidP="009E2A0B">
            <w:pPr>
              <w:spacing w:after="0" w:line="240" w:lineRule="auto"/>
              <w:jc w:val="center"/>
              <w:rPr>
                <w:rFonts w:ascii="Calibri" w:eastAsia="Times New Roman" w:hAnsi="Calibri" w:cs="Calibri"/>
                <w:kern w:val="0"/>
                <w:sz w:val="21"/>
                <w:szCs w:val="21"/>
                <w14:ligatures w14:val="none"/>
              </w:rPr>
            </w:pPr>
            <w:r w:rsidRPr="009E2A0B">
              <w:rPr>
                <w:rFonts w:ascii="Calibri" w:eastAsia="Times New Roman" w:hAnsi="Calibri" w:cs="Calibri"/>
                <w:kern w:val="0"/>
                <w:sz w:val="21"/>
                <w:szCs w:val="21"/>
                <w14:ligatures w14:val="none"/>
              </w:rPr>
              <w:t>$329,150,752</w:t>
            </w:r>
          </w:p>
        </w:tc>
      </w:tr>
    </w:tbl>
    <w:p w14:paraId="28FB28EB" w14:textId="48830AC9" w:rsidR="005A7069" w:rsidRDefault="00AC0296" w:rsidP="00C748CC">
      <w:pPr>
        <w:pStyle w:val="Caption"/>
        <w:keepNext/>
        <w:jc w:val="center"/>
      </w:pPr>
      <w:bookmarkStart w:id="55" w:name="_Toc187401794"/>
      <w:r w:rsidRPr="001D3E05">
        <w:t>Table</w:t>
      </w:r>
      <w:r>
        <w:t xml:space="preserve"> </w:t>
      </w:r>
      <w:fldSimple w:instr=" SEQ Table \* ARABIC ">
        <w:r w:rsidR="0085394E">
          <w:rPr>
            <w:noProof/>
          </w:rPr>
          <w:t>21</w:t>
        </w:r>
      </w:fldSimple>
      <w:r>
        <w:t>: Estimated Changes in Inpatient Care Costs with Supply-Induced Demand, Cancer Care Backfill</w:t>
      </w:r>
      <w:bookmarkEnd w:id="55"/>
    </w:p>
    <w:tbl>
      <w:tblPr>
        <w:tblW w:w="5000" w:type="pct"/>
        <w:jc w:val="center"/>
        <w:tblCellMar>
          <w:left w:w="72" w:type="dxa"/>
          <w:right w:w="72" w:type="dxa"/>
        </w:tblCellMar>
        <w:tblLook w:val="04A0" w:firstRow="1" w:lastRow="0" w:firstColumn="1" w:lastColumn="0" w:noHBand="0" w:noVBand="1"/>
      </w:tblPr>
      <w:tblGrid>
        <w:gridCol w:w="1155"/>
        <w:gridCol w:w="653"/>
        <w:gridCol w:w="654"/>
        <w:gridCol w:w="654"/>
        <w:gridCol w:w="654"/>
        <w:gridCol w:w="1392"/>
        <w:gridCol w:w="1392"/>
        <w:gridCol w:w="1392"/>
        <w:gridCol w:w="1394"/>
      </w:tblGrid>
      <w:tr w:rsidR="007A6977" w:rsidRPr="001D3E05" w14:paraId="65B06ED0" w14:textId="77777777" w:rsidTr="00722DD3">
        <w:trPr>
          <w:cantSplit/>
          <w:trHeight w:val="290"/>
          <w:tblHeader/>
          <w:jc w:val="center"/>
        </w:trPr>
        <w:tc>
          <w:tcPr>
            <w:tcW w:w="619" w:type="pct"/>
            <w:tcBorders>
              <w:top w:val="single" w:sz="8" w:space="0" w:color="auto"/>
              <w:left w:val="single" w:sz="8" w:space="0" w:color="auto"/>
              <w:right w:val="single" w:sz="8" w:space="0" w:color="auto"/>
            </w:tcBorders>
            <w:shd w:val="clear" w:color="000000" w:fill="002060"/>
            <w:vAlign w:val="bottom"/>
            <w:hideMark/>
          </w:tcPr>
          <w:p w14:paraId="0C0EBBFF" w14:textId="653F4AB6" w:rsidR="001D3E05" w:rsidRPr="001D3E05" w:rsidRDefault="001D3E05" w:rsidP="001D3E05">
            <w:pPr>
              <w:spacing w:after="0" w:line="240" w:lineRule="auto"/>
              <w:rPr>
                <w:rFonts w:ascii="Calibri" w:eastAsia="Times New Roman" w:hAnsi="Calibri" w:cs="Calibri"/>
                <w:b/>
                <w:bCs/>
                <w:color w:val="FFFFFF"/>
                <w:kern w:val="0"/>
                <w:sz w:val="21"/>
                <w:szCs w:val="21"/>
                <w14:ligatures w14:val="none"/>
              </w:rPr>
            </w:pPr>
          </w:p>
        </w:tc>
        <w:tc>
          <w:tcPr>
            <w:tcW w:w="1400" w:type="pct"/>
            <w:gridSpan w:val="4"/>
            <w:tcBorders>
              <w:top w:val="single" w:sz="8" w:space="0" w:color="auto"/>
              <w:left w:val="nil"/>
              <w:bottom w:val="nil"/>
              <w:right w:val="single" w:sz="8" w:space="0" w:color="000000"/>
            </w:tcBorders>
            <w:shd w:val="clear" w:color="000000" w:fill="002060"/>
            <w:noWrap/>
            <w:vAlign w:val="bottom"/>
            <w:hideMark/>
          </w:tcPr>
          <w:p w14:paraId="2C4ED6F1" w14:textId="77777777" w:rsidR="001D3E05" w:rsidRPr="001D3E05" w:rsidRDefault="001D3E05" w:rsidP="001D3E05">
            <w:pPr>
              <w:spacing w:after="0" w:line="240" w:lineRule="auto"/>
              <w:jc w:val="center"/>
              <w:rPr>
                <w:rFonts w:ascii="Calibri" w:eastAsia="Times New Roman" w:hAnsi="Calibri" w:cs="Calibri"/>
                <w:b/>
                <w:bCs/>
                <w:color w:val="FFFFFF"/>
                <w:kern w:val="0"/>
                <w:sz w:val="21"/>
                <w:szCs w:val="21"/>
                <w14:ligatures w14:val="none"/>
              </w:rPr>
            </w:pPr>
            <w:r w:rsidRPr="001D3E05">
              <w:rPr>
                <w:rFonts w:ascii="Calibri" w:eastAsia="Times New Roman" w:hAnsi="Calibri" w:cs="Calibri"/>
                <w:b/>
                <w:bCs/>
                <w:color w:val="FFFFFF"/>
                <w:kern w:val="0"/>
                <w:sz w:val="21"/>
                <w:szCs w:val="21"/>
                <w14:ligatures w14:val="none"/>
              </w:rPr>
              <w:t>DFCI Pricing Scenario</w:t>
            </w:r>
          </w:p>
        </w:tc>
        <w:tc>
          <w:tcPr>
            <w:tcW w:w="2981" w:type="pct"/>
            <w:gridSpan w:val="4"/>
            <w:tcBorders>
              <w:top w:val="single" w:sz="8" w:space="0" w:color="auto"/>
              <w:left w:val="nil"/>
              <w:bottom w:val="nil"/>
              <w:right w:val="single" w:sz="8" w:space="0" w:color="000000"/>
            </w:tcBorders>
            <w:shd w:val="clear" w:color="000000" w:fill="002060"/>
            <w:noWrap/>
            <w:vAlign w:val="bottom"/>
            <w:hideMark/>
          </w:tcPr>
          <w:p w14:paraId="6798A2F5" w14:textId="77777777" w:rsidR="001D3E05" w:rsidRPr="001D3E05" w:rsidRDefault="001D3E05" w:rsidP="001D3E05">
            <w:pPr>
              <w:spacing w:after="0" w:line="240" w:lineRule="auto"/>
              <w:jc w:val="center"/>
              <w:rPr>
                <w:rFonts w:ascii="Calibri" w:eastAsia="Times New Roman" w:hAnsi="Calibri" w:cs="Calibri"/>
                <w:b/>
                <w:bCs/>
                <w:color w:val="FFFFFF"/>
                <w:kern w:val="0"/>
                <w:sz w:val="21"/>
                <w:szCs w:val="21"/>
                <w14:ligatures w14:val="none"/>
              </w:rPr>
            </w:pPr>
            <w:r w:rsidRPr="001D3E05">
              <w:rPr>
                <w:rFonts w:ascii="Calibri" w:eastAsia="Times New Roman" w:hAnsi="Calibri" w:cs="Calibri"/>
                <w:b/>
                <w:bCs/>
                <w:color w:val="FFFFFF"/>
                <w:kern w:val="0"/>
                <w:sz w:val="21"/>
                <w:szCs w:val="21"/>
                <w14:ligatures w14:val="none"/>
              </w:rPr>
              <w:t>DFCI Pricing Scenario</w:t>
            </w:r>
          </w:p>
        </w:tc>
      </w:tr>
      <w:tr w:rsidR="001D3E05" w:rsidRPr="001D3E05" w14:paraId="7D4B92C1" w14:textId="77777777" w:rsidTr="00722DD3">
        <w:trPr>
          <w:cantSplit/>
          <w:trHeight w:val="300"/>
          <w:tblHeader/>
          <w:jc w:val="center"/>
        </w:trPr>
        <w:tc>
          <w:tcPr>
            <w:tcW w:w="619" w:type="pct"/>
            <w:tcBorders>
              <w:left w:val="single" w:sz="8" w:space="0" w:color="auto"/>
              <w:bottom w:val="single" w:sz="8" w:space="0" w:color="000000"/>
              <w:right w:val="single" w:sz="8" w:space="0" w:color="auto"/>
            </w:tcBorders>
            <w:shd w:val="clear" w:color="000000" w:fill="002060"/>
            <w:vAlign w:val="center"/>
            <w:hideMark/>
          </w:tcPr>
          <w:p w14:paraId="3C980B49" w14:textId="48220B06" w:rsidR="001D3E05" w:rsidRPr="001D3E05" w:rsidRDefault="00722DD3" w:rsidP="001D3E05">
            <w:pPr>
              <w:spacing w:after="0" w:line="240" w:lineRule="auto"/>
              <w:rPr>
                <w:rFonts w:ascii="Calibri" w:eastAsia="Times New Roman" w:hAnsi="Calibri" w:cs="Calibri"/>
                <w:b/>
                <w:bCs/>
                <w:color w:val="FFFFFF"/>
                <w:kern w:val="0"/>
                <w:sz w:val="21"/>
                <w:szCs w:val="21"/>
                <w14:ligatures w14:val="none"/>
              </w:rPr>
            </w:pPr>
            <w:r w:rsidRPr="001D3E05">
              <w:rPr>
                <w:rFonts w:ascii="Calibri" w:eastAsia="Times New Roman" w:hAnsi="Calibri" w:cs="Calibri"/>
                <w:b/>
                <w:bCs/>
                <w:color w:val="FFFFFF"/>
                <w:kern w:val="0"/>
                <w:sz w:val="21"/>
                <w:szCs w:val="21"/>
                <w14:ligatures w14:val="none"/>
              </w:rPr>
              <w:t>Forecast Year</w:t>
            </w:r>
          </w:p>
        </w:tc>
        <w:tc>
          <w:tcPr>
            <w:tcW w:w="350" w:type="pct"/>
            <w:tcBorders>
              <w:top w:val="nil"/>
              <w:left w:val="nil"/>
              <w:bottom w:val="single" w:sz="8" w:space="0" w:color="auto"/>
              <w:right w:val="nil"/>
            </w:tcBorders>
            <w:shd w:val="clear" w:color="000000" w:fill="002060"/>
            <w:noWrap/>
            <w:vAlign w:val="bottom"/>
            <w:hideMark/>
          </w:tcPr>
          <w:p w14:paraId="2FF5D4AD"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(1)</w:t>
            </w:r>
          </w:p>
        </w:tc>
        <w:tc>
          <w:tcPr>
            <w:tcW w:w="350" w:type="pct"/>
            <w:tcBorders>
              <w:top w:val="nil"/>
              <w:left w:val="nil"/>
              <w:bottom w:val="single" w:sz="8" w:space="0" w:color="auto"/>
              <w:right w:val="nil"/>
            </w:tcBorders>
            <w:shd w:val="clear" w:color="000000" w:fill="002060"/>
            <w:noWrap/>
            <w:vAlign w:val="bottom"/>
            <w:hideMark/>
          </w:tcPr>
          <w:p w14:paraId="04ECAC92"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(2)</w:t>
            </w:r>
          </w:p>
        </w:tc>
        <w:tc>
          <w:tcPr>
            <w:tcW w:w="350" w:type="pct"/>
            <w:tcBorders>
              <w:top w:val="nil"/>
              <w:left w:val="nil"/>
              <w:bottom w:val="single" w:sz="8" w:space="0" w:color="auto"/>
              <w:right w:val="nil"/>
            </w:tcBorders>
            <w:shd w:val="clear" w:color="000000" w:fill="002060"/>
            <w:vAlign w:val="bottom"/>
            <w:hideMark/>
          </w:tcPr>
          <w:p w14:paraId="06A5079A"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(3)</w:t>
            </w:r>
          </w:p>
        </w:tc>
        <w:tc>
          <w:tcPr>
            <w:tcW w:w="350" w:type="pct"/>
            <w:tcBorders>
              <w:top w:val="nil"/>
              <w:left w:val="nil"/>
              <w:bottom w:val="single" w:sz="8" w:space="0" w:color="auto"/>
              <w:right w:val="single" w:sz="8" w:space="0" w:color="auto"/>
            </w:tcBorders>
            <w:shd w:val="clear" w:color="000000" w:fill="002060"/>
            <w:vAlign w:val="bottom"/>
            <w:hideMark/>
          </w:tcPr>
          <w:p w14:paraId="04215905"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(4)</w:t>
            </w:r>
          </w:p>
        </w:tc>
        <w:tc>
          <w:tcPr>
            <w:tcW w:w="745" w:type="pct"/>
            <w:tcBorders>
              <w:top w:val="nil"/>
              <w:left w:val="nil"/>
              <w:bottom w:val="single" w:sz="8" w:space="0" w:color="auto"/>
              <w:right w:val="nil"/>
            </w:tcBorders>
            <w:shd w:val="clear" w:color="000000" w:fill="002060"/>
            <w:noWrap/>
            <w:vAlign w:val="bottom"/>
            <w:hideMark/>
          </w:tcPr>
          <w:p w14:paraId="0E60BF87"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(1)</w:t>
            </w:r>
          </w:p>
        </w:tc>
        <w:tc>
          <w:tcPr>
            <w:tcW w:w="745" w:type="pct"/>
            <w:tcBorders>
              <w:top w:val="nil"/>
              <w:left w:val="nil"/>
              <w:bottom w:val="single" w:sz="8" w:space="0" w:color="auto"/>
              <w:right w:val="nil"/>
            </w:tcBorders>
            <w:shd w:val="clear" w:color="000000" w:fill="002060"/>
            <w:noWrap/>
            <w:vAlign w:val="bottom"/>
            <w:hideMark/>
          </w:tcPr>
          <w:p w14:paraId="30A0660D"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(2)</w:t>
            </w:r>
          </w:p>
        </w:tc>
        <w:tc>
          <w:tcPr>
            <w:tcW w:w="745" w:type="pct"/>
            <w:tcBorders>
              <w:top w:val="nil"/>
              <w:left w:val="nil"/>
              <w:bottom w:val="single" w:sz="8" w:space="0" w:color="auto"/>
              <w:right w:val="nil"/>
            </w:tcBorders>
            <w:shd w:val="clear" w:color="000000" w:fill="002060"/>
            <w:vAlign w:val="bottom"/>
            <w:hideMark/>
          </w:tcPr>
          <w:p w14:paraId="1477C98E"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(3)</w:t>
            </w:r>
          </w:p>
        </w:tc>
        <w:tc>
          <w:tcPr>
            <w:tcW w:w="745" w:type="pct"/>
            <w:tcBorders>
              <w:top w:val="nil"/>
              <w:left w:val="nil"/>
              <w:bottom w:val="single" w:sz="8" w:space="0" w:color="auto"/>
              <w:right w:val="single" w:sz="8" w:space="0" w:color="auto"/>
            </w:tcBorders>
            <w:shd w:val="clear" w:color="000000" w:fill="002060"/>
            <w:vAlign w:val="bottom"/>
            <w:hideMark/>
          </w:tcPr>
          <w:p w14:paraId="527C1557" w14:textId="77777777" w:rsidR="001D3E05" w:rsidRPr="001D3E05" w:rsidRDefault="001D3E05" w:rsidP="001D3E05">
            <w:pPr>
              <w:spacing w:after="0" w:line="240" w:lineRule="auto"/>
              <w:jc w:val="center"/>
              <w:rPr>
                <w:rFonts w:ascii="Calibri" w:eastAsia="Times New Roman" w:hAnsi="Calibri" w:cs="Calibri"/>
                <w:i/>
                <w:iCs/>
                <w:color w:val="FFFFFF"/>
                <w:kern w:val="0"/>
                <w:sz w:val="21"/>
                <w:szCs w:val="21"/>
                <w14:ligatures w14:val="none"/>
              </w:rPr>
            </w:pPr>
            <w:r w:rsidRPr="001D3E05">
              <w:rPr>
                <w:rFonts w:ascii="Calibri" w:eastAsia="Times New Roman" w:hAnsi="Calibri" w:cs="Calibri"/>
                <w:i/>
                <w:iCs/>
                <w:color w:val="FFFFFF"/>
                <w:kern w:val="0"/>
                <w:sz w:val="21"/>
                <w:szCs w:val="21"/>
                <w14:ligatures w14:val="none"/>
              </w:rPr>
              <w:t>(4)</w:t>
            </w:r>
          </w:p>
        </w:tc>
      </w:tr>
      <w:tr w:rsidR="007A6977" w:rsidRPr="001D3E05" w14:paraId="68B121B7" w14:textId="77777777" w:rsidTr="00722DD3">
        <w:trPr>
          <w:cantSplit/>
          <w:trHeight w:val="290"/>
          <w:jc w:val="center"/>
        </w:trPr>
        <w:tc>
          <w:tcPr>
            <w:tcW w:w="619" w:type="pct"/>
            <w:tcBorders>
              <w:top w:val="nil"/>
              <w:left w:val="single" w:sz="8" w:space="0" w:color="auto"/>
              <w:bottom w:val="dashed" w:sz="4" w:space="0" w:color="auto"/>
              <w:right w:val="single" w:sz="8" w:space="0" w:color="auto"/>
            </w:tcBorders>
            <w:shd w:val="clear" w:color="auto" w:fill="auto"/>
            <w:noWrap/>
            <w:vAlign w:val="bottom"/>
            <w:hideMark/>
          </w:tcPr>
          <w:p w14:paraId="5749E262" w14:textId="77777777" w:rsidR="001D3E05" w:rsidRPr="001D3E05" w:rsidRDefault="001D3E05" w:rsidP="001D3E05">
            <w:pPr>
              <w:spacing w:after="0" w:line="240" w:lineRule="auto"/>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2025</w:t>
            </w:r>
          </w:p>
        </w:tc>
        <w:tc>
          <w:tcPr>
            <w:tcW w:w="350" w:type="pct"/>
            <w:tcBorders>
              <w:top w:val="nil"/>
              <w:left w:val="nil"/>
              <w:bottom w:val="dashed" w:sz="4" w:space="0" w:color="auto"/>
              <w:right w:val="nil"/>
            </w:tcBorders>
            <w:shd w:val="clear" w:color="auto" w:fill="auto"/>
            <w:noWrap/>
            <w:vAlign w:val="bottom"/>
            <w:hideMark/>
          </w:tcPr>
          <w:p w14:paraId="487EB593"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w:t>
            </w:r>
          </w:p>
        </w:tc>
        <w:tc>
          <w:tcPr>
            <w:tcW w:w="350" w:type="pct"/>
            <w:tcBorders>
              <w:top w:val="nil"/>
              <w:left w:val="nil"/>
              <w:bottom w:val="dashed" w:sz="4" w:space="0" w:color="auto"/>
              <w:right w:val="nil"/>
            </w:tcBorders>
            <w:shd w:val="clear" w:color="auto" w:fill="auto"/>
            <w:noWrap/>
            <w:vAlign w:val="bottom"/>
            <w:hideMark/>
          </w:tcPr>
          <w:p w14:paraId="4008986D"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w:t>
            </w:r>
          </w:p>
        </w:tc>
        <w:tc>
          <w:tcPr>
            <w:tcW w:w="350" w:type="pct"/>
            <w:tcBorders>
              <w:top w:val="nil"/>
              <w:left w:val="nil"/>
              <w:bottom w:val="dashed" w:sz="4" w:space="0" w:color="auto"/>
              <w:right w:val="nil"/>
            </w:tcBorders>
            <w:shd w:val="clear" w:color="auto" w:fill="auto"/>
            <w:noWrap/>
            <w:vAlign w:val="bottom"/>
            <w:hideMark/>
          </w:tcPr>
          <w:p w14:paraId="24CC6724"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350" w:type="pct"/>
            <w:tcBorders>
              <w:top w:val="nil"/>
              <w:left w:val="nil"/>
              <w:bottom w:val="dashed" w:sz="4" w:space="0" w:color="auto"/>
              <w:right w:val="single" w:sz="8" w:space="0" w:color="auto"/>
            </w:tcBorders>
            <w:shd w:val="clear" w:color="auto" w:fill="auto"/>
            <w:noWrap/>
            <w:vAlign w:val="bottom"/>
            <w:hideMark/>
          </w:tcPr>
          <w:p w14:paraId="509D85E0"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745" w:type="pct"/>
            <w:tcBorders>
              <w:top w:val="nil"/>
              <w:left w:val="nil"/>
              <w:bottom w:val="dashed" w:sz="4" w:space="0" w:color="auto"/>
              <w:right w:val="nil"/>
            </w:tcBorders>
            <w:shd w:val="clear" w:color="auto" w:fill="auto"/>
            <w:noWrap/>
            <w:vAlign w:val="bottom"/>
            <w:hideMark/>
          </w:tcPr>
          <w:p w14:paraId="4625CC40"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$250,527,469</w:t>
            </w:r>
          </w:p>
        </w:tc>
        <w:tc>
          <w:tcPr>
            <w:tcW w:w="745" w:type="pct"/>
            <w:tcBorders>
              <w:top w:val="nil"/>
              <w:left w:val="nil"/>
              <w:bottom w:val="dashed" w:sz="4" w:space="0" w:color="auto"/>
              <w:right w:val="nil"/>
            </w:tcBorders>
            <w:shd w:val="clear" w:color="auto" w:fill="auto"/>
            <w:noWrap/>
            <w:vAlign w:val="bottom"/>
            <w:hideMark/>
          </w:tcPr>
          <w:p w14:paraId="33197FFA"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$270,337,338</w:t>
            </w:r>
          </w:p>
        </w:tc>
        <w:tc>
          <w:tcPr>
            <w:tcW w:w="745" w:type="pct"/>
            <w:tcBorders>
              <w:top w:val="nil"/>
              <w:left w:val="nil"/>
              <w:bottom w:val="dashed" w:sz="4" w:space="0" w:color="auto"/>
              <w:right w:val="nil"/>
            </w:tcBorders>
            <w:shd w:val="clear" w:color="auto" w:fill="auto"/>
            <w:noWrap/>
            <w:vAlign w:val="bottom"/>
            <w:hideMark/>
          </w:tcPr>
          <w:p w14:paraId="744F73A8"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$280,485,508</w:t>
            </w:r>
          </w:p>
        </w:tc>
        <w:tc>
          <w:tcPr>
            <w:tcW w:w="745" w:type="pct"/>
            <w:tcBorders>
              <w:top w:val="nil"/>
              <w:left w:val="nil"/>
              <w:bottom w:val="dashed" w:sz="4" w:space="0" w:color="auto"/>
              <w:right w:val="single" w:sz="8" w:space="0" w:color="auto"/>
            </w:tcBorders>
            <w:shd w:val="clear" w:color="auto" w:fill="auto"/>
            <w:noWrap/>
            <w:vAlign w:val="bottom"/>
            <w:hideMark/>
          </w:tcPr>
          <w:p w14:paraId="2714EC11"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$280,485,508</w:t>
            </w:r>
          </w:p>
        </w:tc>
      </w:tr>
      <w:tr w:rsidR="007A6977" w:rsidRPr="001D3E05" w14:paraId="2D365374" w14:textId="77777777" w:rsidTr="00722DD3">
        <w:trPr>
          <w:cantSplit/>
          <w:trHeight w:val="290"/>
          <w:jc w:val="center"/>
        </w:trPr>
        <w:tc>
          <w:tcPr>
            <w:tcW w:w="619" w:type="pct"/>
            <w:tcBorders>
              <w:top w:val="nil"/>
              <w:left w:val="single" w:sz="8" w:space="0" w:color="auto"/>
              <w:bottom w:val="dashed" w:sz="4" w:space="0" w:color="auto"/>
              <w:right w:val="single" w:sz="8" w:space="0" w:color="auto"/>
            </w:tcBorders>
            <w:shd w:val="clear" w:color="auto" w:fill="auto"/>
            <w:noWrap/>
            <w:vAlign w:val="bottom"/>
            <w:hideMark/>
          </w:tcPr>
          <w:p w14:paraId="6E6745A4" w14:textId="77777777" w:rsidR="001D3E05" w:rsidRPr="001D3E05" w:rsidRDefault="001D3E05" w:rsidP="001D3E05">
            <w:pPr>
              <w:spacing w:after="0" w:line="240" w:lineRule="auto"/>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2030</w:t>
            </w:r>
          </w:p>
        </w:tc>
        <w:tc>
          <w:tcPr>
            <w:tcW w:w="350" w:type="pct"/>
            <w:tcBorders>
              <w:top w:val="nil"/>
              <w:left w:val="nil"/>
              <w:bottom w:val="dashed" w:sz="4" w:space="0" w:color="auto"/>
              <w:right w:val="nil"/>
            </w:tcBorders>
            <w:shd w:val="clear" w:color="auto" w:fill="auto"/>
            <w:noWrap/>
            <w:vAlign w:val="bottom"/>
            <w:hideMark/>
          </w:tcPr>
          <w:p w14:paraId="0AE78E75"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w:t>
            </w:r>
          </w:p>
        </w:tc>
        <w:tc>
          <w:tcPr>
            <w:tcW w:w="350" w:type="pct"/>
            <w:tcBorders>
              <w:top w:val="dashed" w:sz="4" w:space="0" w:color="auto"/>
              <w:left w:val="nil"/>
              <w:bottom w:val="dashed" w:sz="4" w:space="0" w:color="auto"/>
              <w:right w:val="nil"/>
            </w:tcBorders>
            <w:shd w:val="clear" w:color="auto" w:fill="auto"/>
            <w:noWrap/>
            <w:vAlign w:val="bottom"/>
            <w:hideMark/>
          </w:tcPr>
          <w:p w14:paraId="7050C4F1"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w:t>
            </w:r>
          </w:p>
        </w:tc>
        <w:tc>
          <w:tcPr>
            <w:tcW w:w="350" w:type="pct"/>
            <w:tcBorders>
              <w:top w:val="dashed" w:sz="4" w:space="0" w:color="auto"/>
              <w:left w:val="nil"/>
              <w:bottom w:val="dashed" w:sz="4" w:space="0" w:color="auto"/>
              <w:right w:val="nil"/>
            </w:tcBorders>
            <w:shd w:val="clear" w:color="auto" w:fill="auto"/>
            <w:noWrap/>
            <w:vAlign w:val="bottom"/>
            <w:hideMark/>
          </w:tcPr>
          <w:p w14:paraId="65A0325B"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350" w:type="pct"/>
            <w:tcBorders>
              <w:top w:val="nil"/>
              <w:left w:val="nil"/>
              <w:bottom w:val="dashed" w:sz="4" w:space="0" w:color="auto"/>
              <w:right w:val="single" w:sz="8" w:space="0" w:color="auto"/>
            </w:tcBorders>
            <w:shd w:val="clear" w:color="auto" w:fill="auto"/>
            <w:noWrap/>
            <w:vAlign w:val="bottom"/>
            <w:hideMark/>
          </w:tcPr>
          <w:p w14:paraId="4DB8C0F9"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745" w:type="pct"/>
            <w:tcBorders>
              <w:top w:val="nil"/>
              <w:left w:val="nil"/>
              <w:bottom w:val="dashed" w:sz="4" w:space="0" w:color="auto"/>
              <w:right w:val="nil"/>
            </w:tcBorders>
            <w:shd w:val="clear" w:color="auto" w:fill="auto"/>
            <w:noWrap/>
            <w:vAlign w:val="bottom"/>
            <w:hideMark/>
          </w:tcPr>
          <w:p w14:paraId="43CFEA39"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$266,241,838</w:t>
            </w:r>
          </w:p>
        </w:tc>
        <w:tc>
          <w:tcPr>
            <w:tcW w:w="745" w:type="pct"/>
            <w:tcBorders>
              <w:top w:val="dashed" w:sz="4" w:space="0" w:color="auto"/>
              <w:left w:val="nil"/>
              <w:bottom w:val="dashed" w:sz="4" w:space="0" w:color="auto"/>
              <w:right w:val="nil"/>
            </w:tcBorders>
            <w:shd w:val="clear" w:color="auto" w:fill="auto"/>
            <w:noWrap/>
            <w:vAlign w:val="bottom"/>
            <w:hideMark/>
          </w:tcPr>
          <w:p w14:paraId="1A59576A"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$285,169,857</w:t>
            </w:r>
          </w:p>
        </w:tc>
        <w:tc>
          <w:tcPr>
            <w:tcW w:w="745" w:type="pct"/>
            <w:tcBorders>
              <w:top w:val="dashed" w:sz="4" w:space="0" w:color="auto"/>
              <w:left w:val="nil"/>
              <w:bottom w:val="dashed" w:sz="4" w:space="0" w:color="auto"/>
              <w:right w:val="nil"/>
            </w:tcBorders>
            <w:shd w:val="clear" w:color="auto" w:fill="auto"/>
            <w:noWrap/>
            <w:vAlign w:val="bottom"/>
            <w:hideMark/>
          </w:tcPr>
          <w:p w14:paraId="707B34A7"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$296,333,389</w:t>
            </w:r>
          </w:p>
        </w:tc>
        <w:tc>
          <w:tcPr>
            <w:tcW w:w="745" w:type="pct"/>
            <w:tcBorders>
              <w:top w:val="nil"/>
              <w:left w:val="nil"/>
              <w:bottom w:val="dashed" w:sz="4" w:space="0" w:color="auto"/>
              <w:right w:val="single" w:sz="8" w:space="0" w:color="auto"/>
            </w:tcBorders>
            <w:shd w:val="clear" w:color="auto" w:fill="auto"/>
            <w:noWrap/>
            <w:vAlign w:val="bottom"/>
            <w:hideMark/>
          </w:tcPr>
          <w:p w14:paraId="419FDEE2"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$296,333,389</w:t>
            </w:r>
          </w:p>
        </w:tc>
      </w:tr>
      <w:tr w:rsidR="007A6977" w:rsidRPr="001D3E05" w14:paraId="211EE8D4" w14:textId="77777777" w:rsidTr="00722DD3">
        <w:trPr>
          <w:cantSplit/>
          <w:trHeight w:val="290"/>
          <w:jc w:val="center"/>
        </w:trPr>
        <w:tc>
          <w:tcPr>
            <w:tcW w:w="619" w:type="pct"/>
            <w:tcBorders>
              <w:top w:val="nil"/>
              <w:left w:val="single" w:sz="8" w:space="0" w:color="auto"/>
              <w:bottom w:val="dashed" w:sz="4" w:space="0" w:color="auto"/>
              <w:right w:val="single" w:sz="8" w:space="0" w:color="auto"/>
            </w:tcBorders>
            <w:shd w:val="clear" w:color="auto" w:fill="auto"/>
            <w:noWrap/>
            <w:vAlign w:val="bottom"/>
            <w:hideMark/>
          </w:tcPr>
          <w:p w14:paraId="182C4A55" w14:textId="77777777" w:rsidR="001D3E05" w:rsidRPr="001D3E05" w:rsidRDefault="001D3E05" w:rsidP="001D3E05">
            <w:pPr>
              <w:spacing w:after="0" w:line="240" w:lineRule="auto"/>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2035</w:t>
            </w:r>
          </w:p>
        </w:tc>
        <w:tc>
          <w:tcPr>
            <w:tcW w:w="350" w:type="pct"/>
            <w:tcBorders>
              <w:top w:val="nil"/>
              <w:left w:val="nil"/>
              <w:bottom w:val="dashed" w:sz="4" w:space="0" w:color="auto"/>
              <w:right w:val="nil"/>
            </w:tcBorders>
            <w:shd w:val="clear" w:color="auto" w:fill="auto"/>
            <w:noWrap/>
            <w:vAlign w:val="bottom"/>
            <w:hideMark/>
          </w:tcPr>
          <w:p w14:paraId="762C5367"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w:t>
            </w:r>
          </w:p>
        </w:tc>
        <w:tc>
          <w:tcPr>
            <w:tcW w:w="350" w:type="pct"/>
            <w:tcBorders>
              <w:top w:val="nil"/>
              <w:left w:val="nil"/>
              <w:bottom w:val="dashed" w:sz="4" w:space="0" w:color="auto"/>
              <w:right w:val="nil"/>
            </w:tcBorders>
            <w:shd w:val="clear" w:color="auto" w:fill="auto"/>
            <w:noWrap/>
            <w:vAlign w:val="bottom"/>
            <w:hideMark/>
          </w:tcPr>
          <w:p w14:paraId="1D887CEC"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w:t>
            </w:r>
          </w:p>
        </w:tc>
        <w:tc>
          <w:tcPr>
            <w:tcW w:w="350" w:type="pct"/>
            <w:tcBorders>
              <w:top w:val="nil"/>
              <w:left w:val="nil"/>
              <w:bottom w:val="dashed" w:sz="4" w:space="0" w:color="auto"/>
              <w:right w:val="nil"/>
            </w:tcBorders>
            <w:shd w:val="clear" w:color="auto" w:fill="auto"/>
            <w:noWrap/>
            <w:vAlign w:val="bottom"/>
            <w:hideMark/>
          </w:tcPr>
          <w:p w14:paraId="182D2FCC"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350" w:type="pct"/>
            <w:tcBorders>
              <w:top w:val="nil"/>
              <w:left w:val="nil"/>
              <w:bottom w:val="dashed" w:sz="4" w:space="0" w:color="auto"/>
              <w:right w:val="single" w:sz="8" w:space="0" w:color="auto"/>
            </w:tcBorders>
            <w:shd w:val="clear" w:color="auto" w:fill="auto"/>
            <w:noWrap/>
            <w:vAlign w:val="bottom"/>
            <w:hideMark/>
          </w:tcPr>
          <w:p w14:paraId="188F5238"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w:t>
            </w:r>
          </w:p>
        </w:tc>
        <w:tc>
          <w:tcPr>
            <w:tcW w:w="745" w:type="pct"/>
            <w:tcBorders>
              <w:top w:val="nil"/>
              <w:left w:val="nil"/>
              <w:bottom w:val="dashed" w:sz="4" w:space="0" w:color="auto"/>
              <w:right w:val="nil"/>
            </w:tcBorders>
            <w:shd w:val="clear" w:color="auto" w:fill="auto"/>
            <w:noWrap/>
            <w:vAlign w:val="bottom"/>
            <w:hideMark/>
          </w:tcPr>
          <w:p w14:paraId="4D51EF28"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$277,978,094</w:t>
            </w:r>
          </w:p>
        </w:tc>
        <w:tc>
          <w:tcPr>
            <w:tcW w:w="745" w:type="pct"/>
            <w:tcBorders>
              <w:top w:val="nil"/>
              <w:left w:val="nil"/>
              <w:bottom w:val="dashed" w:sz="4" w:space="0" w:color="auto"/>
              <w:right w:val="nil"/>
            </w:tcBorders>
            <w:shd w:val="clear" w:color="auto" w:fill="auto"/>
            <w:noWrap/>
            <w:vAlign w:val="bottom"/>
            <w:hideMark/>
          </w:tcPr>
          <w:p w14:paraId="5B50AFF1"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$296,299,281</w:t>
            </w:r>
          </w:p>
        </w:tc>
        <w:tc>
          <w:tcPr>
            <w:tcW w:w="745" w:type="pct"/>
            <w:tcBorders>
              <w:top w:val="nil"/>
              <w:left w:val="nil"/>
              <w:bottom w:val="dashed" w:sz="4" w:space="0" w:color="auto"/>
              <w:right w:val="nil"/>
            </w:tcBorders>
            <w:shd w:val="clear" w:color="auto" w:fill="auto"/>
            <w:noWrap/>
            <w:vAlign w:val="bottom"/>
            <w:hideMark/>
          </w:tcPr>
          <w:p w14:paraId="417A854B"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$308,236,329</w:t>
            </w:r>
          </w:p>
        </w:tc>
        <w:tc>
          <w:tcPr>
            <w:tcW w:w="745" w:type="pct"/>
            <w:tcBorders>
              <w:top w:val="nil"/>
              <w:left w:val="nil"/>
              <w:bottom w:val="dashed" w:sz="4" w:space="0" w:color="auto"/>
              <w:right w:val="single" w:sz="8" w:space="0" w:color="auto"/>
            </w:tcBorders>
            <w:shd w:val="clear" w:color="auto" w:fill="auto"/>
            <w:noWrap/>
            <w:vAlign w:val="bottom"/>
            <w:hideMark/>
          </w:tcPr>
          <w:p w14:paraId="145878CC"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$308,236,329</w:t>
            </w:r>
          </w:p>
        </w:tc>
      </w:tr>
      <w:tr w:rsidR="007A6977" w:rsidRPr="001D3E05" w14:paraId="77F13696" w14:textId="77777777" w:rsidTr="00722DD3">
        <w:trPr>
          <w:cantSplit/>
          <w:trHeight w:val="300"/>
          <w:jc w:val="center"/>
        </w:trPr>
        <w:tc>
          <w:tcPr>
            <w:tcW w:w="619" w:type="pct"/>
            <w:tcBorders>
              <w:top w:val="nil"/>
              <w:left w:val="single" w:sz="8" w:space="0" w:color="auto"/>
              <w:bottom w:val="single" w:sz="8" w:space="0" w:color="auto"/>
              <w:right w:val="single" w:sz="8" w:space="0" w:color="auto"/>
            </w:tcBorders>
            <w:shd w:val="clear" w:color="auto" w:fill="auto"/>
            <w:noWrap/>
            <w:vAlign w:val="bottom"/>
            <w:hideMark/>
          </w:tcPr>
          <w:p w14:paraId="39D6C1C4" w14:textId="77777777" w:rsidR="001D3E05" w:rsidRPr="001D3E05" w:rsidRDefault="001D3E05" w:rsidP="001D3E05">
            <w:pPr>
              <w:spacing w:after="0" w:line="240" w:lineRule="auto"/>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2040</w:t>
            </w:r>
          </w:p>
        </w:tc>
        <w:tc>
          <w:tcPr>
            <w:tcW w:w="350" w:type="pct"/>
            <w:tcBorders>
              <w:top w:val="nil"/>
              <w:left w:val="nil"/>
              <w:bottom w:val="single" w:sz="8" w:space="0" w:color="auto"/>
              <w:right w:val="nil"/>
            </w:tcBorders>
            <w:shd w:val="clear" w:color="auto" w:fill="auto"/>
            <w:noWrap/>
            <w:vAlign w:val="bottom"/>
            <w:hideMark/>
          </w:tcPr>
          <w:p w14:paraId="7ED4513E"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2.9%</w:t>
            </w:r>
          </w:p>
        </w:tc>
        <w:tc>
          <w:tcPr>
            <w:tcW w:w="350" w:type="pct"/>
            <w:tcBorders>
              <w:top w:val="nil"/>
              <w:left w:val="nil"/>
              <w:bottom w:val="single" w:sz="8" w:space="0" w:color="auto"/>
              <w:right w:val="nil"/>
            </w:tcBorders>
            <w:shd w:val="clear" w:color="auto" w:fill="auto"/>
            <w:noWrap/>
            <w:vAlign w:val="bottom"/>
            <w:hideMark/>
          </w:tcPr>
          <w:p w14:paraId="323DBDF2"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w:t>
            </w:r>
          </w:p>
        </w:tc>
        <w:tc>
          <w:tcPr>
            <w:tcW w:w="350" w:type="pct"/>
            <w:tcBorders>
              <w:top w:val="nil"/>
              <w:left w:val="nil"/>
              <w:bottom w:val="single" w:sz="8" w:space="0" w:color="auto"/>
              <w:right w:val="nil"/>
            </w:tcBorders>
            <w:shd w:val="clear" w:color="auto" w:fill="auto"/>
            <w:noWrap/>
            <w:vAlign w:val="bottom"/>
            <w:hideMark/>
          </w:tcPr>
          <w:p w14:paraId="05ACC1A9"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3.2%</w:t>
            </w:r>
          </w:p>
        </w:tc>
        <w:tc>
          <w:tcPr>
            <w:tcW w:w="350" w:type="pct"/>
            <w:tcBorders>
              <w:top w:val="nil"/>
              <w:left w:val="nil"/>
              <w:bottom w:val="single" w:sz="8" w:space="0" w:color="auto"/>
              <w:right w:val="single" w:sz="8" w:space="0" w:color="auto"/>
            </w:tcBorders>
            <w:shd w:val="clear" w:color="auto" w:fill="auto"/>
            <w:noWrap/>
            <w:vAlign w:val="bottom"/>
            <w:hideMark/>
          </w:tcPr>
          <w:p w14:paraId="4F8E3494"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3.2%</w:t>
            </w:r>
          </w:p>
        </w:tc>
        <w:tc>
          <w:tcPr>
            <w:tcW w:w="745" w:type="pct"/>
            <w:tcBorders>
              <w:top w:val="nil"/>
              <w:left w:val="nil"/>
              <w:bottom w:val="single" w:sz="8" w:space="0" w:color="auto"/>
              <w:right w:val="nil"/>
            </w:tcBorders>
            <w:shd w:val="clear" w:color="auto" w:fill="auto"/>
            <w:noWrap/>
            <w:vAlign w:val="bottom"/>
            <w:hideMark/>
          </w:tcPr>
          <w:p w14:paraId="1D83F6D9"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$286,801,701</w:t>
            </w:r>
          </w:p>
        </w:tc>
        <w:tc>
          <w:tcPr>
            <w:tcW w:w="745" w:type="pct"/>
            <w:tcBorders>
              <w:top w:val="nil"/>
              <w:left w:val="nil"/>
              <w:bottom w:val="single" w:sz="8" w:space="0" w:color="auto"/>
              <w:right w:val="nil"/>
            </w:tcBorders>
            <w:shd w:val="clear" w:color="auto" w:fill="auto"/>
            <w:noWrap/>
            <w:vAlign w:val="bottom"/>
            <w:hideMark/>
          </w:tcPr>
          <w:p w14:paraId="6AA19794"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$305,157,924</w:t>
            </w:r>
          </w:p>
        </w:tc>
        <w:tc>
          <w:tcPr>
            <w:tcW w:w="745" w:type="pct"/>
            <w:tcBorders>
              <w:top w:val="nil"/>
              <w:left w:val="nil"/>
              <w:bottom w:val="single" w:sz="8" w:space="0" w:color="auto"/>
              <w:right w:val="nil"/>
            </w:tcBorders>
            <w:shd w:val="clear" w:color="auto" w:fill="auto"/>
            <w:noWrap/>
            <w:vAlign w:val="bottom"/>
            <w:hideMark/>
          </w:tcPr>
          <w:p w14:paraId="5441042C"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$317,560,279</w:t>
            </w:r>
          </w:p>
        </w:tc>
        <w:tc>
          <w:tcPr>
            <w:tcW w:w="745" w:type="pct"/>
            <w:tcBorders>
              <w:top w:val="nil"/>
              <w:left w:val="nil"/>
              <w:bottom w:val="single" w:sz="8" w:space="0" w:color="auto"/>
              <w:right w:val="single" w:sz="8" w:space="0" w:color="auto"/>
            </w:tcBorders>
            <w:shd w:val="clear" w:color="auto" w:fill="auto"/>
            <w:noWrap/>
            <w:vAlign w:val="bottom"/>
            <w:hideMark/>
          </w:tcPr>
          <w:p w14:paraId="5D49EC0A" w14:textId="77777777" w:rsidR="001D3E05" w:rsidRPr="001D3E05" w:rsidRDefault="001D3E05" w:rsidP="001D3E05">
            <w:pPr>
              <w:spacing w:after="0" w:line="240" w:lineRule="auto"/>
              <w:jc w:val="center"/>
              <w:rPr>
                <w:rFonts w:ascii="Calibri" w:eastAsia="Times New Roman" w:hAnsi="Calibri" w:cs="Calibri"/>
                <w:kern w:val="0"/>
                <w:sz w:val="21"/>
                <w:szCs w:val="21"/>
                <w14:ligatures w14:val="none"/>
              </w:rPr>
            </w:pPr>
            <w:r w:rsidRPr="001D3E05">
              <w:rPr>
                <w:rFonts w:ascii="Calibri" w:eastAsia="Times New Roman" w:hAnsi="Calibri" w:cs="Calibri"/>
                <w:kern w:val="0"/>
                <w:sz w:val="21"/>
                <w:szCs w:val="21"/>
                <w14:ligatures w14:val="none"/>
              </w:rPr>
              <w:t>$317,560,279</w:t>
            </w:r>
          </w:p>
        </w:tc>
      </w:tr>
    </w:tbl>
    <w:p w14:paraId="310F3723" w14:textId="77777777" w:rsidR="009E2A0B" w:rsidRDefault="009E2A0B" w:rsidP="007A6977">
      <w:pPr>
        <w:spacing w:line="360" w:lineRule="auto"/>
      </w:pPr>
    </w:p>
    <w:p w14:paraId="0574B1BE" w14:textId="0DDF56C9" w:rsidR="00F26BDE" w:rsidRDefault="00522378" w:rsidP="004B0AE3">
      <w:pPr>
        <w:numPr>
          <w:ilvl w:val="0"/>
          <w:numId w:val="4"/>
        </w:numPr>
        <w:spacing w:before="120" w:after="120" w:line="360" w:lineRule="auto"/>
        <w:jc w:val="both"/>
        <w:rPr>
          <w:rStyle w:val="ui-provider"/>
        </w:rPr>
      </w:pPr>
      <w:r w:rsidRPr="00522378">
        <w:t xml:space="preserve">The empirical analyses indicate </w:t>
      </w:r>
      <w:r>
        <w:t xml:space="preserve">essentially a flat impact or moderate decrease in </w:t>
      </w:r>
      <w:r w:rsidRPr="00522378">
        <w:t>medical spending for commercial pay</w:t>
      </w:r>
      <w:r w:rsidR="00F7130C">
        <w:t>o</w:t>
      </w:r>
      <w:r w:rsidRPr="00522378">
        <w:t xml:space="preserve">rs. </w:t>
      </w:r>
      <w:r w:rsidR="006C00E0">
        <w:t xml:space="preserve">Medicare-specific increase in DFCI reimbursement rates would accrue to the federal government due to DFCI’s cancer hospital exempt status under existing federal regulations. </w:t>
      </w:r>
      <w:r w:rsidR="00F7130C">
        <w:t xml:space="preserve">FTI considered </w:t>
      </w:r>
      <w:r w:rsidRPr="00522378">
        <w:t xml:space="preserve">the potential impacts across stakeholders in Massachusetts from this change and concludes that the allocation among stakeholders and the overall impact depends on several factors. </w:t>
      </w:r>
      <w:r w:rsidRPr="00522378">
        <w:lastRenderedPageBreak/>
        <w:t xml:space="preserve">The economics and healthcare literature, including the extensive industry and government studies on impact and allocation of healthcare expenditure </w:t>
      </w:r>
      <w:r>
        <w:t>changes</w:t>
      </w:r>
      <w:r w:rsidRPr="00522378">
        <w:t>, indicate some difficulty in assigning with any precision the specific impact on each of the stakeholders involved in commercial insured care. Standard economic literature on commercial health plans indicate</w:t>
      </w:r>
      <w:r w:rsidR="00F7130C">
        <w:t>s</w:t>
      </w:r>
      <w:r w:rsidRPr="00522378">
        <w:t xml:space="preserve"> that increased healthcare costs can impact commercial health plans, employers, employees or enrollees</w:t>
      </w:r>
      <w:r w:rsidR="00F7130C">
        <w:t>. T</w:t>
      </w:r>
      <w:r w:rsidRPr="00522378">
        <w:t>hese can be reflected in increased premiums, out-of-pocket (deductibles, co-pays) and co-insurance, as well as other costs.</w:t>
      </w:r>
      <w:r>
        <w:rPr>
          <w:rStyle w:val="FootnoteReference"/>
        </w:rPr>
        <w:footnoteReference w:id="87"/>
      </w:r>
      <w:r>
        <w:t xml:space="preserve"> </w:t>
      </w:r>
      <w:r>
        <w:rPr>
          <w:rStyle w:val="ui-provider"/>
        </w:rPr>
        <w:t>Cost effects can be direct or indirect, including compensation or other effects; and vary by the nature and mechanisms affecting any cost-pass through. Cost increases or savings may result in shorter or longer-term impact</w:t>
      </w:r>
      <w:r w:rsidR="00F7130C">
        <w:rPr>
          <w:rStyle w:val="ui-provider"/>
        </w:rPr>
        <w:t>s</w:t>
      </w:r>
      <w:r>
        <w:rPr>
          <w:rStyle w:val="ui-provider"/>
        </w:rPr>
        <w:t>, depending on specific structures of plans and benefits, and whether and where cost changes are absorbed, and these affect the impact across stakeholders.</w:t>
      </w:r>
    </w:p>
    <w:p w14:paraId="6FBF94BF" w14:textId="4AAEBC7F" w:rsidR="00530A50" w:rsidRPr="00762734" w:rsidRDefault="00A422E4" w:rsidP="00530A50">
      <w:pPr>
        <w:pStyle w:val="Heading1"/>
        <w:rPr>
          <w:rFonts w:hint="eastAsia"/>
        </w:rPr>
      </w:pPr>
      <w:bookmarkStart w:id="56" w:name="_Toc187401757"/>
      <w:r>
        <w:t xml:space="preserve">Specialized Cancer Care: </w:t>
      </w:r>
      <w:r w:rsidR="00530A50" w:rsidRPr="00762734">
        <w:t>CAR T and Bi-</w:t>
      </w:r>
      <w:r w:rsidR="00CD69D0">
        <w:t>S</w:t>
      </w:r>
      <w:r w:rsidR="00530A50" w:rsidRPr="00762734">
        <w:t>pecific Antibody Therapies</w:t>
      </w:r>
      <w:bookmarkEnd w:id="56"/>
    </w:p>
    <w:p w14:paraId="0979EAB6" w14:textId="3B257581" w:rsidR="00D26D71" w:rsidRDefault="00D26D71" w:rsidP="006024CE">
      <w:pPr>
        <w:numPr>
          <w:ilvl w:val="0"/>
          <w:numId w:val="4"/>
        </w:numPr>
        <w:spacing w:before="120" w:after="120" w:line="360" w:lineRule="auto"/>
        <w:ind w:hanging="547"/>
        <w:jc w:val="both"/>
      </w:pPr>
      <w:r>
        <w:t xml:space="preserve">The ICA </w:t>
      </w:r>
      <w:r w:rsidR="00F7130C">
        <w:t>Q</w:t>
      </w:r>
      <w:r>
        <w:t xml:space="preserve">uestions asked FTI to examine </w:t>
      </w:r>
      <w:r w:rsidR="006020D7">
        <w:t>“</w:t>
      </w:r>
      <w:r>
        <w:t>highly specialized inpatient oncology care (CAR T Cell Therapy and Bispecific Antibodies)</w:t>
      </w:r>
      <w:r w:rsidR="006020D7">
        <w:t>”</w:t>
      </w:r>
      <w:r>
        <w:t xml:space="preserve"> in connection with the Proposed Project. </w:t>
      </w:r>
      <w:r w:rsidR="003A5B44" w:rsidRPr="003A5B44">
        <w:t>Although use of CAR T and bi-specific antibody therap</w:t>
      </w:r>
      <w:r w:rsidR="003A5B44">
        <w:t>ies</w:t>
      </w:r>
      <w:r w:rsidR="003A5B44" w:rsidRPr="003A5B44">
        <w:t xml:space="preserve"> are likely to expand in the coming years</w:t>
      </w:r>
      <w:r w:rsidR="00F7130C">
        <w:t>,</w:t>
      </w:r>
      <w:r w:rsidR="003A5B44">
        <w:t xml:space="preserve"> </w:t>
      </w:r>
      <w:r w:rsidR="003A5B44" w:rsidRPr="003A5B44">
        <w:t>the proposed DFCI facility is projected to reach capacity without any increase in the utilization of these specialized cancer treatments.</w:t>
      </w:r>
    </w:p>
    <w:p w14:paraId="1826E26F" w14:textId="0F915164" w:rsidR="00D26D71" w:rsidRPr="00D26D71" w:rsidRDefault="00D26D71" w:rsidP="006024CE">
      <w:pPr>
        <w:numPr>
          <w:ilvl w:val="0"/>
          <w:numId w:val="4"/>
        </w:numPr>
        <w:spacing w:before="120" w:after="120" w:line="360" w:lineRule="auto"/>
        <w:ind w:hanging="547"/>
        <w:jc w:val="both"/>
      </w:pPr>
      <w:r w:rsidRPr="00035105">
        <w:rPr>
          <w:rFonts w:cs="Times New Roman"/>
        </w:rPr>
        <w:t>CAR T and bi-specific antibody therap</w:t>
      </w:r>
      <w:r w:rsidR="00F7130C">
        <w:rPr>
          <w:rFonts w:cs="Times New Roman"/>
        </w:rPr>
        <w:t>ies</w:t>
      </w:r>
      <w:r w:rsidRPr="00035105">
        <w:rPr>
          <w:rFonts w:cs="Times New Roman"/>
        </w:rPr>
        <w:t xml:space="preserve"> are novel treatments for cancer. Rather than targeting all rapidly dividing cells as seen in traditional chemotherapy, these treatments attack cancer cells by targeting specific proteins on the surface of these cells.</w:t>
      </w:r>
      <w:r>
        <w:rPr>
          <w:rStyle w:val="FootnoteReference"/>
          <w:rFonts w:cs="Times New Roman"/>
        </w:rPr>
        <w:footnoteReference w:id="88"/>
      </w:r>
      <w:r>
        <w:rPr>
          <w:rFonts w:cs="Times New Roman"/>
        </w:rPr>
        <w:t xml:space="preserve"> </w:t>
      </w:r>
      <w:r w:rsidRPr="00D26D71">
        <w:rPr>
          <w:rFonts w:cs="Times New Roman"/>
        </w:rPr>
        <w:t xml:space="preserve">Clinical trials of these treatments have </w:t>
      </w:r>
      <w:r w:rsidRPr="00D26D71">
        <w:rPr>
          <w:rFonts w:cs="Times New Roman"/>
        </w:rPr>
        <w:lastRenderedPageBreak/>
        <w:t>shown complete response rates ranging from 36%-60% for bi-specific antibodies</w:t>
      </w:r>
      <w:r>
        <w:rPr>
          <w:rStyle w:val="FootnoteReference"/>
          <w:rFonts w:cs="Times New Roman"/>
        </w:rPr>
        <w:footnoteReference w:id="89"/>
      </w:r>
      <w:r>
        <w:rPr>
          <w:rFonts w:cs="Times New Roman"/>
        </w:rPr>
        <w:t xml:space="preserve"> and </w:t>
      </w:r>
      <w:r w:rsidR="00F95C21">
        <w:rPr>
          <w:rFonts w:cs="Times New Roman"/>
        </w:rPr>
        <w:t>39</w:t>
      </w:r>
      <w:r w:rsidRPr="00035105">
        <w:rPr>
          <w:rFonts w:cs="Times New Roman"/>
        </w:rPr>
        <w:t>%-</w:t>
      </w:r>
      <w:r w:rsidR="0071557D">
        <w:rPr>
          <w:rFonts w:cs="Times New Roman"/>
        </w:rPr>
        <w:t>8</w:t>
      </w:r>
      <w:r w:rsidR="00F95C21">
        <w:rPr>
          <w:rFonts w:cs="Times New Roman"/>
        </w:rPr>
        <w:t>4</w:t>
      </w:r>
      <w:r w:rsidRPr="00035105">
        <w:rPr>
          <w:rFonts w:cs="Times New Roman"/>
        </w:rPr>
        <w:t>% for CAR T-cell therapy.</w:t>
      </w:r>
      <w:r>
        <w:rPr>
          <w:rStyle w:val="FootnoteReference"/>
          <w:rFonts w:cs="Times New Roman"/>
        </w:rPr>
        <w:footnoteReference w:id="90"/>
      </w:r>
    </w:p>
    <w:p w14:paraId="4A2AAC35" w14:textId="486B5852" w:rsidR="00D26D71" w:rsidRDefault="00D26D71" w:rsidP="006024CE">
      <w:pPr>
        <w:numPr>
          <w:ilvl w:val="0"/>
          <w:numId w:val="4"/>
        </w:numPr>
        <w:spacing w:before="120" w:after="120" w:line="360" w:lineRule="auto"/>
        <w:ind w:hanging="547"/>
        <w:jc w:val="both"/>
      </w:pPr>
      <w:r w:rsidRPr="00D26D71">
        <w:t xml:space="preserve">Because of their relative efficacy and expanding applications, these therapies are expected to significantly grow in prevalence over time. Aside from use of these medicines to treat cancer, expanded application of these treatments </w:t>
      </w:r>
      <w:r>
        <w:t xml:space="preserve">are expected </w:t>
      </w:r>
      <w:r w:rsidRPr="00D26D71">
        <w:t xml:space="preserve">to </w:t>
      </w:r>
      <w:r>
        <w:t xml:space="preserve">include </w:t>
      </w:r>
      <w:r w:rsidRPr="00D26D71">
        <w:t>treat</w:t>
      </w:r>
      <w:r>
        <w:t xml:space="preserve">ment of </w:t>
      </w:r>
      <w:r w:rsidRPr="00D26D71">
        <w:t>autoimmune and inflammatory diseases, pathogen-induced infections, and myocardial fibrosis, among other conditions.</w:t>
      </w:r>
      <w:r w:rsidR="00F116CE">
        <w:rPr>
          <w:rStyle w:val="FootnoteReference"/>
        </w:rPr>
        <w:footnoteReference w:id="91"/>
      </w:r>
      <w:r w:rsidR="00F116CE">
        <w:t xml:space="preserve"> T</w:t>
      </w:r>
      <w:r w:rsidR="00F116CE" w:rsidRPr="00F116CE">
        <w:t xml:space="preserve">he US CAR T market </w:t>
      </w:r>
      <w:r w:rsidR="00F116CE">
        <w:t xml:space="preserve">is </w:t>
      </w:r>
      <w:r w:rsidR="00F116CE" w:rsidRPr="00F116CE">
        <w:t>estimate</w:t>
      </w:r>
      <w:r w:rsidR="00F116CE">
        <w:t>d</w:t>
      </w:r>
      <w:r w:rsidR="00F116CE" w:rsidRPr="00F116CE">
        <w:t xml:space="preserve"> </w:t>
      </w:r>
      <w:r w:rsidR="00F7130C">
        <w:t xml:space="preserve">to </w:t>
      </w:r>
      <w:r w:rsidR="00F116CE">
        <w:t xml:space="preserve">grow </w:t>
      </w:r>
      <w:r w:rsidR="00F116CE" w:rsidRPr="00F116CE">
        <w:t>from $2 billion in 2023 to $23-$35 billion by 2033,</w:t>
      </w:r>
      <w:r w:rsidR="00F116CE">
        <w:rPr>
          <w:rStyle w:val="FootnoteReference"/>
        </w:rPr>
        <w:footnoteReference w:id="92"/>
      </w:r>
      <w:r w:rsidR="00F116CE">
        <w:t xml:space="preserve"> while the growth of the global bi-specific antibody market (approximately $5 billion in 2023) is anticipated to reach upwards of $100 billion by 2031.</w:t>
      </w:r>
      <w:r w:rsidR="00F116CE">
        <w:rPr>
          <w:rStyle w:val="FootnoteReference"/>
        </w:rPr>
        <w:footnoteReference w:id="93"/>
      </w:r>
    </w:p>
    <w:p w14:paraId="03D4C2D6" w14:textId="4689BB8D" w:rsidR="00F116CE" w:rsidRPr="00F116CE" w:rsidRDefault="00F116CE" w:rsidP="006024CE">
      <w:pPr>
        <w:numPr>
          <w:ilvl w:val="0"/>
          <w:numId w:val="4"/>
        </w:numPr>
        <w:spacing w:before="120" w:after="120" w:line="360" w:lineRule="auto"/>
        <w:ind w:hanging="547"/>
        <w:jc w:val="both"/>
      </w:pPr>
      <w:r w:rsidRPr="00035105">
        <w:rPr>
          <w:rFonts w:cs="Times New Roman"/>
        </w:rPr>
        <w:t>Due to the technical requirements of administering these treatments, only a limited set of hospitals currently provide either therapy. CAR T therapy requires T-cells to be isolated from the patient’s blood and altered to target tumor-associated antigens</w:t>
      </w:r>
      <w:r>
        <w:rPr>
          <w:rFonts w:cs="Times New Roman"/>
        </w:rPr>
        <w:t xml:space="preserve">, a </w:t>
      </w:r>
      <w:r w:rsidRPr="00035105">
        <w:rPr>
          <w:rFonts w:cs="Times New Roman"/>
        </w:rPr>
        <w:t>process individualized to each patient, introducing technical difficulty and logistical challenges into the manufacturing process.</w:t>
      </w:r>
      <w:r>
        <w:rPr>
          <w:rStyle w:val="FootnoteReference"/>
          <w:rFonts w:cs="Times New Roman"/>
        </w:rPr>
        <w:footnoteReference w:id="94"/>
      </w:r>
      <w:r>
        <w:rPr>
          <w:rFonts w:cs="Times New Roman"/>
        </w:rPr>
        <w:t xml:space="preserve"> </w:t>
      </w:r>
      <w:r w:rsidRPr="00F116CE">
        <w:rPr>
          <w:rFonts w:cs="Times New Roman"/>
        </w:rPr>
        <w:t xml:space="preserve">Manufacturing of bi-specific antibodies raises challenges surrounding identification of appropriate </w:t>
      </w:r>
      <w:r w:rsidRPr="00F116CE">
        <w:rPr>
          <w:rFonts w:cs="Times New Roman"/>
        </w:rPr>
        <w:lastRenderedPageBreak/>
        <w:t>target antigens and immunogenicity, among other obstacles.</w:t>
      </w:r>
      <w:r>
        <w:rPr>
          <w:rStyle w:val="FootnoteReference"/>
          <w:rFonts w:cs="Times New Roman"/>
        </w:rPr>
        <w:footnoteReference w:id="95"/>
      </w:r>
      <w:r>
        <w:rPr>
          <w:rFonts w:cs="Times New Roman"/>
        </w:rPr>
        <w:t xml:space="preserve"> </w:t>
      </w:r>
      <w:r w:rsidRPr="00F116CE">
        <w:rPr>
          <w:rFonts w:cs="Times New Roman"/>
        </w:rPr>
        <w:t xml:space="preserve">The complexities associated with these treatments </w:t>
      </w:r>
      <w:r>
        <w:rPr>
          <w:rFonts w:cs="Times New Roman"/>
        </w:rPr>
        <w:t xml:space="preserve">have, thus far, been </w:t>
      </w:r>
      <w:r w:rsidRPr="00F116CE">
        <w:rPr>
          <w:rFonts w:cs="Times New Roman"/>
        </w:rPr>
        <w:t>barriers to widespread adoption.</w:t>
      </w:r>
    </w:p>
    <w:p w14:paraId="1A0420A8" w14:textId="1AA5E59F" w:rsidR="00F116CE" w:rsidRDefault="00F116CE" w:rsidP="006024CE">
      <w:pPr>
        <w:numPr>
          <w:ilvl w:val="0"/>
          <w:numId w:val="4"/>
        </w:numPr>
        <w:spacing w:before="120" w:after="120" w:line="360" w:lineRule="auto"/>
        <w:ind w:hanging="547"/>
        <w:jc w:val="both"/>
      </w:pPr>
      <w:r w:rsidRPr="00F116CE">
        <w:t xml:space="preserve">Going forward, provision of CAR T </w:t>
      </w:r>
      <w:r>
        <w:t xml:space="preserve">and </w:t>
      </w:r>
      <w:r w:rsidRPr="00F116CE">
        <w:t>bi-specific antibody therap</w:t>
      </w:r>
      <w:r>
        <w:t>ies</w:t>
      </w:r>
      <w:r w:rsidRPr="00F116CE">
        <w:t xml:space="preserve"> could potentially expand to other hospitals. The need for patient-specific manufacturing of T</w:t>
      </w:r>
      <w:r w:rsidR="00F7130C">
        <w:t>-</w:t>
      </w:r>
      <w:r w:rsidRPr="00F116CE">
        <w:t xml:space="preserve">cells makes the production of CAR T more complex and expensive than that of bispecific antibodies, which are not patient-specific and </w:t>
      </w:r>
      <w:r>
        <w:t xml:space="preserve">could potentially </w:t>
      </w:r>
      <w:r w:rsidRPr="00F116CE">
        <w:t xml:space="preserve">be sold as an </w:t>
      </w:r>
      <w:r w:rsidR="006020D7">
        <w:t>“</w:t>
      </w:r>
      <w:r w:rsidRPr="00F116CE">
        <w:t>off-the-shelf</w:t>
      </w:r>
      <w:r w:rsidR="006020D7">
        <w:t>”</w:t>
      </w:r>
      <w:r w:rsidRPr="00F116CE">
        <w:t xml:space="preserve"> treatment.</w:t>
      </w:r>
      <w:r>
        <w:rPr>
          <w:rStyle w:val="FootnoteReference"/>
        </w:rPr>
        <w:footnoteReference w:id="96"/>
      </w:r>
      <w:r>
        <w:t xml:space="preserve"> </w:t>
      </w:r>
      <w:r w:rsidRPr="00F116CE">
        <w:t xml:space="preserve">While there are still concerns surrounding transitioning patients to </w:t>
      </w:r>
      <w:r>
        <w:t xml:space="preserve">an </w:t>
      </w:r>
      <w:r w:rsidRPr="00F116CE">
        <w:t>outpatient setting and management of adverse events in the introduction of bi-specific antibodies in smaller practices, the less costly nature of the treatment’s manufacturing and implementation of best practices for expanding access to this therapy may open the door for other hospitals and community care centers to adopt bi-specific antibody therapy.</w:t>
      </w:r>
      <w:r>
        <w:rPr>
          <w:rStyle w:val="FootnoteReference"/>
        </w:rPr>
        <w:footnoteReference w:id="97"/>
      </w:r>
    </w:p>
    <w:p w14:paraId="419856EE" w14:textId="40137863" w:rsidR="00F116CE" w:rsidRDefault="007B3608" w:rsidP="003A5B44">
      <w:pPr>
        <w:numPr>
          <w:ilvl w:val="0"/>
          <w:numId w:val="4"/>
        </w:numPr>
        <w:spacing w:before="120" w:after="120" w:line="360" w:lineRule="auto"/>
        <w:ind w:hanging="547"/>
        <w:jc w:val="both"/>
      </w:pPr>
      <w:r>
        <w:t xml:space="preserve">Massachusetts has an existing network of facilities providing CAR T services, including DFCI. </w:t>
      </w:r>
      <w:r w:rsidR="00F116CE" w:rsidRPr="00F116CE">
        <w:t xml:space="preserve">As of 2024, six providers in Massachusetts were accredited by the Foundation for the Accreditation of Cellular Therapy to perform immune effector cellular therapy (i.e., CAR T). Boston Medical Center and Lahey Hospital and Medical Center were accredited to perform hematopoietic progenitor cell transplantation (e.g., bone marrow transplants) but not CAR T; these represent potential entrants into CAR T services going forward. Figure </w:t>
      </w:r>
      <w:r w:rsidR="001204A7">
        <w:t>3</w:t>
      </w:r>
      <w:r w:rsidR="00F116CE" w:rsidRPr="00F116CE">
        <w:t xml:space="preserve"> displays the location of these CAR T accredited facilities and potential future entrants.</w:t>
      </w:r>
      <w:r>
        <w:t xml:space="preserve"> </w:t>
      </w:r>
    </w:p>
    <w:p w14:paraId="4DD74907" w14:textId="37C64C13" w:rsidR="003A5B44" w:rsidRDefault="003A5B44" w:rsidP="003A5B44">
      <w:pPr>
        <w:pStyle w:val="Caption"/>
        <w:keepNext/>
        <w:jc w:val="center"/>
      </w:pPr>
      <w:bookmarkStart w:id="57" w:name="_Toc187401815"/>
      <w:r>
        <w:lastRenderedPageBreak/>
        <w:t xml:space="preserve">Figure </w:t>
      </w:r>
      <w:fldSimple w:instr=" SEQ Figure \* ARABIC ">
        <w:r w:rsidR="0085394E">
          <w:rPr>
            <w:noProof/>
          </w:rPr>
          <w:t>3</w:t>
        </w:r>
      </w:fldSimple>
      <w:r>
        <w:t>: Current and Potential CAR T Providers in and around Massachusetts</w:t>
      </w:r>
      <w:r>
        <w:rPr>
          <w:rStyle w:val="FootnoteReference"/>
        </w:rPr>
        <w:footnoteReference w:id="98"/>
      </w:r>
      <w:bookmarkEnd w:id="57"/>
    </w:p>
    <w:p w14:paraId="6CA74ACD" w14:textId="0CBAEB95" w:rsidR="00F116CE" w:rsidRDefault="00F116CE" w:rsidP="00F116CE">
      <w:pPr>
        <w:spacing w:before="120" w:after="120" w:line="360" w:lineRule="auto"/>
        <w:ind w:left="-7"/>
        <w:jc w:val="center"/>
      </w:pPr>
      <w:r>
        <w:rPr>
          <w:noProof/>
        </w:rPr>
        <w:drawing>
          <wp:inline distT="0" distB="0" distL="0" distR="0" wp14:anchorId="78BE0340" wp14:editId="471A56CB">
            <wp:extent cx="4565078" cy="3228975"/>
            <wp:effectExtent l="0" t="0" r="6985" b="0"/>
            <wp:docPr id="1310830945" name="Picture 1" descr="Map of Massachusetts, showing current and potential CAR T Providers in and around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30945" name="Picture 1" descr="Map of Massachusetts, showing current and potential CAR T Providers in and around Massachuset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3744" cy="3235105"/>
                    </a:xfrm>
                    <a:prstGeom prst="rect">
                      <a:avLst/>
                    </a:prstGeom>
                    <a:noFill/>
                  </pic:spPr>
                </pic:pic>
              </a:graphicData>
            </a:graphic>
          </wp:inline>
        </w:drawing>
      </w:r>
      <w:r>
        <w:rPr>
          <w:noProof/>
        </w:rPr>
        <w:drawing>
          <wp:inline distT="0" distB="0" distL="0" distR="0" wp14:anchorId="5D69B576" wp14:editId="1BA07C23">
            <wp:extent cx="4633595" cy="963295"/>
            <wp:effectExtent l="0" t="0" r="0" b="8255"/>
            <wp:docPr id="1659562547" name="Picture 2" descr="Legend for Map of current and potential CAR T Providers in and aroun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62547" name="Picture 2" descr="Legend for Map of current and potential CAR T Providers in and around 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3595" cy="963295"/>
                    </a:xfrm>
                    <a:prstGeom prst="rect">
                      <a:avLst/>
                    </a:prstGeom>
                    <a:noFill/>
                  </pic:spPr>
                </pic:pic>
              </a:graphicData>
            </a:graphic>
          </wp:inline>
        </w:drawing>
      </w:r>
    </w:p>
    <w:p w14:paraId="2DDB04FA" w14:textId="70B33295" w:rsidR="001B041C" w:rsidRDefault="003A5B44" w:rsidP="003A5B44">
      <w:pPr>
        <w:numPr>
          <w:ilvl w:val="0"/>
          <w:numId w:val="4"/>
        </w:numPr>
        <w:spacing w:before="120" w:after="120" w:line="360" w:lineRule="auto"/>
        <w:ind w:hanging="547"/>
        <w:jc w:val="both"/>
      </w:pPr>
      <w:r w:rsidRPr="003A5B44">
        <w:t>In the most recently available Massachusetts data, there were no recorded bi-specific antibody therapy procedures and only 152 CAR T procedures. The lack of bi-specific antibody procedures in 2022 is consistent with current FDA approvals, as all but two bispecific antibodies gained FDA approval in or after 2022.</w:t>
      </w:r>
      <w:r>
        <w:rPr>
          <w:rStyle w:val="FootnoteReference"/>
        </w:rPr>
        <w:footnoteReference w:id="99"/>
      </w:r>
      <w:r>
        <w:t xml:space="preserve"> </w:t>
      </w:r>
      <w:r w:rsidRPr="003A5B44">
        <w:t>The CAR T procedures identified had an average length of stay of 18.7 days and average reimbursement of $347,020; the majority of these patients were covered by Medicare.</w:t>
      </w:r>
    </w:p>
    <w:p w14:paraId="4258C0E0" w14:textId="57224871" w:rsidR="001E1546" w:rsidRDefault="0077332D" w:rsidP="00522DC4">
      <w:pPr>
        <w:pStyle w:val="Heading1"/>
        <w:rPr>
          <w:rFonts w:hint="eastAsia"/>
        </w:rPr>
      </w:pPr>
      <w:bookmarkStart w:id="58" w:name="_Toc187401758"/>
      <w:r>
        <w:t>Impa</w:t>
      </w:r>
      <w:r w:rsidR="00DF7C05">
        <w:t>c</w:t>
      </w:r>
      <w:r>
        <w:t>ts on Diagnostic Imaging Services</w:t>
      </w:r>
      <w:bookmarkEnd w:id="58"/>
    </w:p>
    <w:p w14:paraId="06082A7C" w14:textId="4EBFB97F" w:rsidR="00522DC4" w:rsidRDefault="00522DC4" w:rsidP="000C26D3">
      <w:pPr>
        <w:numPr>
          <w:ilvl w:val="0"/>
          <w:numId w:val="4"/>
        </w:numPr>
        <w:spacing w:before="120" w:after="120" w:line="360" w:lineRule="auto"/>
        <w:jc w:val="both"/>
      </w:pPr>
      <w:r w:rsidRPr="00EF4F3E">
        <w:t xml:space="preserve">DFCI has proposed need for CT, MRI, and PET-CT imaging resources to support its new inpatient hospital and </w:t>
      </w:r>
      <w:r w:rsidR="000C26D3">
        <w:t xml:space="preserve">to consolidate </w:t>
      </w:r>
      <w:r w:rsidRPr="00EF4F3E">
        <w:t>outpatient imaging currently being referred to other providers.</w:t>
      </w:r>
      <w:r>
        <w:t xml:space="preserve"> This section provides detailed analysis of the patients, providers, and payors for each of the relevant </w:t>
      </w:r>
      <w:r>
        <w:lastRenderedPageBreak/>
        <w:t xml:space="preserve">service lines. These apply standard methodologies and a standard basis for estimating shares based on volumes in a geography and by provider. </w:t>
      </w:r>
    </w:p>
    <w:p w14:paraId="2C812CCD" w14:textId="1801BB1E" w:rsidR="00EF4F3E" w:rsidRDefault="00522DC4" w:rsidP="00522DC4">
      <w:pPr>
        <w:pStyle w:val="Heading2"/>
        <w:numPr>
          <w:ilvl w:val="0"/>
          <w:numId w:val="29"/>
        </w:numPr>
      </w:pPr>
      <w:bookmarkStart w:id="59" w:name="_Toc187401759"/>
      <w:r>
        <w:t>Defining Diagnostic Imaging Service Lines</w:t>
      </w:r>
      <w:bookmarkEnd w:id="59"/>
    </w:p>
    <w:p w14:paraId="7D41EF85" w14:textId="2F08820E" w:rsidR="007D1AFB" w:rsidRDefault="000C26D3" w:rsidP="00017609">
      <w:pPr>
        <w:numPr>
          <w:ilvl w:val="0"/>
          <w:numId w:val="4"/>
        </w:numPr>
        <w:spacing w:before="120" w:after="120" w:line="360" w:lineRule="auto"/>
        <w:jc w:val="both"/>
      </w:pPr>
      <w:r>
        <w:t xml:space="preserve">Service lines used in this analysis include inpatient MRI, inpatient CT, inpatient PET-CT, outpatient CT, outpatient PET-CT, and the combination of </w:t>
      </w:r>
      <w:r w:rsidR="007D1AFB">
        <w:t>the two outpatient imaging modalities.</w:t>
      </w:r>
      <w:r w:rsidR="007D1AFB">
        <w:rPr>
          <w:rStyle w:val="FootnoteReference"/>
        </w:rPr>
        <w:footnoteReference w:id="100"/>
      </w:r>
      <w:r w:rsidR="007D1AFB">
        <w:t xml:space="preserve"> </w:t>
      </w:r>
      <w:bookmarkStart w:id="60" w:name="_Hlk179840847"/>
      <w:r w:rsidR="00286CA5" w:rsidRPr="00EF4F3E">
        <w:t>Because cancer patients are not restricted to receiving imaging services from only cancer providers, the service line</w:t>
      </w:r>
      <w:r w:rsidR="00286CA5">
        <w:t>s</w:t>
      </w:r>
      <w:r w:rsidR="00286CA5" w:rsidRPr="00EF4F3E">
        <w:t xml:space="preserve"> </w:t>
      </w:r>
      <w:r w:rsidR="00286CA5">
        <w:t xml:space="preserve">were </w:t>
      </w:r>
      <w:r w:rsidR="00286CA5" w:rsidRPr="00EF4F3E">
        <w:t>not restricted to patients with cancer diagnoses</w:t>
      </w:r>
      <w:r w:rsidR="00286CA5">
        <w:t xml:space="preserve"> or exclusively to cancer care providers</w:t>
      </w:r>
      <w:r w:rsidR="00286CA5" w:rsidRPr="00EF4F3E">
        <w:t>.</w:t>
      </w:r>
      <w:bookmarkEnd w:id="60"/>
    </w:p>
    <w:p w14:paraId="5B17205C" w14:textId="1E8FE921" w:rsidR="007D1AFB" w:rsidRDefault="007D1AFB" w:rsidP="00017609">
      <w:pPr>
        <w:numPr>
          <w:ilvl w:val="0"/>
          <w:numId w:val="4"/>
        </w:numPr>
        <w:spacing w:before="120" w:after="120" w:line="360" w:lineRule="auto"/>
        <w:jc w:val="both"/>
      </w:pPr>
      <w:r>
        <w:t xml:space="preserve">Inpatient diagnostic imaging was identified using revenue and procedure codes in the CHIA Case Mix Data. Outpatient diagnostic imaging was identified by all claim lines associated with </w:t>
      </w:r>
      <w:r w:rsidR="00F2193A">
        <w:t>relevant CPT codes in the CHIA</w:t>
      </w:r>
      <w:r w:rsidR="005F36FE">
        <w:t xml:space="preserve"> Massachusetts</w:t>
      </w:r>
      <w:r w:rsidR="00F2193A">
        <w:t xml:space="preserve"> </w:t>
      </w:r>
      <w:r w:rsidR="005F36FE">
        <w:t>APCD</w:t>
      </w:r>
      <w:r w:rsidR="00783DB5">
        <w:rPr>
          <w:rStyle w:val="FootnoteReference"/>
        </w:rPr>
        <w:footnoteReference w:id="101"/>
      </w:r>
      <w:r w:rsidR="00F2193A">
        <w:t xml:space="preserve"> or the Medicare Outpatient Claims file.</w:t>
      </w:r>
      <w:r w:rsidR="00F2193A">
        <w:rPr>
          <w:rStyle w:val="FootnoteReference"/>
        </w:rPr>
        <w:footnoteReference w:id="102"/>
      </w:r>
      <w:r w:rsidR="00F2193A">
        <w:t xml:space="preserve"> Similar restrictions to the outpatient claims file as outlined in Section XI were employed for this analysis as well. </w:t>
      </w:r>
    </w:p>
    <w:p w14:paraId="6F9DDF05" w14:textId="75F13A5C" w:rsidR="0077332D" w:rsidRDefault="0077332D" w:rsidP="00522DC4">
      <w:pPr>
        <w:pStyle w:val="Heading2"/>
      </w:pPr>
      <w:bookmarkStart w:id="61" w:name="_Toc187401760"/>
      <w:r>
        <w:t>Geographic Areas of Coverage</w:t>
      </w:r>
      <w:bookmarkEnd w:id="61"/>
    </w:p>
    <w:p w14:paraId="08C23332" w14:textId="4D6C643A" w:rsidR="009A24FC" w:rsidRDefault="009A24FC" w:rsidP="009A24FC">
      <w:pPr>
        <w:numPr>
          <w:ilvl w:val="0"/>
          <w:numId w:val="4"/>
        </w:numPr>
        <w:spacing w:before="120" w:after="120" w:line="360" w:lineRule="auto"/>
        <w:jc w:val="both"/>
      </w:pPr>
      <w:r>
        <w:t xml:space="preserve">To assess the geographic </w:t>
      </w:r>
      <w:r w:rsidR="00EF4F3E">
        <w:t>scope of outpatient diagnostic imaging services provided by DFCI and competition between outpatient imaging providers</w:t>
      </w:r>
      <w:r>
        <w:t xml:space="preserve">, </w:t>
      </w:r>
      <w:r w:rsidR="00F7130C">
        <w:t>FTI</w:t>
      </w:r>
      <w:r>
        <w:t xml:space="preserve"> generated a service area for the combination of both relevant imaging modalities (CT and PET-CT).</w:t>
      </w:r>
      <w:r w:rsidR="00EF4F3E">
        <w:rPr>
          <w:rStyle w:val="FootnoteReference"/>
        </w:rPr>
        <w:footnoteReference w:id="103"/>
      </w:r>
      <w:r>
        <w:t xml:space="preserve"> </w:t>
      </w:r>
      <w:r w:rsidR="00EF4F3E">
        <w:t>The service area analysis evaluated data based on current utilization patterns (derived from outpatient claims data) of patients located in Massachusetts. The service area for DFCI outpatient imaging was generated by identifying the set of Massachusetts ZIP codes from which 90% of the imaging service line’s 202</w:t>
      </w:r>
      <w:r w:rsidR="0071557D">
        <w:t>1</w:t>
      </w:r>
      <w:r w:rsidR="00EF4F3E">
        <w:t xml:space="preserve"> visits originated.</w:t>
      </w:r>
    </w:p>
    <w:p w14:paraId="03E3AFA5" w14:textId="0E737915" w:rsidR="009A24FC" w:rsidRDefault="00EF4F3E" w:rsidP="00EF4F3E">
      <w:pPr>
        <w:numPr>
          <w:ilvl w:val="0"/>
          <w:numId w:val="4"/>
        </w:numPr>
        <w:spacing w:before="120" w:after="120" w:line="360" w:lineRule="auto"/>
        <w:jc w:val="both"/>
      </w:pPr>
      <w:r>
        <w:t xml:space="preserve">Figure </w:t>
      </w:r>
      <w:r w:rsidR="001204A7">
        <w:t>4</w:t>
      </w:r>
      <w:r>
        <w:t xml:space="preserve"> depicts the 90% PSA for DFCI outpatient imaging services in 202</w:t>
      </w:r>
      <w:r w:rsidR="0071557D">
        <w:t>1</w:t>
      </w:r>
      <w:r>
        <w:t xml:space="preserve">. The service area encompasses a broad set of ZIP codes centered around DFCI’s outpatient facilities as well as additional ZIP codes expanding into other areas of the state. Because </w:t>
      </w:r>
      <w:r w:rsidR="009A24FC">
        <w:t xml:space="preserve">DFCI draws patients from every population center of Massachusetts, FTI conducted its ICA analysis of outpatient imaging on a statewide basis. </w:t>
      </w:r>
    </w:p>
    <w:p w14:paraId="3F76EF15" w14:textId="1C146C64" w:rsidR="00EF4F3E" w:rsidRDefault="00EF4F3E" w:rsidP="00EF4F3E">
      <w:pPr>
        <w:pStyle w:val="Caption"/>
        <w:keepNext/>
        <w:jc w:val="center"/>
      </w:pPr>
      <w:bookmarkStart w:id="62" w:name="_Toc187401816"/>
      <w:r>
        <w:lastRenderedPageBreak/>
        <w:t xml:space="preserve">Figure </w:t>
      </w:r>
      <w:fldSimple w:instr=" SEQ Figure \* ARABIC ">
        <w:r w:rsidR="0085394E">
          <w:rPr>
            <w:noProof/>
          </w:rPr>
          <w:t>4</w:t>
        </w:r>
      </w:fldSimple>
      <w:r>
        <w:t>: DFCI Outpatient Diagnostic Imaging Primary Service Area (90%), 202</w:t>
      </w:r>
      <w:r w:rsidR="0071557D">
        <w:t>1</w:t>
      </w:r>
      <w:r>
        <w:rPr>
          <w:rStyle w:val="FootnoteReference"/>
        </w:rPr>
        <w:footnoteReference w:id="104"/>
      </w:r>
      <w:bookmarkEnd w:id="62"/>
    </w:p>
    <w:p w14:paraId="50BEC701" w14:textId="77777777" w:rsidR="00EF4F3E" w:rsidRDefault="00EF4F3E" w:rsidP="00EF4F3E">
      <w:pPr>
        <w:spacing w:before="120" w:after="120" w:line="360" w:lineRule="auto"/>
        <w:jc w:val="center"/>
      </w:pPr>
      <w:r>
        <w:rPr>
          <w:noProof/>
        </w:rPr>
        <w:drawing>
          <wp:inline distT="0" distB="0" distL="0" distR="0" wp14:anchorId="41E54B0D" wp14:editId="31C0EFBD">
            <wp:extent cx="4828540" cy="2419350"/>
            <wp:effectExtent l="0" t="0" r="0" b="0"/>
            <wp:docPr id="448256483" name="Picture 1" descr="Map of DFCI Outpatient Diagnostic Imaging Primary Service Area (9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56483" name="Picture 1" descr="Map of DFCI Outpatient Diagnostic Imaging Primary Service Area (90%), 2021"/>
                    <pic:cNvPicPr>
                      <a:picLocks noChangeAspect="1" noChangeArrowheads="1"/>
                    </pic:cNvPicPr>
                  </pic:nvPicPr>
                  <pic:blipFill rotWithShape="1">
                    <a:blip r:embed="rId19">
                      <a:extLst>
                        <a:ext uri="{28A0092B-C50C-407E-A947-70E740481C1C}">
                          <a14:useLocalDpi xmlns:a14="http://schemas.microsoft.com/office/drawing/2010/main" val="0"/>
                        </a:ext>
                      </a:extLst>
                    </a:blip>
                    <a:srcRect t="24828" b="15678"/>
                    <a:stretch/>
                  </pic:blipFill>
                  <pic:spPr bwMode="auto">
                    <a:xfrm>
                      <a:off x="0" y="0"/>
                      <a:ext cx="482854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7E7D3522" w14:textId="49318C43" w:rsidR="00EF4F3E" w:rsidRDefault="00EF4F3E" w:rsidP="00EF4F3E">
      <w:pPr>
        <w:numPr>
          <w:ilvl w:val="0"/>
          <w:numId w:val="4"/>
        </w:numPr>
        <w:spacing w:before="120" w:after="120" w:line="360" w:lineRule="auto"/>
        <w:jc w:val="both"/>
      </w:pPr>
      <w:r>
        <w:t>Inpatient diagnostic imaging is derivative of the inpatient care analyzed above, so separate geographic service areas were not required for this analysis.</w:t>
      </w:r>
    </w:p>
    <w:p w14:paraId="765C7735" w14:textId="2BDF1CD5" w:rsidR="0077332D" w:rsidRDefault="009A58A5" w:rsidP="00522DC4">
      <w:pPr>
        <w:pStyle w:val="Heading2"/>
      </w:pPr>
      <w:bookmarkStart w:id="63" w:name="_Toc187401761"/>
      <w:r>
        <w:t>Current Provision of Outpatient Imaging Services in Massachusetts</w:t>
      </w:r>
      <w:bookmarkEnd w:id="63"/>
    </w:p>
    <w:p w14:paraId="0B69B817" w14:textId="376EE57C" w:rsidR="000233C8" w:rsidRDefault="000233C8" w:rsidP="009A58A5">
      <w:pPr>
        <w:numPr>
          <w:ilvl w:val="0"/>
          <w:numId w:val="4"/>
        </w:numPr>
        <w:spacing w:before="120" w:after="120" w:line="360" w:lineRule="auto"/>
        <w:jc w:val="both"/>
      </w:pPr>
      <w:r w:rsidRPr="000233C8">
        <w:t xml:space="preserve">Table </w:t>
      </w:r>
      <w:r w:rsidR="001204A7">
        <w:t>2</w:t>
      </w:r>
      <w:r w:rsidR="00AC0296">
        <w:t>2</w:t>
      </w:r>
      <w:r w:rsidRPr="000233C8">
        <w:t xml:space="preserve"> sets out demographic information for patients receiving outpatient imaging services at DFCI in 202</w:t>
      </w:r>
      <w:r w:rsidR="0071557D">
        <w:t>1</w:t>
      </w:r>
      <w:r w:rsidRPr="000233C8">
        <w:t xml:space="preserve"> by the number CT scans</w:t>
      </w:r>
      <w:r w:rsidR="00F7130C">
        <w:t>,</w:t>
      </w:r>
      <w:r w:rsidRPr="000233C8">
        <w:t xml:space="preserve"> </w:t>
      </w:r>
      <w:r w:rsidR="00F7130C">
        <w:t xml:space="preserve">number of </w:t>
      </w:r>
      <w:r w:rsidRPr="000233C8">
        <w:t>PET-CT scans</w:t>
      </w:r>
      <w:r w:rsidR="00F7130C">
        <w:t>,</w:t>
      </w:r>
      <w:r w:rsidR="00350F45">
        <w:t xml:space="preserve"> and </w:t>
      </w:r>
      <w:r w:rsidR="00F7130C">
        <w:t xml:space="preserve">the </w:t>
      </w:r>
      <w:r w:rsidR="00350F45">
        <w:t>combined count</w:t>
      </w:r>
      <w:r w:rsidRPr="000233C8">
        <w:t>. DFCI provided 36,325 outpatient CT scans and 5,312 PET-CT scans in 202</w:t>
      </w:r>
      <w:r w:rsidR="0071557D">
        <w:t>1</w:t>
      </w:r>
      <w:r w:rsidRPr="000233C8">
        <w:t xml:space="preserve">. </w:t>
      </w:r>
      <w:r w:rsidR="00350F45" w:rsidRPr="00350F45">
        <w:t>DFCI’s outpatient patient panel for imaging is, on average, older and more likely to have Medicare insurance than its inpatient patient panel.</w:t>
      </w:r>
      <w:r w:rsidR="00350F45">
        <w:t xml:space="preserve"> Consequently, t</w:t>
      </w:r>
      <w:r w:rsidRPr="000233C8">
        <w:t xml:space="preserve">he payor mix for </w:t>
      </w:r>
      <w:r w:rsidR="00350F45">
        <w:t xml:space="preserve">these </w:t>
      </w:r>
      <w:r w:rsidRPr="000233C8">
        <w:t xml:space="preserve">services is </w:t>
      </w:r>
      <w:r w:rsidR="00350F45">
        <w:t>more heavily weighted toward Medicare (</w:t>
      </w:r>
      <w:r w:rsidRPr="000233C8">
        <w:t>58%</w:t>
      </w:r>
      <w:r w:rsidR="00350F45">
        <w:t>)</w:t>
      </w:r>
      <w:r w:rsidRPr="000233C8">
        <w:t xml:space="preserve"> </w:t>
      </w:r>
      <w:r w:rsidR="00350F45">
        <w:t>and commercial coverage (</w:t>
      </w:r>
      <w:r w:rsidRPr="000233C8">
        <w:t>20%</w:t>
      </w:r>
      <w:r w:rsidR="00350F45">
        <w:t>) than the statewide averages.</w:t>
      </w:r>
    </w:p>
    <w:p w14:paraId="01E3580F" w14:textId="77777777" w:rsidR="006256A8" w:rsidRDefault="006256A8" w:rsidP="006256A8">
      <w:pPr>
        <w:spacing w:before="120" w:after="120" w:line="360" w:lineRule="auto"/>
        <w:jc w:val="both"/>
      </w:pPr>
    </w:p>
    <w:p w14:paraId="3A3A16C0" w14:textId="77777777" w:rsidR="006256A8" w:rsidRDefault="006256A8" w:rsidP="006256A8">
      <w:pPr>
        <w:spacing w:before="120" w:after="120" w:line="360" w:lineRule="auto"/>
        <w:jc w:val="both"/>
      </w:pPr>
    </w:p>
    <w:p w14:paraId="1BA1E91C" w14:textId="20868C61" w:rsidR="000233C8" w:rsidRDefault="006C3127" w:rsidP="001D3E05">
      <w:pPr>
        <w:pStyle w:val="Caption"/>
        <w:keepNext/>
        <w:jc w:val="center"/>
      </w:pPr>
      <w:bookmarkStart w:id="64" w:name="_Toc187401795"/>
      <w:r>
        <w:t xml:space="preserve">Table </w:t>
      </w:r>
      <w:fldSimple w:instr=" SEQ Table \* ARABIC ">
        <w:r w:rsidR="0085394E">
          <w:rPr>
            <w:noProof/>
          </w:rPr>
          <w:t>22</w:t>
        </w:r>
      </w:fldSimple>
      <w:r>
        <w:t xml:space="preserve">: </w:t>
      </w:r>
      <w:bookmarkStart w:id="65" w:name="_Hlk180705242"/>
      <w:r>
        <w:t>Demographic Characteristics of DFCI Outpatient Imaging Patient Panel, 202</w:t>
      </w:r>
      <w:r w:rsidR="0071557D">
        <w:t>1</w:t>
      </w:r>
      <w:bookmarkEnd w:id="65"/>
      <w:r>
        <w:rPr>
          <w:rStyle w:val="FootnoteReference"/>
        </w:rPr>
        <w:footnoteReference w:id="105"/>
      </w:r>
      <w:bookmarkEnd w:id="64"/>
    </w:p>
    <w:tbl>
      <w:tblPr>
        <w:tblW w:w="8540" w:type="dxa"/>
        <w:jc w:val="center"/>
        <w:tblLayout w:type="fixed"/>
        <w:tblLook w:val="04A0" w:firstRow="1" w:lastRow="0" w:firstColumn="1" w:lastColumn="0" w:noHBand="0" w:noVBand="1"/>
      </w:tblPr>
      <w:tblGrid>
        <w:gridCol w:w="960"/>
        <w:gridCol w:w="1640"/>
        <w:gridCol w:w="990"/>
        <w:gridCol w:w="990"/>
        <w:gridCol w:w="990"/>
        <w:gridCol w:w="990"/>
        <w:gridCol w:w="990"/>
        <w:gridCol w:w="990"/>
      </w:tblGrid>
      <w:tr w:rsidR="00981CA7" w:rsidRPr="009E2A0B" w14:paraId="6DFB88A5" w14:textId="77777777" w:rsidTr="00981CA7">
        <w:trPr>
          <w:cantSplit/>
          <w:trHeight w:val="72"/>
          <w:tblHeader/>
          <w:jc w:val="center"/>
        </w:trPr>
        <w:tc>
          <w:tcPr>
            <w:tcW w:w="960" w:type="dxa"/>
            <w:tcBorders>
              <w:top w:val="single" w:sz="8" w:space="0" w:color="auto"/>
              <w:left w:val="single" w:sz="8" w:space="0" w:color="auto"/>
              <w:bottom w:val="nil"/>
              <w:right w:val="nil"/>
            </w:tcBorders>
            <w:shd w:val="clear" w:color="000000" w:fill="002060"/>
            <w:noWrap/>
            <w:vAlign w:val="bottom"/>
            <w:hideMark/>
          </w:tcPr>
          <w:p w14:paraId="35E4F4F6" w14:textId="77777777" w:rsidR="00981CA7" w:rsidRPr="009E2A0B" w:rsidRDefault="00981CA7" w:rsidP="009E2A0B">
            <w:pPr>
              <w:spacing w:after="0" w:line="240" w:lineRule="auto"/>
              <w:rPr>
                <w:rFonts w:ascii="Calibri" w:eastAsia="Times New Roman" w:hAnsi="Calibri" w:cs="Calibri"/>
                <w:color w:val="FFFFFF"/>
                <w:kern w:val="0"/>
                <w14:ligatures w14:val="none"/>
              </w:rPr>
            </w:pPr>
            <w:r w:rsidRPr="009E2A0B">
              <w:rPr>
                <w:rFonts w:ascii="Calibri" w:eastAsia="Times New Roman" w:hAnsi="Calibri" w:cs="Calibri"/>
                <w:color w:val="FFFFFF"/>
                <w:kern w:val="0"/>
                <w14:ligatures w14:val="none"/>
              </w:rPr>
              <w:t> </w:t>
            </w:r>
          </w:p>
        </w:tc>
        <w:tc>
          <w:tcPr>
            <w:tcW w:w="1640" w:type="dxa"/>
            <w:tcBorders>
              <w:top w:val="single" w:sz="8" w:space="0" w:color="auto"/>
              <w:left w:val="nil"/>
              <w:bottom w:val="nil"/>
              <w:right w:val="nil"/>
            </w:tcBorders>
            <w:shd w:val="clear" w:color="000000" w:fill="002060"/>
            <w:noWrap/>
            <w:vAlign w:val="bottom"/>
            <w:hideMark/>
          </w:tcPr>
          <w:p w14:paraId="2B96463A" w14:textId="77777777" w:rsidR="00981CA7" w:rsidRPr="009E2A0B" w:rsidRDefault="00981CA7" w:rsidP="009E2A0B">
            <w:pPr>
              <w:spacing w:after="0" w:line="240" w:lineRule="auto"/>
              <w:rPr>
                <w:rFonts w:ascii="Calibri" w:eastAsia="Times New Roman" w:hAnsi="Calibri" w:cs="Calibri"/>
                <w:color w:val="FFFFFF"/>
                <w:kern w:val="0"/>
                <w14:ligatures w14:val="none"/>
              </w:rPr>
            </w:pPr>
            <w:r w:rsidRPr="009E2A0B">
              <w:rPr>
                <w:rFonts w:ascii="Calibri" w:eastAsia="Times New Roman" w:hAnsi="Calibri" w:cs="Calibri"/>
                <w:color w:val="FFFFFF"/>
                <w:kern w:val="0"/>
                <w14:ligatures w14:val="none"/>
              </w:rPr>
              <w:t> </w:t>
            </w:r>
          </w:p>
        </w:tc>
        <w:tc>
          <w:tcPr>
            <w:tcW w:w="990" w:type="dxa"/>
            <w:tcBorders>
              <w:top w:val="single" w:sz="8" w:space="0" w:color="auto"/>
              <w:left w:val="single" w:sz="4" w:space="0" w:color="auto"/>
              <w:bottom w:val="nil"/>
              <w:right w:val="nil"/>
            </w:tcBorders>
            <w:shd w:val="clear" w:color="000000" w:fill="002060"/>
            <w:noWrap/>
            <w:vAlign w:val="bottom"/>
            <w:hideMark/>
          </w:tcPr>
          <w:p w14:paraId="1ED7AC6E" w14:textId="77777777"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CT</w:t>
            </w:r>
          </w:p>
        </w:tc>
        <w:tc>
          <w:tcPr>
            <w:tcW w:w="990" w:type="dxa"/>
            <w:tcBorders>
              <w:top w:val="single" w:sz="8" w:space="0" w:color="auto"/>
              <w:left w:val="single" w:sz="4" w:space="0" w:color="auto"/>
              <w:bottom w:val="nil"/>
              <w:right w:val="nil"/>
            </w:tcBorders>
            <w:shd w:val="clear" w:color="000000" w:fill="002060"/>
            <w:vAlign w:val="bottom"/>
          </w:tcPr>
          <w:p w14:paraId="3F10F623" w14:textId="200FB39A"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CT</w:t>
            </w:r>
          </w:p>
        </w:tc>
        <w:tc>
          <w:tcPr>
            <w:tcW w:w="990" w:type="dxa"/>
            <w:tcBorders>
              <w:top w:val="single" w:sz="8" w:space="0" w:color="auto"/>
              <w:left w:val="single" w:sz="4" w:space="0" w:color="auto"/>
              <w:bottom w:val="nil"/>
              <w:right w:val="nil"/>
            </w:tcBorders>
            <w:shd w:val="clear" w:color="000000" w:fill="002060"/>
            <w:noWrap/>
            <w:vAlign w:val="bottom"/>
            <w:hideMark/>
          </w:tcPr>
          <w:p w14:paraId="4BB1495C" w14:textId="77777777"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PET-CT</w:t>
            </w:r>
          </w:p>
        </w:tc>
        <w:tc>
          <w:tcPr>
            <w:tcW w:w="990" w:type="dxa"/>
            <w:tcBorders>
              <w:top w:val="single" w:sz="8" w:space="0" w:color="auto"/>
              <w:left w:val="single" w:sz="4" w:space="0" w:color="auto"/>
              <w:bottom w:val="nil"/>
              <w:right w:val="nil"/>
            </w:tcBorders>
            <w:shd w:val="clear" w:color="000000" w:fill="002060"/>
            <w:vAlign w:val="bottom"/>
          </w:tcPr>
          <w:p w14:paraId="08BF791B" w14:textId="70CBE77B"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PET-CT</w:t>
            </w:r>
          </w:p>
        </w:tc>
        <w:tc>
          <w:tcPr>
            <w:tcW w:w="990" w:type="dxa"/>
            <w:tcBorders>
              <w:top w:val="single" w:sz="8" w:space="0" w:color="auto"/>
              <w:left w:val="single" w:sz="4" w:space="0" w:color="auto"/>
              <w:bottom w:val="nil"/>
              <w:right w:val="single" w:sz="8" w:space="0" w:color="000000"/>
            </w:tcBorders>
            <w:shd w:val="clear" w:color="000000" w:fill="002060"/>
            <w:noWrap/>
            <w:vAlign w:val="bottom"/>
            <w:hideMark/>
          </w:tcPr>
          <w:p w14:paraId="6AC7C031" w14:textId="77777777"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Combined</w:t>
            </w:r>
          </w:p>
        </w:tc>
        <w:tc>
          <w:tcPr>
            <w:tcW w:w="990" w:type="dxa"/>
            <w:tcBorders>
              <w:top w:val="single" w:sz="8" w:space="0" w:color="auto"/>
              <w:left w:val="single" w:sz="4" w:space="0" w:color="auto"/>
              <w:bottom w:val="nil"/>
              <w:right w:val="single" w:sz="8" w:space="0" w:color="000000"/>
            </w:tcBorders>
            <w:shd w:val="clear" w:color="000000" w:fill="002060"/>
            <w:vAlign w:val="bottom"/>
          </w:tcPr>
          <w:p w14:paraId="3495B2DD" w14:textId="23C76FEF" w:rsidR="00981CA7" w:rsidRPr="009E2A0B" w:rsidRDefault="00981CA7" w:rsidP="009E2A0B">
            <w:pPr>
              <w:spacing w:after="0" w:line="240" w:lineRule="auto"/>
              <w:jc w:val="center"/>
              <w:rPr>
                <w:rFonts w:ascii="Calibri" w:eastAsia="Times New Roman" w:hAnsi="Calibri" w:cs="Calibri"/>
                <w:b/>
                <w:bCs/>
                <w:color w:val="FFFFFF"/>
                <w:kern w:val="0"/>
                <w14:ligatures w14:val="none"/>
              </w:rPr>
            </w:pPr>
            <w:r w:rsidRPr="009E2A0B">
              <w:rPr>
                <w:rFonts w:ascii="Calibri" w:eastAsia="Times New Roman" w:hAnsi="Calibri" w:cs="Calibri"/>
                <w:b/>
                <w:bCs/>
                <w:color w:val="FFFFFF"/>
                <w:kern w:val="0"/>
                <w14:ligatures w14:val="none"/>
              </w:rPr>
              <w:t>Combined</w:t>
            </w:r>
          </w:p>
        </w:tc>
      </w:tr>
      <w:tr w:rsidR="001D3E05" w:rsidRPr="009E2A0B" w14:paraId="6FD34681" w14:textId="77777777" w:rsidTr="00981CA7">
        <w:trPr>
          <w:cantSplit/>
          <w:trHeight w:val="72"/>
          <w:tblHeader/>
          <w:jc w:val="center"/>
        </w:trPr>
        <w:tc>
          <w:tcPr>
            <w:tcW w:w="960" w:type="dxa"/>
            <w:tcBorders>
              <w:top w:val="nil"/>
              <w:left w:val="single" w:sz="8" w:space="0" w:color="auto"/>
              <w:bottom w:val="single" w:sz="4" w:space="0" w:color="auto"/>
              <w:right w:val="nil"/>
            </w:tcBorders>
            <w:shd w:val="clear" w:color="000000" w:fill="002060"/>
            <w:noWrap/>
            <w:vAlign w:val="bottom"/>
            <w:hideMark/>
          </w:tcPr>
          <w:p w14:paraId="65B62344" w14:textId="77777777" w:rsidR="009E2A0B" w:rsidRPr="009E2A0B" w:rsidRDefault="009E2A0B" w:rsidP="009E2A0B">
            <w:pPr>
              <w:spacing w:after="0" w:line="240" w:lineRule="auto"/>
              <w:rPr>
                <w:rFonts w:ascii="Calibri" w:eastAsia="Times New Roman" w:hAnsi="Calibri" w:cs="Calibri"/>
                <w:color w:val="FFFFFF"/>
                <w:kern w:val="0"/>
                <w14:ligatures w14:val="none"/>
              </w:rPr>
            </w:pPr>
            <w:r w:rsidRPr="009E2A0B">
              <w:rPr>
                <w:rFonts w:ascii="Calibri" w:eastAsia="Times New Roman" w:hAnsi="Calibri" w:cs="Calibri"/>
                <w:color w:val="FFFFFF"/>
                <w:kern w:val="0"/>
                <w14:ligatures w14:val="none"/>
              </w:rPr>
              <w:t> </w:t>
            </w:r>
          </w:p>
        </w:tc>
        <w:tc>
          <w:tcPr>
            <w:tcW w:w="1640" w:type="dxa"/>
            <w:tcBorders>
              <w:top w:val="nil"/>
              <w:left w:val="nil"/>
              <w:bottom w:val="single" w:sz="4" w:space="0" w:color="auto"/>
              <w:right w:val="nil"/>
            </w:tcBorders>
            <w:shd w:val="clear" w:color="000000" w:fill="002060"/>
            <w:noWrap/>
            <w:vAlign w:val="bottom"/>
            <w:hideMark/>
          </w:tcPr>
          <w:p w14:paraId="1773D553" w14:textId="77777777" w:rsidR="009E2A0B" w:rsidRPr="009E2A0B" w:rsidRDefault="009E2A0B" w:rsidP="009E2A0B">
            <w:pPr>
              <w:spacing w:after="0" w:line="240" w:lineRule="auto"/>
              <w:rPr>
                <w:rFonts w:ascii="Calibri" w:eastAsia="Times New Roman" w:hAnsi="Calibri" w:cs="Calibri"/>
                <w:color w:val="FFFFFF"/>
                <w:kern w:val="0"/>
                <w14:ligatures w14:val="none"/>
              </w:rPr>
            </w:pPr>
            <w:r w:rsidRPr="009E2A0B">
              <w:rPr>
                <w:rFonts w:ascii="Calibri" w:eastAsia="Times New Roman" w:hAnsi="Calibri" w:cs="Calibri"/>
                <w:color w:val="FFFFFF"/>
                <w:kern w:val="0"/>
                <w14:ligatures w14:val="none"/>
              </w:rPr>
              <w:t> </w:t>
            </w:r>
          </w:p>
        </w:tc>
        <w:tc>
          <w:tcPr>
            <w:tcW w:w="990" w:type="dxa"/>
            <w:tcBorders>
              <w:top w:val="nil"/>
              <w:left w:val="single" w:sz="4" w:space="0" w:color="auto"/>
              <w:bottom w:val="single" w:sz="4" w:space="0" w:color="auto"/>
              <w:right w:val="nil"/>
            </w:tcBorders>
            <w:shd w:val="clear" w:color="000000" w:fill="002060"/>
            <w:noWrap/>
            <w:vAlign w:val="bottom"/>
            <w:hideMark/>
          </w:tcPr>
          <w:p w14:paraId="51CBA106"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Total</w:t>
            </w:r>
          </w:p>
        </w:tc>
        <w:tc>
          <w:tcPr>
            <w:tcW w:w="990" w:type="dxa"/>
            <w:tcBorders>
              <w:top w:val="nil"/>
              <w:left w:val="nil"/>
              <w:bottom w:val="single" w:sz="4" w:space="0" w:color="auto"/>
              <w:right w:val="nil"/>
            </w:tcBorders>
            <w:shd w:val="clear" w:color="000000" w:fill="002060"/>
            <w:noWrap/>
            <w:vAlign w:val="bottom"/>
            <w:hideMark/>
          </w:tcPr>
          <w:p w14:paraId="0BED5526"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w:t>
            </w:r>
          </w:p>
        </w:tc>
        <w:tc>
          <w:tcPr>
            <w:tcW w:w="990" w:type="dxa"/>
            <w:tcBorders>
              <w:top w:val="nil"/>
              <w:left w:val="single" w:sz="4" w:space="0" w:color="auto"/>
              <w:bottom w:val="single" w:sz="4" w:space="0" w:color="auto"/>
              <w:right w:val="nil"/>
            </w:tcBorders>
            <w:shd w:val="clear" w:color="000000" w:fill="002060"/>
            <w:noWrap/>
            <w:vAlign w:val="bottom"/>
            <w:hideMark/>
          </w:tcPr>
          <w:p w14:paraId="2AE850D9"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Total</w:t>
            </w:r>
          </w:p>
        </w:tc>
        <w:tc>
          <w:tcPr>
            <w:tcW w:w="990" w:type="dxa"/>
            <w:tcBorders>
              <w:top w:val="nil"/>
              <w:left w:val="nil"/>
              <w:bottom w:val="single" w:sz="4" w:space="0" w:color="auto"/>
              <w:right w:val="nil"/>
            </w:tcBorders>
            <w:shd w:val="clear" w:color="000000" w:fill="002060"/>
            <w:noWrap/>
            <w:vAlign w:val="bottom"/>
            <w:hideMark/>
          </w:tcPr>
          <w:p w14:paraId="2D725798"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w:t>
            </w:r>
          </w:p>
        </w:tc>
        <w:tc>
          <w:tcPr>
            <w:tcW w:w="990" w:type="dxa"/>
            <w:tcBorders>
              <w:top w:val="nil"/>
              <w:left w:val="single" w:sz="4" w:space="0" w:color="auto"/>
              <w:bottom w:val="single" w:sz="4" w:space="0" w:color="auto"/>
              <w:right w:val="nil"/>
            </w:tcBorders>
            <w:shd w:val="clear" w:color="000000" w:fill="002060"/>
            <w:noWrap/>
            <w:vAlign w:val="bottom"/>
            <w:hideMark/>
          </w:tcPr>
          <w:p w14:paraId="169735FE"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Total</w:t>
            </w:r>
          </w:p>
        </w:tc>
        <w:tc>
          <w:tcPr>
            <w:tcW w:w="990" w:type="dxa"/>
            <w:tcBorders>
              <w:top w:val="nil"/>
              <w:left w:val="nil"/>
              <w:bottom w:val="single" w:sz="4" w:space="0" w:color="auto"/>
              <w:right w:val="single" w:sz="8" w:space="0" w:color="auto"/>
            </w:tcBorders>
            <w:shd w:val="clear" w:color="000000" w:fill="002060"/>
            <w:noWrap/>
            <w:vAlign w:val="bottom"/>
            <w:hideMark/>
          </w:tcPr>
          <w:p w14:paraId="41FF0799" w14:textId="77777777" w:rsidR="009E2A0B" w:rsidRPr="009E2A0B" w:rsidRDefault="009E2A0B" w:rsidP="009E2A0B">
            <w:pPr>
              <w:spacing w:after="0" w:line="240" w:lineRule="auto"/>
              <w:jc w:val="center"/>
              <w:rPr>
                <w:rFonts w:ascii="Calibri" w:eastAsia="Times New Roman" w:hAnsi="Calibri" w:cs="Calibri"/>
                <w:i/>
                <w:iCs/>
                <w:color w:val="FFFFFF"/>
                <w:kern w:val="0"/>
                <w14:ligatures w14:val="none"/>
              </w:rPr>
            </w:pPr>
            <w:r w:rsidRPr="009E2A0B">
              <w:rPr>
                <w:rFonts w:ascii="Calibri" w:eastAsia="Times New Roman" w:hAnsi="Calibri" w:cs="Calibri"/>
                <w:i/>
                <w:iCs/>
                <w:color w:val="FFFFFF"/>
                <w:kern w:val="0"/>
                <w14:ligatures w14:val="none"/>
              </w:rPr>
              <w:t>%</w:t>
            </w:r>
          </w:p>
        </w:tc>
      </w:tr>
      <w:tr w:rsidR="009E2A0B" w:rsidRPr="009E2A0B" w14:paraId="2E6D60BF" w14:textId="77777777" w:rsidTr="00981CA7">
        <w:trPr>
          <w:cantSplit/>
          <w:trHeight w:val="288"/>
          <w:jc w:val="center"/>
        </w:trPr>
        <w:tc>
          <w:tcPr>
            <w:tcW w:w="960" w:type="dxa"/>
            <w:vMerge w:val="restart"/>
            <w:tcBorders>
              <w:top w:val="nil"/>
              <w:left w:val="single" w:sz="8" w:space="0" w:color="auto"/>
              <w:bottom w:val="single" w:sz="4" w:space="0" w:color="A6A6A6"/>
              <w:right w:val="nil"/>
            </w:tcBorders>
            <w:shd w:val="clear" w:color="auto" w:fill="auto"/>
            <w:vAlign w:val="center"/>
            <w:hideMark/>
          </w:tcPr>
          <w:p w14:paraId="1744BF79" w14:textId="77777777" w:rsidR="009E2A0B" w:rsidRPr="009E2A0B" w:rsidRDefault="009E2A0B" w:rsidP="009E2A0B">
            <w:pPr>
              <w:spacing w:after="0" w:line="240" w:lineRule="auto"/>
              <w:jc w:val="center"/>
              <w:rPr>
                <w:rFonts w:ascii="Calibri" w:eastAsia="Times New Roman" w:hAnsi="Calibri" w:cs="Calibri"/>
                <w:b/>
                <w:bCs/>
                <w:kern w:val="0"/>
                <w14:ligatures w14:val="none"/>
              </w:rPr>
            </w:pPr>
            <w:r w:rsidRPr="009E2A0B">
              <w:rPr>
                <w:rFonts w:ascii="Calibri" w:eastAsia="Times New Roman" w:hAnsi="Calibri" w:cs="Calibri"/>
                <w:b/>
                <w:bCs/>
                <w:kern w:val="0"/>
                <w14:ligatures w14:val="none"/>
              </w:rPr>
              <w:t>Age</w:t>
            </w:r>
          </w:p>
        </w:tc>
        <w:tc>
          <w:tcPr>
            <w:tcW w:w="1640" w:type="dxa"/>
            <w:tcBorders>
              <w:top w:val="nil"/>
              <w:left w:val="nil"/>
              <w:bottom w:val="single" w:sz="4" w:space="0" w:color="A6A6A6"/>
              <w:right w:val="nil"/>
            </w:tcBorders>
            <w:shd w:val="clear" w:color="auto" w:fill="auto"/>
            <w:noWrap/>
            <w:vAlign w:val="bottom"/>
            <w:hideMark/>
          </w:tcPr>
          <w:p w14:paraId="43723B21"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18-34</w:t>
            </w:r>
          </w:p>
        </w:tc>
        <w:tc>
          <w:tcPr>
            <w:tcW w:w="990" w:type="dxa"/>
            <w:tcBorders>
              <w:top w:val="nil"/>
              <w:left w:val="single" w:sz="4" w:space="0" w:color="auto"/>
              <w:bottom w:val="single" w:sz="4" w:space="0" w:color="A6A6A6"/>
              <w:right w:val="nil"/>
            </w:tcBorders>
            <w:shd w:val="clear" w:color="auto" w:fill="auto"/>
            <w:noWrap/>
            <w:vAlign w:val="bottom"/>
            <w:hideMark/>
          </w:tcPr>
          <w:p w14:paraId="10534758" w14:textId="073D1866"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799</w:t>
            </w:r>
          </w:p>
        </w:tc>
        <w:tc>
          <w:tcPr>
            <w:tcW w:w="990" w:type="dxa"/>
            <w:tcBorders>
              <w:top w:val="nil"/>
              <w:left w:val="nil"/>
              <w:bottom w:val="single" w:sz="4" w:space="0" w:color="A6A6A6"/>
              <w:right w:val="nil"/>
            </w:tcBorders>
            <w:shd w:val="clear" w:color="auto" w:fill="auto"/>
            <w:noWrap/>
            <w:vAlign w:val="bottom"/>
            <w:hideMark/>
          </w:tcPr>
          <w:p w14:paraId="65E4B317"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w:t>
            </w:r>
          </w:p>
        </w:tc>
        <w:tc>
          <w:tcPr>
            <w:tcW w:w="990" w:type="dxa"/>
            <w:tcBorders>
              <w:top w:val="nil"/>
              <w:left w:val="single" w:sz="4" w:space="0" w:color="auto"/>
              <w:bottom w:val="single" w:sz="4" w:space="0" w:color="A6A6A6"/>
              <w:right w:val="nil"/>
            </w:tcBorders>
            <w:shd w:val="clear" w:color="auto" w:fill="auto"/>
            <w:noWrap/>
            <w:vAlign w:val="bottom"/>
            <w:hideMark/>
          </w:tcPr>
          <w:p w14:paraId="11B75512" w14:textId="4C4703E2"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113</w:t>
            </w:r>
          </w:p>
        </w:tc>
        <w:tc>
          <w:tcPr>
            <w:tcW w:w="990" w:type="dxa"/>
            <w:tcBorders>
              <w:top w:val="nil"/>
              <w:left w:val="nil"/>
              <w:bottom w:val="single" w:sz="4" w:space="0" w:color="A6A6A6"/>
              <w:right w:val="nil"/>
            </w:tcBorders>
            <w:shd w:val="clear" w:color="auto" w:fill="auto"/>
            <w:noWrap/>
            <w:vAlign w:val="bottom"/>
            <w:hideMark/>
          </w:tcPr>
          <w:p w14:paraId="4147539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w:t>
            </w:r>
          </w:p>
        </w:tc>
        <w:tc>
          <w:tcPr>
            <w:tcW w:w="990" w:type="dxa"/>
            <w:tcBorders>
              <w:top w:val="nil"/>
              <w:left w:val="single" w:sz="4" w:space="0" w:color="auto"/>
              <w:bottom w:val="single" w:sz="4" w:space="0" w:color="A6A6A6"/>
              <w:right w:val="nil"/>
            </w:tcBorders>
            <w:shd w:val="clear" w:color="auto" w:fill="auto"/>
            <w:noWrap/>
            <w:vAlign w:val="bottom"/>
            <w:hideMark/>
          </w:tcPr>
          <w:p w14:paraId="685F2065" w14:textId="7620FE2E"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912</w:t>
            </w:r>
          </w:p>
        </w:tc>
        <w:tc>
          <w:tcPr>
            <w:tcW w:w="990" w:type="dxa"/>
            <w:tcBorders>
              <w:top w:val="nil"/>
              <w:left w:val="nil"/>
              <w:bottom w:val="single" w:sz="4" w:space="0" w:color="A6A6A6"/>
              <w:right w:val="single" w:sz="8" w:space="0" w:color="auto"/>
            </w:tcBorders>
            <w:shd w:val="clear" w:color="auto" w:fill="auto"/>
            <w:noWrap/>
            <w:vAlign w:val="bottom"/>
            <w:hideMark/>
          </w:tcPr>
          <w:p w14:paraId="246AC0A6"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w:t>
            </w:r>
          </w:p>
        </w:tc>
      </w:tr>
      <w:tr w:rsidR="009E2A0B" w:rsidRPr="009E2A0B" w14:paraId="3EC66E7C" w14:textId="77777777" w:rsidTr="00981CA7">
        <w:trPr>
          <w:cantSplit/>
          <w:trHeight w:val="288"/>
          <w:jc w:val="center"/>
        </w:trPr>
        <w:tc>
          <w:tcPr>
            <w:tcW w:w="960" w:type="dxa"/>
            <w:vMerge/>
            <w:tcBorders>
              <w:top w:val="nil"/>
              <w:left w:val="single" w:sz="8" w:space="0" w:color="auto"/>
              <w:bottom w:val="single" w:sz="4" w:space="0" w:color="A6A6A6"/>
              <w:right w:val="nil"/>
            </w:tcBorders>
            <w:vAlign w:val="center"/>
            <w:hideMark/>
          </w:tcPr>
          <w:p w14:paraId="35253AF5"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70538BFD"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35-54</w:t>
            </w:r>
          </w:p>
        </w:tc>
        <w:tc>
          <w:tcPr>
            <w:tcW w:w="990" w:type="dxa"/>
            <w:tcBorders>
              <w:top w:val="nil"/>
              <w:left w:val="single" w:sz="4" w:space="0" w:color="auto"/>
              <w:bottom w:val="single" w:sz="4" w:space="0" w:color="A6A6A6"/>
              <w:right w:val="nil"/>
            </w:tcBorders>
            <w:shd w:val="clear" w:color="auto" w:fill="auto"/>
            <w:noWrap/>
            <w:vAlign w:val="bottom"/>
            <w:hideMark/>
          </w:tcPr>
          <w:p w14:paraId="502E5196" w14:textId="0114172D"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3,993</w:t>
            </w:r>
          </w:p>
        </w:tc>
        <w:tc>
          <w:tcPr>
            <w:tcW w:w="990" w:type="dxa"/>
            <w:tcBorders>
              <w:top w:val="nil"/>
              <w:left w:val="nil"/>
              <w:bottom w:val="single" w:sz="4" w:space="0" w:color="A6A6A6"/>
              <w:right w:val="nil"/>
            </w:tcBorders>
            <w:shd w:val="clear" w:color="auto" w:fill="auto"/>
            <w:noWrap/>
            <w:vAlign w:val="bottom"/>
            <w:hideMark/>
          </w:tcPr>
          <w:p w14:paraId="1BFCB7E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c>
          <w:tcPr>
            <w:tcW w:w="990" w:type="dxa"/>
            <w:tcBorders>
              <w:top w:val="nil"/>
              <w:left w:val="single" w:sz="4" w:space="0" w:color="auto"/>
              <w:bottom w:val="single" w:sz="4" w:space="0" w:color="A6A6A6"/>
              <w:right w:val="nil"/>
            </w:tcBorders>
            <w:shd w:val="clear" w:color="auto" w:fill="auto"/>
            <w:noWrap/>
            <w:vAlign w:val="bottom"/>
            <w:hideMark/>
          </w:tcPr>
          <w:p w14:paraId="49277BD8" w14:textId="2CC8F50C"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437</w:t>
            </w:r>
          </w:p>
        </w:tc>
        <w:tc>
          <w:tcPr>
            <w:tcW w:w="990" w:type="dxa"/>
            <w:tcBorders>
              <w:top w:val="nil"/>
              <w:left w:val="nil"/>
              <w:bottom w:val="single" w:sz="4" w:space="0" w:color="A6A6A6"/>
              <w:right w:val="nil"/>
            </w:tcBorders>
            <w:shd w:val="clear" w:color="auto" w:fill="auto"/>
            <w:noWrap/>
            <w:vAlign w:val="bottom"/>
            <w:hideMark/>
          </w:tcPr>
          <w:p w14:paraId="0AC6FB64"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8%</w:t>
            </w:r>
          </w:p>
        </w:tc>
        <w:tc>
          <w:tcPr>
            <w:tcW w:w="990" w:type="dxa"/>
            <w:tcBorders>
              <w:top w:val="nil"/>
              <w:left w:val="single" w:sz="4" w:space="0" w:color="auto"/>
              <w:bottom w:val="single" w:sz="4" w:space="0" w:color="A6A6A6"/>
              <w:right w:val="nil"/>
            </w:tcBorders>
            <w:shd w:val="clear" w:color="auto" w:fill="auto"/>
            <w:noWrap/>
            <w:vAlign w:val="bottom"/>
            <w:hideMark/>
          </w:tcPr>
          <w:p w14:paraId="0EA6F0B7" w14:textId="6D6F244D"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4,430</w:t>
            </w:r>
          </w:p>
        </w:tc>
        <w:tc>
          <w:tcPr>
            <w:tcW w:w="990" w:type="dxa"/>
            <w:tcBorders>
              <w:top w:val="nil"/>
              <w:left w:val="nil"/>
              <w:bottom w:val="single" w:sz="4" w:space="0" w:color="A6A6A6"/>
              <w:right w:val="single" w:sz="8" w:space="0" w:color="auto"/>
            </w:tcBorders>
            <w:shd w:val="clear" w:color="auto" w:fill="auto"/>
            <w:noWrap/>
            <w:vAlign w:val="bottom"/>
            <w:hideMark/>
          </w:tcPr>
          <w:p w14:paraId="356D579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r>
      <w:tr w:rsidR="009E2A0B" w:rsidRPr="009E2A0B" w14:paraId="25067677" w14:textId="77777777" w:rsidTr="00981CA7">
        <w:trPr>
          <w:cantSplit/>
          <w:trHeight w:val="288"/>
          <w:jc w:val="center"/>
        </w:trPr>
        <w:tc>
          <w:tcPr>
            <w:tcW w:w="960" w:type="dxa"/>
            <w:vMerge/>
            <w:tcBorders>
              <w:top w:val="nil"/>
              <w:left w:val="single" w:sz="8" w:space="0" w:color="auto"/>
              <w:bottom w:val="single" w:sz="4" w:space="0" w:color="A6A6A6"/>
              <w:right w:val="nil"/>
            </w:tcBorders>
            <w:vAlign w:val="center"/>
            <w:hideMark/>
          </w:tcPr>
          <w:p w14:paraId="5D896615"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7B1E2810"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55-64</w:t>
            </w:r>
          </w:p>
        </w:tc>
        <w:tc>
          <w:tcPr>
            <w:tcW w:w="990" w:type="dxa"/>
            <w:tcBorders>
              <w:top w:val="nil"/>
              <w:left w:val="single" w:sz="4" w:space="0" w:color="auto"/>
              <w:bottom w:val="single" w:sz="4" w:space="0" w:color="A6A6A6"/>
              <w:right w:val="nil"/>
            </w:tcBorders>
            <w:shd w:val="clear" w:color="auto" w:fill="auto"/>
            <w:noWrap/>
            <w:vAlign w:val="bottom"/>
            <w:hideMark/>
          </w:tcPr>
          <w:p w14:paraId="4EF3F85B" w14:textId="6AD2D2CD"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6,196</w:t>
            </w:r>
          </w:p>
        </w:tc>
        <w:tc>
          <w:tcPr>
            <w:tcW w:w="990" w:type="dxa"/>
            <w:tcBorders>
              <w:top w:val="nil"/>
              <w:left w:val="nil"/>
              <w:bottom w:val="single" w:sz="4" w:space="0" w:color="A6A6A6"/>
              <w:right w:val="nil"/>
            </w:tcBorders>
            <w:shd w:val="clear" w:color="auto" w:fill="auto"/>
            <w:noWrap/>
            <w:vAlign w:val="bottom"/>
            <w:hideMark/>
          </w:tcPr>
          <w:p w14:paraId="008B8F5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w:t>
            </w:r>
          </w:p>
        </w:tc>
        <w:tc>
          <w:tcPr>
            <w:tcW w:w="990" w:type="dxa"/>
            <w:tcBorders>
              <w:top w:val="nil"/>
              <w:left w:val="single" w:sz="4" w:space="0" w:color="auto"/>
              <w:bottom w:val="single" w:sz="4" w:space="0" w:color="A6A6A6"/>
              <w:right w:val="nil"/>
            </w:tcBorders>
            <w:shd w:val="clear" w:color="auto" w:fill="auto"/>
            <w:noWrap/>
            <w:vAlign w:val="bottom"/>
            <w:hideMark/>
          </w:tcPr>
          <w:p w14:paraId="050756CD" w14:textId="2A03575B"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734</w:t>
            </w:r>
          </w:p>
        </w:tc>
        <w:tc>
          <w:tcPr>
            <w:tcW w:w="990" w:type="dxa"/>
            <w:tcBorders>
              <w:top w:val="nil"/>
              <w:left w:val="nil"/>
              <w:bottom w:val="single" w:sz="4" w:space="0" w:color="A6A6A6"/>
              <w:right w:val="nil"/>
            </w:tcBorders>
            <w:shd w:val="clear" w:color="auto" w:fill="auto"/>
            <w:noWrap/>
            <w:vAlign w:val="bottom"/>
            <w:hideMark/>
          </w:tcPr>
          <w:p w14:paraId="0599A78E"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14%</w:t>
            </w:r>
          </w:p>
        </w:tc>
        <w:tc>
          <w:tcPr>
            <w:tcW w:w="990" w:type="dxa"/>
            <w:tcBorders>
              <w:top w:val="nil"/>
              <w:left w:val="single" w:sz="4" w:space="0" w:color="auto"/>
              <w:bottom w:val="single" w:sz="4" w:space="0" w:color="A6A6A6"/>
              <w:right w:val="nil"/>
            </w:tcBorders>
            <w:shd w:val="clear" w:color="auto" w:fill="auto"/>
            <w:noWrap/>
            <w:vAlign w:val="bottom"/>
            <w:hideMark/>
          </w:tcPr>
          <w:p w14:paraId="72BDB095" w14:textId="3F3042CE"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6,930</w:t>
            </w:r>
          </w:p>
        </w:tc>
        <w:tc>
          <w:tcPr>
            <w:tcW w:w="990" w:type="dxa"/>
            <w:tcBorders>
              <w:top w:val="nil"/>
              <w:left w:val="nil"/>
              <w:bottom w:val="single" w:sz="4" w:space="0" w:color="A6A6A6"/>
              <w:right w:val="single" w:sz="8" w:space="0" w:color="auto"/>
            </w:tcBorders>
            <w:shd w:val="clear" w:color="auto" w:fill="auto"/>
            <w:noWrap/>
            <w:vAlign w:val="bottom"/>
            <w:hideMark/>
          </w:tcPr>
          <w:p w14:paraId="722C3552"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17%</w:t>
            </w:r>
          </w:p>
        </w:tc>
      </w:tr>
      <w:tr w:rsidR="009E2A0B" w:rsidRPr="009E2A0B" w14:paraId="215D0E3D" w14:textId="77777777" w:rsidTr="00981CA7">
        <w:trPr>
          <w:cantSplit/>
          <w:trHeight w:val="288"/>
          <w:jc w:val="center"/>
        </w:trPr>
        <w:tc>
          <w:tcPr>
            <w:tcW w:w="960" w:type="dxa"/>
            <w:vMerge/>
            <w:tcBorders>
              <w:top w:val="nil"/>
              <w:left w:val="single" w:sz="8" w:space="0" w:color="auto"/>
              <w:bottom w:val="single" w:sz="4" w:space="0" w:color="A6A6A6"/>
              <w:right w:val="nil"/>
            </w:tcBorders>
            <w:vAlign w:val="center"/>
            <w:hideMark/>
          </w:tcPr>
          <w:p w14:paraId="03FB6776"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5EBCBE22"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65-74</w:t>
            </w:r>
          </w:p>
        </w:tc>
        <w:tc>
          <w:tcPr>
            <w:tcW w:w="990" w:type="dxa"/>
            <w:tcBorders>
              <w:top w:val="nil"/>
              <w:left w:val="single" w:sz="4" w:space="0" w:color="auto"/>
              <w:bottom w:val="single" w:sz="4" w:space="0" w:color="A6A6A6"/>
              <w:right w:val="nil"/>
            </w:tcBorders>
            <w:shd w:val="clear" w:color="auto" w:fill="auto"/>
            <w:noWrap/>
            <w:vAlign w:val="bottom"/>
            <w:hideMark/>
          </w:tcPr>
          <w:p w14:paraId="09D6F4E6" w14:textId="71D9D552"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14,410</w:t>
            </w:r>
          </w:p>
        </w:tc>
        <w:tc>
          <w:tcPr>
            <w:tcW w:w="990" w:type="dxa"/>
            <w:tcBorders>
              <w:top w:val="nil"/>
              <w:left w:val="nil"/>
              <w:bottom w:val="single" w:sz="4" w:space="0" w:color="A6A6A6"/>
              <w:right w:val="nil"/>
            </w:tcBorders>
            <w:shd w:val="clear" w:color="auto" w:fill="auto"/>
            <w:noWrap/>
            <w:vAlign w:val="bottom"/>
            <w:hideMark/>
          </w:tcPr>
          <w:p w14:paraId="167DC72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40%</w:t>
            </w:r>
          </w:p>
        </w:tc>
        <w:tc>
          <w:tcPr>
            <w:tcW w:w="990" w:type="dxa"/>
            <w:tcBorders>
              <w:top w:val="nil"/>
              <w:left w:val="single" w:sz="4" w:space="0" w:color="auto"/>
              <w:bottom w:val="single" w:sz="4" w:space="0" w:color="A6A6A6"/>
              <w:right w:val="nil"/>
            </w:tcBorders>
            <w:shd w:val="clear" w:color="auto" w:fill="auto"/>
            <w:noWrap/>
            <w:vAlign w:val="bottom"/>
            <w:hideMark/>
          </w:tcPr>
          <w:p w14:paraId="724E6528" w14:textId="5356DD0E"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2,030</w:t>
            </w:r>
          </w:p>
        </w:tc>
        <w:tc>
          <w:tcPr>
            <w:tcW w:w="990" w:type="dxa"/>
            <w:tcBorders>
              <w:top w:val="nil"/>
              <w:left w:val="nil"/>
              <w:bottom w:val="single" w:sz="4" w:space="0" w:color="A6A6A6"/>
              <w:right w:val="nil"/>
            </w:tcBorders>
            <w:shd w:val="clear" w:color="auto" w:fill="auto"/>
            <w:noWrap/>
            <w:vAlign w:val="bottom"/>
            <w:hideMark/>
          </w:tcPr>
          <w:p w14:paraId="448B93A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38%</w:t>
            </w:r>
          </w:p>
        </w:tc>
        <w:tc>
          <w:tcPr>
            <w:tcW w:w="990" w:type="dxa"/>
            <w:tcBorders>
              <w:top w:val="nil"/>
              <w:left w:val="single" w:sz="4" w:space="0" w:color="auto"/>
              <w:bottom w:val="single" w:sz="4" w:space="0" w:color="A6A6A6"/>
              <w:right w:val="nil"/>
            </w:tcBorders>
            <w:shd w:val="clear" w:color="auto" w:fill="auto"/>
            <w:noWrap/>
            <w:vAlign w:val="bottom"/>
            <w:hideMark/>
          </w:tcPr>
          <w:p w14:paraId="39ABA177" w14:textId="1B625F36"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16,440</w:t>
            </w:r>
          </w:p>
        </w:tc>
        <w:tc>
          <w:tcPr>
            <w:tcW w:w="990" w:type="dxa"/>
            <w:tcBorders>
              <w:top w:val="nil"/>
              <w:left w:val="nil"/>
              <w:bottom w:val="single" w:sz="4" w:space="0" w:color="A6A6A6"/>
              <w:right w:val="single" w:sz="8" w:space="0" w:color="auto"/>
            </w:tcBorders>
            <w:shd w:val="clear" w:color="auto" w:fill="auto"/>
            <w:noWrap/>
            <w:vAlign w:val="bottom"/>
            <w:hideMark/>
          </w:tcPr>
          <w:p w14:paraId="085E367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39%</w:t>
            </w:r>
          </w:p>
        </w:tc>
      </w:tr>
      <w:tr w:rsidR="009E2A0B" w:rsidRPr="009E2A0B" w14:paraId="00A9C814" w14:textId="77777777" w:rsidTr="00981CA7">
        <w:trPr>
          <w:cantSplit/>
          <w:trHeight w:val="288"/>
          <w:jc w:val="center"/>
        </w:trPr>
        <w:tc>
          <w:tcPr>
            <w:tcW w:w="960" w:type="dxa"/>
            <w:vMerge/>
            <w:tcBorders>
              <w:top w:val="nil"/>
              <w:left w:val="single" w:sz="8" w:space="0" w:color="auto"/>
              <w:bottom w:val="single" w:sz="4" w:space="0" w:color="A6A6A6"/>
              <w:right w:val="nil"/>
            </w:tcBorders>
            <w:vAlign w:val="center"/>
            <w:hideMark/>
          </w:tcPr>
          <w:p w14:paraId="09F7EFD0"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07B7B424"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75+</w:t>
            </w:r>
          </w:p>
        </w:tc>
        <w:tc>
          <w:tcPr>
            <w:tcW w:w="990" w:type="dxa"/>
            <w:tcBorders>
              <w:top w:val="nil"/>
              <w:left w:val="single" w:sz="4" w:space="0" w:color="auto"/>
              <w:bottom w:val="single" w:sz="4" w:space="0" w:color="A6A6A6"/>
              <w:right w:val="nil"/>
            </w:tcBorders>
            <w:shd w:val="clear" w:color="auto" w:fill="auto"/>
            <w:noWrap/>
            <w:vAlign w:val="bottom"/>
            <w:hideMark/>
          </w:tcPr>
          <w:p w14:paraId="2D8677AF" w14:textId="0B3F07F4"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10,848</w:t>
            </w:r>
          </w:p>
        </w:tc>
        <w:tc>
          <w:tcPr>
            <w:tcW w:w="990" w:type="dxa"/>
            <w:tcBorders>
              <w:top w:val="nil"/>
              <w:left w:val="nil"/>
              <w:bottom w:val="single" w:sz="4" w:space="0" w:color="A6A6A6"/>
              <w:right w:val="nil"/>
            </w:tcBorders>
            <w:shd w:val="clear" w:color="auto" w:fill="auto"/>
            <w:noWrap/>
            <w:vAlign w:val="bottom"/>
            <w:hideMark/>
          </w:tcPr>
          <w:p w14:paraId="1AAA4DAB"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30%</w:t>
            </w:r>
          </w:p>
        </w:tc>
        <w:tc>
          <w:tcPr>
            <w:tcW w:w="990" w:type="dxa"/>
            <w:tcBorders>
              <w:top w:val="nil"/>
              <w:left w:val="single" w:sz="4" w:space="0" w:color="auto"/>
              <w:bottom w:val="single" w:sz="4" w:space="0" w:color="A6A6A6"/>
              <w:right w:val="nil"/>
            </w:tcBorders>
            <w:shd w:val="clear" w:color="auto" w:fill="auto"/>
            <w:noWrap/>
            <w:vAlign w:val="bottom"/>
            <w:hideMark/>
          </w:tcPr>
          <w:p w14:paraId="12724B7A" w14:textId="5FE7B864"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1,995</w:t>
            </w:r>
          </w:p>
        </w:tc>
        <w:tc>
          <w:tcPr>
            <w:tcW w:w="990" w:type="dxa"/>
            <w:tcBorders>
              <w:top w:val="nil"/>
              <w:left w:val="nil"/>
              <w:bottom w:val="single" w:sz="4" w:space="0" w:color="A6A6A6"/>
              <w:right w:val="nil"/>
            </w:tcBorders>
            <w:shd w:val="clear" w:color="auto" w:fill="auto"/>
            <w:noWrap/>
            <w:vAlign w:val="bottom"/>
            <w:hideMark/>
          </w:tcPr>
          <w:p w14:paraId="45C63D32"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38%</w:t>
            </w:r>
          </w:p>
        </w:tc>
        <w:tc>
          <w:tcPr>
            <w:tcW w:w="990" w:type="dxa"/>
            <w:tcBorders>
              <w:top w:val="nil"/>
              <w:left w:val="single" w:sz="4" w:space="0" w:color="auto"/>
              <w:bottom w:val="single" w:sz="4" w:space="0" w:color="A6A6A6"/>
              <w:right w:val="nil"/>
            </w:tcBorders>
            <w:shd w:val="clear" w:color="auto" w:fill="auto"/>
            <w:noWrap/>
            <w:vAlign w:val="bottom"/>
            <w:hideMark/>
          </w:tcPr>
          <w:p w14:paraId="612671A4" w14:textId="3F5C468B"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12,843</w:t>
            </w:r>
          </w:p>
        </w:tc>
        <w:tc>
          <w:tcPr>
            <w:tcW w:w="990" w:type="dxa"/>
            <w:tcBorders>
              <w:top w:val="nil"/>
              <w:left w:val="nil"/>
              <w:bottom w:val="single" w:sz="4" w:space="0" w:color="A6A6A6"/>
              <w:right w:val="single" w:sz="8" w:space="0" w:color="auto"/>
            </w:tcBorders>
            <w:shd w:val="clear" w:color="auto" w:fill="auto"/>
            <w:noWrap/>
            <w:vAlign w:val="bottom"/>
            <w:hideMark/>
          </w:tcPr>
          <w:p w14:paraId="1AE28F8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31%</w:t>
            </w:r>
          </w:p>
        </w:tc>
      </w:tr>
      <w:tr w:rsidR="009E2A0B" w:rsidRPr="009E2A0B" w14:paraId="29FA567D" w14:textId="77777777" w:rsidTr="00981CA7">
        <w:trPr>
          <w:cantSplit/>
          <w:trHeight w:val="288"/>
          <w:jc w:val="center"/>
        </w:trPr>
        <w:tc>
          <w:tcPr>
            <w:tcW w:w="960" w:type="dxa"/>
            <w:vMerge w:val="restart"/>
            <w:tcBorders>
              <w:top w:val="single" w:sz="4" w:space="0" w:color="auto"/>
              <w:left w:val="single" w:sz="8" w:space="0" w:color="auto"/>
              <w:bottom w:val="single" w:sz="4" w:space="0" w:color="A6A6A6"/>
              <w:right w:val="nil"/>
            </w:tcBorders>
            <w:shd w:val="clear" w:color="auto" w:fill="auto"/>
            <w:vAlign w:val="center"/>
            <w:hideMark/>
          </w:tcPr>
          <w:p w14:paraId="0C6D4F0E" w14:textId="77777777" w:rsidR="009E2A0B" w:rsidRPr="009E2A0B" w:rsidRDefault="009E2A0B" w:rsidP="009E2A0B">
            <w:pPr>
              <w:spacing w:after="0" w:line="240" w:lineRule="auto"/>
              <w:jc w:val="center"/>
              <w:rPr>
                <w:rFonts w:ascii="Calibri" w:eastAsia="Times New Roman" w:hAnsi="Calibri" w:cs="Calibri"/>
                <w:b/>
                <w:bCs/>
                <w:kern w:val="0"/>
                <w14:ligatures w14:val="none"/>
              </w:rPr>
            </w:pPr>
            <w:r w:rsidRPr="009E2A0B">
              <w:rPr>
                <w:rFonts w:ascii="Calibri" w:eastAsia="Times New Roman" w:hAnsi="Calibri" w:cs="Calibri"/>
                <w:b/>
                <w:bCs/>
                <w:kern w:val="0"/>
                <w14:ligatures w14:val="none"/>
              </w:rPr>
              <w:lastRenderedPageBreak/>
              <w:t>Gender</w:t>
            </w:r>
          </w:p>
        </w:tc>
        <w:tc>
          <w:tcPr>
            <w:tcW w:w="1640" w:type="dxa"/>
            <w:tcBorders>
              <w:top w:val="single" w:sz="4" w:space="0" w:color="auto"/>
              <w:left w:val="nil"/>
              <w:bottom w:val="single" w:sz="4" w:space="0" w:color="A6A6A6"/>
              <w:right w:val="nil"/>
            </w:tcBorders>
            <w:shd w:val="clear" w:color="auto" w:fill="auto"/>
            <w:noWrap/>
            <w:vAlign w:val="bottom"/>
            <w:hideMark/>
          </w:tcPr>
          <w:p w14:paraId="587E90DF"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Female</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0A88969D" w14:textId="0BE9A7D8"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20,176</w:t>
            </w:r>
          </w:p>
        </w:tc>
        <w:tc>
          <w:tcPr>
            <w:tcW w:w="990" w:type="dxa"/>
            <w:tcBorders>
              <w:top w:val="single" w:sz="4" w:space="0" w:color="auto"/>
              <w:left w:val="nil"/>
              <w:bottom w:val="single" w:sz="4" w:space="0" w:color="A6A6A6"/>
              <w:right w:val="nil"/>
            </w:tcBorders>
            <w:shd w:val="clear" w:color="auto" w:fill="auto"/>
            <w:noWrap/>
            <w:vAlign w:val="bottom"/>
            <w:hideMark/>
          </w:tcPr>
          <w:p w14:paraId="3506CDDE"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56%</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61148667" w14:textId="20AFAC40"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2,636</w:t>
            </w:r>
          </w:p>
        </w:tc>
        <w:tc>
          <w:tcPr>
            <w:tcW w:w="990" w:type="dxa"/>
            <w:tcBorders>
              <w:top w:val="single" w:sz="4" w:space="0" w:color="auto"/>
              <w:left w:val="nil"/>
              <w:bottom w:val="single" w:sz="4" w:space="0" w:color="A6A6A6"/>
              <w:right w:val="nil"/>
            </w:tcBorders>
            <w:shd w:val="clear" w:color="auto" w:fill="auto"/>
            <w:noWrap/>
            <w:vAlign w:val="bottom"/>
            <w:hideMark/>
          </w:tcPr>
          <w:p w14:paraId="6B750591"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50%</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036377F4" w14:textId="72ABADC8"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22,812</w:t>
            </w:r>
          </w:p>
        </w:tc>
        <w:tc>
          <w:tcPr>
            <w:tcW w:w="990" w:type="dxa"/>
            <w:tcBorders>
              <w:top w:val="single" w:sz="4" w:space="0" w:color="auto"/>
              <w:left w:val="nil"/>
              <w:bottom w:val="single" w:sz="4" w:space="0" w:color="A6A6A6"/>
              <w:right w:val="single" w:sz="8" w:space="0" w:color="auto"/>
            </w:tcBorders>
            <w:shd w:val="clear" w:color="auto" w:fill="auto"/>
            <w:noWrap/>
            <w:vAlign w:val="bottom"/>
            <w:hideMark/>
          </w:tcPr>
          <w:p w14:paraId="19FD6AE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55%</w:t>
            </w:r>
          </w:p>
        </w:tc>
      </w:tr>
      <w:tr w:rsidR="009E2A0B" w:rsidRPr="009E2A0B" w14:paraId="38EE087C" w14:textId="77777777" w:rsidTr="00981CA7">
        <w:trPr>
          <w:cantSplit/>
          <w:trHeight w:val="288"/>
          <w:jc w:val="center"/>
        </w:trPr>
        <w:tc>
          <w:tcPr>
            <w:tcW w:w="960" w:type="dxa"/>
            <w:vMerge/>
            <w:tcBorders>
              <w:top w:val="single" w:sz="4" w:space="0" w:color="auto"/>
              <w:left w:val="single" w:sz="8" w:space="0" w:color="auto"/>
              <w:bottom w:val="single" w:sz="4" w:space="0" w:color="A6A6A6"/>
              <w:right w:val="nil"/>
            </w:tcBorders>
            <w:vAlign w:val="center"/>
            <w:hideMark/>
          </w:tcPr>
          <w:p w14:paraId="03D4D2F4"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16AD9071"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Male</w:t>
            </w:r>
          </w:p>
        </w:tc>
        <w:tc>
          <w:tcPr>
            <w:tcW w:w="990" w:type="dxa"/>
            <w:tcBorders>
              <w:top w:val="nil"/>
              <w:left w:val="single" w:sz="4" w:space="0" w:color="auto"/>
              <w:bottom w:val="single" w:sz="4" w:space="0" w:color="A6A6A6"/>
              <w:right w:val="nil"/>
            </w:tcBorders>
            <w:shd w:val="clear" w:color="auto" w:fill="auto"/>
            <w:noWrap/>
            <w:vAlign w:val="bottom"/>
            <w:hideMark/>
          </w:tcPr>
          <w:p w14:paraId="1B8B0290" w14:textId="3229B89C"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15,965</w:t>
            </w:r>
          </w:p>
        </w:tc>
        <w:tc>
          <w:tcPr>
            <w:tcW w:w="990" w:type="dxa"/>
            <w:tcBorders>
              <w:top w:val="nil"/>
              <w:left w:val="nil"/>
              <w:bottom w:val="single" w:sz="4" w:space="0" w:color="A6A6A6"/>
              <w:right w:val="nil"/>
            </w:tcBorders>
            <w:shd w:val="clear" w:color="auto" w:fill="auto"/>
            <w:noWrap/>
            <w:vAlign w:val="bottom"/>
            <w:hideMark/>
          </w:tcPr>
          <w:p w14:paraId="3EEE1B0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44%</w:t>
            </w:r>
          </w:p>
        </w:tc>
        <w:tc>
          <w:tcPr>
            <w:tcW w:w="990" w:type="dxa"/>
            <w:tcBorders>
              <w:top w:val="nil"/>
              <w:left w:val="single" w:sz="4" w:space="0" w:color="auto"/>
              <w:bottom w:val="single" w:sz="4" w:space="0" w:color="A6A6A6"/>
              <w:right w:val="nil"/>
            </w:tcBorders>
            <w:shd w:val="clear" w:color="auto" w:fill="auto"/>
            <w:noWrap/>
            <w:vAlign w:val="bottom"/>
            <w:hideMark/>
          </w:tcPr>
          <w:p w14:paraId="4F902879" w14:textId="4B20CF92"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2,661</w:t>
            </w:r>
          </w:p>
        </w:tc>
        <w:tc>
          <w:tcPr>
            <w:tcW w:w="990" w:type="dxa"/>
            <w:tcBorders>
              <w:top w:val="nil"/>
              <w:left w:val="nil"/>
              <w:bottom w:val="single" w:sz="4" w:space="0" w:color="A6A6A6"/>
              <w:right w:val="nil"/>
            </w:tcBorders>
            <w:shd w:val="clear" w:color="auto" w:fill="auto"/>
            <w:noWrap/>
            <w:vAlign w:val="bottom"/>
            <w:hideMark/>
          </w:tcPr>
          <w:p w14:paraId="686D7BA0"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50%</w:t>
            </w:r>
          </w:p>
        </w:tc>
        <w:tc>
          <w:tcPr>
            <w:tcW w:w="990" w:type="dxa"/>
            <w:tcBorders>
              <w:top w:val="nil"/>
              <w:left w:val="single" w:sz="4" w:space="0" w:color="auto"/>
              <w:bottom w:val="single" w:sz="4" w:space="0" w:color="A6A6A6"/>
              <w:right w:val="nil"/>
            </w:tcBorders>
            <w:shd w:val="clear" w:color="auto" w:fill="auto"/>
            <w:noWrap/>
            <w:vAlign w:val="bottom"/>
            <w:hideMark/>
          </w:tcPr>
          <w:p w14:paraId="4B2CA8E1" w14:textId="43B31148"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18,626</w:t>
            </w:r>
          </w:p>
        </w:tc>
        <w:tc>
          <w:tcPr>
            <w:tcW w:w="990" w:type="dxa"/>
            <w:tcBorders>
              <w:top w:val="nil"/>
              <w:left w:val="nil"/>
              <w:bottom w:val="single" w:sz="4" w:space="0" w:color="A6A6A6"/>
              <w:right w:val="single" w:sz="8" w:space="0" w:color="auto"/>
            </w:tcBorders>
            <w:shd w:val="clear" w:color="auto" w:fill="auto"/>
            <w:noWrap/>
            <w:vAlign w:val="bottom"/>
            <w:hideMark/>
          </w:tcPr>
          <w:p w14:paraId="0B578DF8"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45%</w:t>
            </w:r>
          </w:p>
        </w:tc>
      </w:tr>
      <w:tr w:rsidR="009E2A0B" w:rsidRPr="009E2A0B" w14:paraId="70C2B7F4" w14:textId="77777777" w:rsidTr="00981CA7">
        <w:trPr>
          <w:cantSplit/>
          <w:trHeight w:val="288"/>
          <w:jc w:val="center"/>
        </w:trPr>
        <w:tc>
          <w:tcPr>
            <w:tcW w:w="960" w:type="dxa"/>
            <w:vMerge w:val="restart"/>
            <w:tcBorders>
              <w:top w:val="single" w:sz="4" w:space="0" w:color="auto"/>
              <w:left w:val="single" w:sz="8" w:space="0" w:color="auto"/>
              <w:bottom w:val="double" w:sz="6" w:space="0" w:color="000000"/>
              <w:right w:val="nil"/>
            </w:tcBorders>
            <w:shd w:val="clear" w:color="auto" w:fill="auto"/>
            <w:vAlign w:val="center"/>
            <w:hideMark/>
          </w:tcPr>
          <w:p w14:paraId="1EC84907" w14:textId="77777777" w:rsidR="009E2A0B" w:rsidRPr="009E2A0B" w:rsidRDefault="009E2A0B" w:rsidP="009E2A0B">
            <w:pPr>
              <w:spacing w:after="0" w:line="240" w:lineRule="auto"/>
              <w:jc w:val="center"/>
              <w:rPr>
                <w:rFonts w:ascii="Calibri" w:eastAsia="Times New Roman" w:hAnsi="Calibri" w:cs="Calibri"/>
                <w:b/>
                <w:bCs/>
                <w:kern w:val="0"/>
                <w14:ligatures w14:val="none"/>
              </w:rPr>
            </w:pPr>
            <w:r w:rsidRPr="009E2A0B">
              <w:rPr>
                <w:rFonts w:ascii="Calibri" w:eastAsia="Times New Roman" w:hAnsi="Calibri" w:cs="Calibri"/>
                <w:b/>
                <w:bCs/>
                <w:kern w:val="0"/>
                <w14:ligatures w14:val="none"/>
              </w:rPr>
              <w:t>Payor Type</w:t>
            </w:r>
          </w:p>
        </w:tc>
        <w:tc>
          <w:tcPr>
            <w:tcW w:w="1640" w:type="dxa"/>
            <w:tcBorders>
              <w:top w:val="single" w:sz="4" w:space="0" w:color="auto"/>
              <w:left w:val="nil"/>
              <w:bottom w:val="single" w:sz="4" w:space="0" w:color="A6A6A6"/>
              <w:right w:val="nil"/>
            </w:tcBorders>
            <w:shd w:val="clear" w:color="auto" w:fill="auto"/>
            <w:noWrap/>
            <w:vAlign w:val="bottom"/>
            <w:hideMark/>
          </w:tcPr>
          <w:p w14:paraId="04A64C11"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Medicare</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7AC0D654" w14:textId="0117A1AE"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20,831</w:t>
            </w:r>
          </w:p>
        </w:tc>
        <w:tc>
          <w:tcPr>
            <w:tcW w:w="990" w:type="dxa"/>
            <w:tcBorders>
              <w:top w:val="single" w:sz="4" w:space="0" w:color="auto"/>
              <w:left w:val="nil"/>
              <w:bottom w:val="single" w:sz="4" w:space="0" w:color="A6A6A6"/>
              <w:right w:val="nil"/>
            </w:tcBorders>
            <w:shd w:val="clear" w:color="auto" w:fill="auto"/>
            <w:noWrap/>
            <w:vAlign w:val="bottom"/>
            <w:hideMark/>
          </w:tcPr>
          <w:p w14:paraId="52EB508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57%</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287CEFD6" w14:textId="27225C11"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3,285</w:t>
            </w:r>
          </w:p>
        </w:tc>
        <w:tc>
          <w:tcPr>
            <w:tcW w:w="990" w:type="dxa"/>
            <w:tcBorders>
              <w:top w:val="single" w:sz="4" w:space="0" w:color="auto"/>
              <w:left w:val="nil"/>
              <w:bottom w:val="single" w:sz="4" w:space="0" w:color="A6A6A6"/>
              <w:right w:val="nil"/>
            </w:tcBorders>
            <w:shd w:val="clear" w:color="auto" w:fill="auto"/>
            <w:noWrap/>
            <w:vAlign w:val="bottom"/>
            <w:hideMark/>
          </w:tcPr>
          <w:p w14:paraId="5C099F56"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62%</w:t>
            </w:r>
          </w:p>
        </w:tc>
        <w:tc>
          <w:tcPr>
            <w:tcW w:w="990" w:type="dxa"/>
            <w:tcBorders>
              <w:top w:val="single" w:sz="4" w:space="0" w:color="auto"/>
              <w:left w:val="single" w:sz="4" w:space="0" w:color="auto"/>
              <w:bottom w:val="single" w:sz="4" w:space="0" w:color="A6A6A6"/>
              <w:right w:val="nil"/>
            </w:tcBorders>
            <w:shd w:val="clear" w:color="auto" w:fill="auto"/>
            <w:noWrap/>
            <w:vAlign w:val="bottom"/>
            <w:hideMark/>
          </w:tcPr>
          <w:p w14:paraId="783281BA" w14:textId="73ED96D9"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24,116</w:t>
            </w:r>
          </w:p>
        </w:tc>
        <w:tc>
          <w:tcPr>
            <w:tcW w:w="990" w:type="dxa"/>
            <w:tcBorders>
              <w:top w:val="single" w:sz="4" w:space="0" w:color="auto"/>
              <w:left w:val="nil"/>
              <w:bottom w:val="single" w:sz="4" w:space="0" w:color="A6A6A6"/>
              <w:right w:val="single" w:sz="8" w:space="0" w:color="auto"/>
            </w:tcBorders>
            <w:shd w:val="clear" w:color="auto" w:fill="auto"/>
            <w:noWrap/>
            <w:vAlign w:val="bottom"/>
            <w:hideMark/>
          </w:tcPr>
          <w:p w14:paraId="44A7B47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58%</w:t>
            </w:r>
          </w:p>
        </w:tc>
      </w:tr>
      <w:tr w:rsidR="009E2A0B" w:rsidRPr="009E2A0B" w14:paraId="6F202C5D" w14:textId="77777777" w:rsidTr="00981CA7">
        <w:trPr>
          <w:cantSplit/>
          <w:trHeight w:val="288"/>
          <w:jc w:val="center"/>
        </w:trPr>
        <w:tc>
          <w:tcPr>
            <w:tcW w:w="960" w:type="dxa"/>
            <w:vMerge/>
            <w:tcBorders>
              <w:top w:val="single" w:sz="4" w:space="0" w:color="auto"/>
              <w:left w:val="single" w:sz="8" w:space="0" w:color="auto"/>
              <w:bottom w:val="double" w:sz="6" w:space="0" w:color="000000"/>
              <w:right w:val="nil"/>
            </w:tcBorders>
            <w:vAlign w:val="center"/>
            <w:hideMark/>
          </w:tcPr>
          <w:p w14:paraId="79180878"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2A09D51D"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Commercial</w:t>
            </w:r>
          </w:p>
        </w:tc>
        <w:tc>
          <w:tcPr>
            <w:tcW w:w="990" w:type="dxa"/>
            <w:tcBorders>
              <w:top w:val="nil"/>
              <w:left w:val="single" w:sz="4" w:space="0" w:color="auto"/>
              <w:bottom w:val="single" w:sz="4" w:space="0" w:color="A6A6A6"/>
              <w:right w:val="nil"/>
            </w:tcBorders>
            <w:shd w:val="clear" w:color="auto" w:fill="auto"/>
            <w:noWrap/>
            <w:vAlign w:val="bottom"/>
            <w:hideMark/>
          </w:tcPr>
          <w:p w14:paraId="56417434" w14:textId="137BC392"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7,373</w:t>
            </w:r>
          </w:p>
        </w:tc>
        <w:tc>
          <w:tcPr>
            <w:tcW w:w="990" w:type="dxa"/>
            <w:tcBorders>
              <w:top w:val="nil"/>
              <w:left w:val="nil"/>
              <w:bottom w:val="single" w:sz="4" w:space="0" w:color="A6A6A6"/>
              <w:right w:val="nil"/>
            </w:tcBorders>
            <w:shd w:val="clear" w:color="auto" w:fill="auto"/>
            <w:noWrap/>
            <w:vAlign w:val="bottom"/>
            <w:hideMark/>
          </w:tcPr>
          <w:p w14:paraId="2813D159"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w:t>
            </w:r>
          </w:p>
        </w:tc>
        <w:tc>
          <w:tcPr>
            <w:tcW w:w="990" w:type="dxa"/>
            <w:tcBorders>
              <w:top w:val="nil"/>
              <w:left w:val="single" w:sz="4" w:space="0" w:color="auto"/>
              <w:bottom w:val="single" w:sz="4" w:space="0" w:color="A6A6A6"/>
              <w:right w:val="nil"/>
            </w:tcBorders>
            <w:shd w:val="clear" w:color="auto" w:fill="auto"/>
            <w:noWrap/>
            <w:vAlign w:val="bottom"/>
            <w:hideMark/>
          </w:tcPr>
          <w:p w14:paraId="1B5310BC" w14:textId="4371DA1B"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947</w:t>
            </w:r>
          </w:p>
        </w:tc>
        <w:tc>
          <w:tcPr>
            <w:tcW w:w="990" w:type="dxa"/>
            <w:tcBorders>
              <w:top w:val="nil"/>
              <w:left w:val="nil"/>
              <w:bottom w:val="single" w:sz="4" w:space="0" w:color="A6A6A6"/>
              <w:right w:val="nil"/>
            </w:tcBorders>
            <w:shd w:val="clear" w:color="auto" w:fill="auto"/>
            <w:noWrap/>
            <w:vAlign w:val="bottom"/>
            <w:hideMark/>
          </w:tcPr>
          <w:p w14:paraId="5CB5C81F"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18%</w:t>
            </w:r>
          </w:p>
        </w:tc>
        <w:tc>
          <w:tcPr>
            <w:tcW w:w="990" w:type="dxa"/>
            <w:tcBorders>
              <w:top w:val="nil"/>
              <w:left w:val="single" w:sz="4" w:space="0" w:color="auto"/>
              <w:bottom w:val="single" w:sz="4" w:space="0" w:color="A6A6A6"/>
              <w:right w:val="nil"/>
            </w:tcBorders>
            <w:shd w:val="clear" w:color="auto" w:fill="auto"/>
            <w:noWrap/>
            <w:vAlign w:val="bottom"/>
            <w:hideMark/>
          </w:tcPr>
          <w:p w14:paraId="44CB4692" w14:textId="18866509"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8,320</w:t>
            </w:r>
          </w:p>
        </w:tc>
        <w:tc>
          <w:tcPr>
            <w:tcW w:w="990" w:type="dxa"/>
            <w:tcBorders>
              <w:top w:val="nil"/>
              <w:left w:val="nil"/>
              <w:bottom w:val="single" w:sz="4" w:space="0" w:color="A6A6A6"/>
              <w:right w:val="single" w:sz="8" w:space="0" w:color="auto"/>
            </w:tcBorders>
            <w:shd w:val="clear" w:color="auto" w:fill="auto"/>
            <w:noWrap/>
            <w:vAlign w:val="bottom"/>
            <w:hideMark/>
          </w:tcPr>
          <w:p w14:paraId="455F2BC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20%</w:t>
            </w:r>
          </w:p>
        </w:tc>
      </w:tr>
      <w:tr w:rsidR="009E2A0B" w:rsidRPr="009E2A0B" w14:paraId="39E3315D" w14:textId="77777777" w:rsidTr="00981CA7">
        <w:trPr>
          <w:cantSplit/>
          <w:trHeight w:val="288"/>
          <w:jc w:val="center"/>
        </w:trPr>
        <w:tc>
          <w:tcPr>
            <w:tcW w:w="960" w:type="dxa"/>
            <w:vMerge/>
            <w:tcBorders>
              <w:top w:val="single" w:sz="4" w:space="0" w:color="auto"/>
              <w:left w:val="single" w:sz="8" w:space="0" w:color="auto"/>
              <w:bottom w:val="double" w:sz="6" w:space="0" w:color="000000"/>
              <w:right w:val="nil"/>
            </w:tcBorders>
            <w:vAlign w:val="center"/>
            <w:hideMark/>
          </w:tcPr>
          <w:p w14:paraId="4052E445"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single" w:sz="4" w:space="0" w:color="A6A6A6"/>
              <w:right w:val="nil"/>
            </w:tcBorders>
            <w:shd w:val="clear" w:color="auto" w:fill="auto"/>
            <w:noWrap/>
            <w:vAlign w:val="bottom"/>
            <w:hideMark/>
          </w:tcPr>
          <w:p w14:paraId="470C07E7" w14:textId="41BB756F"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Medicaid</w:t>
            </w:r>
          </w:p>
        </w:tc>
        <w:tc>
          <w:tcPr>
            <w:tcW w:w="990" w:type="dxa"/>
            <w:tcBorders>
              <w:top w:val="nil"/>
              <w:left w:val="single" w:sz="4" w:space="0" w:color="auto"/>
              <w:bottom w:val="single" w:sz="4" w:space="0" w:color="A6A6A6"/>
              <w:right w:val="nil"/>
            </w:tcBorders>
            <w:shd w:val="clear" w:color="auto" w:fill="auto"/>
            <w:noWrap/>
            <w:vAlign w:val="bottom"/>
            <w:hideMark/>
          </w:tcPr>
          <w:p w14:paraId="339804C8" w14:textId="59F43321"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4,175</w:t>
            </w:r>
          </w:p>
        </w:tc>
        <w:tc>
          <w:tcPr>
            <w:tcW w:w="990" w:type="dxa"/>
            <w:tcBorders>
              <w:top w:val="nil"/>
              <w:left w:val="nil"/>
              <w:bottom w:val="single" w:sz="4" w:space="0" w:color="A6A6A6"/>
              <w:right w:val="nil"/>
            </w:tcBorders>
            <w:shd w:val="clear" w:color="auto" w:fill="auto"/>
            <w:noWrap/>
            <w:vAlign w:val="bottom"/>
            <w:hideMark/>
          </w:tcPr>
          <w:p w14:paraId="69FC3AA8"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c>
          <w:tcPr>
            <w:tcW w:w="990" w:type="dxa"/>
            <w:tcBorders>
              <w:top w:val="nil"/>
              <w:left w:val="single" w:sz="4" w:space="0" w:color="auto"/>
              <w:bottom w:val="single" w:sz="4" w:space="0" w:color="A6A6A6"/>
              <w:right w:val="nil"/>
            </w:tcBorders>
            <w:shd w:val="clear" w:color="auto" w:fill="auto"/>
            <w:noWrap/>
            <w:vAlign w:val="bottom"/>
            <w:hideMark/>
          </w:tcPr>
          <w:p w14:paraId="0C631C3F" w14:textId="0EE00165"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630</w:t>
            </w:r>
          </w:p>
        </w:tc>
        <w:tc>
          <w:tcPr>
            <w:tcW w:w="990" w:type="dxa"/>
            <w:tcBorders>
              <w:top w:val="nil"/>
              <w:left w:val="nil"/>
              <w:bottom w:val="single" w:sz="4" w:space="0" w:color="A6A6A6"/>
              <w:right w:val="nil"/>
            </w:tcBorders>
            <w:shd w:val="clear" w:color="auto" w:fill="auto"/>
            <w:noWrap/>
            <w:vAlign w:val="bottom"/>
            <w:hideMark/>
          </w:tcPr>
          <w:p w14:paraId="513F4EDD"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12%</w:t>
            </w:r>
          </w:p>
        </w:tc>
        <w:tc>
          <w:tcPr>
            <w:tcW w:w="990" w:type="dxa"/>
            <w:tcBorders>
              <w:top w:val="nil"/>
              <w:left w:val="single" w:sz="4" w:space="0" w:color="auto"/>
              <w:bottom w:val="single" w:sz="4" w:space="0" w:color="A6A6A6"/>
              <w:right w:val="nil"/>
            </w:tcBorders>
            <w:shd w:val="clear" w:color="auto" w:fill="auto"/>
            <w:noWrap/>
            <w:vAlign w:val="bottom"/>
            <w:hideMark/>
          </w:tcPr>
          <w:p w14:paraId="04C1540C" w14:textId="63864ACF"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4,625</w:t>
            </w:r>
          </w:p>
        </w:tc>
        <w:tc>
          <w:tcPr>
            <w:tcW w:w="990" w:type="dxa"/>
            <w:tcBorders>
              <w:top w:val="nil"/>
              <w:left w:val="nil"/>
              <w:bottom w:val="single" w:sz="4" w:space="0" w:color="A6A6A6"/>
              <w:right w:val="single" w:sz="8" w:space="0" w:color="auto"/>
            </w:tcBorders>
            <w:shd w:val="clear" w:color="auto" w:fill="auto"/>
            <w:noWrap/>
            <w:vAlign w:val="bottom"/>
            <w:hideMark/>
          </w:tcPr>
          <w:p w14:paraId="07C2091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r>
      <w:tr w:rsidR="009E2A0B" w:rsidRPr="009E2A0B" w14:paraId="2DF5560B" w14:textId="77777777" w:rsidTr="00981CA7">
        <w:trPr>
          <w:cantSplit/>
          <w:trHeight w:val="288"/>
          <w:jc w:val="center"/>
        </w:trPr>
        <w:tc>
          <w:tcPr>
            <w:tcW w:w="960" w:type="dxa"/>
            <w:vMerge/>
            <w:tcBorders>
              <w:top w:val="single" w:sz="4" w:space="0" w:color="auto"/>
              <w:left w:val="single" w:sz="8" w:space="0" w:color="auto"/>
              <w:bottom w:val="double" w:sz="6" w:space="0" w:color="000000"/>
              <w:right w:val="nil"/>
            </w:tcBorders>
            <w:vAlign w:val="center"/>
            <w:hideMark/>
          </w:tcPr>
          <w:p w14:paraId="5BE9823E" w14:textId="77777777" w:rsidR="009E2A0B" w:rsidRPr="009E2A0B" w:rsidRDefault="009E2A0B" w:rsidP="009E2A0B">
            <w:pPr>
              <w:spacing w:after="0" w:line="240" w:lineRule="auto"/>
              <w:rPr>
                <w:rFonts w:ascii="Calibri" w:eastAsia="Times New Roman" w:hAnsi="Calibri" w:cs="Calibri"/>
                <w:b/>
                <w:bCs/>
                <w:kern w:val="0"/>
                <w14:ligatures w14:val="none"/>
              </w:rPr>
            </w:pPr>
          </w:p>
        </w:tc>
        <w:tc>
          <w:tcPr>
            <w:tcW w:w="1640" w:type="dxa"/>
            <w:tcBorders>
              <w:top w:val="nil"/>
              <w:left w:val="nil"/>
              <w:bottom w:val="double" w:sz="6" w:space="0" w:color="auto"/>
              <w:right w:val="nil"/>
            </w:tcBorders>
            <w:shd w:val="clear" w:color="auto" w:fill="auto"/>
            <w:noWrap/>
            <w:vAlign w:val="bottom"/>
            <w:hideMark/>
          </w:tcPr>
          <w:p w14:paraId="28366CFA"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Other</w:t>
            </w:r>
          </w:p>
        </w:tc>
        <w:tc>
          <w:tcPr>
            <w:tcW w:w="990" w:type="dxa"/>
            <w:tcBorders>
              <w:top w:val="nil"/>
              <w:left w:val="single" w:sz="4" w:space="0" w:color="auto"/>
              <w:bottom w:val="double" w:sz="6" w:space="0" w:color="auto"/>
              <w:right w:val="nil"/>
            </w:tcBorders>
            <w:shd w:val="clear" w:color="auto" w:fill="auto"/>
            <w:noWrap/>
            <w:vAlign w:val="bottom"/>
            <w:hideMark/>
          </w:tcPr>
          <w:p w14:paraId="4AFF6E3D" w14:textId="7E9192A0"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3,946</w:t>
            </w:r>
          </w:p>
        </w:tc>
        <w:tc>
          <w:tcPr>
            <w:tcW w:w="990" w:type="dxa"/>
            <w:tcBorders>
              <w:top w:val="nil"/>
              <w:left w:val="nil"/>
              <w:bottom w:val="double" w:sz="6" w:space="0" w:color="auto"/>
              <w:right w:val="nil"/>
            </w:tcBorders>
            <w:shd w:val="clear" w:color="auto" w:fill="auto"/>
            <w:noWrap/>
            <w:vAlign w:val="bottom"/>
            <w:hideMark/>
          </w:tcPr>
          <w:p w14:paraId="4434F59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c>
          <w:tcPr>
            <w:tcW w:w="990" w:type="dxa"/>
            <w:tcBorders>
              <w:top w:val="nil"/>
              <w:left w:val="single" w:sz="4" w:space="0" w:color="auto"/>
              <w:bottom w:val="double" w:sz="6" w:space="0" w:color="auto"/>
              <w:right w:val="nil"/>
            </w:tcBorders>
            <w:shd w:val="clear" w:color="auto" w:fill="auto"/>
            <w:noWrap/>
            <w:vAlign w:val="bottom"/>
            <w:hideMark/>
          </w:tcPr>
          <w:p w14:paraId="3EBDD2F5" w14:textId="3BB9DC43"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450</w:t>
            </w:r>
          </w:p>
        </w:tc>
        <w:tc>
          <w:tcPr>
            <w:tcW w:w="990" w:type="dxa"/>
            <w:tcBorders>
              <w:top w:val="nil"/>
              <w:left w:val="nil"/>
              <w:bottom w:val="double" w:sz="6" w:space="0" w:color="auto"/>
              <w:right w:val="nil"/>
            </w:tcBorders>
            <w:shd w:val="clear" w:color="auto" w:fill="auto"/>
            <w:noWrap/>
            <w:vAlign w:val="bottom"/>
            <w:hideMark/>
          </w:tcPr>
          <w:p w14:paraId="1352D095"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8%</w:t>
            </w:r>
          </w:p>
        </w:tc>
        <w:tc>
          <w:tcPr>
            <w:tcW w:w="990" w:type="dxa"/>
            <w:tcBorders>
              <w:top w:val="nil"/>
              <w:left w:val="single" w:sz="4" w:space="0" w:color="auto"/>
              <w:bottom w:val="double" w:sz="6" w:space="0" w:color="auto"/>
              <w:right w:val="nil"/>
            </w:tcBorders>
            <w:shd w:val="clear" w:color="auto" w:fill="auto"/>
            <w:noWrap/>
            <w:vAlign w:val="bottom"/>
            <w:hideMark/>
          </w:tcPr>
          <w:p w14:paraId="6B1893DB" w14:textId="19905B22"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4,576</w:t>
            </w:r>
          </w:p>
        </w:tc>
        <w:tc>
          <w:tcPr>
            <w:tcW w:w="990" w:type="dxa"/>
            <w:tcBorders>
              <w:top w:val="nil"/>
              <w:left w:val="nil"/>
              <w:bottom w:val="double" w:sz="6" w:space="0" w:color="auto"/>
              <w:right w:val="single" w:sz="8" w:space="0" w:color="auto"/>
            </w:tcBorders>
            <w:shd w:val="clear" w:color="auto" w:fill="auto"/>
            <w:noWrap/>
            <w:vAlign w:val="bottom"/>
            <w:hideMark/>
          </w:tcPr>
          <w:p w14:paraId="28ED2D7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11%</w:t>
            </w:r>
          </w:p>
        </w:tc>
      </w:tr>
      <w:tr w:rsidR="009E2A0B" w:rsidRPr="009E2A0B" w14:paraId="4C4F2BE4" w14:textId="77777777" w:rsidTr="00981CA7">
        <w:trPr>
          <w:cantSplit/>
          <w:trHeight w:val="288"/>
          <w:jc w:val="center"/>
        </w:trPr>
        <w:tc>
          <w:tcPr>
            <w:tcW w:w="960" w:type="dxa"/>
            <w:tcBorders>
              <w:top w:val="nil"/>
              <w:left w:val="single" w:sz="8" w:space="0" w:color="auto"/>
              <w:bottom w:val="single" w:sz="8" w:space="0" w:color="auto"/>
              <w:right w:val="nil"/>
            </w:tcBorders>
            <w:shd w:val="clear" w:color="auto" w:fill="auto"/>
            <w:vAlign w:val="center"/>
            <w:hideMark/>
          </w:tcPr>
          <w:p w14:paraId="37F29F7D" w14:textId="77777777" w:rsidR="009E2A0B" w:rsidRPr="009E2A0B" w:rsidRDefault="009E2A0B" w:rsidP="009E2A0B">
            <w:pPr>
              <w:spacing w:after="0" w:line="240" w:lineRule="auto"/>
              <w:jc w:val="center"/>
              <w:rPr>
                <w:rFonts w:ascii="Calibri" w:eastAsia="Times New Roman" w:hAnsi="Calibri" w:cs="Calibri"/>
                <w:b/>
                <w:bCs/>
                <w:kern w:val="0"/>
                <w14:ligatures w14:val="none"/>
              </w:rPr>
            </w:pPr>
            <w:r w:rsidRPr="009E2A0B">
              <w:rPr>
                <w:rFonts w:ascii="Calibri" w:eastAsia="Times New Roman" w:hAnsi="Calibri" w:cs="Calibri"/>
                <w:b/>
                <w:bCs/>
                <w:kern w:val="0"/>
                <w14:ligatures w14:val="none"/>
              </w:rPr>
              <w:t>Total</w:t>
            </w:r>
          </w:p>
        </w:tc>
        <w:tc>
          <w:tcPr>
            <w:tcW w:w="1640" w:type="dxa"/>
            <w:tcBorders>
              <w:top w:val="nil"/>
              <w:left w:val="nil"/>
              <w:bottom w:val="single" w:sz="8" w:space="0" w:color="auto"/>
              <w:right w:val="nil"/>
            </w:tcBorders>
            <w:shd w:val="clear" w:color="auto" w:fill="auto"/>
            <w:noWrap/>
            <w:vAlign w:val="bottom"/>
            <w:hideMark/>
          </w:tcPr>
          <w:p w14:paraId="71DD60CA" w14:textId="77777777" w:rsidR="009E2A0B" w:rsidRPr="009E2A0B" w:rsidRDefault="009E2A0B" w:rsidP="009E2A0B">
            <w:pPr>
              <w:spacing w:after="0" w:line="240" w:lineRule="auto"/>
              <w:rPr>
                <w:rFonts w:ascii="Calibri" w:eastAsia="Times New Roman" w:hAnsi="Calibri" w:cs="Calibri"/>
                <w:kern w:val="0"/>
                <w14:ligatures w14:val="none"/>
              </w:rPr>
            </w:pPr>
            <w:r w:rsidRPr="009E2A0B">
              <w:rPr>
                <w:rFonts w:ascii="Calibri" w:eastAsia="Times New Roman" w:hAnsi="Calibri" w:cs="Calibri"/>
                <w:kern w:val="0"/>
                <w14:ligatures w14:val="none"/>
              </w:rPr>
              <w:t>Total</w:t>
            </w:r>
          </w:p>
        </w:tc>
        <w:tc>
          <w:tcPr>
            <w:tcW w:w="990" w:type="dxa"/>
            <w:tcBorders>
              <w:top w:val="nil"/>
              <w:left w:val="single" w:sz="4" w:space="0" w:color="auto"/>
              <w:bottom w:val="single" w:sz="8" w:space="0" w:color="auto"/>
              <w:right w:val="nil"/>
            </w:tcBorders>
            <w:shd w:val="clear" w:color="auto" w:fill="auto"/>
            <w:noWrap/>
            <w:vAlign w:val="bottom"/>
            <w:hideMark/>
          </w:tcPr>
          <w:p w14:paraId="54D7122E" w14:textId="22FD7E24"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36,325</w:t>
            </w:r>
          </w:p>
        </w:tc>
        <w:tc>
          <w:tcPr>
            <w:tcW w:w="990" w:type="dxa"/>
            <w:tcBorders>
              <w:top w:val="nil"/>
              <w:left w:val="nil"/>
              <w:bottom w:val="single" w:sz="8" w:space="0" w:color="auto"/>
              <w:right w:val="nil"/>
            </w:tcBorders>
            <w:shd w:val="clear" w:color="auto" w:fill="auto"/>
            <w:noWrap/>
            <w:vAlign w:val="bottom"/>
            <w:hideMark/>
          </w:tcPr>
          <w:p w14:paraId="59E13EA8"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100%</w:t>
            </w:r>
          </w:p>
        </w:tc>
        <w:tc>
          <w:tcPr>
            <w:tcW w:w="990" w:type="dxa"/>
            <w:tcBorders>
              <w:top w:val="nil"/>
              <w:left w:val="single" w:sz="4" w:space="0" w:color="auto"/>
              <w:bottom w:val="single" w:sz="8" w:space="0" w:color="auto"/>
              <w:right w:val="nil"/>
            </w:tcBorders>
            <w:shd w:val="clear" w:color="auto" w:fill="auto"/>
            <w:noWrap/>
            <w:vAlign w:val="bottom"/>
            <w:hideMark/>
          </w:tcPr>
          <w:p w14:paraId="312DABF7" w14:textId="450A3473"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5,312</w:t>
            </w:r>
          </w:p>
        </w:tc>
        <w:tc>
          <w:tcPr>
            <w:tcW w:w="990" w:type="dxa"/>
            <w:tcBorders>
              <w:top w:val="nil"/>
              <w:left w:val="nil"/>
              <w:bottom w:val="single" w:sz="8" w:space="0" w:color="auto"/>
              <w:right w:val="nil"/>
            </w:tcBorders>
            <w:shd w:val="clear" w:color="auto" w:fill="auto"/>
            <w:noWrap/>
            <w:vAlign w:val="bottom"/>
            <w:hideMark/>
          </w:tcPr>
          <w:p w14:paraId="402B0303"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100%</w:t>
            </w:r>
          </w:p>
        </w:tc>
        <w:tc>
          <w:tcPr>
            <w:tcW w:w="990" w:type="dxa"/>
            <w:tcBorders>
              <w:top w:val="nil"/>
              <w:left w:val="single" w:sz="4" w:space="0" w:color="auto"/>
              <w:bottom w:val="single" w:sz="8" w:space="0" w:color="auto"/>
              <w:right w:val="nil"/>
            </w:tcBorders>
            <w:shd w:val="clear" w:color="auto" w:fill="auto"/>
            <w:noWrap/>
            <w:vAlign w:val="bottom"/>
            <w:hideMark/>
          </w:tcPr>
          <w:p w14:paraId="4D1F7397" w14:textId="7815175B"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41,637</w:t>
            </w:r>
          </w:p>
        </w:tc>
        <w:tc>
          <w:tcPr>
            <w:tcW w:w="990" w:type="dxa"/>
            <w:tcBorders>
              <w:top w:val="nil"/>
              <w:left w:val="nil"/>
              <w:bottom w:val="single" w:sz="8" w:space="0" w:color="auto"/>
              <w:right w:val="single" w:sz="8" w:space="0" w:color="auto"/>
            </w:tcBorders>
            <w:shd w:val="clear" w:color="auto" w:fill="auto"/>
            <w:noWrap/>
            <w:vAlign w:val="bottom"/>
            <w:hideMark/>
          </w:tcPr>
          <w:p w14:paraId="4AA2381A" w14:textId="77777777" w:rsidR="009E2A0B" w:rsidRPr="009E2A0B" w:rsidRDefault="009E2A0B" w:rsidP="009E2A0B">
            <w:pPr>
              <w:spacing w:after="0" w:line="240" w:lineRule="auto"/>
              <w:jc w:val="center"/>
              <w:rPr>
                <w:rFonts w:ascii="Calibri" w:eastAsia="Times New Roman" w:hAnsi="Calibri" w:cs="Calibri"/>
                <w:kern w:val="0"/>
                <w14:ligatures w14:val="none"/>
              </w:rPr>
            </w:pPr>
            <w:r w:rsidRPr="009E2A0B">
              <w:rPr>
                <w:rFonts w:ascii="Calibri" w:eastAsia="Times New Roman" w:hAnsi="Calibri" w:cs="Calibri"/>
                <w:kern w:val="0"/>
                <w14:ligatures w14:val="none"/>
              </w:rPr>
              <w:t>100%</w:t>
            </w:r>
          </w:p>
        </w:tc>
      </w:tr>
    </w:tbl>
    <w:p w14:paraId="5197F548" w14:textId="77777777" w:rsidR="009E2A0B" w:rsidRDefault="009E2A0B" w:rsidP="007A68F7">
      <w:pPr>
        <w:spacing w:after="120" w:line="360" w:lineRule="auto"/>
      </w:pPr>
    </w:p>
    <w:p w14:paraId="0B319AE7" w14:textId="5E616C89" w:rsidR="000233C8" w:rsidRDefault="000233C8" w:rsidP="009A58A5">
      <w:pPr>
        <w:numPr>
          <w:ilvl w:val="0"/>
          <w:numId w:val="4"/>
        </w:numPr>
        <w:spacing w:before="120" w:after="120" w:line="360" w:lineRule="auto"/>
        <w:jc w:val="both"/>
      </w:pPr>
      <w:r w:rsidRPr="000233C8">
        <w:t xml:space="preserve">In response to the ICA </w:t>
      </w:r>
      <w:r w:rsidR="00F7130C">
        <w:t>Q</w:t>
      </w:r>
      <w:r w:rsidRPr="000233C8">
        <w:t xml:space="preserve">uestions regarding price and competition for outpatient imaging services, </w:t>
      </w:r>
      <w:r w:rsidR="00F7130C">
        <w:t xml:space="preserve">FTI </w:t>
      </w:r>
      <w:r w:rsidRPr="000233C8">
        <w:t xml:space="preserve">analyzed the current shares of DFCI and alternative providers of outpatient imaging services in Massachusetts. Table </w:t>
      </w:r>
      <w:r w:rsidR="001204A7">
        <w:t>2</w:t>
      </w:r>
      <w:r w:rsidR="00AC0296">
        <w:t>3</w:t>
      </w:r>
      <w:r w:rsidRPr="000233C8">
        <w:t xml:space="preserve"> provides procedure volume and shares for outpatient CT scans, PET-CT scans, and all imaging procedures (the combination of CT and PET-CT) by </w:t>
      </w:r>
      <w:r w:rsidR="00350F45">
        <w:t xml:space="preserve">health </w:t>
      </w:r>
      <w:r w:rsidRPr="000233C8">
        <w:t xml:space="preserve">system and </w:t>
      </w:r>
      <w:r w:rsidR="00F7130C">
        <w:t>hospital</w:t>
      </w:r>
      <w:r w:rsidR="00350F45">
        <w:t xml:space="preserve"> </w:t>
      </w:r>
      <w:r w:rsidRPr="000233C8">
        <w:t>for 202</w:t>
      </w:r>
      <w:r w:rsidR="0071557D">
        <w:t>1</w:t>
      </w:r>
      <w:r w:rsidRPr="000233C8">
        <w:t xml:space="preserve">. DFCI accounted for </w:t>
      </w:r>
      <w:r w:rsidR="00350F45">
        <w:t xml:space="preserve">3% of </w:t>
      </w:r>
      <w:r w:rsidRPr="000233C8">
        <w:t xml:space="preserve">CT </w:t>
      </w:r>
      <w:r w:rsidR="00350F45">
        <w:t xml:space="preserve">scan </w:t>
      </w:r>
      <w:r w:rsidRPr="000233C8">
        <w:t xml:space="preserve">and </w:t>
      </w:r>
      <w:r w:rsidR="00350F45">
        <w:t xml:space="preserve">23% of </w:t>
      </w:r>
      <w:r w:rsidRPr="000233C8">
        <w:t xml:space="preserve">PET-CT </w:t>
      </w:r>
      <w:r w:rsidR="00350F45">
        <w:t>scan statewide totals in 202</w:t>
      </w:r>
      <w:r w:rsidR="0071557D">
        <w:t>1</w:t>
      </w:r>
      <w:r w:rsidR="00350F45">
        <w:t xml:space="preserve">. </w:t>
      </w:r>
      <w:r w:rsidRPr="000233C8">
        <w:t xml:space="preserve">Beth Israel Lahey Health and </w:t>
      </w:r>
      <w:r w:rsidR="00350F45">
        <w:t xml:space="preserve">MGB </w:t>
      </w:r>
      <w:r w:rsidRPr="000233C8">
        <w:t xml:space="preserve">have the highest system-level shares (19% and 18% for all imaging, respectively), and each has a more than 20% share of PET-CT scans. MGH is the largest single hospital provider of outpatient imaging procedures (6%), while BIDMC has 4% share. The distribution of outpatient imaging services across Massachusetts is disperse, </w:t>
      </w:r>
      <w:r w:rsidR="00350F45">
        <w:t xml:space="preserve">with </w:t>
      </w:r>
      <w:r w:rsidRPr="000233C8">
        <w:t>thousands of CT scan providers in the state</w:t>
      </w:r>
      <w:r w:rsidR="00350F45">
        <w:t xml:space="preserve"> and </w:t>
      </w:r>
      <w:r w:rsidRPr="000233C8">
        <w:t xml:space="preserve">all major hospitals providing some amount of outpatient CT </w:t>
      </w:r>
      <w:r w:rsidR="00350F45">
        <w:t>scans</w:t>
      </w:r>
      <w:r w:rsidRPr="000233C8">
        <w:t>. The landscape of PET-CT providers is more concentrated than for CT with Beth Israel Lahey</w:t>
      </w:r>
      <w:r w:rsidR="00F7130C">
        <w:t xml:space="preserve"> Health</w:t>
      </w:r>
      <w:r w:rsidRPr="000233C8">
        <w:t xml:space="preserve">, DFCI, and MGB </w:t>
      </w:r>
      <w:r w:rsidR="00350F45">
        <w:t xml:space="preserve">collectively </w:t>
      </w:r>
      <w:r w:rsidRPr="000233C8">
        <w:t>providing three-quarters of all procedures.</w:t>
      </w:r>
    </w:p>
    <w:p w14:paraId="1CC7FF67" w14:textId="77777777" w:rsidR="0075072D" w:rsidRDefault="0075072D" w:rsidP="000233C8">
      <w:pPr>
        <w:pStyle w:val="Caption"/>
        <w:keepNext/>
        <w:jc w:val="center"/>
        <w:sectPr w:rsidR="0075072D" w:rsidSect="00AB4D0F">
          <w:pgSz w:w="12240" w:h="15840"/>
          <w:pgMar w:top="1440" w:right="1440" w:bottom="1440" w:left="1440" w:header="720" w:footer="720" w:gutter="0"/>
          <w:cols w:space="720"/>
          <w:docGrid w:linePitch="360"/>
        </w:sectPr>
      </w:pPr>
    </w:p>
    <w:p w14:paraId="166217A2" w14:textId="507E74DA" w:rsidR="000233C8" w:rsidRDefault="000233C8" w:rsidP="001D3E05">
      <w:pPr>
        <w:pStyle w:val="Caption"/>
        <w:keepNext/>
        <w:jc w:val="center"/>
      </w:pPr>
      <w:bookmarkStart w:id="66" w:name="_Toc187401796"/>
      <w:r>
        <w:lastRenderedPageBreak/>
        <w:t xml:space="preserve">Table </w:t>
      </w:r>
      <w:fldSimple w:instr=" SEQ Table \* ARABIC ">
        <w:r w:rsidR="0085394E">
          <w:rPr>
            <w:noProof/>
          </w:rPr>
          <w:t>23</w:t>
        </w:r>
      </w:fldSimple>
      <w:r>
        <w:t xml:space="preserve">: </w:t>
      </w:r>
      <w:r w:rsidR="00350F45">
        <w:t>Massachusetts Outpatient Diagnostic Imaging Procedures by Provider, 202</w:t>
      </w:r>
      <w:r w:rsidR="0071557D">
        <w:t>1</w:t>
      </w:r>
      <w:r w:rsidR="00350F45">
        <w:rPr>
          <w:rStyle w:val="FootnoteReference"/>
        </w:rPr>
        <w:footnoteReference w:id="106"/>
      </w:r>
      <w:bookmarkEnd w:id="66"/>
    </w:p>
    <w:tbl>
      <w:tblPr>
        <w:tblW w:w="0" w:type="auto"/>
        <w:tblLook w:val="04A0" w:firstRow="1" w:lastRow="0" w:firstColumn="1" w:lastColumn="0" w:noHBand="0" w:noVBand="1"/>
      </w:tblPr>
      <w:tblGrid>
        <w:gridCol w:w="2649"/>
        <w:gridCol w:w="2975"/>
        <w:gridCol w:w="1225"/>
        <w:gridCol w:w="861"/>
        <w:gridCol w:w="1401"/>
        <w:gridCol w:w="1037"/>
        <w:gridCol w:w="1572"/>
        <w:gridCol w:w="1220"/>
      </w:tblGrid>
      <w:tr w:rsidR="009B0F23" w:rsidRPr="009B0F23" w14:paraId="7C2BE8DE" w14:textId="77777777" w:rsidTr="000D5EF6">
        <w:trPr>
          <w:cantSplit/>
          <w:trHeight w:val="520"/>
          <w:tblHeader/>
        </w:trPr>
        <w:tc>
          <w:tcPr>
            <w:tcW w:w="0" w:type="auto"/>
            <w:tcBorders>
              <w:top w:val="single" w:sz="8" w:space="0" w:color="auto"/>
              <w:left w:val="single" w:sz="8" w:space="0" w:color="auto"/>
              <w:bottom w:val="single" w:sz="8" w:space="0" w:color="auto"/>
              <w:right w:val="nil"/>
            </w:tcBorders>
            <w:shd w:val="clear" w:color="000000" w:fill="002060"/>
            <w:vAlign w:val="bottom"/>
            <w:hideMark/>
          </w:tcPr>
          <w:p w14:paraId="7D7337F5" w14:textId="77777777" w:rsidR="009B0F23" w:rsidRPr="009B0F23" w:rsidRDefault="009B0F23" w:rsidP="009B0F23">
            <w:pPr>
              <w:spacing w:after="0" w:line="240" w:lineRule="auto"/>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System</w:t>
            </w:r>
          </w:p>
        </w:tc>
        <w:tc>
          <w:tcPr>
            <w:tcW w:w="0" w:type="auto"/>
            <w:tcBorders>
              <w:top w:val="single" w:sz="8" w:space="0" w:color="auto"/>
              <w:left w:val="nil"/>
              <w:bottom w:val="single" w:sz="8" w:space="0" w:color="auto"/>
              <w:right w:val="single" w:sz="4" w:space="0" w:color="auto"/>
            </w:tcBorders>
            <w:shd w:val="clear" w:color="000000" w:fill="002060"/>
            <w:vAlign w:val="bottom"/>
            <w:hideMark/>
          </w:tcPr>
          <w:p w14:paraId="48369AC1" w14:textId="77777777" w:rsidR="009B0F23" w:rsidRPr="009B0F23" w:rsidRDefault="009B0F23" w:rsidP="009B0F23">
            <w:pPr>
              <w:spacing w:after="0" w:line="240" w:lineRule="auto"/>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Hospital</w:t>
            </w:r>
          </w:p>
        </w:tc>
        <w:tc>
          <w:tcPr>
            <w:tcW w:w="0" w:type="auto"/>
            <w:tcBorders>
              <w:top w:val="single" w:sz="8" w:space="0" w:color="auto"/>
              <w:left w:val="nil"/>
              <w:bottom w:val="single" w:sz="8" w:space="0" w:color="auto"/>
              <w:right w:val="nil"/>
            </w:tcBorders>
            <w:shd w:val="clear" w:color="000000" w:fill="002060"/>
            <w:vAlign w:val="bottom"/>
            <w:hideMark/>
          </w:tcPr>
          <w:p w14:paraId="71DBB58D"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CT Procedures</w:t>
            </w:r>
          </w:p>
        </w:tc>
        <w:tc>
          <w:tcPr>
            <w:tcW w:w="0" w:type="auto"/>
            <w:tcBorders>
              <w:top w:val="single" w:sz="8" w:space="0" w:color="auto"/>
              <w:left w:val="nil"/>
              <w:bottom w:val="single" w:sz="8" w:space="0" w:color="auto"/>
              <w:right w:val="nil"/>
            </w:tcBorders>
            <w:shd w:val="clear" w:color="000000" w:fill="002060"/>
            <w:vAlign w:val="bottom"/>
            <w:hideMark/>
          </w:tcPr>
          <w:p w14:paraId="14D0E174"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CT Shares</w:t>
            </w:r>
          </w:p>
        </w:tc>
        <w:tc>
          <w:tcPr>
            <w:tcW w:w="0" w:type="auto"/>
            <w:tcBorders>
              <w:top w:val="single" w:sz="8" w:space="0" w:color="auto"/>
              <w:left w:val="nil"/>
              <w:bottom w:val="single" w:sz="8" w:space="0" w:color="auto"/>
              <w:right w:val="nil"/>
            </w:tcBorders>
            <w:shd w:val="clear" w:color="000000" w:fill="002060"/>
            <w:vAlign w:val="bottom"/>
            <w:hideMark/>
          </w:tcPr>
          <w:p w14:paraId="2C65E31A"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PET-CT Procedures</w:t>
            </w:r>
          </w:p>
        </w:tc>
        <w:tc>
          <w:tcPr>
            <w:tcW w:w="0" w:type="auto"/>
            <w:tcBorders>
              <w:top w:val="single" w:sz="8" w:space="0" w:color="auto"/>
              <w:left w:val="nil"/>
              <w:bottom w:val="single" w:sz="8" w:space="0" w:color="auto"/>
              <w:right w:val="nil"/>
            </w:tcBorders>
            <w:shd w:val="clear" w:color="000000" w:fill="002060"/>
            <w:vAlign w:val="bottom"/>
            <w:hideMark/>
          </w:tcPr>
          <w:p w14:paraId="5BC62C9E"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PET-CT Shares</w:t>
            </w:r>
          </w:p>
        </w:tc>
        <w:tc>
          <w:tcPr>
            <w:tcW w:w="0" w:type="auto"/>
            <w:tcBorders>
              <w:top w:val="single" w:sz="8" w:space="0" w:color="auto"/>
              <w:left w:val="nil"/>
              <w:bottom w:val="single" w:sz="8" w:space="0" w:color="auto"/>
              <w:right w:val="nil"/>
            </w:tcBorders>
            <w:shd w:val="clear" w:color="000000" w:fill="002060"/>
            <w:vAlign w:val="bottom"/>
            <w:hideMark/>
          </w:tcPr>
          <w:p w14:paraId="5CAA90DF"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All Imaging Procedures</w:t>
            </w:r>
          </w:p>
        </w:tc>
        <w:tc>
          <w:tcPr>
            <w:tcW w:w="0" w:type="auto"/>
            <w:tcBorders>
              <w:top w:val="single" w:sz="8" w:space="0" w:color="auto"/>
              <w:left w:val="nil"/>
              <w:bottom w:val="single" w:sz="8" w:space="0" w:color="auto"/>
              <w:right w:val="single" w:sz="8" w:space="0" w:color="auto"/>
            </w:tcBorders>
            <w:shd w:val="clear" w:color="000000" w:fill="002060"/>
            <w:vAlign w:val="bottom"/>
            <w:hideMark/>
          </w:tcPr>
          <w:p w14:paraId="1684B54C" w14:textId="77777777" w:rsidR="009B0F23" w:rsidRPr="009B0F23" w:rsidRDefault="009B0F23" w:rsidP="009B0F23">
            <w:pPr>
              <w:spacing w:after="0" w:line="240" w:lineRule="auto"/>
              <w:jc w:val="center"/>
              <w:rPr>
                <w:rFonts w:asciiTheme="minorHAnsi" w:eastAsia="Times New Roman" w:hAnsiTheme="minorHAnsi" w:cstheme="minorHAnsi"/>
                <w:b/>
                <w:bCs/>
                <w:color w:val="FFFFFF"/>
                <w:kern w:val="0"/>
                <w:sz w:val="19"/>
                <w:szCs w:val="19"/>
                <w14:ligatures w14:val="none"/>
              </w:rPr>
            </w:pPr>
            <w:r w:rsidRPr="009B0F23">
              <w:rPr>
                <w:rFonts w:asciiTheme="minorHAnsi" w:eastAsia="Times New Roman" w:hAnsiTheme="minorHAnsi" w:cstheme="minorHAnsi"/>
                <w:b/>
                <w:bCs/>
                <w:color w:val="FFFFFF"/>
                <w:kern w:val="0"/>
                <w:sz w:val="19"/>
                <w:szCs w:val="19"/>
                <w14:ligatures w14:val="none"/>
              </w:rPr>
              <w:t>All Imaging Share</w:t>
            </w:r>
          </w:p>
        </w:tc>
      </w:tr>
      <w:tr w:rsidR="007A68F7" w:rsidRPr="009B0F23" w14:paraId="0DBDEB8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3B9178B2"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Beth Israel Lahey Health</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56D01BCE"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08C7913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241,088 </w:t>
            </w:r>
          </w:p>
        </w:tc>
        <w:tc>
          <w:tcPr>
            <w:tcW w:w="0" w:type="auto"/>
            <w:tcBorders>
              <w:top w:val="single" w:sz="4" w:space="0" w:color="auto"/>
              <w:left w:val="nil"/>
              <w:bottom w:val="dotted" w:sz="4" w:space="0" w:color="auto"/>
              <w:right w:val="nil"/>
            </w:tcBorders>
            <w:shd w:val="clear" w:color="auto" w:fill="auto"/>
            <w:noWrap/>
            <w:vAlign w:val="bottom"/>
            <w:hideMark/>
          </w:tcPr>
          <w:p w14:paraId="6B19D91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19%</w:t>
            </w:r>
          </w:p>
        </w:tc>
        <w:tc>
          <w:tcPr>
            <w:tcW w:w="0" w:type="auto"/>
            <w:tcBorders>
              <w:top w:val="single" w:sz="4" w:space="0" w:color="auto"/>
              <w:left w:val="nil"/>
              <w:bottom w:val="dotted" w:sz="4" w:space="0" w:color="auto"/>
              <w:right w:val="nil"/>
            </w:tcBorders>
            <w:shd w:val="clear" w:color="auto" w:fill="auto"/>
            <w:noWrap/>
            <w:vAlign w:val="bottom"/>
            <w:hideMark/>
          </w:tcPr>
          <w:p w14:paraId="59AA54D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7,072 </w:t>
            </w:r>
          </w:p>
        </w:tc>
        <w:tc>
          <w:tcPr>
            <w:tcW w:w="0" w:type="auto"/>
            <w:tcBorders>
              <w:top w:val="single" w:sz="4" w:space="0" w:color="auto"/>
              <w:left w:val="nil"/>
              <w:bottom w:val="dotted" w:sz="4" w:space="0" w:color="auto"/>
              <w:right w:val="nil"/>
            </w:tcBorders>
            <w:shd w:val="clear" w:color="auto" w:fill="auto"/>
            <w:noWrap/>
            <w:vAlign w:val="bottom"/>
            <w:hideMark/>
          </w:tcPr>
          <w:p w14:paraId="7684D3B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31%</w:t>
            </w:r>
          </w:p>
        </w:tc>
        <w:tc>
          <w:tcPr>
            <w:tcW w:w="0" w:type="auto"/>
            <w:tcBorders>
              <w:top w:val="single" w:sz="4" w:space="0" w:color="auto"/>
              <w:left w:val="nil"/>
              <w:bottom w:val="dotted" w:sz="4" w:space="0" w:color="auto"/>
              <w:right w:val="nil"/>
            </w:tcBorders>
            <w:shd w:val="clear" w:color="auto" w:fill="auto"/>
            <w:noWrap/>
            <w:vAlign w:val="bottom"/>
            <w:hideMark/>
          </w:tcPr>
          <w:p w14:paraId="60BB85C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248,160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1508CD7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19%</w:t>
            </w:r>
          </w:p>
        </w:tc>
      </w:tr>
      <w:tr w:rsidR="007A68F7" w:rsidRPr="009B0F23" w14:paraId="5DFBF0DB"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4A004E9D"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Beth Israel Lahey Health</w:t>
            </w:r>
          </w:p>
        </w:tc>
        <w:tc>
          <w:tcPr>
            <w:tcW w:w="0" w:type="auto"/>
            <w:tcBorders>
              <w:top w:val="nil"/>
              <w:left w:val="nil"/>
              <w:bottom w:val="dotted" w:sz="4" w:space="0" w:color="auto"/>
              <w:right w:val="single" w:sz="4" w:space="0" w:color="auto"/>
            </w:tcBorders>
            <w:shd w:val="clear" w:color="auto" w:fill="auto"/>
            <w:noWrap/>
            <w:vAlign w:val="bottom"/>
            <w:hideMark/>
          </w:tcPr>
          <w:p w14:paraId="08D4B0F5"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Beth Israel Deaconess Medical Center</w:t>
            </w:r>
          </w:p>
        </w:tc>
        <w:tc>
          <w:tcPr>
            <w:tcW w:w="0" w:type="auto"/>
            <w:tcBorders>
              <w:top w:val="nil"/>
              <w:left w:val="nil"/>
              <w:bottom w:val="dotted" w:sz="4" w:space="0" w:color="auto"/>
              <w:right w:val="nil"/>
            </w:tcBorders>
            <w:shd w:val="clear" w:color="auto" w:fill="auto"/>
            <w:noWrap/>
            <w:vAlign w:val="bottom"/>
            <w:hideMark/>
          </w:tcPr>
          <w:p w14:paraId="62956B43"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45,099 </w:t>
            </w:r>
          </w:p>
        </w:tc>
        <w:tc>
          <w:tcPr>
            <w:tcW w:w="0" w:type="auto"/>
            <w:tcBorders>
              <w:top w:val="nil"/>
              <w:left w:val="nil"/>
              <w:bottom w:val="dotted" w:sz="4" w:space="0" w:color="auto"/>
              <w:right w:val="nil"/>
            </w:tcBorders>
            <w:shd w:val="clear" w:color="auto" w:fill="auto"/>
            <w:noWrap/>
            <w:vAlign w:val="bottom"/>
            <w:hideMark/>
          </w:tcPr>
          <w:p w14:paraId="1940D56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c>
          <w:tcPr>
            <w:tcW w:w="0" w:type="auto"/>
            <w:tcBorders>
              <w:top w:val="nil"/>
              <w:left w:val="nil"/>
              <w:bottom w:val="dotted" w:sz="4" w:space="0" w:color="auto"/>
              <w:right w:val="nil"/>
            </w:tcBorders>
            <w:shd w:val="clear" w:color="auto" w:fill="auto"/>
            <w:noWrap/>
            <w:vAlign w:val="bottom"/>
            <w:hideMark/>
          </w:tcPr>
          <w:p w14:paraId="67470DF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3,353 </w:t>
            </w:r>
          </w:p>
        </w:tc>
        <w:tc>
          <w:tcPr>
            <w:tcW w:w="0" w:type="auto"/>
            <w:tcBorders>
              <w:top w:val="nil"/>
              <w:left w:val="nil"/>
              <w:bottom w:val="dotted" w:sz="4" w:space="0" w:color="auto"/>
              <w:right w:val="nil"/>
            </w:tcBorders>
            <w:shd w:val="clear" w:color="auto" w:fill="auto"/>
            <w:noWrap/>
            <w:vAlign w:val="bottom"/>
            <w:hideMark/>
          </w:tcPr>
          <w:p w14:paraId="2BEF456C"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15%</w:t>
            </w:r>
          </w:p>
        </w:tc>
        <w:tc>
          <w:tcPr>
            <w:tcW w:w="0" w:type="auto"/>
            <w:tcBorders>
              <w:top w:val="nil"/>
              <w:left w:val="nil"/>
              <w:bottom w:val="dotted" w:sz="4" w:space="0" w:color="auto"/>
              <w:right w:val="nil"/>
            </w:tcBorders>
            <w:shd w:val="clear" w:color="auto" w:fill="auto"/>
            <w:noWrap/>
            <w:vAlign w:val="bottom"/>
            <w:hideMark/>
          </w:tcPr>
          <w:p w14:paraId="15471CC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48,452 </w:t>
            </w:r>
          </w:p>
        </w:tc>
        <w:tc>
          <w:tcPr>
            <w:tcW w:w="0" w:type="auto"/>
            <w:tcBorders>
              <w:top w:val="nil"/>
              <w:left w:val="nil"/>
              <w:bottom w:val="dotted" w:sz="4" w:space="0" w:color="auto"/>
              <w:right w:val="single" w:sz="8" w:space="0" w:color="auto"/>
            </w:tcBorders>
            <w:shd w:val="clear" w:color="auto" w:fill="auto"/>
            <w:noWrap/>
            <w:vAlign w:val="bottom"/>
            <w:hideMark/>
          </w:tcPr>
          <w:p w14:paraId="642797EB"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r>
      <w:tr w:rsidR="007A68F7" w:rsidRPr="009B0F23" w14:paraId="67CE5ED0"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2553DD46"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Beth Israel Lahey Health</w:t>
            </w:r>
          </w:p>
        </w:tc>
        <w:tc>
          <w:tcPr>
            <w:tcW w:w="0" w:type="auto"/>
            <w:tcBorders>
              <w:top w:val="nil"/>
              <w:left w:val="nil"/>
              <w:bottom w:val="dotted" w:sz="4" w:space="0" w:color="auto"/>
              <w:right w:val="single" w:sz="4" w:space="0" w:color="auto"/>
            </w:tcBorders>
            <w:shd w:val="clear" w:color="auto" w:fill="auto"/>
            <w:noWrap/>
            <w:vAlign w:val="bottom"/>
            <w:hideMark/>
          </w:tcPr>
          <w:p w14:paraId="1D5C867F"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Lahey Hospital Medical Center</w:t>
            </w:r>
          </w:p>
        </w:tc>
        <w:tc>
          <w:tcPr>
            <w:tcW w:w="0" w:type="auto"/>
            <w:tcBorders>
              <w:top w:val="nil"/>
              <w:left w:val="nil"/>
              <w:bottom w:val="dotted" w:sz="4" w:space="0" w:color="auto"/>
              <w:right w:val="nil"/>
            </w:tcBorders>
            <w:shd w:val="clear" w:color="auto" w:fill="auto"/>
            <w:noWrap/>
            <w:vAlign w:val="bottom"/>
            <w:hideMark/>
          </w:tcPr>
          <w:p w14:paraId="01A0753B"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44,426 </w:t>
            </w:r>
          </w:p>
        </w:tc>
        <w:tc>
          <w:tcPr>
            <w:tcW w:w="0" w:type="auto"/>
            <w:tcBorders>
              <w:top w:val="nil"/>
              <w:left w:val="nil"/>
              <w:bottom w:val="dotted" w:sz="4" w:space="0" w:color="auto"/>
              <w:right w:val="nil"/>
            </w:tcBorders>
            <w:shd w:val="clear" w:color="auto" w:fill="auto"/>
            <w:noWrap/>
            <w:vAlign w:val="bottom"/>
            <w:hideMark/>
          </w:tcPr>
          <w:p w14:paraId="03BE09AA"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c>
          <w:tcPr>
            <w:tcW w:w="0" w:type="auto"/>
            <w:tcBorders>
              <w:top w:val="nil"/>
              <w:left w:val="nil"/>
              <w:bottom w:val="dotted" w:sz="4" w:space="0" w:color="auto"/>
              <w:right w:val="nil"/>
            </w:tcBorders>
            <w:shd w:val="clear" w:color="auto" w:fill="auto"/>
            <w:noWrap/>
            <w:vAlign w:val="bottom"/>
            <w:hideMark/>
          </w:tcPr>
          <w:p w14:paraId="2C857F33"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1,837 </w:t>
            </w:r>
          </w:p>
        </w:tc>
        <w:tc>
          <w:tcPr>
            <w:tcW w:w="0" w:type="auto"/>
            <w:tcBorders>
              <w:top w:val="nil"/>
              <w:left w:val="nil"/>
              <w:bottom w:val="dotted" w:sz="4" w:space="0" w:color="auto"/>
              <w:right w:val="nil"/>
            </w:tcBorders>
            <w:shd w:val="clear" w:color="auto" w:fill="auto"/>
            <w:noWrap/>
            <w:vAlign w:val="bottom"/>
            <w:hideMark/>
          </w:tcPr>
          <w:p w14:paraId="186D8E98"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8%</w:t>
            </w:r>
          </w:p>
        </w:tc>
        <w:tc>
          <w:tcPr>
            <w:tcW w:w="0" w:type="auto"/>
            <w:tcBorders>
              <w:top w:val="nil"/>
              <w:left w:val="nil"/>
              <w:bottom w:val="dotted" w:sz="4" w:space="0" w:color="auto"/>
              <w:right w:val="nil"/>
            </w:tcBorders>
            <w:shd w:val="clear" w:color="auto" w:fill="auto"/>
            <w:noWrap/>
            <w:vAlign w:val="bottom"/>
            <w:hideMark/>
          </w:tcPr>
          <w:p w14:paraId="3E04273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46,263 </w:t>
            </w:r>
          </w:p>
        </w:tc>
        <w:tc>
          <w:tcPr>
            <w:tcW w:w="0" w:type="auto"/>
            <w:tcBorders>
              <w:top w:val="nil"/>
              <w:left w:val="nil"/>
              <w:bottom w:val="dotted" w:sz="4" w:space="0" w:color="auto"/>
              <w:right w:val="single" w:sz="8" w:space="0" w:color="auto"/>
            </w:tcBorders>
            <w:shd w:val="clear" w:color="auto" w:fill="auto"/>
            <w:noWrap/>
            <w:vAlign w:val="bottom"/>
            <w:hideMark/>
          </w:tcPr>
          <w:p w14:paraId="40611779"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r>
      <w:tr w:rsidR="007A68F7" w:rsidRPr="009B0F23" w14:paraId="3018D48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731833F1"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Mass General Brigham</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028D915A"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0C0DD34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230,333 </w:t>
            </w:r>
          </w:p>
        </w:tc>
        <w:tc>
          <w:tcPr>
            <w:tcW w:w="0" w:type="auto"/>
            <w:tcBorders>
              <w:top w:val="single" w:sz="4" w:space="0" w:color="auto"/>
              <w:left w:val="nil"/>
              <w:bottom w:val="dotted" w:sz="4" w:space="0" w:color="auto"/>
              <w:right w:val="nil"/>
            </w:tcBorders>
            <w:shd w:val="clear" w:color="auto" w:fill="auto"/>
            <w:noWrap/>
            <w:vAlign w:val="bottom"/>
            <w:hideMark/>
          </w:tcPr>
          <w:p w14:paraId="096F43B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18%</w:t>
            </w:r>
          </w:p>
        </w:tc>
        <w:tc>
          <w:tcPr>
            <w:tcW w:w="0" w:type="auto"/>
            <w:tcBorders>
              <w:top w:val="single" w:sz="4" w:space="0" w:color="auto"/>
              <w:left w:val="nil"/>
              <w:bottom w:val="dotted" w:sz="4" w:space="0" w:color="auto"/>
              <w:right w:val="nil"/>
            </w:tcBorders>
            <w:shd w:val="clear" w:color="auto" w:fill="auto"/>
            <w:noWrap/>
            <w:vAlign w:val="bottom"/>
            <w:hideMark/>
          </w:tcPr>
          <w:p w14:paraId="0C862DD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4,514 </w:t>
            </w:r>
          </w:p>
        </w:tc>
        <w:tc>
          <w:tcPr>
            <w:tcW w:w="0" w:type="auto"/>
            <w:tcBorders>
              <w:top w:val="single" w:sz="4" w:space="0" w:color="auto"/>
              <w:left w:val="nil"/>
              <w:bottom w:val="dotted" w:sz="4" w:space="0" w:color="auto"/>
              <w:right w:val="nil"/>
            </w:tcBorders>
            <w:shd w:val="clear" w:color="auto" w:fill="auto"/>
            <w:noWrap/>
            <w:vAlign w:val="bottom"/>
            <w:hideMark/>
          </w:tcPr>
          <w:p w14:paraId="1299AF0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20%</w:t>
            </w:r>
          </w:p>
        </w:tc>
        <w:tc>
          <w:tcPr>
            <w:tcW w:w="0" w:type="auto"/>
            <w:tcBorders>
              <w:top w:val="single" w:sz="4" w:space="0" w:color="auto"/>
              <w:left w:val="nil"/>
              <w:bottom w:val="dotted" w:sz="4" w:space="0" w:color="auto"/>
              <w:right w:val="nil"/>
            </w:tcBorders>
            <w:shd w:val="clear" w:color="auto" w:fill="auto"/>
            <w:noWrap/>
            <w:vAlign w:val="bottom"/>
            <w:hideMark/>
          </w:tcPr>
          <w:p w14:paraId="2CDBB61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234,847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03E62B5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18%</w:t>
            </w:r>
          </w:p>
        </w:tc>
      </w:tr>
      <w:tr w:rsidR="007A68F7" w:rsidRPr="009B0F23" w14:paraId="6571FE7C"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439CFD51"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Mass General Brigham</w:t>
            </w:r>
          </w:p>
        </w:tc>
        <w:tc>
          <w:tcPr>
            <w:tcW w:w="0" w:type="auto"/>
            <w:tcBorders>
              <w:top w:val="nil"/>
              <w:left w:val="nil"/>
              <w:bottom w:val="dotted" w:sz="4" w:space="0" w:color="auto"/>
              <w:right w:val="single" w:sz="4" w:space="0" w:color="auto"/>
            </w:tcBorders>
            <w:shd w:val="clear" w:color="auto" w:fill="auto"/>
            <w:noWrap/>
            <w:vAlign w:val="bottom"/>
            <w:hideMark/>
          </w:tcPr>
          <w:p w14:paraId="78AEE134"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Massachusetts General Hospital</w:t>
            </w:r>
          </w:p>
        </w:tc>
        <w:tc>
          <w:tcPr>
            <w:tcW w:w="0" w:type="auto"/>
            <w:tcBorders>
              <w:top w:val="nil"/>
              <w:left w:val="nil"/>
              <w:bottom w:val="dotted" w:sz="4" w:space="0" w:color="auto"/>
              <w:right w:val="nil"/>
            </w:tcBorders>
            <w:shd w:val="clear" w:color="auto" w:fill="auto"/>
            <w:noWrap/>
            <w:vAlign w:val="bottom"/>
            <w:hideMark/>
          </w:tcPr>
          <w:p w14:paraId="68028911"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75,768 </w:t>
            </w:r>
          </w:p>
        </w:tc>
        <w:tc>
          <w:tcPr>
            <w:tcW w:w="0" w:type="auto"/>
            <w:tcBorders>
              <w:top w:val="nil"/>
              <w:left w:val="nil"/>
              <w:bottom w:val="dotted" w:sz="4" w:space="0" w:color="auto"/>
              <w:right w:val="nil"/>
            </w:tcBorders>
            <w:shd w:val="clear" w:color="auto" w:fill="auto"/>
            <w:noWrap/>
            <w:vAlign w:val="bottom"/>
            <w:hideMark/>
          </w:tcPr>
          <w:p w14:paraId="445130B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6%</w:t>
            </w:r>
          </w:p>
        </w:tc>
        <w:tc>
          <w:tcPr>
            <w:tcW w:w="0" w:type="auto"/>
            <w:tcBorders>
              <w:top w:val="nil"/>
              <w:left w:val="nil"/>
              <w:bottom w:val="dotted" w:sz="4" w:space="0" w:color="auto"/>
              <w:right w:val="nil"/>
            </w:tcBorders>
            <w:shd w:val="clear" w:color="auto" w:fill="auto"/>
            <w:noWrap/>
            <w:vAlign w:val="bottom"/>
            <w:hideMark/>
          </w:tcPr>
          <w:p w14:paraId="79C6804B"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317 </w:t>
            </w:r>
          </w:p>
        </w:tc>
        <w:tc>
          <w:tcPr>
            <w:tcW w:w="0" w:type="auto"/>
            <w:tcBorders>
              <w:top w:val="nil"/>
              <w:left w:val="nil"/>
              <w:bottom w:val="dotted" w:sz="4" w:space="0" w:color="auto"/>
              <w:right w:val="nil"/>
            </w:tcBorders>
            <w:shd w:val="clear" w:color="auto" w:fill="auto"/>
            <w:noWrap/>
            <w:vAlign w:val="bottom"/>
            <w:hideMark/>
          </w:tcPr>
          <w:p w14:paraId="4F34B6B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1%</w:t>
            </w:r>
          </w:p>
        </w:tc>
        <w:tc>
          <w:tcPr>
            <w:tcW w:w="0" w:type="auto"/>
            <w:tcBorders>
              <w:top w:val="nil"/>
              <w:left w:val="nil"/>
              <w:bottom w:val="dotted" w:sz="4" w:space="0" w:color="auto"/>
              <w:right w:val="nil"/>
            </w:tcBorders>
            <w:shd w:val="clear" w:color="auto" w:fill="auto"/>
            <w:noWrap/>
            <w:vAlign w:val="bottom"/>
            <w:hideMark/>
          </w:tcPr>
          <w:p w14:paraId="3452022A"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76,085 </w:t>
            </w:r>
          </w:p>
        </w:tc>
        <w:tc>
          <w:tcPr>
            <w:tcW w:w="0" w:type="auto"/>
            <w:tcBorders>
              <w:top w:val="nil"/>
              <w:left w:val="nil"/>
              <w:bottom w:val="dotted" w:sz="4" w:space="0" w:color="auto"/>
              <w:right w:val="single" w:sz="8" w:space="0" w:color="auto"/>
            </w:tcBorders>
            <w:shd w:val="clear" w:color="auto" w:fill="auto"/>
            <w:noWrap/>
            <w:vAlign w:val="bottom"/>
            <w:hideMark/>
          </w:tcPr>
          <w:p w14:paraId="4929D8E1"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6%</w:t>
            </w:r>
          </w:p>
        </w:tc>
      </w:tr>
      <w:tr w:rsidR="007A68F7" w:rsidRPr="009B0F23" w14:paraId="3DC6ABA8"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613CD793"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Mass General Brigham</w:t>
            </w:r>
          </w:p>
        </w:tc>
        <w:tc>
          <w:tcPr>
            <w:tcW w:w="0" w:type="auto"/>
            <w:tcBorders>
              <w:top w:val="nil"/>
              <w:left w:val="nil"/>
              <w:bottom w:val="dotted" w:sz="4" w:space="0" w:color="auto"/>
              <w:right w:val="single" w:sz="4" w:space="0" w:color="auto"/>
            </w:tcBorders>
            <w:shd w:val="clear" w:color="auto" w:fill="auto"/>
            <w:noWrap/>
            <w:vAlign w:val="bottom"/>
            <w:hideMark/>
          </w:tcPr>
          <w:p w14:paraId="76271E41"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Brigham and Women's Hospital</w:t>
            </w:r>
          </w:p>
        </w:tc>
        <w:tc>
          <w:tcPr>
            <w:tcW w:w="0" w:type="auto"/>
            <w:tcBorders>
              <w:top w:val="nil"/>
              <w:left w:val="nil"/>
              <w:bottom w:val="dotted" w:sz="4" w:space="0" w:color="auto"/>
              <w:right w:val="nil"/>
            </w:tcBorders>
            <w:shd w:val="clear" w:color="auto" w:fill="auto"/>
            <w:noWrap/>
            <w:vAlign w:val="bottom"/>
            <w:hideMark/>
          </w:tcPr>
          <w:p w14:paraId="55C0AD7B"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56,483 </w:t>
            </w:r>
          </w:p>
        </w:tc>
        <w:tc>
          <w:tcPr>
            <w:tcW w:w="0" w:type="auto"/>
            <w:tcBorders>
              <w:top w:val="nil"/>
              <w:left w:val="nil"/>
              <w:bottom w:val="dotted" w:sz="4" w:space="0" w:color="auto"/>
              <w:right w:val="nil"/>
            </w:tcBorders>
            <w:shd w:val="clear" w:color="auto" w:fill="auto"/>
            <w:noWrap/>
            <w:vAlign w:val="bottom"/>
            <w:hideMark/>
          </w:tcPr>
          <w:p w14:paraId="5BCC29EA"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c>
          <w:tcPr>
            <w:tcW w:w="0" w:type="auto"/>
            <w:tcBorders>
              <w:top w:val="nil"/>
              <w:left w:val="nil"/>
              <w:bottom w:val="dotted" w:sz="4" w:space="0" w:color="auto"/>
              <w:right w:val="nil"/>
            </w:tcBorders>
            <w:shd w:val="clear" w:color="auto" w:fill="auto"/>
            <w:noWrap/>
            <w:vAlign w:val="bottom"/>
            <w:hideMark/>
          </w:tcPr>
          <w:p w14:paraId="4270D4DE"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4,027 </w:t>
            </w:r>
          </w:p>
        </w:tc>
        <w:tc>
          <w:tcPr>
            <w:tcW w:w="0" w:type="auto"/>
            <w:tcBorders>
              <w:top w:val="nil"/>
              <w:left w:val="nil"/>
              <w:bottom w:val="dotted" w:sz="4" w:space="0" w:color="auto"/>
              <w:right w:val="nil"/>
            </w:tcBorders>
            <w:shd w:val="clear" w:color="auto" w:fill="auto"/>
            <w:noWrap/>
            <w:vAlign w:val="bottom"/>
            <w:hideMark/>
          </w:tcPr>
          <w:p w14:paraId="7DA320D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18%</w:t>
            </w:r>
          </w:p>
        </w:tc>
        <w:tc>
          <w:tcPr>
            <w:tcW w:w="0" w:type="auto"/>
            <w:tcBorders>
              <w:top w:val="nil"/>
              <w:left w:val="nil"/>
              <w:bottom w:val="dotted" w:sz="4" w:space="0" w:color="auto"/>
              <w:right w:val="nil"/>
            </w:tcBorders>
            <w:shd w:val="clear" w:color="auto" w:fill="auto"/>
            <w:noWrap/>
            <w:vAlign w:val="bottom"/>
            <w:hideMark/>
          </w:tcPr>
          <w:p w14:paraId="762FA9ED"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60,510 </w:t>
            </w:r>
          </w:p>
        </w:tc>
        <w:tc>
          <w:tcPr>
            <w:tcW w:w="0" w:type="auto"/>
            <w:tcBorders>
              <w:top w:val="nil"/>
              <w:left w:val="nil"/>
              <w:bottom w:val="dotted" w:sz="4" w:space="0" w:color="auto"/>
              <w:right w:val="single" w:sz="8" w:space="0" w:color="auto"/>
            </w:tcBorders>
            <w:shd w:val="clear" w:color="auto" w:fill="auto"/>
            <w:noWrap/>
            <w:vAlign w:val="bottom"/>
            <w:hideMark/>
          </w:tcPr>
          <w:p w14:paraId="1D96D06D"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5%</w:t>
            </w:r>
          </w:p>
        </w:tc>
      </w:tr>
      <w:tr w:rsidR="007A68F7" w:rsidRPr="009B0F23" w14:paraId="239D282C"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09B41F81"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Other Health Systems</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5E2958AD"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733BC34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124,779 </w:t>
            </w:r>
          </w:p>
        </w:tc>
        <w:tc>
          <w:tcPr>
            <w:tcW w:w="0" w:type="auto"/>
            <w:tcBorders>
              <w:top w:val="single" w:sz="4" w:space="0" w:color="auto"/>
              <w:left w:val="nil"/>
              <w:bottom w:val="dotted" w:sz="4" w:space="0" w:color="auto"/>
              <w:right w:val="nil"/>
            </w:tcBorders>
            <w:shd w:val="clear" w:color="auto" w:fill="auto"/>
            <w:noWrap/>
            <w:vAlign w:val="bottom"/>
            <w:hideMark/>
          </w:tcPr>
          <w:p w14:paraId="56BE8FB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10%</w:t>
            </w:r>
          </w:p>
        </w:tc>
        <w:tc>
          <w:tcPr>
            <w:tcW w:w="0" w:type="auto"/>
            <w:tcBorders>
              <w:top w:val="single" w:sz="4" w:space="0" w:color="auto"/>
              <w:left w:val="nil"/>
              <w:bottom w:val="dotted" w:sz="4" w:space="0" w:color="auto"/>
              <w:right w:val="nil"/>
            </w:tcBorders>
            <w:shd w:val="clear" w:color="auto" w:fill="auto"/>
            <w:noWrap/>
            <w:vAlign w:val="bottom"/>
            <w:hideMark/>
          </w:tcPr>
          <w:p w14:paraId="679C707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2,112 </w:t>
            </w:r>
          </w:p>
        </w:tc>
        <w:tc>
          <w:tcPr>
            <w:tcW w:w="0" w:type="auto"/>
            <w:tcBorders>
              <w:top w:val="single" w:sz="4" w:space="0" w:color="auto"/>
              <w:left w:val="nil"/>
              <w:bottom w:val="dotted" w:sz="4" w:space="0" w:color="auto"/>
              <w:right w:val="nil"/>
            </w:tcBorders>
            <w:shd w:val="clear" w:color="auto" w:fill="auto"/>
            <w:noWrap/>
            <w:vAlign w:val="bottom"/>
            <w:hideMark/>
          </w:tcPr>
          <w:p w14:paraId="7793714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9%</w:t>
            </w:r>
          </w:p>
        </w:tc>
        <w:tc>
          <w:tcPr>
            <w:tcW w:w="0" w:type="auto"/>
            <w:tcBorders>
              <w:top w:val="single" w:sz="4" w:space="0" w:color="auto"/>
              <w:left w:val="nil"/>
              <w:bottom w:val="dotted" w:sz="4" w:space="0" w:color="auto"/>
              <w:right w:val="nil"/>
            </w:tcBorders>
            <w:shd w:val="clear" w:color="auto" w:fill="auto"/>
            <w:noWrap/>
            <w:vAlign w:val="bottom"/>
            <w:hideMark/>
          </w:tcPr>
          <w:p w14:paraId="6E6D87C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126,891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7AFEFF8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10%</w:t>
            </w:r>
          </w:p>
        </w:tc>
      </w:tr>
      <w:tr w:rsidR="007A68F7" w:rsidRPr="009B0F23" w14:paraId="491C3BFD"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5F1AE2E5"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UMass Memorial Health Care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257F4CE6"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1FB5E80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79,399 </w:t>
            </w:r>
          </w:p>
        </w:tc>
        <w:tc>
          <w:tcPr>
            <w:tcW w:w="0" w:type="auto"/>
            <w:tcBorders>
              <w:top w:val="single" w:sz="4" w:space="0" w:color="auto"/>
              <w:left w:val="nil"/>
              <w:bottom w:val="dotted" w:sz="4" w:space="0" w:color="auto"/>
              <w:right w:val="nil"/>
            </w:tcBorders>
            <w:shd w:val="clear" w:color="auto" w:fill="auto"/>
            <w:noWrap/>
            <w:vAlign w:val="bottom"/>
            <w:hideMark/>
          </w:tcPr>
          <w:p w14:paraId="209216A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6%</w:t>
            </w:r>
          </w:p>
        </w:tc>
        <w:tc>
          <w:tcPr>
            <w:tcW w:w="0" w:type="auto"/>
            <w:tcBorders>
              <w:top w:val="single" w:sz="4" w:space="0" w:color="auto"/>
              <w:left w:val="nil"/>
              <w:bottom w:val="dotted" w:sz="4" w:space="0" w:color="auto"/>
              <w:right w:val="nil"/>
            </w:tcBorders>
            <w:shd w:val="clear" w:color="auto" w:fill="auto"/>
            <w:noWrap/>
            <w:vAlign w:val="bottom"/>
            <w:hideMark/>
          </w:tcPr>
          <w:p w14:paraId="1F7CBA0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0EFA37F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30422E9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79,399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7602163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6%</w:t>
            </w:r>
          </w:p>
        </w:tc>
      </w:tr>
      <w:tr w:rsidR="007A68F7" w:rsidRPr="009B0F23" w14:paraId="0A01647A"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5B362F4D"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UMass Memorial Health Care</w:t>
            </w:r>
          </w:p>
        </w:tc>
        <w:tc>
          <w:tcPr>
            <w:tcW w:w="0" w:type="auto"/>
            <w:tcBorders>
              <w:top w:val="nil"/>
              <w:left w:val="nil"/>
              <w:bottom w:val="dotted" w:sz="4" w:space="0" w:color="auto"/>
              <w:right w:val="single" w:sz="4" w:space="0" w:color="auto"/>
            </w:tcBorders>
            <w:shd w:val="clear" w:color="auto" w:fill="auto"/>
            <w:noWrap/>
            <w:vAlign w:val="bottom"/>
            <w:hideMark/>
          </w:tcPr>
          <w:p w14:paraId="48C1875F"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UMass Memorial Medical Center</w:t>
            </w:r>
          </w:p>
        </w:tc>
        <w:tc>
          <w:tcPr>
            <w:tcW w:w="0" w:type="auto"/>
            <w:tcBorders>
              <w:top w:val="nil"/>
              <w:left w:val="nil"/>
              <w:bottom w:val="dotted" w:sz="4" w:space="0" w:color="auto"/>
              <w:right w:val="nil"/>
            </w:tcBorders>
            <w:shd w:val="clear" w:color="auto" w:fill="auto"/>
            <w:noWrap/>
            <w:vAlign w:val="bottom"/>
            <w:hideMark/>
          </w:tcPr>
          <w:p w14:paraId="43731EA7"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45,547 </w:t>
            </w:r>
          </w:p>
        </w:tc>
        <w:tc>
          <w:tcPr>
            <w:tcW w:w="0" w:type="auto"/>
            <w:tcBorders>
              <w:top w:val="nil"/>
              <w:left w:val="nil"/>
              <w:bottom w:val="dotted" w:sz="4" w:space="0" w:color="auto"/>
              <w:right w:val="nil"/>
            </w:tcBorders>
            <w:shd w:val="clear" w:color="auto" w:fill="auto"/>
            <w:noWrap/>
            <w:vAlign w:val="bottom"/>
            <w:hideMark/>
          </w:tcPr>
          <w:p w14:paraId="326BD00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c>
          <w:tcPr>
            <w:tcW w:w="0" w:type="auto"/>
            <w:tcBorders>
              <w:top w:val="nil"/>
              <w:left w:val="nil"/>
              <w:bottom w:val="dotted" w:sz="4" w:space="0" w:color="auto"/>
              <w:right w:val="nil"/>
            </w:tcBorders>
            <w:shd w:val="clear" w:color="auto" w:fill="auto"/>
            <w:noWrap/>
            <w:vAlign w:val="bottom"/>
            <w:hideMark/>
          </w:tcPr>
          <w:p w14:paraId="6D184A79"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57EDEB0F"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5D5F75E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45,547 </w:t>
            </w:r>
          </w:p>
        </w:tc>
        <w:tc>
          <w:tcPr>
            <w:tcW w:w="0" w:type="auto"/>
            <w:tcBorders>
              <w:top w:val="nil"/>
              <w:left w:val="nil"/>
              <w:bottom w:val="dotted" w:sz="4" w:space="0" w:color="auto"/>
              <w:right w:val="single" w:sz="8" w:space="0" w:color="auto"/>
            </w:tcBorders>
            <w:shd w:val="clear" w:color="auto" w:fill="auto"/>
            <w:noWrap/>
            <w:vAlign w:val="bottom"/>
            <w:hideMark/>
          </w:tcPr>
          <w:p w14:paraId="323A84B2"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4%</w:t>
            </w:r>
          </w:p>
        </w:tc>
      </w:tr>
      <w:tr w:rsidR="007A68F7" w:rsidRPr="009B0F23" w14:paraId="1ED2FA41"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72785E8E"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Steward Health Care System</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0ED05D4F"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6A984C94"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76,800 </w:t>
            </w:r>
          </w:p>
        </w:tc>
        <w:tc>
          <w:tcPr>
            <w:tcW w:w="0" w:type="auto"/>
            <w:tcBorders>
              <w:top w:val="single" w:sz="4" w:space="0" w:color="auto"/>
              <w:left w:val="nil"/>
              <w:bottom w:val="dotted" w:sz="4" w:space="0" w:color="auto"/>
              <w:right w:val="nil"/>
            </w:tcBorders>
            <w:shd w:val="clear" w:color="auto" w:fill="auto"/>
            <w:noWrap/>
            <w:vAlign w:val="bottom"/>
            <w:hideMark/>
          </w:tcPr>
          <w:p w14:paraId="6FBEC26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6%</w:t>
            </w:r>
          </w:p>
        </w:tc>
        <w:tc>
          <w:tcPr>
            <w:tcW w:w="0" w:type="auto"/>
            <w:tcBorders>
              <w:top w:val="single" w:sz="4" w:space="0" w:color="auto"/>
              <w:left w:val="nil"/>
              <w:bottom w:val="dotted" w:sz="4" w:space="0" w:color="auto"/>
              <w:right w:val="nil"/>
            </w:tcBorders>
            <w:shd w:val="clear" w:color="auto" w:fill="auto"/>
            <w:noWrap/>
            <w:vAlign w:val="bottom"/>
            <w:hideMark/>
          </w:tcPr>
          <w:p w14:paraId="0434ADD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73FD71B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5D0028D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76,801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6A2B6BC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6%</w:t>
            </w:r>
          </w:p>
        </w:tc>
      </w:tr>
      <w:tr w:rsidR="007A68F7" w:rsidRPr="009B0F23" w14:paraId="5DC7F94F"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1ED7493C"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Tufts Medicine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4421506C"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4D171FF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61,530 </w:t>
            </w:r>
          </w:p>
        </w:tc>
        <w:tc>
          <w:tcPr>
            <w:tcW w:w="0" w:type="auto"/>
            <w:tcBorders>
              <w:top w:val="single" w:sz="4" w:space="0" w:color="auto"/>
              <w:left w:val="nil"/>
              <w:bottom w:val="dotted" w:sz="4" w:space="0" w:color="auto"/>
              <w:right w:val="nil"/>
            </w:tcBorders>
            <w:shd w:val="clear" w:color="auto" w:fill="auto"/>
            <w:noWrap/>
            <w:vAlign w:val="bottom"/>
            <w:hideMark/>
          </w:tcPr>
          <w:p w14:paraId="0B3233A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c>
          <w:tcPr>
            <w:tcW w:w="0" w:type="auto"/>
            <w:tcBorders>
              <w:top w:val="single" w:sz="4" w:space="0" w:color="auto"/>
              <w:left w:val="nil"/>
              <w:bottom w:val="dotted" w:sz="4" w:space="0" w:color="auto"/>
              <w:right w:val="nil"/>
            </w:tcBorders>
            <w:shd w:val="clear" w:color="auto" w:fill="auto"/>
            <w:noWrap/>
            <w:vAlign w:val="bottom"/>
            <w:hideMark/>
          </w:tcPr>
          <w:p w14:paraId="1FF551B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214D63A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30F3D22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61,530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14D22AF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r>
      <w:tr w:rsidR="007A68F7" w:rsidRPr="009B0F23" w14:paraId="4AEC8C82"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5BB43DE3"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Tufts Medicine</w:t>
            </w:r>
          </w:p>
        </w:tc>
        <w:tc>
          <w:tcPr>
            <w:tcW w:w="0" w:type="auto"/>
            <w:tcBorders>
              <w:top w:val="nil"/>
              <w:left w:val="nil"/>
              <w:bottom w:val="dotted" w:sz="4" w:space="0" w:color="auto"/>
              <w:right w:val="single" w:sz="4" w:space="0" w:color="auto"/>
            </w:tcBorders>
            <w:shd w:val="clear" w:color="auto" w:fill="auto"/>
            <w:noWrap/>
            <w:vAlign w:val="bottom"/>
            <w:hideMark/>
          </w:tcPr>
          <w:p w14:paraId="2CB726C6"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Lowell General Hospital</w:t>
            </w:r>
          </w:p>
        </w:tc>
        <w:tc>
          <w:tcPr>
            <w:tcW w:w="0" w:type="auto"/>
            <w:tcBorders>
              <w:top w:val="nil"/>
              <w:left w:val="nil"/>
              <w:bottom w:val="dotted" w:sz="4" w:space="0" w:color="auto"/>
              <w:right w:val="nil"/>
            </w:tcBorders>
            <w:shd w:val="clear" w:color="auto" w:fill="auto"/>
            <w:noWrap/>
            <w:vAlign w:val="bottom"/>
            <w:hideMark/>
          </w:tcPr>
          <w:p w14:paraId="095756B2"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30,630 </w:t>
            </w:r>
          </w:p>
        </w:tc>
        <w:tc>
          <w:tcPr>
            <w:tcW w:w="0" w:type="auto"/>
            <w:tcBorders>
              <w:top w:val="nil"/>
              <w:left w:val="nil"/>
              <w:bottom w:val="dotted" w:sz="4" w:space="0" w:color="auto"/>
              <w:right w:val="nil"/>
            </w:tcBorders>
            <w:shd w:val="clear" w:color="auto" w:fill="auto"/>
            <w:noWrap/>
            <w:vAlign w:val="bottom"/>
            <w:hideMark/>
          </w:tcPr>
          <w:p w14:paraId="76A59931"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2%</w:t>
            </w:r>
          </w:p>
        </w:tc>
        <w:tc>
          <w:tcPr>
            <w:tcW w:w="0" w:type="auto"/>
            <w:tcBorders>
              <w:top w:val="nil"/>
              <w:left w:val="nil"/>
              <w:bottom w:val="dotted" w:sz="4" w:space="0" w:color="auto"/>
              <w:right w:val="nil"/>
            </w:tcBorders>
            <w:shd w:val="clear" w:color="auto" w:fill="auto"/>
            <w:noWrap/>
            <w:vAlign w:val="bottom"/>
            <w:hideMark/>
          </w:tcPr>
          <w:p w14:paraId="49F2E549"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0652FE5C"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38F4C4EC"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30,630 </w:t>
            </w:r>
          </w:p>
        </w:tc>
        <w:tc>
          <w:tcPr>
            <w:tcW w:w="0" w:type="auto"/>
            <w:tcBorders>
              <w:top w:val="nil"/>
              <w:left w:val="nil"/>
              <w:bottom w:val="dotted" w:sz="4" w:space="0" w:color="auto"/>
              <w:right w:val="single" w:sz="8" w:space="0" w:color="auto"/>
            </w:tcBorders>
            <w:shd w:val="clear" w:color="auto" w:fill="auto"/>
            <w:noWrap/>
            <w:vAlign w:val="bottom"/>
            <w:hideMark/>
          </w:tcPr>
          <w:p w14:paraId="21335FBD"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2%</w:t>
            </w:r>
          </w:p>
        </w:tc>
      </w:tr>
      <w:tr w:rsidR="007A68F7" w:rsidRPr="009B0F23" w14:paraId="029A6458"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6FD72F90"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Southcoast Health System</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2D48AD70"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58325A8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58,551 </w:t>
            </w:r>
          </w:p>
        </w:tc>
        <w:tc>
          <w:tcPr>
            <w:tcW w:w="0" w:type="auto"/>
            <w:tcBorders>
              <w:top w:val="single" w:sz="4" w:space="0" w:color="auto"/>
              <w:left w:val="nil"/>
              <w:bottom w:val="dotted" w:sz="4" w:space="0" w:color="auto"/>
              <w:right w:val="nil"/>
            </w:tcBorders>
            <w:shd w:val="clear" w:color="auto" w:fill="auto"/>
            <w:noWrap/>
            <w:vAlign w:val="bottom"/>
            <w:hideMark/>
          </w:tcPr>
          <w:p w14:paraId="1EC8F49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c>
          <w:tcPr>
            <w:tcW w:w="0" w:type="auto"/>
            <w:tcBorders>
              <w:top w:val="single" w:sz="4" w:space="0" w:color="auto"/>
              <w:left w:val="nil"/>
              <w:bottom w:val="dotted" w:sz="4" w:space="0" w:color="auto"/>
              <w:right w:val="nil"/>
            </w:tcBorders>
            <w:shd w:val="clear" w:color="auto" w:fill="auto"/>
            <w:noWrap/>
            <w:vAlign w:val="bottom"/>
            <w:hideMark/>
          </w:tcPr>
          <w:p w14:paraId="1E5D34F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1,069 </w:t>
            </w:r>
          </w:p>
        </w:tc>
        <w:tc>
          <w:tcPr>
            <w:tcW w:w="0" w:type="auto"/>
            <w:tcBorders>
              <w:top w:val="single" w:sz="4" w:space="0" w:color="auto"/>
              <w:left w:val="nil"/>
              <w:bottom w:val="dotted" w:sz="4" w:space="0" w:color="auto"/>
              <w:right w:val="nil"/>
            </w:tcBorders>
            <w:shd w:val="clear" w:color="auto" w:fill="auto"/>
            <w:noWrap/>
            <w:vAlign w:val="bottom"/>
            <w:hideMark/>
          </w:tcPr>
          <w:p w14:paraId="78C64404"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c>
          <w:tcPr>
            <w:tcW w:w="0" w:type="auto"/>
            <w:tcBorders>
              <w:top w:val="single" w:sz="4" w:space="0" w:color="auto"/>
              <w:left w:val="nil"/>
              <w:bottom w:val="dotted" w:sz="4" w:space="0" w:color="auto"/>
              <w:right w:val="nil"/>
            </w:tcBorders>
            <w:shd w:val="clear" w:color="auto" w:fill="auto"/>
            <w:noWrap/>
            <w:vAlign w:val="bottom"/>
            <w:hideMark/>
          </w:tcPr>
          <w:p w14:paraId="692C4E8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59,620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63CE763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r>
      <w:tr w:rsidR="007A68F7" w:rsidRPr="009B0F23" w14:paraId="058E9FEE"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78082C34"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Baystate Health</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6C94B57C"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20034AD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59,221 </w:t>
            </w:r>
          </w:p>
        </w:tc>
        <w:tc>
          <w:tcPr>
            <w:tcW w:w="0" w:type="auto"/>
            <w:tcBorders>
              <w:top w:val="single" w:sz="4" w:space="0" w:color="auto"/>
              <w:left w:val="nil"/>
              <w:bottom w:val="dotted" w:sz="4" w:space="0" w:color="auto"/>
              <w:right w:val="nil"/>
            </w:tcBorders>
            <w:shd w:val="clear" w:color="auto" w:fill="auto"/>
            <w:noWrap/>
            <w:vAlign w:val="bottom"/>
            <w:hideMark/>
          </w:tcPr>
          <w:p w14:paraId="395BBAA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c>
          <w:tcPr>
            <w:tcW w:w="0" w:type="auto"/>
            <w:tcBorders>
              <w:top w:val="single" w:sz="4" w:space="0" w:color="auto"/>
              <w:left w:val="nil"/>
              <w:bottom w:val="dotted" w:sz="4" w:space="0" w:color="auto"/>
              <w:right w:val="nil"/>
            </w:tcBorders>
            <w:shd w:val="clear" w:color="auto" w:fill="auto"/>
            <w:noWrap/>
            <w:vAlign w:val="bottom"/>
            <w:hideMark/>
          </w:tcPr>
          <w:p w14:paraId="0F14859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2156B5E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168DE91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59,221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5D32EBD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5%</w:t>
            </w:r>
          </w:p>
        </w:tc>
      </w:tr>
      <w:tr w:rsidR="007A68F7" w:rsidRPr="009B0F23" w14:paraId="0BF5DC3D"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4B9A1480"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Cape Cod Healthcare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71113E53"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3D90EF7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52,249 </w:t>
            </w:r>
          </w:p>
        </w:tc>
        <w:tc>
          <w:tcPr>
            <w:tcW w:w="0" w:type="auto"/>
            <w:tcBorders>
              <w:top w:val="single" w:sz="4" w:space="0" w:color="auto"/>
              <w:left w:val="nil"/>
              <w:bottom w:val="dotted" w:sz="4" w:space="0" w:color="auto"/>
              <w:right w:val="nil"/>
            </w:tcBorders>
            <w:shd w:val="clear" w:color="auto" w:fill="auto"/>
            <w:noWrap/>
            <w:vAlign w:val="bottom"/>
            <w:hideMark/>
          </w:tcPr>
          <w:p w14:paraId="7C3F5EB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4%</w:t>
            </w:r>
          </w:p>
        </w:tc>
        <w:tc>
          <w:tcPr>
            <w:tcW w:w="0" w:type="auto"/>
            <w:tcBorders>
              <w:top w:val="single" w:sz="4" w:space="0" w:color="auto"/>
              <w:left w:val="nil"/>
              <w:bottom w:val="dotted" w:sz="4" w:space="0" w:color="auto"/>
              <w:right w:val="nil"/>
            </w:tcBorders>
            <w:shd w:val="clear" w:color="auto" w:fill="auto"/>
            <w:noWrap/>
            <w:vAlign w:val="bottom"/>
            <w:hideMark/>
          </w:tcPr>
          <w:p w14:paraId="2620FB4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A53BAC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930B5F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52,249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3CC27B0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4%</w:t>
            </w:r>
          </w:p>
        </w:tc>
      </w:tr>
      <w:tr w:rsidR="007A68F7" w:rsidRPr="009B0F23" w14:paraId="0C844B1A"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720EC1D6"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Cape Cod Healthcare</w:t>
            </w:r>
          </w:p>
        </w:tc>
        <w:tc>
          <w:tcPr>
            <w:tcW w:w="0" w:type="auto"/>
            <w:tcBorders>
              <w:top w:val="nil"/>
              <w:left w:val="nil"/>
              <w:bottom w:val="dotted" w:sz="4" w:space="0" w:color="auto"/>
              <w:right w:val="single" w:sz="4" w:space="0" w:color="auto"/>
            </w:tcBorders>
            <w:shd w:val="clear" w:color="auto" w:fill="auto"/>
            <w:noWrap/>
            <w:vAlign w:val="bottom"/>
            <w:hideMark/>
          </w:tcPr>
          <w:p w14:paraId="3B2F18FE"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Cape Cod Hospital</w:t>
            </w:r>
          </w:p>
        </w:tc>
        <w:tc>
          <w:tcPr>
            <w:tcW w:w="0" w:type="auto"/>
            <w:tcBorders>
              <w:top w:val="nil"/>
              <w:left w:val="nil"/>
              <w:bottom w:val="dotted" w:sz="4" w:space="0" w:color="auto"/>
              <w:right w:val="nil"/>
            </w:tcBorders>
            <w:shd w:val="clear" w:color="auto" w:fill="auto"/>
            <w:noWrap/>
            <w:vAlign w:val="bottom"/>
            <w:hideMark/>
          </w:tcPr>
          <w:p w14:paraId="18DE91A2"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36,721 </w:t>
            </w:r>
          </w:p>
        </w:tc>
        <w:tc>
          <w:tcPr>
            <w:tcW w:w="0" w:type="auto"/>
            <w:tcBorders>
              <w:top w:val="nil"/>
              <w:left w:val="nil"/>
              <w:bottom w:val="dotted" w:sz="4" w:space="0" w:color="auto"/>
              <w:right w:val="nil"/>
            </w:tcBorders>
            <w:shd w:val="clear" w:color="auto" w:fill="auto"/>
            <w:noWrap/>
            <w:vAlign w:val="bottom"/>
            <w:hideMark/>
          </w:tcPr>
          <w:p w14:paraId="2D85A0A9"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c>
          <w:tcPr>
            <w:tcW w:w="0" w:type="auto"/>
            <w:tcBorders>
              <w:top w:val="nil"/>
              <w:left w:val="nil"/>
              <w:bottom w:val="dotted" w:sz="4" w:space="0" w:color="auto"/>
              <w:right w:val="nil"/>
            </w:tcBorders>
            <w:shd w:val="clear" w:color="auto" w:fill="auto"/>
            <w:noWrap/>
            <w:vAlign w:val="bottom"/>
            <w:hideMark/>
          </w:tcPr>
          <w:p w14:paraId="7A713EB2"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657F218E"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59373E31"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36,721 </w:t>
            </w:r>
          </w:p>
        </w:tc>
        <w:tc>
          <w:tcPr>
            <w:tcW w:w="0" w:type="auto"/>
            <w:tcBorders>
              <w:top w:val="nil"/>
              <w:left w:val="nil"/>
              <w:bottom w:val="dotted" w:sz="4" w:space="0" w:color="auto"/>
              <w:right w:val="single" w:sz="8" w:space="0" w:color="auto"/>
            </w:tcBorders>
            <w:shd w:val="clear" w:color="auto" w:fill="auto"/>
            <w:noWrap/>
            <w:vAlign w:val="bottom"/>
            <w:hideMark/>
          </w:tcPr>
          <w:p w14:paraId="3759D670"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r>
      <w:tr w:rsidR="007A68F7" w:rsidRPr="009B0F23" w14:paraId="6E902EA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4A41D1B4"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Dana-Farber Cancer Institute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5A16B524"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342FFC3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36,325 </w:t>
            </w:r>
          </w:p>
        </w:tc>
        <w:tc>
          <w:tcPr>
            <w:tcW w:w="0" w:type="auto"/>
            <w:tcBorders>
              <w:top w:val="single" w:sz="4" w:space="0" w:color="auto"/>
              <w:left w:val="nil"/>
              <w:bottom w:val="dotted" w:sz="4" w:space="0" w:color="auto"/>
              <w:right w:val="nil"/>
            </w:tcBorders>
            <w:shd w:val="clear" w:color="auto" w:fill="auto"/>
            <w:noWrap/>
            <w:vAlign w:val="bottom"/>
            <w:hideMark/>
          </w:tcPr>
          <w:p w14:paraId="2FECD26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c>
          <w:tcPr>
            <w:tcW w:w="0" w:type="auto"/>
            <w:tcBorders>
              <w:top w:val="single" w:sz="4" w:space="0" w:color="auto"/>
              <w:left w:val="nil"/>
              <w:bottom w:val="dotted" w:sz="4" w:space="0" w:color="auto"/>
              <w:right w:val="nil"/>
            </w:tcBorders>
            <w:shd w:val="clear" w:color="auto" w:fill="auto"/>
            <w:noWrap/>
            <w:vAlign w:val="bottom"/>
            <w:hideMark/>
          </w:tcPr>
          <w:p w14:paraId="2B4FB6B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5,312 </w:t>
            </w:r>
          </w:p>
        </w:tc>
        <w:tc>
          <w:tcPr>
            <w:tcW w:w="0" w:type="auto"/>
            <w:tcBorders>
              <w:top w:val="single" w:sz="4" w:space="0" w:color="auto"/>
              <w:left w:val="nil"/>
              <w:bottom w:val="dotted" w:sz="4" w:space="0" w:color="auto"/>
              <w:right w:val="nil"/>
            </w:tcBorders>
            <w:shd w:val="clear" w:color="auto" w:fill="auto"/>
            <w:noWrap/>
            <w:vAlign w:val="bottom"/>
            <w:hideMark/>
          </w:tcPr>
          <w:p w14:paraId="2C22794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23%</w:t>
            </w:r>
          </w:p>
        </w:tc>
        <w:tc>
          <w:tcPr>
            <w:tcW w:w="0" w:type="auto"/>
            <w:tcBorders>
              <w:top w:val="single" w:sz="4" w:space="0" w:color="auto"/>
              <w:left w:val="nil"/>
              <w:bottom w:val="dotted" w:sz="4" w:space="0" w:color="auto"/>
              <w:right w:val="nil"/>
            </w:tcBorders>
            <w:shd w:val="clear" w:color="auto" w:fill="auto"/>
            <w:noWrap/>
            <w:vAlign w:val="bottom"/>
            <w:hideMark/>
          </w:tcPr>
          <w:p w14:paraId="4192917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41,637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2EE3A72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r>
      <w:tr w:rsidR="007A68F7" w:rsidRPr="009B0F23" w14:paraId="2B03314C"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2C599774"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Dana-Farber Cancer Institute</w:t>
            </w:r>
          </w:p>
        </w:tc>
        <w:tc>
          <w:tcPr>
            <w:tcW w:w="0" w:type="auto"/>
            <w:tcBorders>
              <w:top w:val="nil"/>
              <w:left w:val="nil"/>
              <w:bottom w:val="dotted" w:sz="4" w:space="0" w:color="auto"/>
              <w:right w:val="single" w:sz="4" w:space="0" w:color="auto"/>
            </w:tcBorders>
            <w:shd w:val="clear" w:color="auto" w:fill="auto"/>
            <w:noWrap/>
            <w:vAlign w:val="bottom"/>
            <w:hideMark/>
          </w:tcPr>
          <w:p w14:paraId="04140334"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Dana Farber Cancer Institute</w:t>
            </w:r>
          </w:p>
        </w:tc>
        <w:tc>
          <w:tcPr>
            <w:tcW w:w="0" w:type="auto"/>
            <w:tcBorders>
              <w:top w:val="nil"/>
              <w:left w:val="nil"/>
              <w:bottom w:val="dotted" w:sz="4" w:space="0" w:color="auto"/>
              <w:right w:val="nil"/>
            </w:tcBorders>
            <w:shd w:val="clear" w:color="auto" w:fill="auto"/>
            <w:noWrap/>
            <w:vAlign w:val="bottom"/>
            <w:hideMark/>
          </w:tcPr>
          <w:p w14:paraId="0ECB8F00"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36,325 </w:t>
            </w:r>
          </w:p>
        </w:tc>
        <w:tc>
          <w:tcPr>
            <w:tcW w:w="0" w:type="auto"/>
            <w:tcBorders>
              <w:top w:val="nil"/>
              <w:left w:val="nil"/>
              <w:bottom w:val="dotted" w:sz="4" w:space="0" w:color="auto"/>
              <w:right w:val="nil"/>
            </w:tcBorders>
            <w:shd w:val="clear" w:color="auto" w:fill="auto"/>
            <w:noWrap/>
            <w:vAlign w:val="bottom"/>
            <w:hideMark/>
          </w:tcPr>
          <w:p w14:paraId="3239B3D0"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c>
          <w:tcPr>
            <w:tcW w:w="0" w:type="auto"/>
            <w:tcBorders>
              <w:top w:val="nil"/>
              <w:left w:val="nil"/>
              <w:bottom w:val="dotted" w:sz="4" w:space="0" w:color="auto"/>
              <w:right w:val="nil"/>
            </w:tcBorders>
            <w:shd w:val="clear" w:color="auto" w:fill="auto"/>
            <w:noWrap/>
            <w:vAlign w:val="bottom"/>
            <w:hideMark/>
          </w:tcPr>
          <w:p w14:paraId="6AB410F8"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5,312 </w:t>
            </w:r>
          </w:p>
        </w:tc>
        <w:tc>
          <w:tcPr>
            <w:tcW w:w="0" w:type="auto"/>
            <w:tcBorders>
              <w:top w:val="nil"/>
              <w:left w:val="nil"/>
              <w:bottom w:val="dotted" w:sz="4" w:space="0" w:color="auto"/>
              <w:right w:val="nil"/>
            </w:tcBorders>
            <w:shd w:val="clear" w:color="auto" w:fill="auto"/>
            <w:noWrap/>
            <w:vAlign w:val="bottom"/>
            <w:hideMark/>
          </w:tcPr>
          <w:p w14:paraId="18FBF53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23%</w:t>
            </w:r>
          </w:p>
        </w:tc>
        <w:tc>
          <w:tcPr>
            <w:tcW w:w="0" w:type="auto"/>
            <w:tcBorders>
              <w:top w:val="nil"/>
              <w:left w:val="nil"/>
              <w:bottom w:val="dotted" w:sz="4" w:space="0" w:color="auto"/>
              <w:right w:val="nil"/>
            </w:tcBorders>
            <w:shd w:val="clear" w:color="auto" w:fill="auto"/>
            <w:noWrap/>
            <w:vAlign w:val="bottom"/>
            <w:hideMark/>
          </w:tcPr>
          <w:p w14:paraId="14FA901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41,637 </w:t>
            </w:r>
          </w:p>
        </w:tc>
        <w:tc>
          <w:tcPr>
            <w:tcW w:w="0" w:type="auto"/>
            <w:tcBorders>
              <w:top w:val="nil"/>
              <w:left w:val="nil"/>
              <w:bottom w:val="dotted" w:sz="4" w:space="0" w:color="auto"/>
              <w:right w:val="single" w:sz="8" w:space="0" w:color="auto"/>
            </w:tcBorders>
            <w:shd w:val="clear" w:color="auto" w:fill="auto"/>
            <w:noWrap/>
            <w:vAlign w:val="bottom"/>
            <w:hideMark/>
          </w:tcPr>
          <w:p w14:paraId="6B760DFA"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r>
      <w:tr w:rsidR="007A68F7" w:rsidRPr="009B0F23" w14:paraId="3C17BF78"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348705A7"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South Shore Health System</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3AF0B7BA"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3FC52F2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36,888 </w:t>
            </w:r>
          </w:p>
        </w:tc>
        <w:tc>
          <w:tcPr>
            <w:tcW w:w="0" w:type="auto"/>
            <w:tcBorders>
              <w:top w:val="single" w:sz="4" w:space="0" w:color="auto"/>
              <w:left w:val="nil"/>
              <w:bottom w:val="dotted" w:sz="4" w:space="0" w:color="auto"/>
              <w:right w:val="nil"/>
            </w:tcBorders>
            <w:shd w:val="clear" w:color="auto" w:fill="auto"/>
            <w:noWrap/>
            <w:vAlign w:val="bottom"/>
            <w:hideMark/>
          </w:tcPr>
          <w:p w14:paraId="0AAF3AD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c>
          <w:tcPr>
            <w:tcW w:w="0" w:type="auto"/>
            <w:tcBorders>
              <w:top w:val="single" w:sz="4" w:space="0" w:color="auto"/>
              <w:left w:val="nil"/>
              <w:bottom w:val="dotted" w:sz="4" w:space="0" w:color="auto"/>
              <w:right w:val="nil"/>
            </w:tcBorders>
            <w:shd w:val="clear" w:color="auto" w:fill="auto"/>
            <w:noWrap/>
            <w:vAlign w:val="bottom"/>
            <w:hideMark/>
          </w:tcPr>
          <w:p w14:paraId="7F7243F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DA65B7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20F73B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36,888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35D80A8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r>
      <w:tr w:rsidR="007A68F7" w:rsidRPr="009B0F23" w14:paraId="00012761"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761938CE"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South Shore Health System</w:t>
            </w:r>
          </w:p>
        </w:tc>
        <w:tc>
          <w:tcPr>
            <w:tcW w:w="0" w:type="auto"/>
            <w:tcBorders>
              <w:top w:val="nil"/>
              <w:left w:val="nil"/>
              <w:bottom w:val="dotted" w:sz="4" w:space="0" w:color="auto"/>
              <w:right w:val="single" w:sz="4" w:space="0" w:color="auto"/>
            </w:tcBorders>
            <w:shd w:val="clear" w:color="auto" w:fill="auto"/>
            <w:noWrap/>
            <w:vAlign w:val="bottom"/>
            <w:hideMark/>
          </w:tcPr>
          <w:p w14:paraId="40A52B5A"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South Shore Hospital</w:t>
            </w:r>
          </w:p>
        </w:tc>
        <w:tc>
          <w:tcPr>
            <w:tcW w:w="0" w:type="auto"/>
            <w:tcBorders>
              <w:top w:val="nil"/>
              <w:left w:val="nil"/>
              <w:bottom w:val="dotted" w:sz="4" w:space="0" w:color="auto"/>
              <w:right w:val="nil"/>
            </w:tcBorders>
            <w:shd w:val="clear" w:color="auto" w:fill="auto"/>
            <w:noWrap/>
            <w:vAlign w:val="bottom"/>
            <w:hideMark/>
          </w:tcPr>
          <w:p w14:paraId="1B7CE08F"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36,888 </w:t>
            </w:r>
          </w:p>
        </w:tc>
        <w:tc>
          <w:tcPr>
            <w:tcW w:w="0" w:type="auto"/>
            <w:tcBorders>
              <w:top w:val="nil"/>
              <w:left w:val="nil"/>
              <w:bottom w:val="dotted" w:sz="4" w:space="0" w:color="auto"/>
              <w:right w:val="nil"/>
            </w:tcBorders>
            <w:shd w:val="clear" w:color="auto" w:fill="auto"/>
            <w:noWrap/>
            <w:vAlign w:val="bottom"/>
            <w:hideMark/>
          </w:tcPr>
          <w:p w14:paraId="20BF7EA8"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c>
          <w:tcPr>
            <w:tcW w:w="0" w:type="auto"/>
            <w:tcBorders>
              <w:top w:val="nil"/>
              <w:left w:val="nil"/>
              <w:bottom w:val="dotted" w:sz="4" w:space="0" w:color="auto"/>
              <w:right w:val="nil"/>
            </w:tcBorders>
            <w:shd w:val="clear" w:color="auto" w:fill="auto"/>
            <w:noWrap/>
            <w:vAlign w:val="bottom"/>
            <w:hideMark/>
          </w:tcPr>
          <w:p w14:paraId="6D6AA90D"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2FE45681"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w:t>
            </w:r>
          </w:p>
        </w:tc>
        <w:tc>
          <w:tcPr>
            <w:tcW w:w="0" w:type="auto"/>
            <w:tcBorders>
              <w:top w:val="nil"/>
              <w:left w:val="nil"/>
              <w:bottom w:val="dotted" w:sz="4" w:space="0" w:color="auto"/>
              <w:right w:val="nil"/>
            </w:tcBorders>
            <w:shd w:val="clear" w:color="auto" w:fill="auto"/>
            <w:noWrap/>
            <w:vAlign w:val="bottom"/>
            <w:hideMark/>
          </w:tcPr>
          <w:p w14:paraId="65D7533A"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36,888 </w:t>
            </w:r>
          </w:p>
        </w:tc>
        <w:tc>
          <w:tcPr>
            <w:tcW w:w="0" w:type="auto"/>
            <w:tcBorders>
              <w:top w:val="nil"/>
              <w:left w:val="nil"/>
              <w:bottom w:val="dotted" w:sz="4" w:space="0" w:color="auto"/>
              <w:right w:val="single" w:sz="8" w:space="0" w:color="auto"/>
            </w:tcBorders>
            <w:shd w:val="clear" w:color="auto" w:fill="auto"/>
            <w:noWrap/>
            <w:vAlign w:val="bottom"/>
            <w:hideMark/>
          </w:tcPr>
          <w:p w14:paraId="10A0B309"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3%</w:t>
            </w:r>
          </w:p>
        </w:tc>
      </w:tr>
      <w:tr w:rsidR="007A68F7" w:rsidRPr="009B0F23" w14:paraId="6F2BC4F9"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4750762D"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Berkshire Health Systems</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74D27031"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4826F95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33,731 </w:t>
            </w:r>
          </w:p>
        </w:tc>
        <w:tc>
          <w:tcPr>
            <w:tcW w:w="0" w:type="auto"/>
            <w:tcBorders>
              <w:top w:val="single" w:sz="4" w:space="0" w:color="auto"/>
              <w:left w:val="nil"/>
              <w:bottom w:val="dotted" w:sz="4" w:space="0" w:color="auto"/>
              <w:right w:val="nil"/>
            </w:tcBorders>
            <w:shd w:val="clear" w:color="auto" w:fill="auto"/>
            <w:noWrap/>
            <w:vAlign w:val="bottom"/>
            <w:hideMark/>
          </w:tcPr>
          <w:p w14:paraId="1A37797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c>
          <w:tcPr>
            <w:tcW w:w="0" w:type="auto"/>
            <w:tcBorders>
              <w:top w:val="single" w:sz="4" w:space="0" w:color="auto"/>
              <w:left w:val="nil"/>
              <w:bottom w:val="dotted" w:sz="4" w:space="0" w:color="auto"/>
              <w:right w:val="nil"/>
            </w:tcBorders>
            <w:shd w:val="clear" w:color="auto" w:fill="auto"/>
            <w:noWrap/>
            <w:vAlign w:val="bottom"/>
            <w:hideMark/>
          </w:tcPr>
          <w:p w14:paraId="5D3B5FF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49DD2DC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4531AA6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33,732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1D62B7A4"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3%</w:t>
            </w:r>
          </w:p>
        </w:tc>
      </w:tr>
      <w:tr w:rsidR="007A68F7" w:rsidRPr="009B0F23" w14:paraId="2D6EF922"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7D307FB6"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Tenet Healthcare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48A061AD"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4BD00DB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28,227 </w:t>
            </w:r>
          </w:p>
        </w:tc>
        <w:tc>
          <w:tcPr>
            <w:tcW w:w="0" w:type="auto"/>
            <w:tcBorders>
              <w:top w:val="single" w:sz="4" w:space="0" w:color="auto"/>
              <w:left w:val="nil"/>
              <w:bottom w:val="dotted" w:sz="4" w:space="0" w:color="auto"/>
              <w:right w:val="nil"/>
            </w:tcBorders>
            <w:shd w:val="clear" w:color="auto" w:fill="auto"/>
            <w:noWrap/>
            <w:vAlign w:val="bottom"/>
            <w:hideMark/>
          </w:tcPr>
          <w:p w14:paraId="07AB774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c>
          <w:tcPr>
            <w:tcW w:w="0" w:type="auto"/>
            <w:tcBorders>
              <w:top w:val="single" w:sz="4" w:space="0" w:color="auto"/>
              <w:left w:val="nil"/>
              <w:bottom w:val="dotted" w:sz="4" w:space="0" w:color="auto"/>
              <w:right w:val="nil"/>
            </w:tcBorders>
            <w:shd w:val="clear" w:color="auto" w:fill="auto"/>
            <w:noWrap/>
            <w:vAlign w:val="bottom"/>
            <w:hideMark/>
          </w:tcPr>
          <w:p w14:paraId="580BCF6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820C93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7CD3DCD4"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28,227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66CBA46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r>
      <w:tr w:rsidR="007A68F7" w:rsidRPr="009B0F23" w14:paraId="77F34F28"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15584E8B"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Boston Medical Center</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77C9DF05"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167DA95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23,987 </w:t>
            </w:r>
          </w:p>
        </w:tc>
        <w:tc>
          <w:tcPr>
            <w:tcW w:w="0" w:type="auto"/>
            <w:tcBorders>
              <w:top w:val="single" w:sz="4" w:space="0" w:color="auto"/>
              <w:left w:val="nil"/>
              <w:bottom w:val="dotted" w:sz="4" w:space="0" w:color="auto"/>
              <w:right w:val="nil"/>
            </w:tcBorders>
            <w:shd w:val="clear" w:color="auto" w:fill="auto"/>
            <w:noWrap/>
            <w:vAlign w:val="bottom"/>
            <w:hideMark/>
          </w:tcPr>
          <w:p w14:paraId="6DD574D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c>
          <w:tcPr>
            <w:tcW w:w="0" w:type="auto"/>
            <w:tcBorders>
              <w:top w:val="single" w:sz="4" w:space="0" w:color="auto"/>
              <w:left w:val="nil"/>
              <w:bottom w:val="dotted" w:sz="4" w:space="0" w:color="auto"/>
              <w:right w:val="nil"/>
            </w:tcBorders>
            <w:shd w:val="clear" w:color="auto" w:fill="auto"/>
            <w:noWrap/>
            <w:vAlign w:val="bottom"/>
            <w:hideMark/>
          </w:tcPr>
          <w:p w14:paraId="30F07C4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1,332 </w:t>
            </w:r>
          </w:p>
        </w:tc>
        <w:tc>
          <w:tcPr>
            <w:tcW w:w="0" w:type="auto"/>
            <w:tcBorders>
              <w:top w:val="single" w:sz="4" w:space="0" w:color="auto"/>
              <w:left w:val="nil"/>
              <w:bottom w:val="dotted" w:sz="4" w:space="0" w:color="auto"/>
              <w:right w:val="nil"/>
            </w:tcBorders>
            <w:shd w:val="clear" w:color="auto" w:fill="auto"/>
            <w:noWrap/>
            <w:vAlign w:val="bottom"/>
            <w:hideMark/>
          </w:tcPr>
          <w:p w14:paraId="14DD7D4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6%</w:t>
            </w:r>
          </w:p>
        </w:tc>
        <w:tc>
          <w:tcPr>
            <w:tcW w:w="0" w:type="auto"/>
            <w:tcBorders>
              <w:top w:val="single" w:sz="4" w:space="0" w:color="auto"/>
              <w:left w:val="nil"/>
              <w:bottom w:val="dotted" w:sz="4" w:space="0" w:color="auto"/>
              <w:right w:val="nil"/>
            </w:tcBorders>
            <w:shd w:val="clear" w:color="auto" w:fill="auto"/>
            <w:noWrap/>
            <w:vAlign w:val="bottom"/>
            <w:hideMark/>
          </w:tcPr>
          <w:p w14:paraId="101CB8F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25,319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38F05B8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r>
      <w:tr w:rsidR="007A68F7" w:rsidRPr="009B0F23" w14:paraId="10E34B83" w14:textId="77777777" w:rsidTr="000D5EF6">
        <w:trPr>
          <w:cantSplit/>
          <w:trHeight w:val="144"/>
        </w:trPr>
        <w:tc>
          <w:tcPr>
            <w:tcW w:w="0" w:type="auto"/>
            <w:tcBorders>
              <w:top w:val="nil"/>
              <w:left w:val="single" w:sz="8" w:space="0" w:color="auto"/>
              <w:bottom w:val="dotted" w:sz="4" w:space="0" w:color="auto"/>
              <w:right w:val="nil"/>
            </w:tcBorders>
            <w:shd w:val="clear" w:color="auto" w:fill="auto"/>
            <w:noWrap/>
            <w:vAlign w:val="bottom"/>
            <w:hideMark/>
          </w:tcPr>
          <w:p w14:paraId="4C30B5EE"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Boston Medical Center</w:t>
            </w:r>
          </w:p>
        </w:tc>
        <w:tc>
          <w:tcPr>
            <w:tcW w:w="0" w:type="auto"/>
            <w:tcBorders>
              <w:top w:val="nil"/>
              <w:left w:val="nil"/>
              <w:bottom w:val="dotted" w:sz="4" w:space="0" w:color="auto"/>
              <w:right w:val="single" w:sz="4" w:space="0" w:color="auto"/>
            </w:tcBorders>
            <w:shd w:val="clear" w:color="auto" w:fill="auto"/>
            <w:noWrap/>
            <w:vAlign w:val="bottom"/>
            <w:hideMark/>
          </w:tcPr>
          <w:p w14:paraId="03C043CE" w14:textId="77777777" w:rsidR="009B0F23" w:rsidRPr="009B0F23" w:rsidRDefault="009B0F23" w:rsidP="009B0F23">
            <w:pPr>
              <w:spacing w:after="0" w:line="240" w:lineRule="auto"/>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Boston Medical Center</w:t>
            </w:r>
          </w:p>
        </w:tc>
        <w:tc>
          <w:tcPr>
            <w:tcW w:w="0" w:type="auto"/>
            <w:tcBorders>
              <w:top w:val="nil"/>
              <w:left w:val="nil"/>
              <w:bottom w:val="dotted" w:sz="4" w:space="0" w:color="auto"/>
              <w:right w:val="nil"/>
            </w:tcBorders>
            <w:shd w:val="clear" w:color="auto" w:fill="auto"/>
            <w:noWrap/>
            <w:vAlign w:val="bottom"/>
            <w:hideMark/>
          </w:tcPr>
          <w:p w14:paraId="01F5EF3C"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23,987 </w:t>
            </w:r>
          </w:p>
        </w:tc>
        <w:tc>
          <w:tcPr>
            <w:tcW w:w="0" w:type="auto"/>
            <w:tcBorders>
              <w:top w:val="nil"/>
              <w:left w:val="nil"/>
              <w:bottom w:val="dotted" w:sz="4" w:space="0" w:color="auto"/>
              <w:right w:val="nil"/>
            </w:tcBorders>
            <w:shd w:val="clear" w:color="auto" w:fill="auto"/>
            <w:noWrap/>
            <w:vAlign w:val="bottom"/>
            <w:hideMark/>
          </w:tcPr>
          <w:p w14:paraId="52E78984"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2%</w:t>
            </w:r>
          </w:p>
        </w:tc>
        <w:tc>
          <w:tcPr>
            <w:tcW w:w="0" w:type="auto"/>
            <w:tcBorders>
              <w:top w:val="nil"/>
              <w:left w:val="nil"/>
              <w:bottom w:val="dotted" w:sz="4" w:space="0" w:color="auto"/>
              <w:right w:val="nil"/>
            </w:tcBorders>
            <w:shd w:val="clear" w:color="auto" w:fill="auto"/>
            <w:noWrap/>
            <w:vAlign w:val="bottom"/>
            <w:hideMark/>
          </w:tcPr>
          <w:p w14:paraId="17937A0E"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1,332 </w:t>
            </w:r>
          </w:p>
        </w:tc>
        <w:tc>
          <w:tcPr>
            <w:tcW w:w="0" w:type="auto"/>
            <w:tcBorders>
              <w:top w:val="nil"/>
              <w:left w:val="nil"/>
              <w:bottom w:val="dotted" w:sz="4" w:space="0" w:color="auto"/>
              <w:right w:val="nil"/>
            </w:tcBorders>
            <w:shd w:val="clear" w:color="auto" w:fill="auto"/>
            <w:noWrap/>
            <w:vAlign w:val="bottom"/>
            <w:hideMark/>
          </w:tcPr>
          <w:p w14:paraId="0FBE2130"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6%</w:t>
            </w:r>
          </w:p>
        </w:tc>
        <w:tc>
          <w:tcPr>
            <w:tcW w:w="0" w:type="auto"/>
            <w:tcBorders>
              <w:top w:val="nil"/>
              <w:left w:val="nil"/>
              <w:bottom w:val="dotted" w:sz="4" w:space="0" w:color="auto"/>
              <w:right w:val="nil"/>
            </w:tcBorders>
            <w:shd w:val="clear" w:color="auto" w:fill="auto"/>
            <w:noWrap/>
            <w:vAlign w:val="bottom"/>
            <w:hideMark/>
          </w:tcPr>
          <w:p w14:paraId="0C0BE776"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 xml:space="preserve">25,319 </w:t>
            </w:r>
          </w:p>
        </w:tc>
        <w:tc>
          <w:tcPr>
            <w:tcW w:w="0" w:type="auto"/>
            <w:tcBorders>
              <w:top w:val="nil"/>
              <w:left w:val="nil"/>
              <w:bottom w:val="dotted" w:sz="4" w:space="0" w:color="auto"/>
              <w:right w:val="single" w:sz="8" w:space="0" w:color="auto"/>
            </w:tcBorders>
            <w:shd w:val="clear" w:color="auto" w:fill="auto"/>
            <w:noWrap/>
            <w:vAlign w:val="bottom"/>
            <w:hideMark/>
          </w:tcPr>
          <w:p w14:paraId="3FBB561C" w14:textId="77777777" w:rsidR="009B0F23" w:rsidRPr="009B0F23" w:rsidRDefault="009B0F23" w:rsidP="009B0F23">
            <w:pPr>
              <w:spacing w:after="0" w:line="240" w:lineRule="auto"/>
              <w:jc w:val="center"/>
              <w:rPr>
                <w:rFonts w:asciiTheme="minorHAnsi" w:eastAsia="Times New Roman" w:hAnsiTheme="minorHAnsi" w:cstheme="minorHAnsi"/>
                <w:kern w:val="0"/>
                <w:sz w:val="18"/>
                <w:szCs w:val="18"/>
                <w14:ligatures w14:val="none"/>
              </w:rPr>
            </w:pPr>
            <w:r w:rsidRPr="009B0F23">
              <w:rPr>
                <w:rFonts w:asciiTheme="minorHAnsi" w:eastAsia="Times New Roman" w:hAnsiTheme="minorHAnsi" w:cstheme="minorHAnsi"/>
                <w:kern w:val="0"/>
                <w:sz w:val="18"/>
                <w:szCs w:val="18"/>
                <w14:ligatures w14:val="none"/>
              </w:rPr>
              <w:t>2%</w:t>
            </w:r>
          </w:p>
        </w:tc>
      </w:tr>
      <w:tr w:rsidR="007A68F7" w:rsidRPr="009B0F23" w14:paraId="07FF09C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7AD4A42C"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Milford Regional Medical Center</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4AAB260B"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22DF49C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23,138 </w:t>
            </w:r>
          </w:p>
        </w:tc>
        <w:tc>
          <w:tcPr>
            <w:tcW w:w="0" w:type="auto"/>
            <w:tcBorders>
              <w:top w:val="single" w:sz="4" w:space="0" w:color="auto"/>
              <w:left w:val="nil"/>
              <w:bottom w:val="dotted" w:sz="4" w:space="0" w:color="auto"/>
              <w:right w:val="nil"/>
            </w:tcBorders>
            <w:shd w:val="clear" w:color="auto" w:fill="auto"/>
            <w:noWrap/>
            <w:vAlign w:val="bottom"/>
            <w:hideMark/>
          </w:tcPr>
          <w:p w14:paraId="6B1EA36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c>
          <w:tcPr>
            <w:tcW w:w="0" w:type="auto"/>
            <w:tcBorders>
              <w:top w:val="single" w:sz="4" w:space="0" w:color="auto"/>
              <w:left w:val="nil"/>
              <w:bottom w:val="dotted" w:sz="4" w:space="0" w:color="auto"/>
              <w:right w:val="nil"/>
            </w:tcBorders>
            <w:shd w:val="clear" w:color="auto" w:fill="auto"/>
            <w:noWrap/>
            <w:vAlign w:val="bottom"/>
            <w:hideMark/>
          </w:tcPr>
          <w:p w14:paraId="116F51C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1,017 </w:t>
            </w:r>
          </w:p>
        </w:tc>
        <w:tc>
          <w:tcPr>
            <w:tcW w:w="0" w:type="auto"/>
            <w:tcBorders>
              <w:top w:val="single" w:sz="4" w:space="0" w:color="auto"/>
              <w:left w:val="nil"/>
              <w:bottom w:val="dotted" w:sz="4" w:space="0" w:color="auto"/>
              <w:right w:val="nil"/>
            </w:tcBorders>
            <w:shd w:val="clear" w:color="auto" w:fill="auto"/>
            <w:noWrap/>
            <w:vAlign w:val="bottom"/>
            <w:hideMark/>
          </w:tcPr>
          <w:p w14:paraId="76A205E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4%</w:t>
            </w:r>
          </w:p>
        </w:tc>
        <w:tc>
          <w:tcPr>
            <w:tcW w:w="0" w:type="auto"/>
            <w:tcBorders>
              <w:top w:val="single" w:sz="4" w:space="0" w:color="auto"/>
              <w:left w:val="nil"/>
              <w:bottom w:val="dotted" w:sz="4" w:space="0" w:color="auto"/>
              <w:right w:val="nil"/>
            </w:tcBorders>
            <w:shd w:val="clear" w:color="auto" w:fill="auto"/>
            <w:noWrap/>
            <w:vAlign w:val="bottom"/>
            <w:hideMark/>
          </w:tcPr>
          <w:p w14:paraId="40C9665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24,155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0968793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r>
      <w:tr w:rsidR="007A68F7" w:rsidRPr="009B0F23" w14:paraId="7F6F42EC"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5E25CB43"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Trinity Health</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6AF3B23D"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2209B364"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20,441 </w:t>
            </w:r>
          </w:p>
        </w:tc>
        <w:tc>
          <w:tcPr>
            <w:tcW w:w="0" w:type="auto"/>
            <w:tcBorders>
              <w:top w:val="single" w:sz="4" w:space="0" w:color="auto"/>
              <w:left w:val="nil"/>
              <w:bottom w:val="dotted" w:sz="4" w:space="0" w:color="auto"/>
              <w:right w:val="nil"/>
            </w:tcBorders>
            <w:shd w:val="clear" w:color="auto" w:fill="auto"/>
            <w:noWrap/>
            <w:vAlign w:val="bottom"/>
            <w:hideMark/>
          </w:tcPr>
          <w:p w14:paraId="6933C61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c>
          <w:tcPr>
            <w:tcW w:w="0" w:type="auto"/>
            <w:tcBorders>
              <w:top w:val="single" w:sz="4" w:space="0" w:color="auto"/>
              <w:left w:val="nil"/>
              <w:bottom w:val="dotted" w:sz="4" w:space="0" w:color="auto"/>
              <w:right w:val="nil"/>
            </w:tcBorders>
            <w:shd w:val="clear" w:color="auto" w:fill="auto"/>
            <w:noWrap/>
            <w:vAlign w:val="bottom"/>
            <w:hideMark/>
          </w:tcPr>
          <w:p w14:paraId="0243342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67338C4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w:t>
            </w:r>
          </w:p>
        </w:tc>
        <w:tc>
          <w:tcPr>
            <w:tcW w:w="0" w:type="auto"/>
            <w:tcBorders>
              <w:top w:val="single" w:sz="4" w:space="0" w:color="auto"/>
              <w:left w:val="nil"/>
              <w:bottom w:val="dotted" w:sz="4" w:space="0" w:color="auto"/>
              <w:right w:val="nil"/>
            </w:tcBorders>
            <w:shd w:val="clear" w:color="auto" w:fill="auto"/>
            <w:noWrap/>
            <w:vAlign w:val="bottom"/>
            <w:hideMark/>
          </w:tcPr>
          <w:p w14:paraId="3F9AA6F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20,443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2B05252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2%</w:t>
            </w:r>
          </w:p>
        </w:tc>
      </w:tr>
      <w:tr w:rsidR="007A68F7" w:rsidRPr="009B0F23" w14:paraId="4483F62E"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6A675E4E"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Signature Healthcare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A99B8DF"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1655F10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18,203 </w:t>
            </w:r>
          </w:p>
        </w:tc>
        <w:tc>
          <w:tcPr>
            <w:tcW w:w="0" w:type="auto"/>
            <w:tcBorders>
              <w:top w:val="single" w:sz="4" w:space="0" w:color="auto"/>
              <w:left w:val="nil"/>
              <w:bottom w:val="dotted" w:sz="4" w:space="0" w:color="auto"/>
              <w:right w:val="nil"/>
            </w:tcBorders>
            <w:shd w:val="clear" w:color="auto" w:fill="auto"/>
            <w:noWrap/>
            <w:vAlign w:val="bottom"/>
            <w:hideMark/>
          </w:tcPr>
          <w:p w14:paraId="7A0C148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3C7C2C0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02B0D53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54F16BD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18,203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4CC1DE8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3110D58E"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15882193"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Emerson Hospital Health System</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227CB63B"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2567C74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16,002 </w:t>
            </w:r>
          </w:p>
        </w:tc>
        <w:tc>
          <w:tcPr>
            <w:tcW w:w="0" w:type="auto"/>
            <w:tcBorders>
              <w:top w:val="single" w:sz="4" w:space="0" w:color="auto"/>
              <w:left w:val="nil"/>
              <w:bottom w:val="dotted" w:sz="4" w:space="0" w:color="auto"/>
              <w:right w:val="nil"/>
            </w:tcBorders>
            <w:shd w:val="clear" w:color="auto" w:fill="auto"/>
            <w:noWrap/>
            <w:vAlign w:val="bottom"/>
            <w:hideMark/>
          </w:tcPr>
          <w:p w14:paraId="1953EFF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4428B68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173 </w:t>
            </w:r>
          </w:p>
        </w:tc>
        <w:tc>
          <w:tcPr>
            <w:tcW w:w="0" w:type="auto"/>
            <w:tcBorders>
              <w:top w:val="single" w:sz="4" w:space="0" w:color="auto"/>
              <w:left w:val="nil"/>
              <w:bottom w:val="dotted" w:sz="4" w:space="0" w:color="auto"/>
              <w:right w:val="nil"/>
            </w:tcBorders>
            <w:shd w:val="clear" w:color="auto" w:fill="auto"/>
            <w:noWrap/>
            <w:vAlign w:val="bottom"/>
            <w:hideMark/>
          </w:tcPr>
          <w:p w14:paraId="68EF724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44FFAC5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16,175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1F8449D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25828203"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6DDD8160"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Sturdy Health</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65B92314"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0A83A2F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15,648 </w:t>
            </w:r>
          </w:p>
        </w:tc>
        <w:tc>
          <w:tcPr>
            <w:tcW w:w="0" w:type="auto"/>
            <w:tcBorders>
              <w:top w:val="single" w:sz="4" w:space="0" w:color="auto"/>
              <w:left w:val="nil"/>
              <w:bottom w:val="dotted" w:sz="4" w:space="0" w:color="auto"/>
              <w:right w:val="nil"/>
            </w:tcBorders>
            <w:shd w:val="clear" w:color="auto" w:fill="auto"/>
            <w:noWrap/>
            <w:vAlign w:val="bottom"/>
            <w:hideMark/>
          </w:tcPr>
          <w:p w14:paraId="77108CE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50F9DD85"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1CB4174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43EEB29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15,648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37467851"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1606FF7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1AC2649D"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Cambridge Health Alliance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2E9AA55E"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7DC6C1D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15,032 </w:t>
            </w:r>
          </w:p>
        </w:tc>
        <w:tc>
          <w:tcPr>
            <w:tcW w:w="0" w:type="auto"/>
            <w:tcBorders>
              <w:top w:val="single" w:sz="4" w:space="0" w:color="auto"/>
              <w:left w:val="nil"/>
              <w:bottom w:val="dotted" w:sz="4" w:space="0" w:color="auto"/>
              <w:right w:val="nil"/>
            </w:tcBorders>
            <w:shd w:val="clear" w:color="auto" w:fill="auto"/>
            <w:noWrap/>
            <w:vAlign w:val="bottom"/>
            <w:hideMark/>
          </w:tcPr>
          <w:p w14:paraId="4D06516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066CEA28"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1B5FB3EF"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4186A28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15,032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6515F28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0966D4D6"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25823AF7"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Heywood Healthcare</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01CCFF4"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3C627C49"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13,734 </w:t>
            </w:r>
          </w:p>
        </w:tc>
        <w:tc>
          <w:tcPr>
            <w:tcW w:w="0" w:type="auto"/>
            <w:tcBorders>
              <w:top w:val="single" w:sz="4" w:space="0" w:color="auto"/>
              <w:left w:val="nil"/>
              <w:bottom w:val="dotted" w:sz="4" w:space="0" w:color="auto"/>
              <w:right w:val="nil"/>
            </w:tcBorders>
            <w:shd w:val="clear" w:color="auto" w:fill="auto"/>
            <w:noWrap/>
            <w:vAlign w:val="bottom"/>
            <w:hideMark/>
          </w:tcPr>
          <w:p w14:paraId="2946E2A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1F71C3E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6A749D2D"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16BEACA7"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13,734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2BF24C53"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45FC1770" w14:textId="77777777" w:rsidTr="000D5EF6">
        <w:trPr>
          <w:cantSplit/>
          <w:trHeight w:val="144"/>
        </w:trPr>
        <w:tc>
          <w:tcPr>
            <w:tcW w:w="0" w:type="auto"/>
            <w:tcBorders>
              <w:top w:val="single" w:sz="4" w:space="0" w:color="auto"/>
              <w:left w:val="single" w:sz="8" w:space="0" w:color="auto"/>
              <w:bottom w:val="dotted" w:sz="4" w:space="0" w:color="auto"/>
              <w:right w:val="nil"/>
            </w:tcBorders>
            <w:shd w:val="clear" w:color="auto" w:fill="auto"/>
            <w:noWrap/>
            <w:vAlign w:val="bottom"/>
            <w:hideMark/>
          </w:tcPr>
          <w:p w14:paraId="48FFD090"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Valley Health Systems</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8F0EE58"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dotted" w:sz="4" w:space="0" w:color="auto"/>
              <w:right w:val="nil"/>
            </w:tcBorders>
            <w:shd w:val="clear" w:color="auto" w:fill="auto"/>
            <w:noWrap/>
            <w:vAlign w:val="bottom"/>
            <w:hideMark/>
          </w:tcPr>
          <w:p w14:paraId="6DF46B2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11,423 </w:t>
            </w:r>
          </w:p>
        </w:tc>
        <w:tc>
          <w:tcPr>
            <w:tcW w:w="0" w:type="auto"/>
            <w:tcBorders>
              <w:top w:val="single" w:sz="4" w:space="0" w:color="auto"/>
              <w:left w:val="nil"/>
              <w:bottom w:val="dotted" w:sz="4" w:space="0" w:color="auto"/>
              <w:right w:val="nil"/>
            </w:tcBorders>
            <w:shd w:val="clear" w:color="auto" w:fill="auto"/>
            <w:noWrap/>
            <w:vAlign w:val="bottom"/>
            <w:hideMark/>
          </w:tcPr>
          <w:p w14:paraId="54BE9D90"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c>
          <w:tcPr>
            <w:tcW w:w="0" w:type="auto"/>
            <w:tcBorders>
              <w:top w:val="single" w:sz="4" w:space="0" w:color="auto"/>
              <w:left w:val="nil"/>
              <w:bottom w:val="dotted" w:sz="4" w:space="0" w:color="auto"/>
              <w:right w:val="nil"/>
            </w:tcBorders>
            <w:shd w:val="clear" w:color="auto" w:fill="auto"/>
            <w:noWrap/>
            <w:vAlign w:val="bottom"/>
            <w:hideMark/>
          </w:tcPr>
          <w:p w14:paraId="2FAF8FB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7D29BA6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w:t>
            </w:r>
          </w:p>
        </w:tc>
        <w:tc>
          <w:tcPr>
            <w:tcW w:w="0" w:type="auto"/>
            <w:tcBorders>
              <w:top w:val="single" w:sz="4" w:space="0" w:color="auto"/>
              <w:left w:val="nil"/>
              <w:bottom w:val="dotted" w:sz="4" w:space="0" w:color="auto"/>
              <w:right w:val="nil"/>
            </w:tcBorders>
            <w:shd w:val="clear" w:color="auto" w:fill="auto"/>
            <w:noWrap/>
            <w:vAlign w:val="bottom"/>
            <w:hideMark/>
          </w:tcPr>
          <w:p w14:paraId="44E191A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11,423 </w:t>
            </w:r>
          </w:p>
        </w:tc>
        <w:tc>
          <w:tcPr>
            <w:tcW w:w="0" w:type="auto"/>
            <w:tcBorders>
              <w:top w:val="single" w:sz="4" w:space="0" w:color="auto"/>
              <w:left w:val="nil"/>
              <w:bottom w:val="dotted" w:sz="4" w:space="0" w:color="auto"/>
              <w:right w:val="single" w:sz="8" w:space="0" w:color="auto"/>
            </w:tcBorders>
            <w:shd w:val="clear" w:color="auto" w:fill="auto"/>
            <w:noWrap/>
            <w:vAlign w:val="bottom"/>
            <w:hideMark/>
          </w:tcPr>
          <w:p w14:paraId="1C9CC9F2"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1%</w:t>
            </w:r>
          </w:p>
        </w:tc>
      </w:tr>
      <w:tr w:rsidR="007A68F7" w:rsidRPr="009B0F23" w14:paraId="73AE782C" w14:textId="77777777" w:rsidTr="000D5EF6">
        <w:trPr>
          <w:cantSplit/>
          <w:trHeight w:val="144"/>
        </w:trPr>
        <w:tc>
          <w:tcPr>
            <w:tcW w:w="0" w:type="auto"/>
            <w:tcBorders>
              <w:top w:val="single" w:sz="4" w:space="0" w:color="auto"/>
              <w:left w:val="single" w:sz="8" w:space="0" w:color="auto"/>
              <w:bottom w:val="single" w:sz="8" w:space="0" w:color="auto"/>
              <w:right w:val="nil"/>
            </w:tcBorders>
            <w:shd w:val="clear" w:color="auto" w:fill="auto"/>
            <w:noWrap/>
            <w:vAlign w:val="bottom"/>
            <w:hideMark/>
          </w:tcPr>
          <w:p w14:paraId="731C0B4F"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Boston Children's Hospital</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5EADDEC" w14:textId="77777777" w:rsidR="009B0F23" w:rsidRPr="009B0F23" w:rsidRDefault="009B0F23" w:rsidP="009B0F23">
            <w:pPr>
              <w:spacing w:after="0" w:line="240" w:lineRule="auto"/>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Total</w:t>
            </w:r>
          </w:p>
        </w:tc>
        <w:tc>
          <w:tcPr>
            <w:tcW w:w="0" w:type="auto"/>
            <w:tcBorders>
              <w:top w:val="single" w:sz="4" w:space="0" w:color="auto"/>
              <w:left w:val="nil"/>
              <w:bottom w:val="single" w:sz="8" w:space="0" w:color="auto"/>
              <w:right w:val="nil"/>
            </w:tcBorders>
            <w:shd w:val="clear" w:color="auto" w:fill="auto"/>
            <w:noWrap/>
            <w:vAlign w:val="bottom"/>
            <w:hideMark/>
          </w:tcPr>
          <w:p w14:paraId="6E5062E6"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1,143 </w:t>
            </w:r>
          </w:p>
        </w:tc>
        <w:tc>
          <w:tcPr>
            <w:tcW w:w="0" w:type="auto"/>
            <w:tcBorders>
              <w:top w:val="single" w:sz="4" w:space="0" w:color="auto"/>
              <w:left w:val="nil"/>
              <w:bottom w:val="single" w:sz="8" w:space="0" w:color="auto"/>
              <w:right w:val="nil"/>
            </w:tcBorders>
            <w:shd w:val="clear" w:color="auto" w:fill="auto"/>
            <w:noWrap/>
            <w:vAlign w:val="bottom"/>
            <w:hideMark/>
          </w:tcPr>
          <w:p w14:paraId="1CEF0C4A"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0%</w:t>
            </w:r>
          </w:p>
        </w:tc>
        <w:tc>
          <w:tcPr>
            <w:tcW w:w="0" w:type="auto"/>
            <w:tcBorders>
              <w:top w:val="single" w:sz="4" w:space="0" w:color="auto"/>
              <w:left w:val="nil"/>
              <w:bottom w:val="single" w:sz="8" w:space="0" w:color="auto"/>
              <w:right w:val="nil"/>
            </w:tcBorders>
            <w:shd w:val="clear" w:color="auto" w:fill="auto"/>
            <w:noWrap/>
            <w:vAlign w:val="bottom"/>
            <w:hideMark/>
          </w:tcPr>
          <w:p w14:paraId="19B73AB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29 </w:t>
            </w:r>
          </w:p>
        </w:tc>
        <w:tc>
          <w:tcPr>
            <w:tcW w:w="0" w:type="auto"/>
            <w:tcBorders>
              <w:top w:val="single" w:sz="4" w:space="0" w:color="auto"/>
              <w:left w:val="nil"/>
              <w:bottom w:val="single" w:sz="8" w:space="0" w:color="auto"/>
              <w:right w:val="nil"/>
            </w:tcBorders>
            <w:shd w:val="clear" w:color="auto" w:fill="auto"/>
            <w:noWrap/>
            <w:vAlign w:val="bottom"/>
            <w:hideMark/>
          </w:tcPr>
          <w:p w14:paraId="255545EB"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0%</w:t>
            </w:r>
          </w:p>
        </w:tc>
        <w:tc>
          <w:tcPr>
            <w:tcW w:w="0" w:type="auto"/>
            <w:tcBorders>
              <w:top w:val="single" w:sz="4" w:space="0" w:color="auto"/>
              <w:left w:val="nil"/>
              <w:bottom w:val="single" w:sz="8" w:space="0" w:color="auto"/>
              <w:right w:val="nil"/>
            </w:tcBorders>
            <w:shd w:val="clear" w:color="auto" w:fill="auto"/>
            <w:noWrap/>
            <w:vAlign w:val="bottom"/>
            <w:hideMark/>
          </w:tcPr>
          <w:p w14:paraId="5368195E"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 xml:space="preserve">1,172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14:paraId="5BA2128C" w14:textId="77777777" w:rsidR="009B0F23" w:rsidRPr="009B0F23" w:rsidRDefault="009B0F23" w:rsidP="009B0F23">
            <w:pPr>
              <w:spacing w:after="0" w:line="240" w:lineRule="auto"/>
              <w:jc w:val="center"/>
              <w:rPr>
                <w:rFonts w:asciiTheme="minorHAnsi" w:eastAsia="Times New Roman" w:hAnsiTheme="minorHAnsi" w:cstheme="minorHAnsi"/>
                <w:b/>
                <w:bCs/>
                <w:kern w:val="0"/>
                <w:sz w:val="18"/>
                <w:szCs w:val="18"/>
                <w14:ligatures w14:val="none"/>
              </w:rPr>
            </w:pPr>
            <w:r w:rsidRPr="009B0F23">
              <w:rPr>
                <w:rFonts w:asciiTheme="minorHAnsi" w:eastAsia="Times New Roman" w:hAnsiTheme="minorHAnsi" w:cstheme="minorHAnsi"/>
                <w:b/>
                <w:bCs/>
                <w:kern w:val="0"/>
                <w:sz w:val="18"/>
                <w:szCs w:val="18"/>
                <w14:ligatures w14:val="none"/>
              </w:rPr>
              <w:t>0%</w:t>
            </w:r>
          </w:p>
        </w:tc>
      </w:tr>
    </w:tbl>
    <w:p w14:paraId="3F9DE43D" w14:textId="77777777" w:rsidR="0075072D" w:rsidRDefault="0075072D" w:rsidP="00017609">
      <w:pPr>
        <w:pStyle w:val="Heading2"/>
        <w:sectPr w:rsidR="0075072D" w:rsidSect="00AB4D0F">
          <w:pgSz w:w="15840" w:h="12240" w:orient="landscape"/>
          <w:pgMar w:top="1440" w:right="1440" w:bottom="1440" w:left="1440" w:header="720" w:footer="720" w:gutter="0"/>
          <w:cols w:space="720"/>
          <w:docGrid w:linePitch="360"/>
        </w:sectPr>
      </w:pPr>
    </w:p>
    <w:p w14:paraId="20754419" w14:textId="4717C85A" w:rsidR="009A58A5" w:rsidRDefault="001272B8" w:rsidP="00017609">
      <w:pPr>
        <w:pStyle w:val="Heading2"/>
      </w:pPr>
      <w:bookmarkStart w:id="67" w:name="_Toc187401762"/>
      <w:r>
        <w:lastRenderedPageBreak/>
        <w:t>Forecast of Future Demand for Outpatient Imaging Services</w:t>
      </w:r>
      <w:bookmarkEnd w:id="67"/>
      <w:r>
        <w:t xml:space="preserve"> </w:t>
      </w:r>
    </w:p>
    <w:p w14:paraId="120A07AF" w14:textId="21277A31" w:rsidR="001272B8" w:rsidRDefault="001272B8" w:rsidP="009A58A5">
      <w:pPr>
        <w:numPr>
          <w:ilvl w:val="0"/>
          <w:numId w:val="4"/>
        </w:numPr>
        <w:spacing w:before="120" w:after="120" w:line="360" w:lineRule="auto"/>
        <w:ind w:hanging="547"/>
        <w:jc w:val="both"/>
      </w:pPr>
      <w:r>
        <w:t xml:space="preserve">This section presents the results of the demand projection methodology outlined above for each relevant service line in outpatient imaging. As described in Section </w:t>
      </w:r>
      <w:r w:rsidR="001204A7">
        <w:t>I</w:t>
      </w:r>
      <w:r>
        <w:t>X, ut</w:t>
      </w:r>
      <w:r w:rsidRPr="001272B8">
        <w:t xml:space="preserve">ilization projections were developed by area, service, and payor. </w:t>
      </w:r>
      <w:r>
        <w:t xml:space="preserve">Because the outpatient imaging service lines are not restricted to cancer care, only demographic-based growth was incorporated into these projections. Table </w:t>
      </w:r>
      <w:r w:rsidR="001204A7">
        <w:t>2</w:t>
      </w:r>
      <w:r w:rsidR="00AC0296">
        <w:t>4</w:t>
      </w:r>
      <w:r>
        <w:t xml:space="preserve"> and Table </w:t>
      </w:r>
      <w:r w:rsidR="001204A7">
        <w:t>2</w:t>
      </w:r>
      <w:r w:rsidR="00AC0296">
        <w:t>5</w:t>
      </w:r>
      <w:r>
        <w:t xml:space="preserve"> show projected demand growth for CT and PET-CT procedures by payor type. </w:t>
      </w:r>
      <w:r w:rsidRPr="001272B8">
        <w:t>Application of the methodology results in initial projections that the CT procedures in the service area will increase by 17.2% from 1,340,895 in 2025 to 1,571,442 in 2040 and PET-CT procedures will increase by 17.7% from 24,225 in 2025 to 28,507 in 2040.</w:t>
      </w:r>
    </w:p>
    <w:p w14:paraId="159578D4" w14:textId="01DD9745" w:rsidR="001272B8" w:rsidRDefault="001272B8" w:rsidP="001D3E05">
      <w:pPr>
        <w:pStyle w:val="Caption"/>
        <w:keepNext/>
        <w:jc w:val="center"/>
      </w:pPr>
      <w:bookmarkStart w:id="68" w:name="_Toc187401797"/>
      <w:r>
        <w:t xml:space="preserve">Table </w:t>
      </w:r>
      <w:fldSimple w:instr=" SEQ Table \* ARABIC ">
        <w:r w:rsidR="0085394E">
          <w:rPr>
            <w:noProof/>
          </w:rPr>
          <w:t>24</w:t>
        </w:r>
      </w:fldSimple>
      <w:r>
        <w:t>: Projected Demand for CT Procedures by Payor Type, 2025-2040</w:t>
      </w:r>
      <w:bookmarkEnd w:id="68"/>
    </w:p>
    <w:tbl>
      <w:tblPr>
        <w:tblW w:w="7380" w:type="dxa"/>
        <w:jc w:val="center"/>
        <w:tblLook w:val="04A0" w:firstRow="1" w:lastRow="0" w:firstColumn="1" w:lastColumn="0" w:noHBand="0" w:noVBand="1"/>
      </w:tblPr>
      <w:tblGrid>
        <w:gridCol w:w="1540"/>
        <w:gridCol w:w="1110"/>
        <w:gridCol w:w="1110"/>
        <w:gridCol w:w="1110"/>
        <w:gridCol w:w="1110"/>
        <w:gridCol w:w="1400"/>
      </w:tblGrid>
      <w:tr w:rsidR="009B0F23" w:rsidRPr="009B0F23" w14:paraId="0DEDD4AF" w14:textId="77777777" w:rsidTr="000D5EF6">
        <w:trPr>
          <w:cantSplit/>
          <w:trHeight w:val="290"/>
          <w:tblHeader/>
          <w:jc w:val="center"/>
        </w:trPr>
        <w:tc>
          <w:tcPr>
            <w:tcW w:w="1540" w:type="dxa"/>
            <w:tcBorders>
              <w:top w:val="single" w:sz="8" w:space="0" w:color="auto"/>
              <w:left w:val="single" w:sz="8" w:space="0" w:color="auto"/>
              <w:bottom w:val="nil"/>
              <w:right w:val="nil"/>
            </w:tcBorders>
            <w:shd w:val="clear" w:color="000000" w:fill="002060"/>
            <w:noWrap/>
            <w:vAlign w:val="bottom"/>
            <w:hideMark/>
          </w:tcPr>
          <w:p w14:paraId="623BEB2F" w14:textId="77777777" w:rsidR="009B0F23" w:rsidRPr="009B0F23" w:rsidRDefault="009B0F23" w:rsidP="009B0F23">
            <w:pPr>
              <w:spacing w:after="0" w:line="240" w:lineRule="auto"/>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w:t>
            </w:r>
          </w:p>
        </w:tc>
        <w:tc>
          <w:tcPr>
            <w:tcW w:w="4440" w:type="dxa"/>
            <w:gridSpan w:val="4"/>
            <w:tcBorders>
              <w:top w:val="single" w:sz="8" w:space="0" w:color="auto"/>
              <w:left w:val="nil"/>
              <w:bottom w:val="nil"/>
              <w:right w:val="nil"/>
            </w:tcBorders>
            <w:shd w:val="clear" w:color="000000" w:fill="002060"/>
            <w:noWrap/>
            <w:vAlign w:val="bottom"/>
            <w:hideMark/>
          </w:tcPr>
          <w:p w14:paraId="2FBA682E"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Projected Procedures</w:t>
            </w:r>
          </w:p>
        </w:tc>
        <w:tc>
          <w:tcPr>
            <w:tcW w:w="1400" w:type="dxa"/>
            <w:tcBorders>
              <w:top w:val="single" w:sz="8" w:space="0" w:color="auto"/>
              <w:left w:val="nil"/>
              <w:bottom w:val="nil"/>
              <w:right w:val="single" w:sz="8" w:space="0" w:color="auto"/>
            </w:tcBorders>
            <w:shd w:val="clear" w:color="000000" w:fill="002060"/>
            <w:noWrap/>
            <w:vAlign w:val="bottom"/>
            <w:hideMark/>
          </w:tcPr>
          <w:p w14:paraId="1D3B7B17"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Growth</w:t>
            </w:r>
          </w:p>
        </w:tc>
      </w:tr>
      <w:tr w:rsidR="009B0F23" w:rsidRPr="009B0F23" w14:paraId="5E6E2B9A" w14:textId="77777777" w:rsidTr="000D5EF6">
        <w:trPr>
          <w:cantSplit/>
          <w:trHeight w:val="290"/>
          <w:tblHeader/>
          <w:jc w:val="center"/>
        </w:trPr>
        <w:tc>
          <w:tcPr>
            <w:tcW w:w="1540" w:type="dxa"/>
            <w:tcBorders>
              <w:top w:val="nil"/>
              <w:left w:val="single" w:sz="8" w:space="0" w:color="auto"/>
              <w:bottom w:val="nil"/>
              <w:right w:val="nil"/>
            </w:tcBorders>
            <w:shd w:val="clear" w:color="000000" w:fill="002060"/>
            <w:noWrap/>
            <w:vAlign w:val="bottom"/>
            <w:hideMark/>
          </w:tcPr>
          <w:p w14:paraId="7805014E" w14:textId="77777777" w:rsidR="009B0F23" w:rsidRPr="009B0F23" w:rsidRDefault="009B0F23" w:rsidP="009B0F23">
            <w:pPr>
              <w:spacing w:after="0" w:line="240" w:lineRule="auto"/>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Payor</w:t>
            </w:r>
          </w:p>
        </w:tc>
        <w:tc>
          <w:tcPr>
            <w:tcW w:w="1110" w:type="dxa"/>
            <w:tcBorders>
              <w:top w:val="nil"/>
              <w:left w:val="nil"/>
              <w:bottom w:val="nil"/>
              <w:right w:val="nil"/>
            </w:tcBorders>
            <w:shd w:val="clear" w:color="000000" w:fill="002060"/>
            <w:noWrap/>
            <w:vAlign w:val="bottom"/>
            <w:hideMark/>
          </w:tcPr>
          <w:p w14:paraId="73101554"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2025</w:t>
            </w:r>
          </w:p>
        </w:tc>
        <w:tc>
          <w:tcPr>
            <w:tcW w:w="1110" w:type="dxa"/>
            <w:tcBorders>
              <w:top w:val="nil"/>
              <w:left w:val="nil"/>
              <w:bottom w:val="nil"/>
              <w:right w:val="nil"/>
            </w:tcBorders>
            <w:shd w:val="clear" w:color="000000" w:fill="002060"/>
            <w:noWrap/>
            <w:vAlign w:val="bottom"/>
            <w:hideMark/>
          </w:tcPr>
          <w:p w14:paraId="4B0F2B6E"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2030</w:t>
            </w:r>
          </w:p>
        </w:tc>
        <w:tc>
          <w:tcPr>
            <w:tcW w:w="1110" w:type="dxa"/>
            <w:tcBorders>
              <w:top w:val="nil"/>
              <w:left w:val="nil"/>
              <w:bottom w:val="nil"/>
              <w:right w:val="nil"/>
            </w:tcBorders>
            <w:shd w:val="clear" w:color="000000" w:fill="002060"/>
            <w:noWrap/>
            <w:vAlign w:val="bottom"/>
            <w:hideMark/>
          </w:tcPr>
          <w:p w14:paraId="2001F4CD"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2035</w:t>
            </w:r>
          </w:p>
        </w:tc>
        <w:tc>
          <w:tcPr>
            <w:tcW w:w="1110" w:type="dxa"/>
            <w:tcBorders>
              <w:top w:val="nil"/>
              <w:left w:val="nil"/>
              <w:bottom w:val="nil"/>
              <w:right w:val="nil"/>
            </w:tcBorders>
            <w:shd w:val="clear" w:color="000000" w:fill="002060"/>
            <w:noWrap/>
            <w:vAlign w:val="bottom"/>
            <w:hideMark/>
          </w:tcPr>
          <w:p w14:paraId="06192E26"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2040</w:t>
            </w:r>
          </w:p>
        </w:tc>
        <w:tc>
          <w:tcPr>
            <w:tcW w:w="1400" w:type="dxa"/>
            <w:tcBorders>
              <w:top w:val="nil"/>
              <w:left w:val="nil"/>
              <w:bottom w:val="nil"/>
              <w:right w:val="single" w:sz="8" w:space="0" w:color="auto"/>
            </w:tcBorders>
            <w:shd w:val="clear" w:color="000000" w:fill="002060"/>
            <w:noWrap/>
            <w:vAlign w:val="bottom"/>
            <w:hideMark/>
          </w:tcPr>
          <w:p w14:paraId="0F0C1AD6"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(2025-2040)</w:t>
            </w:r>
          </w:p>
        </w:tc>
      </w:tr>
      <w:tr w:rsidR="009B0F23" w:rsidRPr="009B0F23" w14:paraId="3D8749EB" w14:textId="77777777" w:rsidTr="000D5EF6">
        <w:trPr>
          <w:cantSplit/>
          <w:trHeight w:val="290"/>
          <w:jc w:val="center"/>
        </w:trPr>
        <w:tc>
          <w:tcPr>
            <w:tcW w:w="1540" w:type="dxa"/>
            <w:tcBorders>
              <w:top w:val="single" w:sz="4" w:space="0" w:color="auto"/>
              <w:left w:val="single" w:sz="8" w:space="0" w:color="auto"/>
              <w:bottom w:val="dashed" w:sz="4" w:space="0" w:color="auto"/>
              <w:right w:val="single" w:sz="4" w:space="0" w:color="auto"/>
            </w:tcBorders>
            <w:shd w:val="clear" w:color="auto" w:fill="auto"/>
            <w:noWrap/>
            <w:vAlign w:val="bottom"/>
            <w:hideMark/>
          </w:tcPr>
          <w:p w14:paraId="438BA510" w14:textId="77777777" w:rsidR="009B0F23" w:rsidRPr="009B0F23" w:rsidRDefault="009B0F23" w:rsidP="009B0F23">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Medicare</w:t>
            </w:r>
          </w:p>
        </w:tc>
        <w:tc>
          <w:tcPr>
            <w:tcW w:w="1110" w:type="dxa"/>
            <w:tcBorders>
              <w:top w:val="single" w:sz="4" w:space="0" w:color="auto"/>
              <w:left w:val="nil"/>
              <w:bottom w:val="dashed" w:sz="4" w:space="0" w:color="auto"/>
              <w:right w:val="nil"/>
            </w:tcBorders>
            <w:shd w:val="clear" w:color="auto" w:fill="auto"/>
            <w:noWrap/>
            <w:vAlign w:val="bottom"/>
            <w:hideMark/>
          </w:tcPr>
          <w:p w14:paraId="5F4822CA"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725,000</w:t>
            </w:r>
          </w:p>
        </w:tc>
        <w:tc>
          <w:tcPr>
            <w:tcW w:w="1110" w:type="dxa"/>
            <w:tcBorders>
              <w:top w:val="single" w:sz="4" w:space="0" w:color="auto"/>
              <w:left w:val="nil"/>
              <w:bottom w:val="dashed" w:sz="4" w:space="0" w:color="auto"/>
              <w:right w:val="nil"/>
            </w:tcBorders>
            <w:shd w:val="clear" w:color="auto" w:fill="auto"/>
            <w:noWrap/>
            <w:vAlign w:val="bottom"/>
            <w:hideMark/>
          </w:tcPr>
          <w:p w14:paraId="6D6B8043"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817,611</w:t>
            </w:r>
          </w:p>
        </w:tc>
        <w:tc>
          <w:tcPr>
            <w:tcW w:w="1110" w:type="dxa"/>
            <w:tcBorders>
              <w:top w:val="single" w:sz="4" w:space="0" w:color="auto"/>
              <w:left w:val="nil"/>
              <w:bottom w:val="dashed" w:sz="4" w:space="0" w:color="auto"/>
              <w:right w:val="nil"/>
            </w:tcBorders>
            <w:shd w:val="clear" w:color="auto" w:fill="auto"/>
            <w:noWrap/>
            <w:vAlign w:val="bottom"/>
            <w:hideMark/>
          </w:tcPr>
          <w:p w14:paraId="50248539"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887,739</w:t>
            </w:r>
          </w:p>
        </w:tc>
        <w:tc>
          <w:tcPr>
            <w:tcW w:w="1110" w:type="dxa"/>
            <w:tcBorders>
              <w:top w:val="single" w:sz="4" w:space="0" w:color="auto"/>
              <w:left w:val="nil"/>
              <w:bottom w:val="dashed" w:sz="4" w:space="0" w:color="auto"/>
              <w:right w:val="single" w:sz="4" w:space="0" w:color="auto"/>
            </w:tcBorders>
            <w:shd w:val="clear" w:color="auto" w:fill="auto"/>
            <w:noWrap/>
            <w:vAlign w:val="bottom"/>
            <w:hideMark/>
          </w:tcPr>
          <w:p w14:paraId="2417B15A"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923,761</w:t>
            </w:r>
          </w:p>
        </w:tc>
        <w:tc>
          <w:tcPr>
            <w:tcW w:w="1400" w:type="dxa"/>
            <w:tcBorders>
              <w:top w:val="single" w:sz="4" w:space="0" w:color="auto"/>
              <w:left w:val="nil"/>
              <w:bottom w:val="dashed" w:sz="4" w:space="0" w:color="auto"/>
              <w:right w:val="single" w:sz="8" w:space="0" w:color="auto"/>
            </w:tcBorders>
            <w:shd w:val="clear" w:color="auto" w:fill="auto"/>
            <w:noWrap/>
            <w:vAlign w:val="bottom"/>
            <w:hideMark/>
          </w:tcPr>
          <w:p w14:paraId="3BFB94C6"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27.4%</w:t>
            </w:r>
          </w:p>
        </w:tc>
      </w:tr>
      <w:tr w:rsidR="009B0F23" w:rsidRPr="009B0F23" w14:paraId="2B6C5F6A" w14:textId="77777777" w:rsidTr="000D5EF6">
        <w:trPr>
          <w:cantSplit/>
          <w:trHeight w:val="290"/>
          <w:jc w:val="center"/>
        </w:trPr>
        <w:tc>
          <w:tcPr>
            <w:tcW w:w="1540" w:type="dxa"/>
            <w:tcBorders>
              <w:top w:val="nil"/>
              <w:left w:val="single" w:sz="8" w:space="0" w:color="auto"/>
              <w:bottom w:val="dashed" w:sz="4" w:space="0" w:color="auto"/>
              <w:right w:val="single" w:sz="4" w:space="0" w:color="auto"/>
            </w:tcBorders>
            <w:shd w:val="clear" w:color="auto" w:fill="auto"/>
            <w:noWrap/>
            <w:vAlign w:val="bottom"/>
            <w:hideMark/>
          </w:tcPr>
          <w:p w14:paraId="0A2B9BFC" w14:textId="77777777" w:rsidR="009B0F23" w:rsidRPr="009B0F23" w:rsidRDefault="009B0F23" w:rsidP="009B0F23">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Medicaid</w:t>
            </w:r>
          </w:p>
        </w:tc>
        <w:tc>
          <w:tcPr>
            <w:tcW w:w="1110" w:type="dxa"/>
            <w:tcBorders>
              <w:top w:val="nil"/>
              <w:left w:val="nil"/>
              <w:bottom w:val="dashed" w:sz="4" w:space="0" w:color="auto"/>
              <w:right w:val="nil"/>
            </w:tcBorders>
            <w:shd w:val="clear" w:color="auto" w:fill="auto"/>
            <w:noWrap/>
            <w:vAlign w:val="bottom"/>
            <w:hideMark/>
          </w:tcPr>
          <w:p w14:paraId="460BBD55"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283,233</w:t>
            </w:r>
          </w:p>
        </w:tc>
        <w:tc>
          <w:tcPr>
            <w:tcW w:w="1110" w:type="dxa"/>
            <w:tcBorders>
              <w:top w:val="nil"/>
              <w:left w:val="nil"/>
              <w:bottom w:val="dashed" w:sz="4" w:space="0" w:color="auto"/>
              <w:right w:val="nil"/>
            </w:tcBorders>
            <w:shd w:val="clear" w:color="auto" w:fill="auto"/>
            <w:noWrap/>
            <w:vAlign w:val="bottom"/>
            <w:hideMark/>
          </w:tcPr>
          <w:p w14:paraId="4B6B34DA"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286,113</w:t>
            </w:r>
          </w:p>
        </w:tc>
        <w:tc>
          <w:tcPr>
            <w:tcW w:w="1110" w:type="dxa"/>
            <w:tcBorders>
              <w:top w:val="nil"/>
              <w:left w:val="nil"/>
              <w:bottom w:val="dashed" w:sz="4" w:space="0" w:color="auto"/>
              <w:right w:val="nil"/>
            </w:tcBorders>
            <w:shd w:val="clear" w:color="auto" w:fill="auto"/>
            <w:noWrap/>
            <w:vAlign w:val="bottom"/>
            <w:hideMark/>
          </w:tcPr>
          <w:p w14:paraId="6AD77A44"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287,759</w:t>
            </w:r>
          </w:p>
        </w:tc>
        <w:tc>
          <w:tcPr>
            <w:tcW w:w="1110" w:type="dxa"/>
            <w:tcBorders>
              <w:top w:val="nil"/>
              <w:left w:val="nil"/>
              <w:bottom w:val="dashed" w:sz="4" w:space="0" w:color="auto"/>
              <w:right w:val="single" w:sz="4" w:space="0" w:color="auto"/>
            </w:tcBorders>
            <w:shd w:val="clear" w:color="auto" w:fill="auto"/>
            <w:noWrap/>
            <w:vAlign w:val="bottom"/>
            <w:hideMark/>
          </w:tcPr>
          <w:p w14:paraId="677A7232"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290,155</w:t>
            </w:r>
          </w:p>
        </w:tc>
        <w:tc>
          <w:tcPr>
            <w:tcW w:w="1400" w:type="dxa"/>
            <w:tcBorders>
              <w:top w:val="nil"/>
              <w:left w:val="nil"/>
              <w:bottom w:val="dashed" w:sz="4" w:space="0" w:color="auto"/>
              <w:right w:val="single" w:sz="8" w:space="0" w:color="auto"/>
            </w:tcBorders>
            <w:shd w:val="clear" w:color="auto" w:fill="auto"/>
            <w:noWrap/>
            <w:vAlign w:val="bottom"/>
            <w:hideMark/>
          </w:tcPr>
          <w:p w14:paraId="5F7BCCCB"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2.4%</w:t>
            </w:r>
          </w:p>
        </w:tc>
      </w:tr>
      <w:tr w:rsidR="009B0F23" w:rsidRPr="009B0F23" w14:paraId="08BA9599" w14:textId="77777777" w:rsidTr="000D5EF6">
        <w:trPr>
          <w:cantSplit/>
          <w:trHeight w:val="290"/>
          <w:jc w:val="center"/>
        </w:trPr>
        <w:tc>
          <w:tcPr>
            <w:tcW w:w="1540" w:type="dxa"/>
            <w:tcBorders>
              <w:top w:val="nil"/>
              <w:left w:val="single" w:sz="8" w:space="0" w:color="auto"/>
              <w:bottom w:val="dashed" w:sz="4" w:space="0" w:color="auto"/>
              <w:right w:val="single" w:sz="4" w:space="0" w:color="auto"/>
            </w:tcBorders>
            <w:shd w:val="clear" w:color="auto" w:fill="auto"/>
            <w:noWrap/>
            <w:vAlign w:val="bottom"/>
            <w:hideMark/>
          </w:tcPr>
          <w:p w14:paraId="77952CE9" w14:textId="77777777" w:rsidR="009B0F23" w:rsidRPr="009B0F23" w:rsidRDefault="009B0F23" w:rsidP="009B0F23">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Commercial</w:t>
            </w:r>
          </w:p>
        </w:tc>
        <w:tc>
          <w:tcPr>
            <w:tcW w:w="1110" w:type="dxa"/>
            <w:tcBorders>
              <w:top w:val="nil"/>
              <w:left w:val="nil"/>
              <w:bottom w:val="dashed" w:sz="4" w:space="0" w:color="auto"/>
              <w:right w:val="nil"/>
            </w:tcBorders>
            <w:shd w:val="clear" w:color="auto" w:fill="auto"/>
            <w:noWrap/>
            <w:vAlign w:val="bottom"/>
            <w:hideMark/>
          </w:tcPr>
          <w:p w14:paraId="30E8EAD2"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217,256</w:t>
            </w:r>
          </w:p>
        </w:tc>
        <w:tc>
          <w:tcPr>
            <w:tcW w:w="1110" w:type="dxa"/>
            <w:tcBorders>
              <w:top w:val="nil"/>
              <w:left w:val="nil"/>
              <w:bottom w:val="dashed" w:sz="4" w:space="0" w:color="auto"/>
              <w:right w:val="nil"/>
            </w:tcBorders>
            <w:shd w:val="clear" w:color="auto" w:fill="auto"/>
            <w:noWrap/>
            <w:vAlign w:val="bottom"/>
            <w:hideMark/>
          </w:tcPr>
          <w:p w14:paraId="72853DA6"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214,210</w:t>
            </w:r>
          </w:p>
        </w:tc>
        <w:tc>
          <w:tcPr>
            <w:tcW w:w="1110" w:type="dxa"/>
            <w:tcBorders>
              <w:top w:val="nil"/>
              <w:left w:val="nil"/>
              <w:bottom w:val="dashed" w:sz="4" w:space="0" w:color="auto"/>
              <w:right w:val="nil"/>
            </w:tcBorders>
            <w:shd w:val="clear" w:color="auto" w:fill="auto"/>
            <w:noWrap/>
            <w:vAlign w:val="bottom"/>
            <w:hideMark/>
          </w:tcPr>
          <w:p w14:paraId="7C9AEE74"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211,351</w:t>
            </w:r>
          </w:p>
        </w:tc>
        <w:tc>
          <w:tcPr>
            <w:tcW w:w="1110" w:type="dxa"/>
            <w:tcBorders>
              <w:top w:val="nil"/>
              <w:left w:val="nil"/>
              <w:bottom w:val="dashed" w:sz="4" w:space="0" w:color="auto"/>
              <w:right w:val="single" w:sz="4" w:space="0" w:color="auto"/>
            </w:tcBorders>
            <w:shd w:val="clear" w:color="auto" w:fill="auto"/>
            <w:noWrap/>
            <w:vAlign w:val="bottom"/>
            <w:hideMark/>
          </w:tcPr>
          <w:p w14:paraId="5EBAE0BC"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211,229</w:t>
            </w:r>
          </w:p>
        </w:tc>
        <w:tc>
          <w:tcPr>
            <w:tcW w:w="1400" w:type="dxa"/>
            <w:tcBorders>
              <w:top w:val="nil"/>
              <w:left w:val="nil"/>
              <w:bottom w:val="dashed" w:sz="4" w:space="0" w:color="auto"/>
              <w:right w:val="single" w:sz="8" w:space="0" w:color="auto"/>
            </w:tcBorders>
            <w:shd w:val="clear" w:color="auto" w:fill="auto"/>
            <w:noWrap/>
            <w:vAlign w:val="bottom"/>
            <w:hideMark/>
          </w:tcPr>
          <w:p w14:paraId="424C6B3B"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w:t>
            </w:r>
          </w:p>
        </w:tc>
      </w:tr>
      <w:tr w:rsidR="009B0F23" w:rsidRPr="009B0F23" w14:paraId="4E1C92B0" w14:textId="77777777" w:rsidTr="000D5EF6">
        <w:trPr>
          <w:cantSplit/>
          <w:trHeight w:val="29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7909B5EB" w14:textId="77777777" w:rsidR="009B0F23" w:rsidRPr="009B0F23" w:rsidRDefault="009B0F23" w:rsidP="009B0F23">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Self-Pay/Other</w:t>
            </w:r>
          </w:p>
        </w:tc>
        <w:tc>
          <w:tcPr>
            <w:tcW w:w="1110" w:type="dxa"/>
            <w:tcBorders>
              <w:top w:val="nil"/>
              <w:left w:val="nil"/>
              <w:bottom w:val="single" w:sz="4" w:space="0" w:color="auto"/>
              <w:right w:val="nil"/>
            </w:tcBorders>
            <w:shd w:val="clear" w:color="auto" w:fill="auto"/>
            <w:noWrap/>
            <w:vAlign w:val="bottom"/>
            <w:hideMark/>
          </w:tcPr>
          <w:p w14:paraId="0494E013"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115,406</w:t>
            </w:r>
          </w:p>
        </w:tc>
        <w:tc>
          <w:tcPr>
            <w:tcW w:w="1110" w:type="dxa"/>
            <w:tcBorders>
              <w:top w:val="nil"/>
              <w:left w:val="nil"/>
              <w:bottom w:val="single" w:sz="4" w:space="0" w:color="auto"/>
              <w:right w:val="nil"/>
            </w:tcBorders>
            <w:shd w:val="clear" w:color="auto" w:fill="auto"/>
            <w:noWrap/>
            <w:vAlign w:val="bottom"/>
            <w:hideMark/>
          </w:tcPr>
          <w:p w14:paraId="5E64FB5D"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130,081</w:t>
            </w:r>
          </w:p>
        </w:tc>
        <w:tc>
          <w:tcPr>
            <w:tcW w:w="1110" w:type="dxa"/>
            <w:tcBorders>
              <w:top w:val="nil"/>
              <w:left w:val="nil"/>
              <w:bottom w:val="single" w:sz="4" w:space="0" w:color="auto"/>
              <w:right w:val="nil"/>
            </w:tcBorders>
            <w:shd w:val="clear" w:color="auto" w:fill="auto"/>
            <w:noWrap/>
            <w:vAlign w:val="bottom"/>
            <w:hideMark/>
          </w:tcPr>
          <w:p w14:paraId="630BFD0B"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141,135</w:t>
            </w:r>
          </w:p>
        </w:tc>
        <w:tc>
          <w:tcPr>
            <w:tcW w:w="1110" w:type="dxa"/>
            <w:tcBorders>
              <w:top w:val="nil"/>
              <w:left w:val="nil"/>
              <w:bottom w:val="single" w:sz="4" w:space="0" w:color="auto"/>
              <w:right w:val="single" w:sz="4" w:space="0" w:color="auto"/>
            </w:tcBorders>
            <w:shd w:val="clear" w:color="auto" w:fill="auto"/>
            <w:noWrap/>
            <w:vAlign w:val="bottom"/>
            <w:hideMark/>
          </w:tcPr>
          <w:p w14:paraId="5DF77C2A"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146,297</w:t>
            </w:r>
          </w:p>
        </w:tc>
        <w:tc>
          <w:tcPr>
            <w:tcW w:w="1400" w:type="dxa"/>
            <w:tcBorders>
              <w:top w:val="nil"/>
              <w:left w:val="nil"/>
              <w:bottom w:val="single" w:sz="4" w:space="0" w:color="auto"/>
              <w:right w:val="single" w:sz="8" w:space="0" w:color="auto"/>
            </w:tcBorders>
            <w:shd w:val="clear" w:color="auto" w:fill="auto"/>
            <w:noWrap/>
            <w:vAlign w:val="bottom"/>
            <w:hideMark/>
          </w:tcPr>
          <w:p w14:paraId="7A634A0B"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26.8%</w:t>
            </w:r>
          </w:p>
        </w:tc>
      </w:tr>
      <w:tr w:rsidR="009B0F23" w:rsidRPr="009B0F23" w14:paraId="5C7947D9" w14:textId="77777777" w:rsidTr="000D5EF6">
        <w:trPr>
          <w:cantSplit/>
          <w:trHeight w:val="290"/>
          <w:jc w:val="center"/>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14:paraId="39344C2B" w14:textId="77777777" w:rsidR="009B0F23" w:rsidRPr="009B0F23" w:rsidRDefault="009B0F23" w:rsidP="009B0F23">
            <w:pPr>
              <w:spacing w:after="0" w:line="240" w:lineRule="auto"/>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Total</w:t>
            </w:r>
          </w:p>
        </w:tc>
        <w:tc>
          <w:tcPr>
            <w:tcW w:w="1110" w:type="dxa"/>
            <w:tcBorders>
              <w:top w:val="nil"/>
              <w:left w:val="nil"/>
              <w:bottom w:val="single" w:sz="8" w:space="0" w:color="auto"/>
              <w:right w:val="nil"/>
            </w:tcBorders>
            <w:shd w:val="clear" w:color="auto" w:fill="auto"/>
            <w:noWrap/>
            <w:vAlign w:val="bottom"/>
            <w:hideMark/>
          </w:tcPr>
          <w:p w14:paraId="265AEC7B" w14:textId="77777777" w:rsidR="009B0F23" w:rsidRPr="009B0F23" w:rsidRDefault="009B0F23" w:rsidP="009B0F23">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1,340,895</w:t>
            </w:r>
          </w:p>
        </w:tc>
        <w:tc>
          <w:tcPr>
            <w:tcW w:w="1110" w:type="dxa"/>
            <w:tcBorders>
              <w:top w:val="nil"/>
              <w:left w:val="nil"/>
              <w:bottom w:val="single" w:sz="8" w:space="0" w:color="auto"/>
              <w:right w:val="nil"/>
            </w:tcBorders>
            <w:shd w:val="clear" w:color="auto" w:fill="auto"/>
            <w:noWrap/>
            <w:vAlign w:val="bottom"/>
            <w:hideMark/>
          </w:tcPr>
          <w:p w14:paraId="092F02E1" w14:textId="77777777" w:rsidR="009B0F23" w:rsidRPr="009B0F23" w:rsidRDefault="009B0F23" w:rsidP="009B0F23">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1,448,015</w:t>
            </w:r>
          </w:p>
        </w:tc>
        <w:tc>
          <w:tcPr>
            <w:tcW w:w="1110" w:type="dxa"/>
            <w:tcBorders>
              <w:top w:val="nil"/>
              <w:left w:val="nil"/>
              <w:bottom w:val="single" w:sz="8" w:space="0" w:color="auto"/>
              <w:right w:val="nil"/>
            </w:tcBorders>
            <w:shd w:val="clear" w:color="auto" w:fill="auto"/>
            <w:noWrap/>
            <w:vAlign w:val="bottom"/>
            <w:hideMark/>
          </w:tcPr>
          <w:p w14:paraId="6B8E1D32" w14:textId="77777777" w:rsidR="009B0F23" w:rsidRPr="009B0F23" w:rsidRDefault="009B0F23" w:rsidP="009B0F23">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1,527,984</w:t>
            </w:r>
          </w:p>
        </w:tc>
        <w:tc>
          <w:tcPr>
            <w:tcW w:w="1110" w:type="dxa"/>
            <w:tcBorders>
              <w:top w:val="nil"/>
              <w:left w:val="nil"/>
              <w:bottom w:val="single" w:sz="8" w:space="0" w:color="auto"/>
              <w:right w:val="single" w:sz="4" w:space="0" w:color="auto"/>
            </w:tcBorders>
            <w:shd w:val="clear" w:color="auto" w:fill="auto"/>
            <w:noWrap/>
            <w:vAlign w:val="bottom"/>
            <w:hideMark/>
          </w:tcPr>
          <w:p w14:paraId="4602EE7D" w14:textId="77777777" w:rsidR="009B0F23" w:rsidRPr="009B0F23" w:rsidRDefault="009B0F23" w:rsidP="009B0F23">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1,571,442</w:t>
            </w:r>
          </w:p>
        </w:tc>
        <w:tc>
          <w:tcPr>
            <w:tcW w:w="1400" w:type="dxa"/>
            <w:tcBorders>
              <w:top w:val="nil"/>
              <w:left w:val="nil"/>
              <w:bottom w:val="single" w:sz="8" w:space="0" w:color="auto"/>
              <w:right w:val="single" w:sz="8" w:space="0" w:color="auto"/>
            </w:tcBorders>
            <w:shd w:val="clear" w:color="auto" w:fill="auto"/>
            <w:noWrap/>
            <w:vAlign w:val="bottom"/>
            <w:hideMark/>
          </w:tcPr>
          <w:p w14:paraId="79841DD4" w14:textId="77777777" w:rsidR="009B0F23" w:rsidRPr="009B0F23" w:rsidRDefault="009B0F23" w:rsidP="009B0F23">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17.2%</w:t>
            </w:r>
          </w:p>
        </w:tc>
      </w:tr>
    </w:tbl>
    <w:p w14:paraId="4D1F6BE4" w14:textId="77777777" w:rsidR="009B0F23" w:rsidRDefault="009B0F23" w:rsidP="001D3E05">
      <w:pPr>
        <w:spacing w:before="120" w:after="120" w:line="360" w:lineRule="auto"/>
      </w:pPr>
    </w:p>
    <w:p w14:paraId="562E9970" w14:textId="2108E7FC" w:rsidR="001272B8" w:rsidRDefault="001272B8" w:rsidP="00A35837">
      <w:pPr>
        <w:pStyle w:val="Caption"/>
        <w:keepNext/>
        <w:jc w:val="center"/>
      </w:pPr>
      <w:bookmarkStart w:id="69" w:name="_Toc187401798"/>
      <w:r>
        <w:t xml:space="preserve">Table </w:t>
      </w:r>
      <w:fldSimple w:instr=" SEQ Table \* ARABIC ">
        <w:r w:rsidR="0085394E">
          <w:rPr>
            <w:noProof/>
          </w:rPr>
          <w:t>25</w:t>
        </w:r>
      </w:fldSimple>
      <w:r>
        <w:t>: Projected Demand for PET-CT Procedures by Payor Type, 2025-2040</w:t>
      </w:r>
      <w:bookmarkEnd w:id="69"/>
    </w:p>
    <w:tbl>
      <w:tblPr>
        <w:tblW w:w="6930" w:type="dxa"/>
        <w:jc w:val="center"/>
        <w:tblLook w:val="04A0" w:firstRow="1" w:lastRow="0" w:firstColumn="1" w:lastColumn="0" w:noHBand="0" w:noVBand="1"/>
      </w:tblPr>
      <w:tblGrid>
        <w:gridCol w:w="1680"/>
        <w:gridCol w:w="960"/>
        <w:gridCol w:w="960"/>
        <w:gridCol w:w="960"/>
        <w:gridCol w:w="960"/>
        <w:gridCol w:w="1410"/>
      </w:tblGrid>
      <w:tr w:rsidR="009B0F23" w:rsidRPr="009B0F23" w14:paraId="00CEA416" w14:textId="77777777" w:rsidTr="00161100">
        <w:trPr>
          <w:cantSplit/>
          <w:trHeight w:val="290"/>
          <w:tblHeader/>
          <w:jc w:val="center"/>
        </w:trPr>
        <w:tc>
          <w:tcPr>
            <w:tcW w:w="1680" w:type="dxa"/>
            <w:tcBorders>
              <w:top w:val="single" w:sz="8" w:space="0" w:color="auto"/>
              <w:left w:val="single" w:sz="8" w:space="0" w:color="auto"/>
              <w:bottom w:val="nil"/>
              <w:right w:val="nil"/>
            </w:tcBorders>
            <w:shd w:val="clear" w:color="000000" w:fill="002060"/>
            <w:noWrap/>
            <w:vAlign w:val="bottom"/>
            <w:hideMark/>
          </w:tcPr>
          <w:p w14:paraId="7D2D1B45" w14:textId="77777777" w:rsidR="009B0F23" w:rsidRPr="009B0F23" w:rsidRDefault="009B0F23" w:rsidP="009B0F23">
            <w:pPr>
              <w:spacing w:after="0" w:line="240" w:lineRule="auto"/>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w:t>
            </w:r>
          </w:p>
        </w:tc>
        <w:tc>
          <w:tcPr>
            <w:tcW w:w="3840" w:type="dxa"/>
            <w:gridSpan w:val="4"/>
            <w:tcBorders>
              <w:top w:val="single" w:sz="8" w:space="0" w:color="auto"/>
              <w:left w:val="nil"/>
              <w:bottom w:val="nil"/>
              <w:right w:val="nil"/>
            </w:tcBorders>
            <w:shd w:val="clear" w:color="000000" w:fill="002060"/>
            <w:noWrap/>
            <w:vAlign w:val="bottom"/>
            <w:hideMark/>
          </w:tcPr>
          <w:p w14:paraId="467C2D03"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Projected Procedures</w:t>
            </w:r>
          </w:p>
        </w:tc>
        <w:tc>
          <w:tcPr>
            <w:tcW w:w="1410" w:type="dxa"/>
            <w:tcBorders>
              <w:top w:val="single" w:sz="8" w:space="0" w:color="auto"/>
              <w:left w:val="nil"/>
              <w:bottom w:val="nil"/>
              <w:right w:val="single" w:sz="8" w:space="0" w:color="auto"/>
            </w:tcBorders>
            <w:shd w:val="clear" w:color="000000" w:fill="002060"/>
            <w:noWrap/>
            <w:vAlign w:val="bottom"/>
            <w:hideMark/>
          </w:tcPr>
          <w:p w14:paraId="24D7AB2D"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Growth</w:t>
            </w:r>
          </w:p>
        </w:tc>
      </w:tr>
      <w:tr w:rsidR="009B0F23" w:rsidRPr="009B0F23" w14:paraId="73E71031" w14:textId="77777777" w:rsidTr="00161100">
        <w:trPr>
          <w:cantSplit/>
          <w:trHeight w:val="290"/>
          <w:tblHeader/>
          <w:jc w:val="center"/>
        </w:trPr>
        <w:tc>
          <w:tcPr>
            <w:tcW w:w="1680" w:type="dxa"/>
            <w:tcBorders>
              <w:top w:val="nil"/>
              <w:left w:val="single" w:sz="8" w:space="0" w:color="auto"/>
              <w:bottom w:val="nil"/>
              <w:right w:val="nil"/>
            </w:tcBorders>
            <w:shd w:val="clear" w:color="000000" w:fill="002060"/>
            <w:noWrap/>
            <w:vAlign w:val="bottom"/>
            <w:hideMark/>
          </w:tcPr>
          <w:p w14:paraId="12797F17" w14:textId="77777777" w:rsidR="009B0F23" w:rsidRPr="009B0F23" w:rsidRDefault="009B0F23" w:rsidP="009B0F23">
            <w:pPr>
              <w:spacing w:after="0" w:line="240" w:lineRule="auto"/>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Payor</w:t>
            </w:r>
          </w:p>
        </w:tc>
        <w:tc>
          <w:tcPr>
            <w:tcW w:w="960" w:type="dxa"/>
            <w:tcBorders>
              <w:top w:val="nil"/>
              <w:left w:val="nil"/>
              <w:bottom w:val="nil"/>
              <w:right w:val="nil"/>
            </w:tcBorders>
            <w:shd w:val="clear" w:color="000000" w:fill="002060"/>
            <w:noWrap/>
            <w:vAlign w:val="bottom"/>
            <w:hideMark/>
          </w:tcPr>
          <w:p w14:paraId="5A0D5771"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2025</w:t>
            </w:r>
          </w:p>
        </w:tc>
        <w:tc>
          <w:tcPr>
            <w:tcW w:w="960" w:type="dxa"/>
            <w:tcBorders>
              <w:top w:val="nil"/>
              <w:left w:val="nil"/>
              <w:bottom w:val="nil"/>
              <w:right w:val="nil"/>
            </w:tcBorders>
            <w:shd w:val="clear" w:color="000000" w:fill="002060"/>
            <w:noWrap/>
            <w:vAlign w:val="bottom"/>
            <w:hideMark/>
          </w:tcPr>
          <w:p w14:paraId="4CE07755"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2030</w:t>
            </w:r>
          </w:p>
        </w:tc>
        <w:tc>
          <w:tcPr>
            <w:tcW w:w="960" w:type="dxa"/>
            <w:tcBorders>
              <w:top w:val="nil"/>
              <w:left w:val="nil"/>
              <w:bottom w:val="nil"/>
              <w:right w:val="nil"/>
            </w:tcBorders>
            <w:shd w:val="clear" w:color="000000" w:fill="002060"/>
            <w:noWrap/>
            <w:vAlign w:val="bottom"/>
            <w:hideMark/>
          </w:tcPr>
          <w:p w14:paraId="5A4EE1FA"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2035</w:t>
            </w:r>
          </w:p>
        </w:tc>
        <w:tc>
          <w:tcPr>
            <w:tcW w:w="960" w:type="dxa"/>
            <w:tcBorders>
              <w:top w:val="nil"/>
              <w:left w:val="nil"/>
              <w:bottom w:val="nil"/>
              <w:right w:val="nil"/>
            </w:tcBorders>
            <w:shd w:val="clear" w:color="000000" w:fill="002060"/>
            <w:noWrap/>
            <w:vAlign w:val="bottom"/>
            <w:hideMark/>
          </w:tcPr>
          <w:p w14:paraId="1F401574" w14:textId="77777777" w:rsidR="009B0F23" w:rsidRPr="009B0F23" w:rsidRDefault="009B0F23" w:rsidP="009B0F23">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2040</w:t>
            </w:r>
          </w:p>
        </w:tc>
        <w:tc>
          <w:tcPr>
            <w:tcW w:w="1410" w:type="dxa"/>
            <w:tcBorders>
              <w:top w:val="nil"/>
              <w:left w:val="nil"/>
              <w:bottom w:val="nil"/>
              <w:right w:val="single" w:sz="8" w:space="0" w:color="auto"/>
            </w:tcBorders>
            <w:shd w:val="clear" w:color="000000" w:fill="002060"/>
            <w:noWrap/>
            <w:vAlign w:val="bottom"/>
            <w:hideMark/>
          </w:tcPr>
          <w:p w14:paraId="7883D09D"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(2025-2040)</w:t>
            </w:r>
          </w:p>
        </w:tc>
      </w:tr>
      <w:tr w:rsidR="009B0F23" w:rsidRPr="009B0F23" w14:paraId="3B20AAE5" w14:textId="77777777" w:rsidTr="00161100">
        <w:trPr>
          <w:cantSplit/>
          <w:trHeight w:val="290"/>
          <w:jc w:val="center"/>
        </w:trPr>
        <w:tc>
          <w:tcPr>
            <w:tcW w:w="1680" w:type="dxa"/>
            <w:tcBorders>
              <w:top w:val="single" w:sz="4" w:space="0" w:color="auto"/>
              <w:left w:val="single" w:sz="8" w:space="0" w:color="auto"/>
              <w:bottom w:val="dashed" w:sz="4" w:space="0" w:color="auto"/>
              <w:right w:val="single" w:sz="4" w:space="0" w:color="auto"/>
            </w:tcBorders>
            <w:shd w:val="clear" w:color="auto" w:fill="auto"/>
            <w:noWrap/>
            <w:vAlign w:val="bottom"/>
            <w:hideMark/>
          </w:tcPr>
          <w:p w14:paraId="02651D11" w14:textId="77777777" w:rsidR="009B0F23" w:rsidRPr="009B0F23" w:rsidRDefault="009B0F23" w:rsidP="009B0F23">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Medicare</w:t>
            </w:r>
          </w:p>
        </w:tc>
        <w:tc>
          <w:tcPr>
            <w:tcW w:w="960" w:type="dxa"/>
            <w:tcBorders>
              <w:top w:val="single" w:sz="4" w:space="0" w:color="auto"/>
              <w:left w:val="single" w:sz="4" w:space="0" w:color="auto"/>
              <w:bottom w:val="dashed" w:sz="4" w:space="0" w:color="auto"/>
              <w:right w:val="nil"/>
            </w:tcBorders>
            <w:shd w:val="clear" w:color="auto" w:fill="auto"/>
            <w:noWrap/>
            <w:vAlign w:val="bottom"/>
            <w:hideMark/>
          </w:tcPr>
          <w:p w14:paraId="7C18D2FD"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14,812</w:t>
            </w:r>
          </w:p>
        </w:tc>
        <w:tc>
          <w:tcPr>
            <w:tcW w:w="960" w:type="dxa"/>
            <w:tcBorders>
              <w:top w:val="single" w:sz="4" w:space="0" w:color="auto"/>
              <w:left w:val="nil"/>
              <w:bottom w:val="dashed" w:sz="4" w:space="0" w:color="auto"/>
              <w:right w:val="nil"/>
            </w:tcBorders>
            <w:shd w:val="clear" w:color="auto" w:fill="auto"/>
            <w:noWrap/>
            <w:vAlign w:val="bottom"/>
            <w:hideMark/>
          </w:tcPr>
          <w:p w14:paraId="5F632E7E"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16,765</w:t>
            </w:r>
          </w:p>
        </w:tc>
        <w:tc>
          <w:tcPr>
            <w:tcW w:w="960" w:type="dxa"/>
            <w:tcBorders>
              <w:top w:val="single" w:sz="4" w:space="0" w:color="auto"/>
              <w:left w:val="nil"/>
              <w:bottom w:val="dashed" w:sz="4" w:space="0" w:color="auto"/>
              <w:right w:val="nil"/>
            </w:tcBorders>
            <w:shd w:val="clear" w:color="auto" w:fill="auto"/>
            <w:noWrap/>
            <w:vAlign w:val="bottom"/>
            <w:hideMark/>
          </w:tcPr>
          <w:p w14:paraId="7AFB8EFB"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17,999</w:t>
            </w:r>
          </w:p>
        </w:tc>
        <w:tc>
          <w:tcPr>
            <w:tcW w:w="960" w:type="dxa"/>
            <w:tcBorders>
              <w:top w:val="single" w:sz="4" w:space="0" w:color="auto"/>
              <w:left w:val="nil"/>
              <w:bottom w:val="dashed" w:sz="4" w:space="0" w:color="auto"/>
              <w:right w:val="single" w:sz="4" w:space="0" w:color="auto"/>
            </w:tcBorders>
            <w:shd w:val="clear" w:color="auto" w:fill="auto"/>
            <w:noWrap/>
            <w:vAlign w:val="bottom"/>
            <w:hideMark/>
          </w:tcPr>
          <w:p w14:paraId="1FA93303"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18,398</w:t>
            </w:r>
          </w:p>
        </w:tc>
        <w:tc>
          <w:tcPr>
            <w:tcW w:w="1410" w:type="dxa"/>
            <w:tcBorders>
              <w:top w:val="single" w:sz="4" w:space="0" w:color="auto"/>
              <w:left w:val="nil"/>
              <w:bottom w:val="dashed" w:sz="4" w:space="0" w:color="auto"/>
              <w:right w:val="single" w:sz="8" w:space="0" w:color="auto"/>
            </w:tcBorders>
            <w:shd w:val="clear" w:color="auto" w:fill="auto"/>
            <w:noWrap/>
            <w:vAlign w:val="bottom"/>
            <w:hideMark/>
          </w:tcPr>
          <w:p w14:paraId="3916CF6F" w14:textId="77777777" w:rsidR="009B0F23" w:rsidRPr="009B0F23" w:rsidRDefault="009B0F23" w:rsidP="009B0F23">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24.2%</w:t>
            </w:r>
          </w:p>
        </w:tc>
      </w:tr>
      <w:tr w:rsidR="00A35837" w:rsidRPr="009B0F23" w14:paraId="0E9FAB99" w14:textId="77777777" w:rsidTr="00161100">
        <w:trPr>
          <w:cantSplit/>
          <w:trHeight w:val="290"/>
          <w:jc w:val="center"/>
        </w:trPr>
        <w:tc>
          <w:tcPr>
            <w:tcW w:w="1680" w:type="dxa"/>
            <w:tcBorders>
              <w:top w:val="dashed" w:sz="4" w:space="0" w:color="auto"/>
              <w:left w:val="single" w:sz="8" w:space="0" w:color="auto"/>
              <w:bottom w:val="dashed" w:sz="4" w:space="0" w:color="auto"/>
              <w:right w:val="single" w:sz="4" w:space="0" w:color="auto"/>
            </w:tcBorders>
            <w:shd w:val="clear" w:color="auto" w:fill="auto"/>
            <w:noWrap/>
            <w:vAlign w:val="bottom"/>
          </w:tcPr>
          <w:p w14:paraId="572BD33E" w14:textId="7692964D" w:rsidR="00A35837" w:rsidRPr="009B0F23" w:rsidRDefault="00A35837" w:rsidP="00A35837">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Medicaid</w:t>
            </w:r>
          </w:p>
        </w:tc>
        <w:tc>
          <w:tcPr>
            <w:tcW w:w="960" w:type="dxa"/>
            <w:tcBorders>
              <w:top w:val="dashed" w:sz="4" w:space="0" w:color="auto"/>
              <w:left w:val="single" w:sz="4" w:space="0" w:color="auto"/>
              <w:bottom w:val="dashed" w:sz="4" w:space="0" w:color="auto"/>
              <w:right w:val="nil"/>
            </w:tcBorders>
            <w:shd w:val="clear" w:color="auto" w:fill="auto"/>
            <w:noWrap/>
            <w:vAlign w:val="bottom"/>
          </w:tcPr>
          <w:p w14:paraId="4753D494" w14:textId="709CF4FE"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2,704</w:t>
            </w:r>
          </w:p>
        </w:tc>
        <w:tc>
          <w:tcPr>
            <w:tcW w:w="960" w:type="dxa"/>
            <w:tcBorders>
              <w:top w:val="dashed" w:sz="4" w:space="0" w:color="auto"/>
              <w:left w:val="nil"/>
              <w:bottom w:val="dashed" w:sz="4" w:space="0" w:color="auto"/>
              <w:right w:val="nil"/>
            </w:tcBorders>
            <w:shd w:val="clear" w:color="auto" w:fill="auto"/>
            <w:noWrap/>
            <w:vAlign w:val="bottom"/>
          </w:tcPr>
          <w:p w14:paraId="760F108C" w14:textId="506F9934"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2,767</w:t>
            </w:r>
          </w:p>
        </w:tc>
        <w:tc>
          <w:tcPr>
            <w:tcW w:w="960" w:type="dxa"/>
            <w:tcBorders>
              <w:top w:val="dashed" w:sz="4" w:space="0" w:color="auto"/>
              <w:left w:val="nil"/>
              <w:bottom w:val="dashed" w:sz="4" w:space="0" w:color="auto"/>
              <w:right w:val="nil"/>
            </w:tcBorders>
            <w:shd w:val="clear" w:color="auto" w:fill="auto"/>
            <w:noWrap/>
            <w:vAlign w:val="bottom"/>
          </w:tcPr>
          <w:p w14:paraId="3AFAC272" w14:textId="64552D24"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2,805</w:t>
            </w:r>
          </w:p>
        </w:tc>
        <w:tc>
          <w:tcPr>
            <w:tcW w:w="960" w:type="dxa"/>
            <w:tcBorders>
              <w:top w:val="dashed" w:sz="4" w:space="0" w:color="auto"/>
              <w:left w:val="nil"/>
              <w:bottom w:val="dashed" w:sz="4" w:space="0" w:color="auto"/>
              <w:right w:val="single" w:sz="4" w:space="0" w:color="auto"/>
            </w:tcBorders>
            <w:shd w:val="clear" w:color="auto" w:fill="auto"/>
            <w:noWrap/>
            <w:vAlign w:val="bottom"/>
          </w:tcPr>
          <w:p w14:paraId="4102655B" w14:textId="32B1A255"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2,846</w:t>
            </w:r>
          </w:p>
        </w:tc>
        <w:tc>
          <w:tcPr>
            <w:tcW w:w="1410" w:type="dxa"/>
            <w:tcBorders>
              <w:top w:val="dashed" w:sz="4" w:space="0" w:color="auto"/>
              <w:left w:val="nil"/>
              <w:bottom w:val="dashed" w:sz="4" w:space="0" w:color="auto"/>
              <w:right w:val="single" w:sz="8" w:space="0" w:color="auto"/>
            </w:tcBorders>
            <w:shd w:val="clear" w:color="auto" w:fill="auto"/>
            <w:noWrap/>
            <w:vAlign w:val="bottom"/>
          </w:tcPr>
          <w:p w14:paraId="13F73B03" w14:textId="63AD7211"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5.3%</w:t>
            </w:r>
          </w:p>
        </w:tc>
      </w:tr>
      <w:tr w:rsidR="00A35837" w:rsidRPr="009B0F23" w14:paraId="6231E11A" w14:textId="77777777" w:rsidTr="00161100">
        <w:trPr>
          <w:cantSplit/>
          <w:trHeight w:val="290"/>
          <w:jc w:val="center"/>
        </w:trPr>
        <w:tc>
          <w:tcPr>
            <w:tcW w:w="1680" w:type="dxa"/>
            <w:tcBorders>
              <w:top w:val="nil"/>
              <w:left w:val="single" w:sz="8" w:space="0" w:color="auto"/>
              <w:bottom w:val="dashed" w:sz="4" w:space="0" w:color="auto"/>
              <w:right w:val="single" w:sz="4" w:space="0" w:color="auto"/>
            </w:tcBorders>
            <w:shd w:val="clear" w:color="auto" w:fill="auto"/>
            <w:noWrap/>
            <w:vAlign w:val="bottom"/>
            <w:hideMark/>
          </w:tcPr>
          <w:p w14:paraId="6F48D74C" w14:textId="77777777" w:rsidR="00A35837" w:rsidRPr="009B0F23" w:rsidRDefault="00A35837" w:rsidP="00A35837">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Commercial</w:t>
            </w:r>
          </w:p>
        </w:tc>
        <w:tc>
          <w:tcPr>
            <w:tcW w:w="960" w:type="dxa"/>
            <w:tcBorders>
              <w:top w:val="nil"/>
              <w:left w:val="single" w:sz="4" w:space="0" w:color="auto"/>
              <w:bottom w:val="dashed" w:sz="4" w:space="0" w:color="auto"/>
              <w:right w:val="nil"/>
            </w:tcBorders>
            <w:shd w:val="clear" w:color="auto" w:fill="auto"/>
            <w:noWrap/>
            <w:vAlign w:val="bottom"/>
            <w:hideMark/>
          </w:tcPr>
          <w:p w14:paraId="58788315"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3,829</w:t>
            </w:r>
          </w:p>
        </w:tc>
        <w:tc>
          <w:tcPr>
            <w:tcW w:w="960" w:type="dxa"/>
            <w:tcBorders>
              <w:top w:val="nil"/>
              <w:left w:val="nil"/>
              <w:bottom w:val="dashed" w:sz="4" w:space="0" w:color="auto"/>
              <w:right w:val="nil"/>
            </w:tcBorders>
            <w:shd w:val="clear" w:color="auto" w:fill="auto"/>
            <w:noWrap/>
            <w:vAlign w:val="bottom"/>
            <w:hideMark/>
          </w:tcPr>
          <w:p w14:paraId="22499BDD"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3,784</w:t>
            </w:r>
          </w:p>
        </w:tc>
        <w:tc>
          <w:tcPr>
            <w:tcW w:w="960" w:type="dxa"/>
            <w:tcBorders>
              <w:top w:val="nil"/>
              <w:left w:val="nil"/>
              <w:bottom w:val="dashed" w:sz="4" w:space="0" w:color="auto"/>
              <w:right w:val="nil"/>
            </w:tcBorders>
            <w:shd w:val="clear" w:color="auto" w:fill="auto"/>
            <w:noWrap/>
            <w:vAlign w:val="bottom"/>
            <w:hideMark/>
          </w:tcPr>
          <w:p w14:paraId="7CED41F3"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3,720</w:t>
            </w:r>
          </w:p>
        </w:tc>
        <w:tc>
          <w:tcPr>
            <w:tcW w:w="960" w:type="dxa"/>
            <w:tcBorders>
              <w:top w:val="nil"/>
              <w:left w:val="nil"/>
              <w:bottom w:val="dashed" w:sz="4" w:space="0" w:color="auto"/>
              <w:right w:val="single" w:sz="4" w:space="0" w:color="auto"/>
            </w:tcBorders>
            <w:shd w:val="clear" w:color="auto" w:fill="auto"/>
            <w:noWrap/>
            <w:vAlign w:val="bottom"/>
            <w:hideMark/>
          </w:tcPr>
          <w:p w14:paraId="35081139"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3,724</w:t>
            </w:r>
          </w:p>
        </w:tc>
        <w:tc>
          <w:tcPr>
            <w:tcW w:w="1410" w:type="dxa"/>
            <w:tcBorders>
              <w:top w:val="nil"/>
              <w:left w:val="nil"/>
              <w:bottom w:val="dashed" w:sz="4" w:space="0" w:color="auto"/>
              <w:right w:val="single" w:sz="8" w:space="0" w:color="auto"/>
            </w:tcBorders>
            <w:shd w:val="clear" w:color="auto" w:fill="auto"/>
            <w:noWrap/>
            <w:vAlign w:val="bottom"/>
            <w:hideMark/>
          </w:tcPr>
          <w:p w14:paraId="11897A9F"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-2.7%</w:t>
            </w:r>
          </w:p>
        </w:tc>
      </w:tr>
      <w:tr w:rsidR="00A35837" w:rsidRPr="009B0F23" w14:paraId="76FEBF55" w14:textId="77777777" w:rsidTr="00161100">
        <w:trPr>
          <w:cantSplit/>
          <w:trHeight w:val="290"/>
          <w:jc w:val="center"/>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14:paraId="2E959D41" w14:textId="77777777" w:rsidR="00A35837" w:rsidRPr="009B0F23" w:rsidRDefault="00A35837" w:rsidP="00A35837">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Self-Pay/Other</w:t>
            </w:r>
          </w:p>
        </w:tc>
        <w:tc>
          <w:tcPr>
            <w:tcW w:w="960" w:type="dxa"/>
            <w:tcBorders>
              <w:top w:val="nil"/>
              <w:left w:val="single" w:sz="4" w:space="0" w:color="auto"/>
              <w:bottom w:val="single" w:sz="4" w:space="0" w:color="auto"/>
              <w:right w:val="nil"/>
            </w:tcBorders>
            <w:shd w:val="clear" w:color="auto" w:fill="auto"/>
            <w:noWrap/>
            <w:vAlign w:val="bottom"/>
            <w:hideMark/>
          </w:tcPr>
          <w:p w14:paraId="3CBE954A"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2,881</w:t>
            </w:r>
          </w:p>
        </w:tc>
        <w:tc>
          <w:tcPr>
            <w:tcW w:w="960" w:type="dxa"/>
            <w:tcBorders>
              <w:top w:val="nil"/>
              <w:left w:val="nil"/>
              <w:bottom w:val="single" w:sz="4" w:space="0" w:color="auto"/>
              <w:right w:val="nil"/>
            </w:tcBorders>
            <w:shd w:val="clear" w:color="auto" w:fill="auto"/>
            <w:noWrap/>
            <w:vAlign w:val="bottom"/>
            <w:hideMark/>
          </w:tcPr>
          <w:p w14:paraId="76720714"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3,251</w:t>
            </w:r>
          </w:p>
        </w:tc>
        <w:tc>
          <w:tcPr>
            <w:tcW w:w="960" w:type="dxa"/>
            <w:tcBorders>
              <w:top w:val="nil"/>
              <w:left w:val="nil"/>
              <w:bottom w:val="single" w:sz="4" w:space="0" w:color="auto"/>
              <w:right w:val="nil"/>
            </w:tcBorders>
            <w:shd w:val="clear" w:color="auto" w:fill="auto"/>
            <w:noWrap/>
            <w:vAlign w:val="bottom"/>
            <w:hideMark/>
          </w:tcPr>
          <w:p w14:paraId="0F868A3F"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3,486</w:t>
            </w:r>
          </w:p>
        </w:tc>
        <w:tc>
          <w:tcPr>
            <w:tcW w:w="960" w:type="dxa"/>
            <w:tcBorders>
              <w:top w:val="nil"/>
              <w:left w:val="nil"/>
              <w:bottom w:val="single" w:sz="4" w:space="0" w:color="auto"/>
              <w:right w:val="single" w:sz="4" w:space="0" w:color="auto"/>
            </w:tcBorders>
            <w:shd w:val="clear" w:color="auto" w:fill="auto"/>
            <w:noWrap/>
            <w:vAlign w:val="bottom"/>
            <w:hideMark/>
          </w:tcPr>
          <w:p w14:paraId="37724FA8"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3,538</w:t>
            </w:r>
          </w:p>
        </w:tc>
        <w:tc>
          <w:tcPr>
            <w:tcW w:w="1410" w:type="dxa"/>
            <w:tcBorders>
              <w:top w:val="nil"/>
              <w:left w:val="nil"/>
              <w:bottom w:val="single" w:sz="4" w:space="0" w:color="auto"/>
              <w:right w:val="single" w:sz="8" w:space="0" w:color="auto"/>
            </w:tcBorders>
            <w:shd w:val="clear" w:color="auto" w:fill="auto"/>
            <w:noWrap/>
            <w:vAlign w:val="bottom"/>
            <w:hideMark/>
          </w:tcPr>
          <w:p w14:paraId="37669F6C" w14:textId="77777777" w:rsidR="00A35837" w:rsidRPr="009B0F23" w:rsidRDefault="00A35837" w:rsidP="00A35837">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22.8%</w:t>
            </w:r>
          </w:p>
        </w:tc>
      </w:tr>
      <w:tr w:rsidR="00A35837" w:rsidRPr="009B0F23" w14:paraId="4FB19A2D" w14:textId="77777777" w:rsidTr="00161100">
        <w:trPr>
          <w:cantSplit/>
          <w:trHeight w:val="290"/>
          <w:jc w:val="center"/>
        </w:trPr>
        <w:tc>
          <w:tcPr>
            <w:tcW w:w="1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2638ABE" w14:textId="77777777" w:rsidR="00A35837" w:rsidRPr="009B0F23" w:rsidRDefault="00A35837" w:rsidP="00A35837">
            <w:pPr>
              <w:spacing w:after="0" w:line="240" w:lineRule="auto"/>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Total</w:t>
            </w:r>
          </w:p>
        </w:tc>
        <w:tc>
          <w:tcPr>
            <w:tcW w:w="960" w:type="dxa"/>
            <w:tcBorders>
              <w:top w:val="single" w:sz="4" w:space="0" w:color="auto"/>
              <w:left w:val="single" w:sz="4" w:space="0" w:color="auto"/>
              <w:bottom w:val="single" w:sz="8" w:space="0" w:color="auto"/>
              <w:right w:val="nil"/>
            </w:tcBorders>
            <w:shd w:val="clear" w:color="auto" w:fill="auto"/>
            <w:noWrap/>
            <w:vAlign w:val="bottom"/>
            <w:hideMark/>
          </w:tcPr>
          <w:p w14:paraId="4FCE7935" w14:textId="77777777" w:rsidR="00A35837" w:rsidRPr="009B0F23" w:rsidRDefault="00A35837" w:rsidP="00A35837">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24,225</w:t>
            </w:r>
          </w:p>
        </w:tc>
        <w:tc>
          <w:tcPr>
            <w:tcW w:w="960" w:type="dxa"/>
            <w:tcBorders>
              <w:top w:val="single" w:sz="4" w:space="0" w:color="auto"/>
              <w:left w:val="nil"/>
              <w:bottom w:val="single" w:sz="8" w:space="0" w:color="auto"/>
              <w:right w:val="nil"/>
            </w:tcBorders>
            <w:shd w:val="clear" w:color="auto" w:fill="auto"/>
            <w:noWrap/>
            <w:vAlign w:val="bottom"/>
            <w:hideMark/>
          </w:tcPr>
          <w:p w14:paraId="3F0CCC75" w14:textId="77777777" w:rsidR="00A35837" w:rsidRPr="009B0F23" w:rsidRDefault="00A35837" w:rsidP="00A35837">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26,566</w:t>
            </w:r>
          </w:p>
        </w:tc>
        <w:tc>
          <w:tcPr>
            <w:tcW w:w="960" w:type="dxa"/>
            <w:tcBorders>
              <w:top w:val="single" w:sz="4" w:space="0" w:color="auto"/>
              <w:left w:val="nil"/>
              <w:bottom w:val="single" w:sz="8" w:space="0" w:color="auto"/>
              <w:right w:val="nil"/>
            </w:tcBorders>
            <w:shd w:val="clear" w:color="auto" w:fill="auto"/>
            <w:noWrap/>
            <w:vAlign w:val="bottom"/>
            <w:hideMark/>
          </w:tcPr>
          <w:p w14:paraId="690C750D" w14:textId="77777777" w:rsidR="00A35837" w:rsidRPr="009B0F23" w:rsidRDefault="00A35837" w:rsidP="00A35837">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28,010</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1DF357AE" w14:textId="77777777" w:rsidR="00A35837" w:rsidRPr="009B0F23" w:rsidRDefault="00A35837" w:rsidP="00A35837">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28,507</w:t>
            </w:r>
          </w:p>
        </w:tc>
        <w:tc>
          <w:tcPr>
            <w:tcW w:w="1410" w:type="dxa"/>
            <w:tcBorders>
              <w:top w:val="single" w:sz="4" w:space="0" w:color="auto"/>
              <w:left w:val="nil"/>
              <w:bottom w:val="single" w:sz="8" w:space="0" w:color="auto"/>
              <w:right w:val="single" w:sz="8" w:space="0" w:color="auto"/>
            </w:tcBorders>
            <w:shd w:val="clear" w:color="auto" w:fill="auto"/>
            <w:noWrap/>
            <w:vAlign w:val="bottom"/>
            <w:hideMark/>
          </w:tcPr>
          <w:p w14:paraId="1B776D87" w14:textId="77777777" w:rsidR="00A35837" w:rsidRPr="009B0F23" w:rsidRDefault="00A35837" w:rsidP="00A35837">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17.7%</w:t>
            </w:r>
          </w:p>
        </w:tc>
      </w:tr>
    </w:tbl>
    <w:p w14:paraId="013102FF" w14:textId="77777777" w:rsidR="009B0F23" w:rsidRDefault="009B0F23" w:rsidP="007A68F7">
      <w:pPr>
        <w:spacing w:before="120" w:after="120" w:line="360" w:lineRule="auto"/>
      </w:pPr>
    </w:p>
    <w:p w14:paraId="7274BA57" w14:textId="7B1E6AD4" w:rsidR="001272B8" w:rsidRDefault="001272B8" w:rsidP="001272B8">
      <w:pPr>
        <w:pStyle w:val="Heading2"/>
      </w:pPr>
      <w:bookmarkStart w:id="70" w:name="_Toc187401763"/>
      <w:r>
        <w:t>Evaluat</w:t>
      </w:r>
      <w:r w:rsidR="00CC41F7">
        <w:t>ion of</w:t>
      </w:r>
      <w:r>
        <w:t xml:space="preserve"> DFCI Need for Imaging Equipment</w:t>
      </w:r>
      <w:bookmarkEnd w:id="70"/>
      <w:r>
        <w:t xml:space="preserve"> </w:t>
      </w:r>
    </w:p>
    <w:p w14:paraId="0B883B44" w14:textId="11F07B08" w:rsidR="001272B8" w:rsidRDefault="006D79BC" w:rsidP="009A58A5">
      <w:pPr>
        <w:numPr>
          <w:ilvl w:val="0"/>
          <w:numId w:val="4"/>
        </w:numPr>
        <w:spacing w:before="120" w:after="120" w:line="360" w:lineRule="auto"/>
        <w:ind w:hanging="547"/>
        <w:jc w:val="both"/>
      </w:pPr>
      <w:r>
        <w:t>DFCI estimates that the Proposed Project will have associated demand for inpatient and outpatient diagnostic imaging requiring two CT scanners, two MRI scanners, and one PET-CT scanner.</w:t>
      </w:r>
      <w:r>
        <w:rPr>
          <w:rStyle w:val="FootnoteReference"/>
        </w:rPr>
        <w:footnoteReference w:id="107"/>
      </w:r>
      <w:r>
        <w:t xml:space="preserve"> DFCI calculated this need by (1) e</w:t>
      </w:r>
      <w:r w:rsidRPr="006D79BC">
        <w:t xml:space="preserve">stimating </w:t>
      </w:r>
      <w:r>
        <w:t xml:space="preserve">its </w:t>
      </w:r>
      <w:r w:rsidRPr="006D79BC">
        <w:t xml:space="preserve">typical inpatient and outpatient throughput by </w:t>
      </w:r>
      <w:r>
        <w:t xml:space="preserve">imaging </w:t>
      </w:r>
      <w:r w:rsidRPr="006D79BC">
        <w:t>modality based on its historical information</w:t>
      </w:r>
      <w:r>
        <w:t>, (2) e</w:t>
      </w:r>
      <w:r w:rsidRPr="006D79BC">
        <w:t>stimating demand for imaging from its inpatient patients based on scanning propensity</w:t>
      </w:r>
      <w:r>
        <w:t>, and (3) i</w:t>
      </w:r>
      <w:r w:rsidRPr="006D79BC">
        <w:t xml:space="preserve">ncorporating incremental outpatient imaging demand </w:t>
      </w:r>
      <w:r w:rsidRPr="006D79BC">
        <w:lastRenderedPageBreak/>
        <w:t>based on imaging referrals DFCI currently makes to other providers</w:t>
      </w:r>
      <w:r>
        <w:t>. This section evaluates DFCI’s need for imaging equipment in connection with the Proposed Project, including assessing these calculations and predicting shifts in utilization across providers.</w:t>
      </w:r>
    </w:p>
    <w:p w14:paraId="49A07156" w14:textId="633E8D03" w:rsidR="006D79BC" w:rsidRDefault="006D79BC" w:rsidP="009A58A5">
      <w:pPr>
        <w:numPr>
          <w:ilvl w:val="0"/>
          <w:numId w:val="4"/>
        </w:numPr>
        <w:spacing w:before="120" w:after="120" w:line="360" w:lineRule="auto"/>
        <w:ind w:hanging="547"/>
        <w:jc w:val="both"/>
      </w:pPr>
      <w:r>
        <w:t xml:space="preserve">Without access to DFCI’s referrals, medical record data, or scanner throughput data, FTI could not directly evaluate </w:t>
      </w:r>
      <w:r w:rsidRPr="006D79BC">
        <w:t>throughput or outpatient demand estimates</w:t>
      </w:r>
      <w:r>
        <w:t xml:space="preserve">. Available data do not allow for identification of DFCI patients with outpatient imaging procedures at non-DFCI facilities. Accordingly, FTI requested additional information from DFCI regarding its imaging referrals to other facilities. In its response, DFCI stated, </w:t>
      </w:r>
      <w:r w:rsidR="006020D7">
        <w:t>“</w:t>
      </w:r>
      <w:r w:rsidR="00B14F20" w:rsidRPr="00B14F20">
        <w:t>Based on available FY23 data on completed orders for imaging ordered by DFCI providers (all modalities; orders from Longwood and Chestnut Hill; volume from regional campuses was not included), at least 38% of DFCI imaging orders are performed outside of DFCI. Among those completed outside of DFCI, up to 74% are completed at Brigham and Women's Hospital. DFCI's ability to estimate completed imaging orders outside of DFCI and MGB is limited, due to the fact that DFCI is not able to consistently capture the volume and completion status of imaging orders referred to institutions outside of the Epic instance DFCI shares with MGB institutions.</w:t>
      </w:r>
      <w:r w:rsidR="006020D7">
        <w:t>”</w:t>
      </w:r>
      <w:r w:rsidR="00B14F20">
        <w:rPr>
          <w:rStyle w:val="FootnoteReference"/>
        </w:rPr>
        <w:footnoteReference w:id="108"/>
      </w:r>
      <w:r w:rsidR="00B14F20">
        <w:t xml:space="preserve"> DFCI further estimated that, of the patients it is able to track through its electronic medical records, 62% of its patients’ imaging occurs at DFCI facilities, 28% at BWH facilities, and 10% at other MGB facilities.</w:t>
      </w:r>
      <w:r w:rsidR="00B14F20">
        <w:rPr>
          <w:rStyle w:val="FootnoteReference"/>
        </w:rPr>
        <w:footnoteReference w:id="109"/>
      </w:r>
      <w:r w:rsidR="00B14F20">
        <w:t xml:space="preserve"> </w:t>
      </w:r>
      <w:r w:rsidR="00B14F20" w:rsidRPr="00B14F20">
        <w:t xml:space="preserve">Based on these representations and other information in the Application, </w:t>
      </w:r>
      <w:r w:rsidR="00B14F20">
        <w:t>FTI projected</w:t>
      </w:r>
      <w:r w:rsidR="00B14F20" w:rsidRPr="00B14F20">
        <w:t xml:space="preserve"> shifts in outpatient imaging utilization in line with DFCI’s stated estimates.</w:t>
      </w:r>
    </w:p>
    <w:p w14:paraId="73FFFA94" w14:textId="30964141" w:rsidR="004E3B61" w:rsidRDefault="00B14F20" w:rsidP="009A58A5">
      <w:pPr>
        <w:numPr>
          <w:ilvl w:val="0"/>
          <w:numId w:val="4"/>
        </w:numPr>
        <w:spacing w:before="120" w:after="120" w:line="360" w:lineRule="auto"/>
        <w:ind w:hanging="547"/>
        <w:jc w:val="both"/>
      </w:pPr>
      <w:r>
        <w:t xml:space="preserve">To evaluate DFCI demand for imaging equipment, FTI incorporated incremental demand from inpatient patients and shifts in DFCI outpatient patient utilization of non-DFCI facilities into the new proposed facility. Projected growth from both sources of demand (as described in Section </w:t>
      </w:r>
      <w:r w:rsidR="001204A7">
        <w:t>IX</w:t>
      </w:r>
      <w:r>
        <w:t xml:space="preserve"> and Section </w:t>
      </w:r>
      <w:r w:rsidR="001204A7">
        <w:t>XIV.D</w:t>
      </w:r>
      <w:r>
        <w:t xml:space="preserve"> above) were also accounted for in determining forecasted demand.</w:t>
      </w:r>
      <w:r w:rsidR="004E3B61">
        <w:t xml:space="preserve"> </w:t>
      </w:r>
    </w:p>
    <w:p w14:paraId="6FF9391F" w14:textId="541D4CD3" w:rsidR="004E3B61" w:rsidRDefault="004E3B61" w:rsidP="009A58A5">
      <w:pPr>
        <w:numPr>
          <w:ilvl w:val="0"/>
          <w:numId w:val="4"/>
        </w:numPr>
        <w:spacing w:before="120" w:after="120" w:line="360" w:lineRule="auto"/>
        <w:ind w:hanging="547"/>
        <w:jc w:val="both"/>
      </w:pPr>
      <w:r>
        <w:t>FTI estimated p</w:t>
      </w:r>
      <w:r w:rsidRPr="004E3B61">
        <w:t xml:space="preserve">rojected </w:t>
      </w:r>
      <w:r>
        <w:t xml:space="preserve">demand for </w:t>
      </w:r>
      <w:r w:rsidRPr="004E3B61">
        <w:t xml:space="preserve">inpatient </w:t>
      </w:r>
      <w:r>
        <w:t xml:space="preserve">diagnostic imaging </w:t>
      </w:r>
      <w:r w:rsidRPr="004E3B61">
        <w:t>based on projected inpatient discharges multiplied by the number of imaging scans per discharge</w:t>
      </w:r>
      <w:r>
        <w:t xml:space="preserve"> for each modality</w:t>
      </w:r>
      <w:r w:rsidRPr="004E3B61">
        <w:t>.</w:t>
      </w:r>
      <w:r w:rsidRPr="004E3B61">
        <w:rPr>
          <w:rFonts w:ascii="Calibri" w:hAnsi="Calibri" w:cs="Calibri"/>
          <w:color w:val="000000" w:themeColor="text1"/>
          <w:kern w:val="24"/>
          <w:sz w:val="28"/>
          <w:szCs w:val="28"/>
        </w:rPr>
        <w:t xml:space="preserve"> </w:t>
      </w:r>
      <w:r w:rsidRPr="004E3B61">
        <w:t xml:space="preserve">FTI calculated the number of scans per discharge </w:t>
      </w:r>
      <w:r>
        <w:t xml:space="preserve">using </w:t>
      </w:r>
      <w:r w:rsidRPr="004E3B61">
        <w:t>inpatient claims data</w:t>
      </w:r>
      <w:r>
        <w:t xml:space="preserve"> (i.e., CHI</w:t>
      </w:r>
      <w:r w:rsidR="00F7130C">
        <w:t>A</w:t>
      </w:r>
      <w:r>
        <w:t xml:space="preserve"> </w:t>
      </w:r>
      <w:r w:rsidR="005F36FE">
        <w:t xml:space="preserve">Massachusetts APCD </w:t>
      </w:r>
      <w:r>
        <w:t xml:space="preserve">inpatient claims and Medicare </w:t>
      </w:r>
      <w:r w:rsidR="005F36FE">
        <w:t>I</w:t>
      </w:r>
      <w:r>
        <w:t xml:space="preserve">npatient </w:t>
      </w:r>
      <w:r w:rsidR="005F36FE">
        <w:t>C</w:t>
      </w:r>
      <w:r>
        <w:t xml:space="preserve">laims </w:t>
      </w:r>
      <w:r w:rsidR="005F36FE">
        <w:t>D</w:t>
      </w:r>
      <w:r>
        <w:t>ata)</w:t>
      </w:r>
      <w:r w:rsidRPr="004E3B61">
        <w:t>.</w:t>
      </w:r>
      <w:r w:rsidRPr="004E3B61">
        <w:rPr>
          <w:rFonts w:ascii="Calibri" w:hAnsi="Calibri" w:cs="Calibri"/>
          <w:color w:val="000000" w:themeColor="text1"/>
          <w:kern w:val="24"/>
          <w:sz w:val="28"/>
          <w:szCs w:val="28"/>
        </w:rPr>
        <w:t xml:space="preserve"> </w:t>
      </w:r>
      <w:r w:rsidRPr="004E3B61">
        <w:t xml:space="preserve">Because inpatient scans could only be imperfectly identified in the claims data (especially for PET-CT), </w:t>
      </w:r>
      <w:r>
        <w:t xml:space="preserve">FTI conducted robustness checks by also employing </w:t>
      </w:r>
      <w:r w:rsidRPr="004E3B61">
        <w:t>the scans</w:t>
      </w:r>
      <w:r>
        <w:t>-</w:t>
      </w:r>
      <w:r w:rsidRPr="004E3B61">
        <w:t>per</w:t>
      </w:r>
      <w:r>
        <w:t>-</w:t>
      </w:r>
      <w:r w:rsidRPr="004E3B61">
        <w:t>discharge ratios reported in the Application.</w:t>
      </w:r>
      <w:r>
        <w:rPr>
          <w:rStyle w:val="FootnoteReference"/>
        </w:rPr>
        <w:footnoteReference w:id="110"/>
      </w:r>
    </w:p>
    <w:p w14:paraId="7247F75A" w14:textId="4E92D1CC" w:rsidR="00B14F20" w:rsidRDefault="004E3B61" w:rsidP="009A58A5">
      <w:pPr>
        <w:numPr>
          <w:ilvl w:val="0"/>
          <w:numId w:val="4"/>
        </w:numPr>
        <w:spacing w:before="120" w:after="120" w:line="360" w:lineRule="auto"/>
        <w:ind w:hanging="547"/>
        <w:jc w:val="both"/>
      </w:pPr>
      <w:r w:rsidRPr="004E3B61">
        <w:lastRenderedPageBreak/>
        <w:t>DFCI reported total hypothetical capacity (throughput) of each scanner type for inpatient and outpatient settings based on their historical data.</w:t>
      </w:r>
      <w:r>
        <w:t xml:space="preserve"> </w:t>
      </w:r>
      <w:r w:rsidRPr="004E3B61">
        <w:t>FTI independently verified the reasonableness of these estimates based on existing literature and throughput assumptions used in other settings.</w:t>
      </w:r>
      <w:r>
        <w:rPr>
          <w:rStyle w:val="FootnoteReference"/>
        </w:rPr>
        <w:footnoteReference w:id="111"/>
      </w:r>
      <w:r>
        <w:t xml:space="preserve"> The weighted average </w:t>
      </w:r>
      <w:r w:rsidRPr="004E3B61">
        <w:t xml:space="preserve">throughput </w:t>
      </w:r>
      <w:r>
        <w:t xml:space="preserve">for each modality </w:t>
      </w:r>
      <w:r w:rsidRPr="004E3B61">
        <w:t>was calculated as the average between inpatient and outpatient scanner throughputs, weighted by projected inpatient and outpatient utilization</w:t>
      </w:r>
      <w:r>
        <w:t>.</w:t>
      </w:r>
    </w:p>
    <w:p w14:paraId="4DC245E1" w14:textId="23030590" w:rsidR="009A58A5" w:rsidRDefault="004E3B61" w:rsidP="009A58A5">
      <w:pPr>
        <w:numPr>
          <w:ilvl w:val="0"/>
          <w:numId w:val="4"/>
        </w:numPr>
        <w:spacing w:before="120" w:after="120" w:line="360" w:lineRule="auto"/>
        <w:ind w:hanging="547"/>
        <w:jc w:val="both"/>
      </w:pPr>
      <w:r>
        <w:t xml:space="preserve">Table </w:t>
      </w:r>
      <w:r w:rsidR="001204A7">
        <w:t>2</w:t>
      </w:r>
      <w:r w:rsidR="00AC0296">
        <w:t>6</w:t>
      </w:r>
      <w:r>
        <w:t xml:space="preserve"> reports projected demand for CT procedures and CT scanners in 2025. Using inpatient claims data, the average CT scan to inpatient discharge ratio was calculated to be 1.24, twice as large as the ratio calculated by DFCI of 0.62. These ratios predict demand of </w:t>
      </w:r>
      <w:r w:rsidR="00DF4A0E">
        <w:t>5,902-</w:t>
      </w:r>
      <w:r>
        <w:t xml:space="preserve">11,805 CT scans by inpatients in the new proposed facility in 2025. The </w:t>
      </w:r>
      <w:r w:rsidR="00DF4A0E">
        <w:t>estimated number of DFCI outpatient patient scans occurring at non-DFCI facilities is 7,612 for a total of 13,514-19,417 total projected CT scans in 2025. DFCI’s calculation of 2032 projected CT demand is 18,400 (8,269 inpatient and 10,131 outpatient).</w:t>
      </w:r>
      <w:r w:rsidR="00DF4A0E">
        <w:rPr>
          <w:rStyle w:val="FootnoteReference"/>
        </w:rPr>
        <w:footnoteReference w:id="112"/>
      </w:r>
      <w:r w:rsidR="00DF4A0E">
        <w:t xml:space="preserve"> Based on weighted average throughputs, FTI’s projected CT scanner need is between 1.3-1.9 CT scanners in 2025. </w:t>
      </w:r>
    </w:p>
    <w:p w14:paraId="4DD4F918" w14:textId="6F70A2F3" w:rsidR="004E3B61" w:rsidRDefault="004E3B61" w:rsidP="00A35837">
      <w:pPr>
        <w:pStyle w:val="Caption"/>
        <w:keepNext/>
        <w:jc w:val="center"/>
      </w:pPr>
      <w:bookmarkStart w:id="71" w:name="_Toc187401799"/>
      <w:r>
        <w:t xml:space="preserve">Table </w:t>
      </w:r>
      <w:fldSimple w:instr=" SEQ Table \* ARABIC ">
        <w:r w:rsidR="0085394E">
          <w:rPr>
            <w:noProof/>
          </w:rPr>
          <w:t>26</w:t>
        </w:r>
      </w:fldSimple>
      <w:r>
        <w:t>: Projected CT Scanner Demand, 2025</w:t>
      </w:r>
      <w:bookmarkEnd w:id="71"/>
    </w:p>
    <w:tbl>
      <w:tblPr>
        <w:tblW w:w="7160" w:type="dxa"/>
        <w:jc w:val="center"/>
        <w:tblLook w:val="04A0" w:firstRow="1" w:lastRow="0" w:firstColumn="1" w:lastColumn="0" w:noHBand="0" w:noVBand="1"/>
      </w:tblPr>
      <w:tblGrid>
        <w:gridCol w:w="4280"/>
        <w:gridCol w:w="1520"/>
        <w:gridCol w:w="1360"/>
      </w:tblGrid>
      <w:tr w:rsidR="009B0F23" w:rsidRPr="009B0F23" w14:paraId="2C92B032" w14:textId="77777777" w:rsidTr="00161100">
        <w:trPr>
          <w:cantSplit/>
          <w:trHeight w:val="295"/>
          <w:tblHeader/>
          <w:jc w:val="center"/>
        </w:trPr>
        <w:tc>
          <w:tcPr>
            <w:tcW w:w="4280" w:type="dxa"/>
            <w:tcBorders>
              <w:top w:val="single" w:sz="8" w:space="0" w:color="auto"/>
              <w:left w:val="single" w:sz="8" w:space="0" w:color="auto"/>
              <w:bottom w:val="single" w:sz="8" w:space="0" w:color="auto"/>
              <w:right w:val="nil"/>
            </w:tcBorders>
            <w:shd w:val="clear" w:color="000000" w:fill="002060"/>
            <w:noWrap/>
            <w:vAlign w:val="bottom"/>
            <w:hideMark/>
          </w:tcPr>
          <w:p w14:paraId="0D31459A"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w:t>
            </w:r>
          </w:p>
        </w:tc>
        <w:tc>
          <w:tcPr>
            <w:tcW w:w="1520" w:type="dxa"/>
            <w:tcBorders>
              <w:top w:val="single" w:sz="8" w:space="0" w:color="auto"/>
              <w:left w:val="nil"/>
              <w:bottom w:val="single" w:sz="8" w:space="0" w:color="auto"/>
              <w:right w:val="nil"/>
            </w:tcBorders>
            <w:shd w:val="clear" w:color="000000" w:fill="002060"/>
            <w:vAlign w:val="bottom"/>
            <w:hideMark/>
          </w:tcPr>
          <w:p w14:paraId="3647DDBF" w14:textId="700A40CB"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w:t>
            </w:r>
            <w:r w:rsidR="00A35837">
              <w:rPr>
                <w:rFonts w:ascii="Calibri" w:eastAsia="Times New Roman" w:hAnsi="Calibri" w:cs="Calibri"/>
                <w:b/>
                <w:bCs/>
                <w:color w:val="FFFFFF"/>
                <w:kern w:val="0"/>
                <w14:ligatures w14:val="none"/>
              </w:rPr>
              <w:t xml:space="preserve">laims </w:t>
            </w:r>
            <w:r w:rsidRPr="009B0F23">
              <w:rPr>
                <w:rFonts w:ascii="Calibri" w:eastAsia="Times New Roman" w:hAnsi="Calibri" w:cs="Calibri"/>
                <w:b/>
                <w:bCs/>
                <w:color w:val="FFFFFF"/>
                <w:kern w:val="0"/>
                <w14:ligatures w14:val="none"/>
              </w:rPr>
              <w:t>Data</w:t>
            </w:r>
          </w:p>
        </w:tc>
        <w:tc>
          <w:tcPr>
            <w:tcW w:w="1360" w:type="dxa"/>
            <w:tcBorders>
              <w:top w:val="single" w:sz="8" w:space="0" w:color="auto"/>
              <w:left w:val="nil"/>
              <w:bottom w:val="single" w:sz="8" w:space="0" w:color="auto"/>
              <w:right w:val="single" w:sz="8" w:space="0" w:color="auto"/>
            </w:tcBorders>
            <w:shd w:val="clear" w:color="000000" w:fill="002060"/>
            <w:vAlign w:val="bottom"/>
            <w:hideMark/>
          </w:tcPr>
          <w:p w14:paraId="7E12A6B7" w14:textId="4B3BC964"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xml:space="preserve">Application </w:t>
            </w:r>
          </w:p>
        </w:tc>
      </w:tr>
      <w:tr w:rsidR="009B0F23" w:rsidRPr="009B0F23" w14:paraId="05F1A91E" w14:textId="77777777" w:rsidTr="00161100">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127E2F6E"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CT Scan to Inpatient Discharge Ratio</w:t>
            </w:r>
          </w:p>
        </w:tc>
        <w:tc>
          <w:tcPr>
            <w:tcW w:w="1520" w:type="dxa"/>
            <w:tcBorders>
              <w:top w:val="nil"/>
              <w:left w:val="nil"/>
              <w:bottom w:val="single" w:sz="8" w:space="0" w:color="auto"/>
              <w:right w:val="nil"/>
            </w:tcBorders>
            <w:shd w:val="clear" w:color="auto" w:fill="auto"/>
            <w:vAlign w:val="bottom"/>
            <w:hideMark/>
          </w:tcPr>
          <w:p w14:paraId="0DEE4A75"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1.24</w:t>
            </w:r>
          </w:p>
        </w:tc>
        <w:tc>
          <w:tcPr>
            <w:tcW w:w="1360" w:type="dxa"/>
            <w:tcBorders>
              <w:top w:val="nil"/>
              <w:left w:val="nil"/>
              <w:bottom w:val="single" w:sz="8" w:space="0" w:color="auto"/>
              <w:right w:val="single" w:sz="8" w:space="0" w:color="auto"/>
            </w:tcBorders>
            <w:shd w:val="clear" w:color="auto" w:fill="auto"/>
            <w:vAlign w:val="bottom"/>
            <w:hideMark/>
          </w:tcPr>
          <w:p w14:paraId="09AB2686"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0.62</w:t>
            </w:r>
          </w:p>
        </w:tc>
      </w:tr>
      <w:tr w:rsidR="009B0F23" w:rsidRPr="009B0F23" w14:paraId="53EED5B6" w14:textId="77777777" w:rsidTr="00161100">
        <w:trPr>
          <w:cantSplit/>
          <w:trHeight w:val="288"/>
          <w:jc w:val="center"/>
        </w:trPr>
        <w:tc>
          <w:tcPr>
            <w:tcW w:w="4280" w:type="dxa"/>
            <w:tcBorders>
              <w:top w:val="nil"/>
              <w:left w:val="single" w:sz="8" w:space="0" w:color="auto"/>
              <w:bottom w:val="dashed" w:sz="4" w:space="0" w:color="auto"/>
              <w:right w:val="nil"/>
            </w:tcBorders>
            <w:shd w:val="clear" w:color="auto" w:fill="auto"/>
            <w:noWrap/>
            <w:vAlign w:val="bottom"/>
            <w:hideMark/>
          </w:tcPr>
          <w:p w14:paraId="22F18D7C"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Inpatient CT Scans</w:t>
            </w:r>
          </w:p>
        </w:tc>
        <w:tc>
          <w:tcPr>
            <w:tcW w:w="1520" w:type="dxa"/>
            <w:tcBorders>
              <w:top w:val="nil"/>
              <w:left w:val="nil"/>
              <w:bottom w:val="dashed" w:sz="4" w:space="0" w:color="auto"/>
              <w:right w:val="nil"/>
            </w:tcBorders>
            <w:shd w:val="clear" w:color="auto" w:fill="auto"/>
            <w:vAlign w:val="bottom"/>
            <w:hideMark/>
          </w:tcPr>
          <w:p w14:paraId="27CDA09F"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11,805</w:t>
            </w:r>
          </w:p>
        </w:tc>
        <w:tc>
          <w:tcPr>
            <w:tcW w:w="1360" w:type="dxa"/>
            <w:tcBorders>
              <w:top w:val="nil"/>
              <w:left w:val="nil"/>
              <w:bottom w:val="dashed" w:sz="4" w:space="0" w:color="auto"/>
              <w:right w:val="single" w:sz="8" w:space="0" w:color="auto"/>
            </w:tcBorders>
            <w:shd w:val="clear" w:color="auto" w:fill="auto"/>
            <w:vAlign w:val="bottom"/>
            <w:hideMark/>
          </w:tcPr>
          <w:p w14:paraId="1697ADAF"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5,902</w:t>
            </w:r>
          </w:p>
        </w:tc>
      </w:tr>
      <w:tr w:rsidR="009B0F23" w:rsidRPr="009B0F23" w14:paraId="21630E6F" w14:textId="77777777" w:rsidTr="00161100">
        <w:trPr>
          <w:cantSplit/>
          <w:trHeight w:val="288"/>
          <w:jc w:val="center"/>
        </w:trPr>
        <w:tc>
          <w:tcPr>
            <w:tcW w:w="4280" w:type="dxa"/>
            <w:tcBorders>
              <w:top w:val="nil"/>
              <w:left w:val="single" w:sz="8" w:space="0" w:color="auto"/>
              <w:bottom w:val="single" w:sz="4" w:space="0" w:color="auto"/>
              <w:right w:val="nil"/>
            </w:tcBorders>
            <w:shd w:val="clear" w:color="auto" w:fill="auto"/>
            <w:noWrap/>
            <w:vAlign w:val="bottom"/>
            <w:hideMark/>
          </w:tcPr>
          <w:p w14:paraId="0C89775E"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Unmet Outpatient CT Scans</w:t>
            </w:r>
          </w:p>
        </w:tc>
        <w:tc>
          <w:tcPr>
            <w:tcW w:w="1520" w:type="dxa"/>
            <w:tcBorders>
              <w:top w:val="nil"/>
              <w:left w:val="nil"/>
              <w:bottom w:val="single" w:sz="4" w:space="0" w:color="auto"/>
              <w:right w:val="nil"/>
            </w:tcBorders>
            <w:shd w:val="clear" w:color="auto" w:fill="auto"/>
            <w:vAlign w:val="bottom"/>
            <w:hideMark/>
          </w:tcPr>
          <w:p w14:paraId="10B5193C"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7,612</w:t>
            </w:r>
          </w:p>
        </w:tc>
        <w:tc>
          <w:tcPr>
            <w:tcW w:w="1360" w:type="dxa"/>
            <w:tcBorders>
              <w:top w:val="nil"/>
              <w:left w:val="nil"/>
              <w:bottom w:val="single" w:sz="4" w:space="0" w:color="auto"/>
              <w:right w:val="single" w:sz="8" w:space="0" w:color="auto"/>
            </w:tcBorders>
            <w:shd w:val="clear" w:color="auto" w:fill="auto"/>
            <w:vAlign w:val="bottom"/>
            <w:hideMark/>
          </w:tcPr>
          <w:p w14:paraId="0E95BC3C"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7,612</w:t>
            </w:r>
          </w:p>
        </w:tc>
      </w:tr>
      <w:tr w:rsidR="009B0F23" w:rsidRPr="009B0F23" w14:paraId="7FB2A616" w14:textId="77777777" w:rsidTr="00161100">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702D7A7C"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Total Projected CT Scans</w:t>
            </w:r>
          </w:p>
        </w:tc>
        <w:tc>
          <w:tcPr>
            <w:tcW w:w="1520" w:type="dxa"/>
            <w:tcBorders>
              <w:top w:val="nil"/>
              <w:left w:val="nil"/>
              <w:bottom w:val="single" w:sz="8" w:space="0" w:color="auto"/>
              <w:right w:val="nil"/>
            </w:tcBorders>
            <w:shd w:val="clear" w:color="auto" w:fill="auto"/>
            <w:vAlign w:val="bottom"/>
            <w:hideMark/>
          </w:tcPr>
          <w:p w14:paraId="1BC0CFCD"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19,417</w:t>
            </w:r>
          </w:p>
        </w:tc>
        <w:tc>
          <w:tcPr>
            <w:tcW w:w="1360" w:type="dxa"/>
            <w:tcBorders>
              <w:top w:val="nil"/>
              <w:left w:val="nil"/>
              <w:bottom w:val="single" w:sz="8" w:space="0" w:color="auto"/>
              <w:right w:val="single" w:sz="8" w:space="0" w:color="auto"/>
            </w:tcBorders>
            <w:shd w:val="clear" w:color="auto" w:fill="auto"/>
            <w:vAlign w:val="bottom"/>
            <w:hideMark/>
          </w:tcPr>
          <w:p w14:paraId="4EF09C8D"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13,514</w:t>
            </w:r>
          </w:p>
        </w:tc>
      </w:tr>
      <w:tr w:rsidR="009B0F23" w:rsidRPr="009B0F23" w14:paraId="44819CDB" w14:textId="77777777" w:rsidTr="00161100">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039A842B"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Weighted Average Throughput</w:t>
            </w:r>
          </w:p>
        </w:tc>
        <w:tc>
          <w:tcPr>
            <w:tcW w:w="1520" w:type="dxa"/>
            <w:tcBorders>
              <w:top w:val="nil"/>
              <w:left w:val="nil"/>
              <w:bottom w:val="single" w:sz="8" w:space="0" w:color="auto"/>
              <w:right w:val="nil"/>
            </w:tcBorders>
            <w:shd w:val="clear" w:color="auto" w:fill="auto"/>
            <w:vAlign w:val="bottom"/>
            <w:hideMark/>
          </w:tcPr>
          <w:p w14:paraId="59CD27EE"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10,035</w:t>
            </w:r>
          </w:p>
        </w:tc>
        <w:tc>
          <w:tcPr>
            <w:tcW w:w="1360" w:type="dxa"/>
            <w:tcBorders>
              <w:top w:val="nil"/>
              <w:left w:val="nil"/>
              <w:bottom w:val="single" w:sz="8" w:space="0" w:color="auto"/>
              <w:right w:val="single" w:sz="8" w:space="0" w:color="auto"/>
            </w:tcBorders>
            <w:shd w:val="clear" w:color="auto" w:fill="auto"/>
            <w:vAlign w:val="bottom"/>
            <w:hideMark/>
          </w:tcPr>
          <w:p w14:paraId="2E81CC26"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10,081</w:t>
            </w:r>
          </w:p>
        </w:tc>
      </w:tr>
      <w:tr w:rsidR="009B0F23" w:rsidRPr="009B0F23" w14:paraId="3D486A45" w14:textId="77777777" w:rsidTr="00161100">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3B6B493D"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Projected CT Scanner Need</w:t>
            </w:r>
          </w:p>
        </w:tc>
        <w:tc>
          <w:tcPr>
            <w:tcW w:w="1520" w:type="dxa"/>
            <w:tcBorders>
              <w:top w:val="nil"/>
              <w:left w:val="nil"/>
              <w:bottom w:val="single" w:sz="8" w:space="0" w:color="auto"/>
              <w:right w:val="nil"/>
            </w:tcBorders>
            <w:shd w:val="clear" w:color="auto" w:fill="auto"/>
            <w:vAlign w:val="bottom"/>
            <w:hideMark/>
          </w:tcPr>
          <w:p w14:paraId="1DE56E2C"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1.9</w:t>
            </w:r>
          </w:p>
        </w:tc>
        <w:tc>
          <w:tcPr>
            <w:tcW w:w="1360" w:type="dxa"/>
            <w:tcBorders>
              <w:top w:val="nil"/>
              <w:left w:val="nil"/>
              <w:bottom w:val="single" w:sz="8" w:space="0" w:color="auto"/>
              <w:right w:val="single" w:sz="8" w:space="0" w:color="auto"/>
            </w:tcBorders>
            <w:shd w:val="clear" w:color="auto" w:fill="auto"/>
            <w:vAlign w:val="bottom"/>
            <w:hideMark/>
          </w:tcPr>
          <w:p w14:paraId="05C04CA1"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1.3</w:t>
            </w:r>
          </w:p>
        </w:tc>
      </w:tr>
    </w:tbl>
    <w:p w14:paraId="28594AD2" w14:textId="77777777" w:rsidR="009B0F23" w:rsidRDefault="009B0F23" w:rsidP="00190A29">
      <w:pPr>
        <w:spacing w:after="120" w:line="360" w:lineRule="auto"/>
        <w:ind w:left="-7"/>
        <w:jc w:val="center"/>
      </w:pPr>
    </w:p>
    <w:p w14:paraId="105B284F" w14:textId="04607636" w:rsidR="00DF4A0E" w:rsidRDefault="00DF4A0E" w:rsidP="00017609">
      <w:pPr>
        <w:numPr>
          <w:ilvl w:val="0"/>
          <w:numId w:val="4"/>
        </w:numPr>
        <w:spacing w:before="120" w:after="120" w:line="360" w:lineRule="auto"/>
        <w:jc w:val="both"/>
      </w:pPr>
      <w:r>
        <w:t xml:space="preserve">Table </w:t>
      </w:r>
      <w:r w:rsidR="001204A7">
        <w:t>2</w:t>
      </w:r>
      <w:r w:rsidR="00AC0296">
        <w:t>7</w:t>
      </w:r>
      <w:r>
        <w:t xml:space="preserve"> reports projected demand for MRI procedures and MRI scanners in 2025. Using inpatient claims data, the average MRI scan to inpatient discharge ratio was calculated to be 0.44, similar to the ratio calculated by DFCI of 0.36. These ratios predict demand of 3,427-4,189 </w:t>
      </w:r>
      <w:r w:rsidR="00F7130C">
        <w:t>MRI</w:t>
      </w:r>
      <w:r>
        <w:t xml:space="preserve"> scans by </w:t>
      </w:r>
      <w:r>
        <w:lastRenderedPageBreak/>
        <w:t xml:space="preserve">inpatients in the new proposed facility in 2025. DFCI’s </w:t>
      </w:r>
      <w:r w:rsidR="00F7130C">
        <w:t>A</w:t>
      </w:r>
      <w:r>
        <w:t xml:space="preserve">pplication states that </w:t>
      </w:r>
      <w:r w:rsidR="006020D7">
        <w:t>“</w:t>
      </w:r>
      <w:r>
        <w:t>because the Applicant anticipates using the entirety of the new MRI machines to service inpatients, outpatient volume projections were not incorporated into the demand calculations.</w:t>
      </w:r>
      <w:r w:rsidR="006020D7">
        <w:t>”</w:t>
      </w:r>
      <w:r>
        <w:rPr>
          <w:rStyle w:val="FootnoteReference"/>
        </w:rPr>
        <w:footnoteReference w:id="113"/>
      </w:r>
      <w:r>
        <w:t xml:space="preserve"> Consistent with this approach, FTI did not incorporate any outpatient demand into its forecast of MRI scanner need.</w:t>
      </w:r>
      <w:r w:rsidR="00373513">
        <w:t xml:space="preserve"> </w:t>
      </w:r>
      <w:r>
        <w:t xml:space="preserve">DFCI’s calculation of 2032 projected </w:t>
      </w:r>
      <w:r w:rsidR="00373513">
        <w:t xml:space="preserve">MRI </w:t>
      </w:r>
      <w:r>
        <w:t xml:space="preserve">demand is </w:t>
      </w:r>
      <w:r w:rsidR="00373513">
        <w:t>4,928</w:t>
      </w:r>
      <w:r>
        <w:t>.</w:t>
      </w:r>
      <w:r>
        <w:rPr>
          <w:rStyle w:val="FootnoteReference"/>
        </w:rPr>
        <w:footnoteReference w:id="114"/>
      </w:r>
      <w:r>
        <w:t xml:space="preserve"> Based on weighted average throughputs, FTI’s projected </w:t>
      </w:r>
      <w:r w:rsidR="00373513">
        <w:t xml:space="preserve">MRI </w:t>
      </w:r>
      <w:r>
        <w:t>scanner need is between 1.</w:t>
      </w:r>
      <w:r w:rsidR="00373513">
        <w:t>1</w:t>
      </w:r>
      <w:r>
        <w:t>-1.</w:t>
      </w:r>
      <w:r w:rsidR="00373513">
        <w:t>3</w:t>
      </w:r>
      <w:r>
        <w:t xml:space="preserve"> </w:t>
      </w:r>
      <w:r w:rsidR="00F7130C">
        <w:t>MRI</w:t>
      </w:r>
      <w:r>
        <w:t xml:space="preserve"> scanners in 2025. </w:t>
      </w:r>
    </w:p>
    <w:p w14:paraId="76A6254B" w14:textId="2030F6B2" w:rsidR="00DF4A0E" w:rsidRDefault="00DF4A0E" w:rsidP="00A35837">
      <w:pPr>
        <w:pStyle w:val="Caption"/>
        <w:keepNext/>
        <w:jc w:val="center"/>
      </w:pPr>
      <w:bookmarkStart w:id="72" w:name="_Toc187401800"/>
      <w:r>
        <w:t xml:space="preserve">Table </w:t>
      </w:r>
      <w:fldSimple w:instr=" SEQ Table \* ARABIC ">
        <w:r w:rsidR="0085394E">
          <w:rPr>
            <w:noProof/>
          </w:rPr>
          <w:t>27</w:t>
        </w:r>
      </w:fldSimple>
      <w:r>
        <w:t>: Projected MRI Scanner Demand, 2025</w:t>
      </w:r>
      <w:bookmarkEnd w:id="72"/>
    </w:p>
    <w:tbl>
      <w:tblPr>
        <w:tblW w:w="7160" w:type="dxa"/>
        <w:jc w:val="center"/>
        <w:tblLook w:val="04A0" w:firstRow="1" w:lastRow="0" w:firstColumn="1" w:lastColumn="0" w:noHBand="0" w:noVBand="1"/>
      </w:tblPr>
      <w:tblGrid>
        <w:gridCol w:w="4280"/>
        <w:gridCol w:w="1520"/>
        <w:gridCol w:w="1360"/>
      </w:tblGrid>
      <w:tr w:rsidR="009B0F23" w:rsidRPr="009B0F23" w14:paraId="09E330E6" w14:textId="77777777" w:rsidTr="007D0D1A">
        <w:trPr>
          <w:cantSplit/>
          <w:trHeight w:val="196"/>
          <w:tblHeader/>
          <w:jc w:val="center"/>
        </w:trPr>
        <w:tc>
          <w:tcPr>
            <w:tcW w:w="4280" w:type="dxa"/>
            <w:tcBorders>
              <w:top w:val="single" w:sz="8" w:space="0" w:color="auto"/>
              <w:left w:val="single" w:sz="8" w:space="0" w:color="auto"/>
              <w:bottom w:val="single" w:sz="8" w:space="0" w:color="auto"/>
              <w:right w:val="nil"/>
            </w:tcBorders>
            <w:shd w:val="clear" w:color="000000" w:fill="002060"/>
            <w:noWrap/>
            <w:vAlign w:val="bottom"/>
            <w:hideMark/>
          </w:tcPr>
          <w:p w14:paraId="5C2514F1"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w:t>
            </w:r>
          </w:p>
        </w:tc>
        <w:tc>
          <w:tcPr>
            <w:tcW w:w="1520" w:type="dxa"/>
            <w:tcBorders>
              <w:top w:val="single" w:sz="8" w:space="0" w:color="auto"/>
              <w:left w:val="nil"/>
              <w:bottom w:val="single" w:sz="8" w:space="0" w:color="auto"/>
              <w:right w:val="nil"/>
            </w:tcBorders>
            <w:shd w:val="clear" w:color="000000" w:fill="002060"/>
            <w:vAlign w:val="bottom"/>
            <w:hideMark/>
          </w:tcPr>
          <w:p w14:paraId="15A14762" w14:textId="51FF1446"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w:t>
            </w:r>
            <w:r w:rsidR="00A35837">
              <w:rPr>
                <w:rFonts w:ascii="Calibri" w:eastAsia="Times New Roman" w:hAnsi="Calibri" w:cs="Calibri"/>
                <w:b/>
                <w:bCs/>
                <w:color w:val="FFFFFF"/>
                <w:kern w:val="0"/>
                <w14:ligatures w14:val="none"/>
              </w:rPr>
              <w:t>laims</w:t>
            </w:r>
            <w:r w:rsidRPr="009B0F23">
              <w:rPr>
                <w:rFonts w:ascii="Calibri" w:eastAsia="Times New Roman" w:hAnsi="Calibri" w:cs="Calibri"/>
                <w:b/>
                <w:bCs/>
                <w:color w:val="FFFFFF"/>
                <w:kern w:val="0"/>
                <w14:ligatures w14:val="none"/>
              </w:rPr>
              <w:t xml:space="preserve"> Data</w:t>
            </w:r>
          </w:p>
        </w:tc>
        <w:tc>
          <w:tcPr>
            <w:tcW w:w="1360" w:type="dxa"/>
            <w:tcBorders>
              <w:top w:val="single" w:sz="8" w:space="0" w:color="auto"/>
              <w:left w:val="nil"/>
              <w:bottom w:val="single" w:sz="8" w:space="0" w:color="auto"/>
              <w:right w:val="single" w:sz="8" w:space="0" w:color="auto"/>
            </w:tcBorders>
            <w:shd w:val="clear" w:color="000000" w:fill="002060"/>
            <w:vAlign w:val="bottom"/>
            <w:hideMark/>
          </w:tcPr>
          <w:p w14:paraId="673C284E" w14:textId="6E2253FF"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xml:space="preserve">Application </w:t>
            </w:r>
          </w:p>
        </w:tc>
      </w:tr>
      <w:tr w:rsidR="009B0F23" w:rsidRPr="009B0F23" w14:paraId="40C20D98"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6BD7A4FE"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MRI Scan to Inpatient Discharge Ratio</w:t>
            </w:r>
          </w:p>
        </w:tc>
        <w:tc>
          <w:tcPr>
            <w:tcW w:w="1520" w:type="dxa"/>
            <w:tcBorders>
              <w:top w:val="nil"/>
              <w:left w:val="nil"/>
              <w:bottom w:val="single" w:sz="8" w:space="0" w:color="auto"/>
              <w:right w:val="nil"/>
            </w:tcBorders>
            <w:shd w:val="clear" w:color="auto" w:fill="auto"/>
            <w:vAlign w:val="bottom"/>
            <w:hideMark/>
          </w:tcPr>
          <w:p w14:paraId="4AE1A261"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0.44</w:t>
            </w:r>
          </w:p>
        </w:tc>
        <w:tc>
          <w:tcPr>
            <w:tcW w:w="1360" w:type="dxa"/>
            <w:tcBorders>
              <w:top w:val="nil"/>
              <w:left w:val="nil"/>
              <w:bottom w:val="single" w:sz="8" w:space="0" w:color="auto"/>
              <w:right w:val="single" w:sz="8" w:space="0" w:color="auto"/>
            </w:tcBorders>
            <w:shd w:val="clear" w:color="auto" w:fill="auto"/>
            <w:vAlign w:val="bottom"/>
            <w:hideMark/>
          </w:tcPr>
          <w:p w14:paraId="4D1F31B0"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0.36</w:t>
            </w:r>
          </w:p>
        </w:tc>
      </w:tr>
      <w:tr w:rsidR="009B0F23" w:rsidRPr="009B0F23" w14:paraId="4F0276BE" w14:textId="77777777" w:rsidTr="007D0D1A">
        <w:trPr>
          <w:cantSplit/>
          <w:trHeight w:val="288"/>
          <w:jc w:val="center"/>
        </w:trPr>
        <w:tc>
          <w:tcPr>
            <w:tcW w:w="4280" w:type="dxa"/>
            <w:tcBorders>
              <w:top w:val="nil"/>
              <w:left w:val="single" w:sz="8" w:space="0" w:color="auto"/>
              <w:bottom w:val="dashed" w:sz="4" w:space="0" w:color="auto"/>
              <w:right w:val="nil"/>
            </w:tcBorders>
            <w:shd w:val="clear" w:color="auto" w:fill="auto"/>
            <w:noWrap/>
            <w:vAlign w:val="bottom"/>
            <w:hideMark/>
          </w:tcPr>
          <w:p w14:paraId="6F906632"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Inpatient MRI Scans</w:t>
            </w:r>
          </w:p>
        </w:tc>
        <w:tc>
          <w:tcPr>
            <w:tcW w:w="1520" w:type="dxa"/>
            <w:tcBorders>
              <w:top w:val="nil"/>
              <w:left w:val="nil"/>
              <w:bottom w:val="dashed" w:sz="4" w:space="0" w:color="auto"/>
              <w:right w:val="nil"/>
            </w:tcBorders>
            <w:shd w:val="clear" w:color="auto" w:fill="auto"/>
            <w:vAlign w:val="bottom"/>
            <w:hideMark/>
          </w:tcPr>
          <w:p w14:paraId="11AD6E2C"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4,189</w:t>
            </w:r>
          </w:p>
        </w:tc>
        <w:tc>
          <w:tcPr>
            <w:tcW w:w="1360" w:type="dxa"/>
            <w:tcBorders>
              <w:top w:val="nil"/>
              <w:left w:val="nil"/>
              <w:bottom w:val="dashed" w:sz="4" w:space="0" w:color="auto"/>
              <w:right w:val="single" w:sz="8" w:space="0" w:color="auto"/>
            </w:tcBorders>
            <w:shd w:val="clear" w:color="auto" w:fill="auto"/>
            <w:vAlign w:val="bottom"/>
            <w:hideMark/>
          </w:tcPr>
          <w:p w14:paraId="456857F0"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3,427</w:t>
            </w:r>
          </w:p>
        </w:tc>
      </w:tr>
      <w:tr w:rsidR="009B0F23" w:rsidRPr="009B0F23" w14:paraId="7AFD9F40" w14:textId="77777777" w:rsidTr="007D0D1A">
        <w:trPr>
          <w:cantSplit/>
          <w:trHeight w:val="288"/>
          <w:jc w:val="center"/>
        </w:trPr>
        <w:tc>
          <w:tcPr>
            <w:tcW w:w="4280" w:type="dxa"/>
            <w:tcBorders>
              <w:top w:val="nil"/>
              <w:left w:val="single" w:sz="8" w:space="0" w:color="auto"/>
              <w:bottom w:val="single" w:sz="4" w:space="0" w:color="auto"/>
              <w:right w:val="nil"/>
            </w:tcBorders>
            <w:shd w:val="clear" w:color="auto" w:fill="auto"/>
            <w:noWrap/>
            <w:vAlign w:val="bottom"/>
            <w:hideMark/>
          </w:tcPr>
          <w:p w14:paraId="2C9227B9"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Unmet Outpatient MRI Scans</w:t>
            </w:r>
          </w:p>
        </w:tc>
        <w:tc>
          <w:tcPr>
            <w:tcW w:w="1520" w:type="dxa"/>
            <w:tcBorders>
              <w:top w:val="nil"/>
              <w:left w:val="nil"/>
              <w:bottom w:val="single" w:sz="4" w:space="0" w:color="auto"/>
              <w:right w:val="nil"/>
            </w:tcBorders>
            <w:shd w:val="clear" w:color="auto" w:fill="auto"/>
            <w:vAlign w:val="bottom"/>
            <w:hideMark/>
          </w:tcPr>
          <w:p w14:paraId="7E0AAFBB"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w:t>
            </w:r>
          </w:p>
        </w:tc>
        <w:tc>
          <w:tcPr>
            <w:tcW w:w="1360" w:type="dxa"/>
            <w:tcBorders>
              <w:top w:val="nil"/>
              <w:left w:val="nil"/>
              <w:bottom w:val="single" w:sz="4" w:space="0" w:color="auto"/>
              <w:right w:val="single" w:sz="8" w:space="0" w:color="auto"/>
            </w:tcBorders>
            <w:shd w:val="clear" w:color="auto" w:fill="auto"/>
            <w:vAlign w:val="bottom"/>
            <w:hideMark/>
          </w:tcPr>
          <w:p w14:paraId="7B049CBB"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w:t>
            </w:r>
          </w:p>
        </w:tc>
      </w:tr>
      <w:tr w:rsidR="009B0F23" w:rsidRPr="009B0F23" w14:paraId="25406B40"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6ED35B0D"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Total Projected MRI Scans</w:t>
            </w:r>
          </w:p>
        </w:tc>
        <w:tc>
          <w:tcPr>
            <w:tcW w:w="1520" w:type="dxa"/>
            <w:tcBorders>
              <w:top w:val="nil"/>
              <w:left w:val="nil"/>
              <w:bottom w:val="single" w:sz="8" w:space="0" w:color="auto"/>
              <w:right w:val="nil"/>
            </w:tcBorders>
            <w:shd w:val="clear" w:color="auto" w:fill="auto"/>
            <w:vAlign w:val="bottom"/>
            <w:hideMark/>
          </w:tcPr>
          <w:p w14:paraId="3D58E4DA"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4,189</w:t>
            </w:r>
          </w:p>
        </w:tc>
        <w:tc>
          <w:tcPr>
            <w:tcW w:w="1360" w:type="dxa"/>
            <w:tcBorders>
              <w:top w:val="nil"/>
              <w:left w:val="nil"/>
              <w:bottom w:val="single" w:sz="8" w:space="0" w:color="auto"/>
              <w:right w:val="single" w:sz="8" w:space="0" w:color="auto"/>
            </w:tcBorders>
            <w:shd w:val="clear" w:color="auto" w:fill="auto"/>
            <w:vAlign w:val="bottom"/>
            <w:hideMark/>
          </w:tcPr>
          <w:p w14:paraId="16506507"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3,427</w:t>
            </w:r>
          </w:p>
        </w:tc>
      </w:tr>
      <w:tr w:rsidR="009B0F23" w:rsidRPr="009B0F23" w14:paraId="1428CF5F"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335F4873"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Weighted Average Throughput</w:t>
            </w:r>
          </w:p>
        </w:tc>
        <w:tc>
          <w:tcPr>
            <w:tcW w:w="1520" w:type="dxa"/>
            <w:tcBorders>
              <w:top w:val="nil"/>
              <w:left w:val="nil"/>
              <w:bottom w:val="single" w:sz="8" w:space="0" w:color="auto"/>
              <w:right w:val="nil"/>
            </w:tcBorders>
            <w:shd w:val="clear" w:color="auto" w:fill="auto"/>
            <w:vAlign w:val="bottom"/>
            <w:hideMark/>
          </w:tcPr>
          <w:p w14:paraId="696B2137"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3,103</w:t>
            </w:r>
          </w:p>
        </w:tc>
        <w:tc>
          <w:tcPr>
            <w:tcW w:w="1360" w:type="dxa"/>
            <w:tcBorders>
              <w:top w:val="nil"/>
              <w:left w:val="nil"/>
              <w:bottom w:val="single" w:sz="8" w:space="0" w:color="auto"/>
              <w:right w:val="single" w:sz="8" w:space="0" w:color="auto"/>
            </w:tcBorders>
            <w:shd w:val="clear" w:color="auto" w:fill="auto"/>
            <w:vAlign w:val="bottom"/>
            <w:hideMark/>
          </w:tcPr>
          <w:p w14:paraId="4DE63916"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3,103</w:t>
            </w:r>
          </w:p>
        </w:tc>
      </w:tr>
      <w:tr w:rsidR="009B0F23" w:rsidRPr="009B0F23" w14:paraId="4CB9F223"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7CA822D6"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Projected MRI Scanner Need</w:t>
            </w:r>
          </w:p>
        </w:tc>
        <w:tc>
          <w:tcPr>
            <w:tcW w:w="1520" w:type="dxa"/>
            <w:tcBorders>
              <w:top w:val="nil"/>
              <w:left w:val="nil"/>
              <w:bottom w:val="single" w:sz="8" w:space="0" w:color="auto"/>
              <w:right w:val="nil"/>
            </w:tcBorders>
            <w:shd w:val="clear" w:color="auto" w:fill="auto"/>
            <w:vAlign w:val="bottom"/>
            <w:hideMark/>
          </w:tcPr>
          <w:p w14:paraId="594D55D7"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1.3</w:t>
            </w:r>
          </w:p>
        </w:tc>
        <w:tc>
          <w:tcPr>
            <w:tcW w:w="1360" w:type="dxa"/>
            <w:tcBorders>
              <w:top w:val="nil"/>
              <w:left w:val="nil"/>
              <w:bottom w:val="single" w:sz="8" w:space="0" w:color="auto"/>
              <w:right w:val="single" w:sz="8" w:space="0" w:color="auto"/>
            </w:tcBorders>
            <w:shd w:val="clear" w:color="auto" w:fill="auto"/>
            <w:vAlign w:val="bottom"/>
            <w:hideMark/>
          </w:tcPr>
          <w:p w14:paraId="06E2FABE"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1.1</w:t>
            </w:r>
          </w:p>
        </w:tc>
      </w:tr>
    </w:tbl>
    <w:p w14:paraId="49A5996C" w14:textId="77777777" w:rsidR="009B0F23" w:rsidRDefault="009B0F23" w:rsidP="00190A29">
      <w:pPr>
        <w:spacing w:line="360" w:lineRule="auto"/>
        <w:jc w:val="center"/>
      </w:pPr>
    </w:p>
    <w:p w14:paraId="6498D352" w14:textId="4D2739AD" w:rsidR="00373513" w:rsidRDefault="00373513" w:rsidP="009A58A5">
      <w:pPr>
        <w:numPr>
          <w:ilvl w:val="0"/>
          <w:numId w:val="4"/>
        </w:numPr>
        <w:spacing w:before="120" w:after="120" w:line="360" w:lineRule="auto"/>
        <w:jc w:val="both"/>
      </w:pPr>
      <w:r>
        <w:t xml:space="preserve">Table </w:t>
      </w:r>
      <w:r w:rsidR="001204A7">
        <w:t>2</w:t>
      </w:r>
      <w:r w:rsidR="00AC0296">
        <w:t>8</w:t>
      </w:r>
      <w:r>
        <w:t xml:space="preserve"> reports projected demand for PET-CT procedures and PET-CT scanners in 2025. Inpatient PET-CT procedures could only be imperfectly identified in the claims data, resulting in an average PET-CT scan to inpatient discharge ratio of 0.001, significantly below the ratio calculated by DFCI of 0.04. Regardless of the ratio, estimated inpatient demand was estimated to be relatively low (13-381 scans in 2025). On the other hand, estimated outpatient demand for PET-CT scans occurring at non-DFCI facilities is 1,817 for a total of 1,830-2,198 total projected PET-CT scans in 2025. DFCI’s calculation of 2032 projected </w:t>
      </w:r>
      <w:r w:rsidR="004B1A81">
        <w:t>PET-</w:t>
      </w:r>
      <w:r>
        <w:t>CT demand is 3,010 (555 inpatient and 2,455 outpatient).</w:t>
      </w:r>
      <w:r>
        <w:rPr>
          <w:rStyle w:val="FootnoteReference"/>
        </w:rPr>
        <w:footnoteReference w:id="115"/>
      </w:r>
      <w:r>
        <w:t xml:space="preserve"> Based on weighted average throughputs, FTI’s projected PET-CT scanner need is between 0.4-0.5 PET-CT scanners in 2025. </w:t>
      </w:r>
    </w:p>
    <w:p w14:paraId="709866E4" w14:textId="78233BB8" w:rsidR="009A58A5" w:rsidRDefault="00D13083" w:rsidP="00A35837">
      <w:pPr>
        <w:pStyle w:val="Caption"/>
        <w:keepNext/>
        <w:jc w:val="center"/>
      </w:pPr>
      <w:bookmarkStart w:id="73" w:name="_Toc187401801"/>
      <w:r>
        <w:t xml:space="preserve">Table </w:t>
      </w:r>
      <w:fldSimple w:instr=" SEQ Table \* ARABIC ">
        <w:r w:rsidR="0085394E">
          <w:rPr>
            <w:noProof/>
          </w:rPr>
          <w:t>28</w:t>
        </w:r>
      </w:fldSimple>
      <w:r>
        <w:t>: Projected PET-CT Scanner Demand, 2025</w:t>
      </w:r>
      <w:bookmarkEnd w:id="73"/>
    </w:p>
    <w:tbl>
      <w:tblPr>
        <w:tblW w:w="7160" w:type="dxa"/>
        <w:jc w:val="center"/>
        <w:tblLook w:val="04A0" w:firstRow="1" w:lastRow="0" w:firstColumn="1" w:lastColumn="0" w:noHBand="0" w:noVBand="1"/>
      </w:tblPr>
      <w:tblGrid>
        <w:gridCol w:w="4280"/>
        <w:gridCol w:w="1520"/>
        <w:gridCol w:w="1360"/>
      </w:tblGrid>
      <w:tr w:rsidR="009B0F23" w:rsidRPr="009B0F23" w14:paraId="5941A39E" w14:textId="77777777" w:rsidTr="007D0D1A">
        <w:trPr>
          <w:cantSplit/>
          <w:trHeight w:val="277"/>
          <w:tblHeader/>
          <w:jc w:val="center"/>
        </w:trPr>
        <w:tc>
          <w:tcPr>
            <w:tcW w:w="4280" w:type="dxa"/>
            <w:tcBorders>
              <w:top w:val="single" w:sz="8" w:space="0" w:color="auto"/>
              <w:left w:val="single" w:sz="8" w:space="0" w:color="auto"/>
              <w:bottom w:val="single" w:sz="8" w:space="0" w:color="auto"/>
              <w:right w:val="nil"/>
            </w:tcBorders>
            <w:shd w:val="clear" w:color="000000" w:fill="002060"/>
            <w:noWrap/>
            <w:vAlign w:val="bottom"/>
            <w:hideMark/>
          </w:tcPr>
          <w:p w14:paraId="2074C969" w14:textId="77777777" w:rsidR="009B0F23" w:rsidRPr="009B0F23" w:rsidRDefault="009B0F23" w:rsidP="009B0F23">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 </w:t>
            </w:r>
          </w:p>
        </w:tc>
        <w:tc>
          <w:tcPr>
            <w:tcW w:w="1520" w:type="dxa"/>
            <w:tcBorders>
              <w:top w:val="single" w:sz="8" w:space="0" w:color="auto"/>
              <w:left w:val="nil"/>
              <w:bottom w:val="single" w:sz="8" w:space="0" w:color="auto"/>
              <w:right w:val="nil"/>
            </w:tcBorders>
            <w:shd w:val="clear" w:color="000000" w:fill="002060"/>
            <w:vAlign w:val="center"/>
            <w:hideMark/>
          </w:tcPr>
          <w:p w14:paraId="3B5F755F" w14:textId="1647DDF0" w:rsidR="009B0F23" w:rsidRPr="009B0F23" w:rsidRDefault="00A35837" w:rsidP="007A68F7">
            <w:pPr>
              <w:spacing w:after="0" w:line="240" w:lineRule="auto"/>
              <w:jc w:val="center"/>
              <w:rPr>
                <w:rFonts w:ascii="Calibri" w:eastAsia="Times New Roman" w:hAnsi="Calibri" w:cs="Calibri"/>
                <w:b/>
                <w:bCs/>
                <w:color w:val="FFFFFF"/>
                <w:kern w:val="0"/>
                <w14:ligatures w14:val="none"/>
              </w:rPr>
            </w:pPr>
            <w:r>
              <w:rPr>
                <w:rFonts w:ascii="Calibri" w:eastAsia="Times New Roman" w:hAnsi="Calibri" w:cs="Calibri"/>
                <w:b/>
                <w:bCs/>
                <w:color w:val="FFFFFF"/>
                <w:kern w:val="0"/>
                <w14:ligatures w14:val="none"/>
              </w:rPr>
              <w:t>Claims</w:t>
            </w:r>
            <w:r w:rsidR="009B0F23" w:rsidRPr="009B0F23">
              <w:rPr>
                <w:rFonts w:ascii="Calibri" w:eastAsia="Times New Roman" w:hAnsi="Calibri" w:cs="Calibri"/>
                <w:b/>
                <w:bCs/>
                <w:color w:val="FFFFFF"/>
                <w:kern w:val="0"/>
                <w14:ligatures w14:val="none"/>
              </w:rPr>
              <w:t xml:space="preserve"> Data</w:t>
            </w:r>
          </w:p>
        </w:tc>
        <w:tc>
          <w:tcPr>
            <w:tcW w:w="1360" w:type="dxa"/>
            <w:tcBorders>
              <w:top w:val="single" w:sz="8" w:space="0" w:color="auto"/>
              <w:left w:val="nil"/>
              <w:bottom w:val="single" w:sz="8" w:space="0" w:color="auto"/>
              <w:right w:val="single" w:sz="8" w:space="0" w:color="auto"/>
            </w:tcBorders>
            <w:shd w:val="clear" w:color="000000" w:fill="002060"/>
            <w:vAlign w:val="center"/>
            <w:hideMark/>
          </w:tcPr>
          <w:p w14:paraId="58268824" w14:textId="6EB8619E" w:rsidR="009B0F23" w:rsidRPr="009B0F23" w:rsidRDefault="009B0F23" w:rsidP="007A68F7">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Application</w:t>
            </w:r>
          </w:p>
        </w:tc>
      </w:tr>
      <w:tr w:rsidR="009B0F23" w:rsidRPr="009B0F23" w14:paraId="20511D52"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462EDCBC"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PET-CT Scan to Inpatient Discharge Ratio</w:t>
            </w:r>
          </w:p>
        </w:tc>
        <w:tc>
          <w:tcPr>
            <w:tcW w:w="1520" w:type="dxa"/>
            <w:tcBorders>
              <w:top w:val="nil"/>
              <w:left w:val="nil"/>
              <w:bottom w:val="single" w:sz="8" w:space="0" w:color="auto"/>
              <w:right w:val="nil"/>
            </w:tcBorders>
            <w:shd w:val="clear" w:color="auto" w:fill="auto"/>
            <w:vAlign w:val="bottom"/>
            <w:hideMark/>
          </w:tcPr>
          <w:p w14:paraId="0ED6E733"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0.001</w:t>
            </w:r>
          </w:p>
        </w:tc>
        <w:tc>
          <w:tcPr>
            <w:tcW w:w="1360" w:type="dxa"/>
            <w:tcBorders>
              <w:top w:val="nil"/>
              <w:left w:val="nil"/>
              <w:bottom w:val="single" w:sz="8" w:space="0" w:color="auto"/>
              <w:right w:val="single" w:sz="8" w:space="0" w:color="auto"/>
            </w:tcBorders>
            <w:shd w:val="clear" w:color="auto" w:fill="auto"/>
            <w:vAlign w:val="bottom"/>
            <w:hideMark/>
          </w:tcPr>
          <w:p w14:paraId="65704D44"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0.04</w:t>
            </w:r>
          </w:p>
        </w:tc>
      </w:tr>
      <w:tr w:rsidR="009B0F23" w:rsidRPr="009B0F23" w14:paraId="41E6871D" w14:textId="77777777" w:rsidTr="007D0D1A">
        <w:trPr>
          <w:cantSplit/>
          <w:trHeight w:val="288"/>
          <w:jc w:val="center"/>
        </w:trPr>
        <w:tc>
          <w:tcPr>
            <w:tcW w:w="4280" w:type="dxa"/>
            <w:tcBorders>
              <w:top w:val="nil"/>
              <w:left w:val="single" w:sz="8" w:space="0" w:color="auto"/>
              <w:bottom w:val="dashed" w:sz="4" w:space="0" w:color="auto"/>
              <w:right w:val="nil"/>
            </w:tcBorders>
            <w:shd w:val="clear" w:color="auto" w:fill="auto"/>
            <w:noWrap/>
            <w:vAlign w:val="bottom"/>
            <w:hideMark/>
          </w:tcPr>
          <w:p w14:paraId="62DE90AE"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Inpatient PET-CT Scans</w:t>
            </w:r>
          </w:p>
        </w:tc>
        <w:tc>
          <w:tcPr>
            <w:tcW w:w="1520" w:type="dxa"/>
            <w:tcBorders>
              <w:top w:val="nil"/>
              <w:left w:val="nil"/>
              <w:bottom w:val="dashed" w:sz="4" w:space="0" w:color="auto"/>
              <w:right w:val="nil"/>
            </w:tcBorders>
            <w:shd w:val="clear" w:color="auto" w:fill="auto"/>
            <w:vAlign w:val="bottom"/>
            <w:hideMark/>
          </w:tcPr>
          <w:p w14:paraId="0F613E67"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13</w:t>
            </w:r>
          </w:p>
        </w:tc>
        <w:tc>
          <w:tcPr>
            <w:tcW w:w="1360" w:type="dxa"/>
            <w:tcBorders>
              <w:top w:val="nil"/>
              <w:left w:val="nil"/>
              <w:bottom w:val="dashed" w:sz="4" w:space="0" w:color="auto"/>
              <w:right w:val="single" w:sz="8" w:space="0" w:color="auto"/>
            </w:tcBorders>
            <w:shd w:val="clear" w:color="auto" w:fill="auto"/>
            <w:vAlign w:val="bottom"/>
            <w:hideMark/>
          </w:tcPr>
          <w:p w14:paraId="20A3AB12"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381</w:t>
            </w:r>
          </w:p>
        </w:tc>
      </w:tr>
      <w:tr w:rsidR="009B0F23" w:rsidRPr="009B0F23" w14:paraId="6923114B" w14:textId="77777777" w:rsidTr="007D0D1A">
        <w:trPr>
          <w:cantSplit/>
          <w:trHeight w:val="288"/>
          <w:jc w:val="center"/>
        </w:trPr>
        <w:tc>
          <w:tcPr>
            <w:tcW w:w="4280" w:type="dxa"/>
            <w:tcBorders>
              <w:top w:val="nil"/>
              <w:left w:val="single" w:sz="8" w:space="0" w:color="auto"/>
              <w:bottom w:val="single" w:sz="4" w:space="0" w:color="auto"/>
              <w:right w:val="nil"/>
            </w:tcBorders>
            <w:shd w:val="clear" w:color="auto" w:fill="auto"/>
            <w:noWrap/>
            <w:vAlign w:val="bottom"/>
            <w:hideMark/>
          </w:tcPr>
          <w:p w14:paraId="43DA3881"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Projected Unmet Outpatient PET-CT Scans</w:t>
            </w:r>
          </w:p>
        </w:tc>
        <w:tc>
          <w:tcPr>
            <w:tcW w:w="1520" w:type="dxa"/>
            <w:tcBorders>
              <w:top w:val="nil"/>
              <w:left w:val="nil"/>
              <w:bottom w:val="single" w:sz="4" w:space="0" w:color="auto"/>
              <w:right w:val="nil"/>
            </w:tcBorders>
            <w:shd w:val="clear" w:color="auto" w:fill="auto"/>
            <w:vAlign w:val="bottom"/>
            <w:hideMark/>
          </w:tcPr>
          <w:p w14:paraId="25B685F4"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1,817</w:t>
            </w:r>
          </w:p>
        </w:tc>
        <w:tc>
          <w:tcPr>
            <w:tcW w:w="1360" w:type="dxa"/>
            <w:tcBorders>
              <w:top w:val="nil"/>
              <w:left w:val="nil"/>
              <w:bottom w:val="single" w:sz="4" w:space="0" w:color="auto"/>
              <w:right w:val="single" w:sz="8" w:space="0" w:color="auto"/>
            </w:tcBorders>
            <w:shd w:val="clear" w:color="auto" w:fill="auto"/>
            <w:vAlign w:val="bottom"/>
            <w:hideMark/>
          </w:tcPr>
          <w:p w14:paraId="663DBA5B"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1,817</w:t>
            </w:r>
          </w:p>
        </w:tc>
      </w:tr>
      <w:tr w:rsidR="009B0F23" w:rsidRPr="009B0F23" w14:paraId="44CCF9C8"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015B5B18"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Total Projected PET-CT Scans</w:t>
            </w:r>
          </w:p>
        </w:tc>
        <w:tc>
          <w:tcPr>
            <w:tcW w:w="1520" w:type="dxa"/>
            <w:tcBorders>
              <w:top w:val="nil"/>
              <w:left w:val="nil"/>
              <w:bottom w:val="single" w:sz="8" w:space="0" w:color="auto"/>
              <w:right w:val="nil"/>
            </w:tcBorders>
            <w:shd w:val="clear" w:color="auto" w:fill="auto"/>
            <w:vAlign w:val="bottom"/>
            <w:hideMark/>
          </w:tcPr>
          <w:p w14:paraId="28C249F6"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1,830</w:t>
            </w:r>
          </w:p>
        </w:tc>
        <w:tc>
          <w:tcPr>
            <w:tcW w:w="1360" w:type="dxa"/>
            <w:tcBorders>
              <w:top w:val="nil"/>
              <w:left w:val="nil"/>
              <w:bottom w:val="single" w:sz="8" w:space="0" w:color="auto"/>
              <w:right w:val="single" w:sz="8" w:space="0" w:color="auto"/>
            </w:tcBorders>
            <w:shd w:val="clear" w:color="auto" w:fill="auto"/>
            <w:vAlign w:val="bottom"/>
            <w:hideMark/>
          </w:tcPr>
          <w:p w14:paraId="409C3C95"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2,198</w:t>
            </w:r>
          </w:p>
        </w:tc>
      </w:tr>
      <w:tr w:rsidR="009B0F23" w:rsidRPr="009B0F23" w14:paraId="705337D8"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06974121" w14:textId="77777777" w:rsidR="009B0F23" w:rsidRPr="009B0F23" w:rsidRDefault="009B0F23" w:rsidP="009B0F23">
            <w:pPr>
              <w:spacing w:after="0" w:line="240" w:lineRule="auto"/>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Weighted Average Throughput</w:t>
            </w:r>
          </w:p>
        </w:tc>
        <w:tc>
          <w:tcPr>
            <w:tcW w:w="1520" w:type="dxa"/>
            <w:tcBorders>
              <w:top w:val="nil"/>
              <w:left w:val="nil"/>
              <w:bottom w:val="single" w:sz="8" w:space="0" w:color="auto"/>
              <w:right w:val="nil"/>
            </w:tcBorders>
            <w:shd w:val="clear" w:color="auto" w:fill="auto"/>
            <w:vAlign w:val="bottom"/>
            <w:hideMark/>
          </w:tcPr>
          <w:p w14:paraId="73AA4FCC"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4,114</w:t>
            </w:r>
          </w:p>
        </w:tc>
        <w:tc>
          <w:tcPr>
            <w:tcW w:w="1360" w:type="dxa"/>
            <w:tcBorders>
              <w:top w:val="nil"/>
              <w:left w:val="nil"/>
              <w:bottom w:val="single" w:sz="8" w:space="0" w:color="auto"/>
              <w:right w:val="single" w:sz="8" w:space="0" w:color="auto"/>
            </w:tcBorders>
            <w:shd w:val="clear" w:color="auto" w:fill="auto"/>
            <w:vAlign w:val="bottom"/>
            <w:hideMark/>
          </w:tcPr>
          <w:p w14:paraId="67C449E1" w14:textId="77777777" w:rsidR="009B0F23" w:rsidRPr="009B0F23" w:rsidRDefault="009B0F23" w:rsidP="009B0F23">
            <w:pPr>
              <w:spacing w:after="0" w:line="240" w:lineRule="auto"/>
              <w:jc w:val="center"/>
              <w:rPr>
                <w:rFonts w:ascii="Calibri" w:eastAsia="Times New Roman" w:hAnsi="Calibri" w:cs="Calibri"/>
                <w:color w:val="000000"/>
                <w:kern w:val="0"/>
                <w14:ligatures w14:val="none"/>
              </w:rPr>
            </w:pPr>
            <w:r w:rsidRPr="009B0F23">
              <w:rPr>
                <w:rFonts w:ascii="Calibri" w:eastAsia="Times New Roman" w:hAnsi="Calibri" w:cs="Calibri"/>
                <w:color w:val="000000"/>
                <w:kern w:val="0"/>
                <w14:ligatures w14:val="none"/>
              </w:rPr>
              <w:t>4,017</w:t>
            </w:r>
          </w:p>
        </w:tc>
      </w:tr>
      <w:tr w:rsidR="009B0F23" w:rsidRPr="009B0F23" w14:paraId="1A41A525" w14:textId="77777777" w:rsidTr="007D0D1A">
        <w:trPr>
          <w:cantSplit/>
          <w:trHeight w:val="288"/>
          <w:jc w:val="center"/>
        </w:trPr>
        <w:tc>
          <w:tcPr>
            <w:tcW w:w="4280" w:type="dxa"/>
            <w:tcBorders>
              <w:top w:val="nil"/>
              <w:left w:val="single" w:sz="8" w:space="0" w:color="auto"/>
              <w:bottom w:val="single" w:sz="8" w:space="0" w:color="auto"/>
              <w:right w:val="nil"/>
            </w:tcBorders>
            <w:shd w:val="clear" w:color="auto" w:fill="auto"/>
            <w:noWrap/>
            <w:vAlign w:val="bottom"/>
            <w:hideMark/>
          </w:tcPr>
          <w:p w14:paraId="43924404" w14:textId="77777777" w:rsidR="009B0F23" w:rsidRPr="009B0F23" w:rsidRDefault="009B0F23" w:rsidP="009B0F23">
            <w:pPr>
              <w:spacing w:after="0" w:line="240" w:lineRule="auto"/>
              <w:ind w:firstLineChars="100" w:firstLine="221"/>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Projected PET-CT Scanner Need</w:t>
            </w:r>
          </w:p>
        </w:tc>
        <w:tc>
          <w:tcPr>
            <w:tcW w:w="1520" w:type="dxa"/>
            <w:tcBorders>
              <w:top w:val="nil"/>
              <w:left w:val="nil"/>
              <w:bottom w:val="single" w:sz="8" w:space="0" w:color="auto"/>
              <w:right w:val="nil"/>
            </w:tcBorders>
            <w:shd w:val="clear" w:color="auto" w:fill="auto"/>
            <w:vAlign w:val="bottom"/>
            <w:hideMark/>
          </w:tcPr>
          <w:p w14:paraId="5D4832AE"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0.4</w:t>
            </w:r>
          </w:p>
        </w:tc>
        <w:tc>
          <w:tcPr>
            <w:tcW w:w="1360" w:type="dxa"/>
            <w:tcBorders>
              <w:top w:val="nil"/>
              <w:left w:val="nil"/>
              <w:bottom w:val="single" w:sz="8" w:space="0" w:color="auto"/>
              <w:right w:val="single" w:sz="8" w:space="0" w:color="auto"/>
            </w:tcBorders>
            <w:shd w:val="clear" w:color="auto" w:fill="auto"/>
            <w:vAlign w:val="bottom"/>
            <w:hideMark/>
          </w:tcPr>
          <w:p w14:paraId="35CD2643" w14:textId="77777777" w:rsidR="009B0F23" w:rsidRPr="009B0F23" w:rsidRDefault="009B0F23" w:rsidP="009B0F23">
            <w:pPr>
              <w:spacing w:after="0" w:line="240" w:lineRule="auto"/>
              <w:jc w:val="center"/>
              <w:rPr>
                <w:rFonts w:ascii="Calibri" w:eastAsia="Times New Roman" w:hAnsi="Calibri" w:cs="Calibri"/>
                <w:b/>
                <w:bCs/>
                <w:color w:val="000000"/>
                <w:kern w:val="0"/>
                <w14:ligatures w14:val="none"/>
              </w:rPr>
            </w:pPr>
            <w:r w:rsidRPr="009B0F23">
              <w:rPr>
                <w:rFonts w:ascii="Calibri" w:eastAsia="Times New Roman" w:hAnsi="Calibri" w:cs="Calibri"/>
                <w:b/>
                <w:bCs/>
                <w:color w:val="000000"/>
                <w:kern w:val="0"/>
                <w14:ligatures w14:val="none"/>
              </w:rPr>
              <w:t>0.5</w:t>
            </w:r>
          </w:p>
        </w:tc>
      </w:tr>
    </w:tbl>
    <w:p w14:paraId="3E171F1C" w14:textId="01BCE544" w:rsidR="009A58A5" w:rsidRPr="00DF7C05" w:rsidRDefault="009A58A5" w:rsidP="008C4EE0">
      <w:pPr>
        <w:pStyle w:val="Heading2"/>
      </w:pPr>
      <w:bookmarkStart w:id="74" w:name="_Toc187401764"/>
      <w:r w:rsidRPr="00DF7C05">
        <w:lastRenderedPageBreak/>
        <w:t>Prices</w:t>
      </w:r>
      <w:r w:rsidR="00DF7C05" w:rsidRPr="00DF7C05">
        <w:t xml:space="preserve"> for Outpatient Diagnostic Imaging</w:t>
      </w:r>
      <w:bookmarkEnd w:id="74"/>
    </w:p>
    <w:p w14:paraId="279AB018" w14:textId="7CDE63F1" w:rsidR="003C75C2" w:rsidRDefault="003C75C2" w:rsidP="003C75C2">
      <w:pPr>
        <w:numPr>
          <w:ilvl w:val="0"/>
          <w:numId w:val="4"/>
        </w:numPr>
        <w:spacing w:before="120" w:after="120" w:line="360" w:lineRule="auto"/>
        <w:jc w:val="both"/>
      </w:pPr>
      <w:r>
        <w:t xml:space="preserve">The ICA </w:t>
      </w:r>
      <w:r w:rsidR="00F7130C">
        <w:t>Q</w:t>
      </w:r>
      <w:r>
        <w:t xml:space="preserve">uestions </w:t>
      </w:r>
      <w:r w:rsidR="00F7130C">
        <w:t xml:space="preserve">and analysis </w:t>
      </w:r>
      <w:r>
        <w:t xml:space="preserve">involve evaluation of current pricing by service line and potential impact of the Proposed Project on prices and medical spending. This section evaluates estimates of pricing for commercial claims for DFCI and other relevant providers offering outpatient diagnostic imaging services. </w:t>
      </w:r>
    </w:p>
    <w:p w14:paraId="746254C5" w14:textId="7A334872" w:rsidR="003C75C2" w:rsidRDefault="003C75C2" w:rsidP="003C75C2">
      <w:pPr>
        <w:numPr>
          <w:ilvl w:val="0"/>
          <w:numId w:val="4"/>
        </w:numPr>
        <w:spacing w:before="120" w:after="120" w:line="360" w:lineRule="auto"/>
        <w:jc w:val="both"/>
      </w:pPr>
      <w:r>
        <w:t>The methodology employed for analyzing outpatient diagnostic imaging prices is similar</w:t>
      </w:r>
      <w:r w:rsidR="00F7130C">
        <w:t xml:space="preserve"> to</w:t>
      </w:r>
      <w:r>
        <w:t xml:space="preserve"> that used for analysis of inpatient prices as outlined in Section XI. Prices were estimated for commercial, Medicare, and Medicaid payor categories.</w:t>
      </w:r>
      <w:r>
        <w:rPr>
          <w:rStyle w:val="FootnoteReference"/>
        </w:rPr>
        <w:footnoteReference w:id="116"/>
      </w:r>
      <w:r>
        <w:t xml:space="preserve"> These prices are used in conjunction with the volume predictions to project total healthcare costs in Section </w:t>
      </w:r>
      <w:r w:rsidR="001204A7">
        <w:t>XIV.G</w:t>
      </w:r>
      <w:r>
        <w:t>.</w:t>
      </w:r>
    </w:p>
    <w:p w14:paraId="0A21FAE7" w14:textId="1AABBBE9" w:rsidR="003C75C2" w:rsidRDefault="003C75C2" w:rsidP="00017609">
      <w:pPr>
        <w:numPr>
          <w:ilvl w:val="0"/>
          <w:numId w:val="4"/>
        </w:numPr>
        <w:spacing w:before="120" w:after="120" w:line="360" w:lineRule="auto"/>
        <w:jc w:val="both"/>
      </w:pPr>
      <w:r>
        <w:t xml:space="preserve">Using 2021 claims data for the outpatient diagnostic imaging service line as defined above, allowed amounts were used to determine </w:t>
      </w:r>
      <w:r w:rsidR="00B17D84">
        <w:t xml:space="preserve">the </w:t>
      </w:r>
      <w:r>
        <w:t xml:space="preserve">total price of an imaging service. The average allowed amount for all claim lines associated with a given service was then determined for each provider-payor </w:t>
      </w:r>
      <w:r w:rsidR="00D22B38">
        <w:t>category</w:t>
      </w:r>
      <w:r>
        <w:t xml:space="preserve"> combination.</w:t>
      </w:r>
      <w:r w:rsidRPr="003C75C2">
        <w:t xml:space="preserve"> </w:t>
      </w:r>
      <w:r w:rsidR="00D22B38">
        <w:t>Prices were normalized and reported re</w:t>
      </w:r>
      <w:r>
        <w:t xml:space="preserve">lative </w:t>
      </w:r>
      <w:r w:rsidR="00D22B38">
        <w:t xml:space="preserve">to </w:t>
      </w:r>
      <w:r>
        <w:t xml:space="preserve">the average </w:t>
      </w:r>
      <w:r w:rsidR="00D22B38">
        <w:t xml:space="preserve">statewide service line price (i.e., the average allowed amount for all claim lines associated with a given service across all Massachusetts </w:t>
      </w:r>
      <w:r w:rsidR="00FC27BC">
        <w:t>providers</w:t>
      </w:r>
      <w:r w:rsidR="00D22B38">
        <w:t xml:space="preserve"> and payors).</w:t>
      </w:r>
    </w:p>
    <w:p w14:paraId="54A33646" w14:textId="700C8B16" w:rsidR="003C75C2" w:rsidRDefault="00CC39E5" w:rsidP="003C75C2">
      <w:pPr>
        <w:numPr>
          <w:ilvl w:val="0"/>
          <w:numId w:val="4"/>
        </w:numPr>
        <w:spacing w:before="120" w:after="120" w:line="360" w:lineRule="auto"/>
        <w:jc w:val="both"/>
      </w:pPr>
      <w:r>
        <w:t xml:space="preserve">As shown in Table </w:t>
      </w:r>
      <w:r w:rsidR="001204A7">
        <w:t>2</w:t>
      </w:r>
      <w:r w:rsidR="00AC0296">
        <w:t>9</w:t>
      </w:r>
      <w:r>
        <w:t xml:space="preserve">, </w:t>
      </w:r>
      <w:r w:rsidR="003C75C2">
        <w:t>DFCI’s relative prices for CT in 2021 were 2.31 (commercial), 1.49 (Medicare), and 2.43 (</w:t>
      </w:r>
      <w:r w:rsidR="00F7130C">
        <w:t>Medicaid</w:t>
      </w:r>
      <w:r w:rsidR="003C75C2">
        <w:t>). DFCI’s relative prices for PET</w:t>
      </w:r>
      <w:r w:rsidR="00D22B38">
        <w:t>-CT</w:t>
      </w:r>
      <w:r w:rsidR="003C75C2">
        <w:t xml:space="preserve"> in 2021 were </w:t>
      </w:r>
      <w:r w:rsidR="00495C95">
        <w:t xml:space="preserve">estimated at </w:t>
      </w:r>
      <w:r w:rsidR="003C75C2">
        <w:t>2.23 (commercial), 0.82 (Medicare), and 1.45 (</w:t>
      </w:r>
      <w:r w:rsidR="00F7130C">
        <w:t>Medicaid</w:t>
      </w:r>
      <w:r w:rsidR="003C75C2">
        <w:t>).</w:t>
      </w:r>
    </w:p>
    <w:p w14:paraId="2D1377FD" w14:textId="7334A551" w:rsidR="00CC39E5" w:rsidRDefault="00CC39E5" w:rsidP="00A35837">
      <w:pPr>
        <w:pStyle w:val="Caption"/>
        <w:keepNext/>
        <w:jc w:val="center"/>
      </w:pPr>
      <w:bookmarkStart w:id="75" w:name="_Toc187401802"/>
      <w:r>
        <w:t xml:space="preserve">Table </w:t>
      </w:r>
      <w:fldSimple w:instr=" SEQ Table \* ARABIC ">
        <w:r w:rsidR="0085394E">
          <w:rPr>
            <w:noProof/>
          </w:rPr>
          <w:t>29</w:t>
        </w:r>
      </w:fldSimple>
      <w:r>
        <w:t>: Estimated Relative Outpatient CT and PET-CT Prices by Hospital and Payor, 2021</w:t>
      </w:r>
      <w:r w:rsidR="00522DC4">
        <w:rPr>
          <w:rStyle w:val="FootnoteReference"/>
        </w:rPr>
        <w:footnoteReference w:id="117"/>
      </w:r>
      <w:bookmarkEnd w:id="75"/>
    </w:p>
    <w:tbl>
      <w:tblPr>
        <w:tblW w:w="0" w:type="auto"/>
        <w:jc w:val="center"/>
        <w:tblLook w:val="04A0" w:firstRow="1" w:lastRow="0" w:firstColumn="1" w:lastColumn="0" w:noHBand="0" w:noVBand="1"/>
      </w:tblPr>
      <w:tblGrid>
        <w:gridCol w:w="1627"/>
        <w:gridCol w:w="3588"/>
        <w:gridCol w:w="1362"/>
        <w:gridCol w:w="1416"/>
        <w:gridCol w:w="1357"/>
      </w:tblGrid>
      <w:tr w:rsidR="009352D6" w:rsidRPr="009B0F23" w14:paraId="7C98F454" w14:textId="77777777" w:rsidTr="009352D6">
        <w:trPr>
          <w:cantSplit/>
          <w:trHeight w:val="300"/>
          <w:tblHeader/>
          <w:jc w:val="center"/>
        </w:trPr>
        <w:tc>
          <w:tcPr>
            <w:tcW w:w="0" w:type="auto"/>
            <w:tcBorders>
              <w:top w:val="single" w:sz="8" w:space="0" w:color="auto"/>
              <w:left w:val="single" w:sz="8" w:space="0" w:color="auto"/>
              <w:right w:val="nil"/>
            </w:tcBorders>
            <w:shd w:val="clear" w:color="auto" w:fill="002060"/>
            <w:vAlign w:val="bottom"/>
          </w:tcPr>
          <w:p w14:paraId="0E55B06B" w14:textId="76689EB6"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p>
        </w:tc>
        <w:tc>
          <w:tcPr>
            <w:tcW w:w="0" w:type="auto"/>
            <w:tcBorders>
              <w:top w:val="single" w:sz="8" w:space="0" w:color="auto"/>
              <w:left w:val="nil"/>
              <w:right w:val="nil"/>
            </w:tcBorders>
            <w:shd w:val="clear" w:color="auto" w:fill="002060"/>
            <w:vAlign w:val="bottom"/>
            <w:hideMark/>
          </w:tcPr>
          <w:p w14:paraId="085DAD53" w14:textId="5FAB32B9"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p>
        </w:tc>
        <w:tc>
          <w:tcPr>
            <w:tcW w:w="0" w:type="auto"/>
            <w:tcBorders>
              <w:top w:val="single" w:sz="8" w:space="0" w:color="auto"/>
              <w:left w:val="nil"/>
              <w:bottom w:val="nil"/>
              <w:right w:val="nil"/>
            </w:tcBorders>
            <w:shd w:val="clear" w:color="auto" w:fill="002060"/>
            <w:vAlign w:val="bottom"/>
            <w:hideMark/>
          </w:tcPr>
          <w:p w14:paraId="384F0D2D" w14:textId="77777777"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Relative Price</w:t>
            </w:r>
          </w:p>
        </w:tc>
        <w:tc>
          <w:tcPr>
            <w:tcW w:w="0" w:type="auto"/>
            <w:tcBorders>
              <w:top w:val="single" w:sz="8" w:space="0" w:color="auto"/>
              <w:left w:val="nil"/>
              <w:bottom w:val="nil"/>
              <w:right w:val="nil"/>
            </w:tcBorders>
            <w:shd w:val="clear" w:color="auto" w:fill="002060"/>
            <w:vAlign w:val="bottom"/>
          </w:tcPr>
          <w:p w14:paraId="4BB93CE1" w14:textId="3FD1911D"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Relative Price</w:t>
            </w:r>
          </w:p>
        </w:tc>
        <w:tc>
          <w:tcPr>
            <w:tcW w:w="0" w:type="auto"/>
            <w:tcBorders>
              <w:top w:val="single" w:sz="8" w:space="0" w:color="auto"/>
              <w:left w:val="nil"/>
              <w:bottom w:val="nil"/>
              <w:right w:val="nil"/>
            </w:tcBorders>
            <w:shd w:val="clear" w:color="auto" w:fill="002060"/>
            <w:vAlign w:val="bottom"/>
          </w:tcPr>
          <w:p w14:paraId="0CCF0253" w14:textId="65B8EC43"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Relative Price</w:t>
            </w:r>
          </w:p>
        </w:tc>
      </w:tr>
      <w:tr w:rsidR="009352D6" w:rsidRPr="009B0F23" w14:paraId="2FA8C324" w14:textId="77777777" w:rsidTr="009352D6">
        <w:trPr>
          <w:cantSplit/>
          <w:trHeight w:val="315"/>
          <w:tblHeader/>
          <w:jc w:val="center"/>
        </w:trPr>
        <w:tc>
          <w:tcPr>
            <w:tcW w:w="0" w:type="auto"/>
            <w:tcBorders>
              <w:left w:val="single" w:sz="8" w:space="0" w:color="auto"/>
              <w:bottom w:val="single" w:sz="8" w:space="0" w:color="000000"/>
              <w:right w:val="nil"/>
            </w:tcBorders>
            <w:shd w:val="clear" w:color="auto" w:fill="002060"/>
            <w:vAlign w:val="bottom"/>
            <w:hideMark/>
          </w:tcPr>
          <w:p w14:paraId="12E233FA" w14:textId="5E9C490C"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Imaging Modality</w:t>
            </w:r>
          </w:p>
        </w:tc>
        <w:tc>
          <w:tcPr>
            <w:tcW w:w="0" w:type="auto"/>
            <w:tcBorders>
              <w:left w:val="nil"/>
              <w:bottom w:val="single" w:sz="8" w:space="0" w:color="000000"/>
              <w:right w:val="nil"/>
            </w:tcBorders>
            <w:shd w:val="clear" w:color="auto" w:fill="002060"/>
            <w:vAlign w:val="center"/>
            <w:hideMark/>
          </w:tcPr>
          <w:p w14:paraId="0AF0C23C" w14:textId="45C5C596" w:rsidR="009352D6" w:rsidRPr="009B0F23" w:rsidRDefault="009352D6" w:rsidP="009352D6">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Hospital</w:t>
            </w:r>
          </w:p>
        </w:tc>
        <w:tc>
          <w:tcPr>
            <w:tcW w:w="0" w:type="auto"/>
            <w:tcBorders>
              <w:top w:val="nil"/>
              <w:left w:val="nil"/>
              <w:bottom w:val="single" w:sz="8" w:space="0" w:color="auto"/>
              <w:right w:val="nil"/>
            </w:tcBorders>
            <w:shd w:val="clear" w:color="auto" w:fill="002060"/>
            <w:vAlign w:val="bottom"/>
            <w:hideMark/>
          </w:tcPr>
          <w:p w14:paraId="5158250E" w14:textId="77777777" w:rsidR="009352D6" w:rsidRPr="009B0F23" w:rsidRDefault="009352D6" w:rsidP="009352D6">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Medicare</w:t>
            </w:r>
          </w:p>
        </w:tc>
        <w:tc>
          <w:tcPr>
            <w:tcW w:w="0" w:type="auto"/>
            <w:tcBorders>
              <w:top w:val="nil"/>
              <w:left w:val="nil"/>
              <w:bottom w:val="single" w:sz="8" w:space="0" w:color="auto"/>
              <w:right w:val="nil"/>
            </w:tcBorders>
            <w:shd w:val="clear" w:color="auto" w:fill="002060"/>
            <w:vAlign w:val="bottom"/>
            <w:hideMark/>
          </w:tcPr>
          <w:p w14:paraId="3D9258D6" w14:textId="77777777" w:rsidR="009352D6" w:rsidRPr="009B0F23" w:rsidRDefault="009352D6" w:rsidP="009352D6">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Commercial</w:t>
            </w:r>
          </w:p>
        </w:tc>
        <w:tc>
          <w:tcPr>
            <w:tcW w:w="0" w:type="auto"/>
            <w:tcBorders>
              <w:top w:val="nil"/>
              <w:left w:val="nil"/>
              <w:bottom w:val="single" w:sz="8" w:space="0" w:color="auto"/>
              <w:right w:val="single" w:sz="8" w:space="0" w:color="auto"/>
            </w:tcBorders>
            <w:shd w:val="clear" w:color="auto" w:fill="002060"/>
            <w:vAlign w:val="bottom"/>
            <w:hideMark/>
          </w:tcPr>
          <w:p w14:paraId="3266DFE9" w14:textId="523CB514" w:rsidR="009352D6" w:rsidRPr="009B0F23" w:rsidRDefault="009352D6" w:rsidP="009352D6">
            <w:pPr>
              <w:spacing w:after="0" w:line="240" w:lineRule="auto"/>
              <w:jc w:val="center"/>
              <w:rPr>
                <w:rFonts w:ascii="Calibri" w:eastAsia="Times New Roman" w:hAnsi="Calibri" w:cs="Calibri"/>
                <w:i/>
                <w:iCs/>
                <w:color w:val="FFFFFF"/>
                <w:kern w:val="0"/>
                <w14:ligatures w14:val="none"/>
              </w:rPr>
            </w:pPr>
            <w:r>
              <w:rPr>
                <w:rFonts w:ascii="Calibri" w:eastAsia="Times New Roman" w:hAnsi="Calibri" w:cs="Calibri"/>
                <w:i/>
                <w:iCs/>
                <w:color w:val="FFFFFF"/>
                <w:kern w:val="0"/>
                <w14:ligatures w14:val="none"/>
              </w:rPr>
              <w:t>Medicaid</w:t>
            </w:r>
          </w:p>
        </w:tc>
      </w:tr>
      <w:tr w:rsidR="009352D6" w:rsidRPr="009B0F23" w14:paraId="09680A9A" w14:textId="77777777" w:rsidTr="009352D6">
        <w:trPr>
          <w:cantSplit/>
          <w:trHeight w:val="290"/>
          <w:jc w:val="center"/>
        </w:trPr>
        <w:tc>
          <w:tcPr>
            <w:tcW w:w="0" w:type="auto"/>
            <w:vMerge w:val="restart"/>
            <w:tcBorders>
              <w:top w:val="nil"/>
              <w:left w:val="single" w:sz="8" w:space="0" w:color="auto"/>
              <w:bottom w:val="single" w:sz="8" w:space="0" w:color="000000"/>
              <w:right w:val="nil"/>
            </w:tcBorders>
            <w:shd w:val="clear" w:color="auto" w:fill="auto"/>
            <w:noWrap/>
            <w:vAlign w:val="center"/>
            <w:hideMark/>
          </w:tcPr>
          <w:p w14:paraId="7852F937" w14:textId="77777777" w:rsidR="009352D6" w:rsidRPr="009B0F23" w:rsidRDefault="009352D6" w:rsidP="009352D6">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CT</w:t>
            </w:r>
          </w:p>
        </w:tc>
        <w:tc>
          <w:tcPr>
            <w:tcW w:w="0" w:type="auto"/>
            <w:tcBorders>
              <w:top w:val="nil"/>
              <w:left w:val="nil"/>
              <w:bottom w:val="dotted" w:sz="4" w:space="0" w:color="auto"/>
              <w:right w:val="nil"/>
            </w:tcBorders>
            <w:shd w:val="clear" w:color="auto" w:fill="auto"/>
            <w:noWrap/>
            <w:vAlign w:val="bottom"/>
            <w:hideMark/>
          </w:tcPr>
          <w:p w14:paraId="222FBB94"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Beth Israel Deaconess Medical Center</w:t>
            </w:r>
          </w:p>
        </w:tc>
        <w:tc>
          <w:tcPr>
            <w:tcW w:w="0" w:type="auto"/>
            <w:tcBorders>
              <w:top w:val="nil"/>
              <w:left w:val="nil"/>
              <w:bottom w:val="dotted" w:sz="4" w:space="0" w:color="auto"/>
              <w:right w:val="nil"/>
            </w:tcBorders>
            <w:shd w:val="clear" w:color="auto" w:fill="auto"/>
            <w:noWrap/>
            <w:vAlign w:val="bottom"/>
            <w:hideMark/>
          </w:tcPr>
          <w:p w14:paraId="1C3BD557"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0.86</w:t>
            </w:r>
          </w:p>
        </w:tc>
        <w:tc>
          <w:tcPr>
            <w:tcW w:w="0" w:type="auto"/>
            <w:tcBorders>
              <w:top w:val="nil"/>
              <w:left w:val="nil"/>
              <w:bottom w:val="dotted" w:sz="4" w:space="0" w:color="auto"/>
              <w:right w:val="nil"/>
            </w:tcBorders>
            <w:shd w:val="clear" w:color="auto" w:fill="auto"/>
            <w:noWrap/>
            <w:vAlign w:val="bottom"/>
            <w:hideMark/>
          </w:tcPr>
          <w:p w14:paraId="3E742367"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1.42</w:t>
            </w:r>
          </w:p>
        </w:tc>
        <w:tc>
          <w:tcPr>
            <w:tcW w:w="0" w:type="auto"/>
            <w:tcBorders>
              <w:top w:val="nil"/>
              <w:left w:val="nil"/>
              <w:bottom w:val="dotted" w:sz="4" w:space="0" w:color="auto"/>
              <w:right w:val="single" w:sz="8" w:space="0" w:color="auto"/>
            </w:tcBorders>
            <w:shd w:val="clear" w:color="auto" w:fill="auto"/>
            <w:noWrap/>
            <w:vAlign w:val="bottom"/>
            <w:hideMark/>
          </w:tcPr>
          <w:p w14:paraId="087EF41F"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0.60</w:t>
            </w:r>
          </w:p>
        </w:tc>
      </w:tr>
      <w:tr w:rsidR="009352D6" w:rsidRPr="009B0F23" w14:paraId="65632D92" w14:textId="77777777" w:rsidTr="009352D6">
        <w:trPr>
          <w:cantSplit/>
          <w:trHeight w:val="290"/>
          <w:jc w:val="center"/>
        </w:trPr>
        <w:tc>
          <w:tcPr>
            <w:tcW w:w="0" w:type="auto"/>
            <w:vMerge/>
            <w:tcBorders>
              <w:top w:val="nil"/>
              <w:left w:val="single" w:sz="8" w:space="0" w:color="auto"/>
              <w:bottom w:val="single" w:sz="8" w:space="0" w:color="000000"/>
              <w:right w:val="nil"/>
            </w:tcBorders>
            <w:vAlign w:val="center"/>
            <w:hideMark/>
          </w:tcPr>
          <w:p w14:paraId="776B7867" w14:textId="77777777" w:rsidR="009352D6" w:rsidRPr="009B0F23" w:rsidRDefault="009352D6" w:rsidP="009352D6">
            <w:pPr>
              <w:spacing w:after="0" w:line="240" w:lineRule="auto"/>
              <w:rPr>
                <w:rFonts w:ascii="Calibri" w:eastAsia="Times New Roman" w:hAnsi="Calibri" w:cs="Calibri"/>
                <w:b/>
                <w:bCs/>
                <w:kern w:val="0"/>
                <w14:ligatures w14:val="none"/>
              </w:rPr>
            </w:pPr>
          </w:p>
        </w:tc>
        <w:tc>
          <w:tcPr>
            <w:tcW w:w="0" w:type="auto"/>
            <w:tcBorders>
              <w:top w:val="nil"/>
              <w:left w:val="nil"/>
              <w:bottom w:val="dotted" w:sz="4" w:space="0" w:color="auto"/>
              <w:right w:val="nil"/>
            </w:tcBorders>
            <w:shd w:val="clear" w:color="auto" w:fill="auto"/>
            <w:noWrap/>
            <w:vAlign w:val="bottom"/>
            <w:hideMark/>
          </w:tcPr>
          <w:p w14:paraId="70F70C0A"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Dana-Farber Cancer Institute</w:t>
            </w:r>
          </w:p>
        </w:tc>
        <w:tc>
          <w:tcPr>
            <w:tcW w:w="0" w:type="auto"/>
            <w:tcBorders>
              <w:top w:val="nil"/>
              <w:left w:val="nil"/>
              <w:bottom w:val="dotted" w:sz="4" w:space="0" w:color="auto"/>
              <w:right w:val="nil"/>
            </w:tcBorders>
            <w:shd w:val="clear" w:color="auto" w:fill="auto"/>
            <w:noWrap/>
            <w:vAlign w:val="bottom"/>
            <w:hideMark/>
          </w:tcPr>
          <w:p w14:paraId="5095C8F4"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1.49</w:t>
            </w:r>
          </w:p>
        </w:tc>
        <w:tc>
          <w:tcPr>
            <w:tcW w:w="0" w:type="auto"/>
            <w:tcBorders>
              <w:top w:val="nil"/>
              <w:left w:val="nil"/>
              <w:bottom w:val="dotted" w:sz="4" w:space="0" w:color="auto"/>
              <w:right w:val="nil"/>
            </w:tcBorders>
            <w:shd w:val="clear" w:color="auto" w:fill="auto"/>
            <w:noWrap/>
            <w:vAlign w:val="bottom"/>
            <w:hideMark/>
          </w:tcPr>
          <w:p w14:paraId="1D4B1315"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2.31</w:t>
            </w:r>
          </w:p>
        </w:tc>
        <w:tc>
          <w:tcPr>
            <w:tcW w:w="0" w:type="auto"/>
            <w:tcBorders>
              <w:top w:val="nil"/>
              <w:left w:val="nil"/>
              <w:bottom w:val="dotted" w:sz="4" w:space="0" w:color="auto"/>
              <w:right w:val="single" w:sz="8" w:space="0" w:color="auto"/>
            </w:tcBorders>
            <w:shd w:val="clear" w:color="auto" w:fill="auto"/>
            <w:noWrap/>
            <w:vAlign w:val="bottom"/>
            <w:hideMark/>
          </w:tcPr>
          <w:p w14:paraId="6427C952"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2.43</w:t>
            </w:r>
          </w:p>
        </w:tc>
      </w:tr>
      <w:tr w:rsidR="009352D6" w:rsidRPr="009B0F23" w14:paraId="46835A2A" w14:textId="77777777" w:rsidTr="009352D6">
        <w:trPr>
          <w:cantSplit/>
          <w:trHeight w:val="300"/>
          <w:jc w:val="center"/>
        </w:trPr>
        <w:tc>
          <w:tcPr>
            <w:tcW w:w="0" w:type="auto"/>
            <w:vMerge/>
            <w:tcBorders>
              <w:top w:val="nil"/>
              <w:left w:val="single" w:sz="8" w:space="0" w:color="auto"/>
              <w:bottom w:val="single" w:sz="8" w:space="0" w:color="000000"/>
              <w:right w:val="nil"/>
            </w:tcBorders>
            <w:vAlign w:val="center"/>
            <w:hideMark/>
          </w:tcPr>
          <w:p w14:paraId="28D831A0" w14:textId="77777777" w:rsidR="009352D6" w:rsidRPr="009B0F23" w:rsidRDefault="009352D6" w:rsidP="009352D6">
            <w:pPr>
              <w:spacing w:after="0" w:line="240" w:lineRule="auto"/>
              <w:rPr>
                <w:rFonts w:ascii="Calibri" w:eastAsia="Times New Roman" w:hAnsi="Calibri" w:cs="Calibri"/>
                <w:b/>
                <w:bCs/>
                <w:kern w:val="0"/>
                <w14:ligatures w14:val="none"/>
              </w:rPr>
            </w:pPr>
          </w:p>
        </w:tc>
        <w:tc>
          <w:tcPr>
            <w:tcW w:w="0" w:type="auto"/>
            <w:tcBorders>
              <w:top w:val="nil"/>
              <w:left w:val="nil"/>
              <w:bottom w:val="single" w:sz="8" w:space="0" w:color="auto"/>
              <w:right w:val="nil"/>
            </w:tcBorders>
            <w:shd w:val="clear" w:color="auto" w:fill="auto"/>
            <w:noWrap/>
            <w:vAlign w:val="bottom"/>
            <w:hideMark/>
          </w:tcPr>
          <w:p w14:paraId="08F49D12"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Brigham and Women's Hospital</w:t>
            </w:r>
          </w:p>
        </w:tc>
        <w:tc>
          <w:tcPr>
            <w:tcW w:w="0" w:type="auto"/>
            <w:tcBorders>
              <w:top w:val="nil"/>
              <w:left w:val="nil"/>
              <w:bottom w:val="single" w:sz="8" w:space="0" w:color="auto"/>
              <w:right w:val="nil"/>
            </w:tcBorders>
            <w:shd w:val="clear" w:color="auto" w:fill="auto"/>
            <w:noWrap/>
            <w:vAlign w:val="bottom"/>
            <w:hideMark/>
          </w:tcPr>
          <w:p w14:paraId="2B3A7C21"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1.17</w:t>
            </w:r>
          </w:p>
        </w:tc>
        <w:tc>
          <w:tcPr>
            <w:tcW w:w="0" w:type="auto"/>
            <w:tcBorders>
              <w:top w:val="nil"/>
              <w:left w:val="nil"/>
              <w:bottom w:val="single" w:sz="8" w:space="0" w:color="auto"/>
              <w:right w:val="nil"/>
            </w:tcBorders>
            <w:shd w:val="clear" w:color="auto" w:fill="auto"/>
            <w:noWrap/>
            <w:vAlign w:val="bottom"/>
            <w:hideMark/>
          </w:tcPr>
          <w:p w14:paraId="7DB8C77D"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2.04</w:t>
            </w:r>
          </w:p>
        </w:tc>
        <w:tc>
          <w:tcPr>
            <w:tcW w:w="0" w:type="auto"/>
            <w:tcBorders>
              <w:top w:val="nil"/>
              <w:left w:val="nil"/>
              <w:bottom w:val="single" w:sz="8" w:space="0" w:color="auto"/>
              <w:right w:val="single" w:sz="8" w:space="0" w:color="auto"/>
            </w:tcBorders>
            <w:shd w:val="clear" w:color="auto" w:fill="auto"/>
            <w:noWrap/>
            <w:vAlign w:val="bottom"/>
            <w:hideMark/>
          </w:tcPr>
          <w:p w14:paraId="34CA0DE2"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1.34</w:t>
            </w:r>
          </w:p>
        </w:tc>
      </w:tr>
      <w:tr w:rsidR="009352D6" w:rsidRPr="009B0F23" w14:paraId="6AFDB0D3" w14:textId="77777777" w:rsidTr="009352D6">
        <w:trPr>
          <w:cantSplit/>
          <w:trHeight w:val="290"/>
          <w:jc w:val="center"/>
        </w:trPr>
        <w:tc>
          <w:tcPr>
            <w:tcW w:w="0" w:type="auto"/>
            <w:vMerge w:val="restart"/>
            <w:tcBorders>
              <w:top w:val="nil"/>
              <w:left w:val="single" w:sz="8" w:space="0" w:color="auto"/>
              <w:bottom w:val="single" w:sz="8" w:space="0" w:color="000000"/>
              <w:right w:val="nil"/>
            </w:tcBorders>
            <w:shd w:val="clear" w:color="auto" w:fill="auto"/>
            <w:noWrap/>
            <w:vAlign w:val="center"/>
            <w:hideMark/>
          </w:tcPr>
          <w:p w14:paraId="3826C68A" w14:textId="77777777" w:rsidR="009352D6" w:rsidRPr="009B0F23" w:rsidRDefault="009352D6" w:rsidP="009352D6">
            <w:pPr>
              <w:spacing w:after="0" w:line="240" w:lineRule="auto"/>
              <w:jc w:val="center"/>
              <w:rPr>
                <w:rFonts w:ascii="Calibri" w:eastAsia="Times New Roman" w:hAnsi="Calibri" w:cs="Calibri"/>
                <w:b/>
                <w:bCs/>
                <w:kern w:val="0"/>
                <w14:ligatures w14:val="none"/>
              </w:rPr>
            </w:pPr>
            <w:r w:rsidRPr="009B0F23">
              <w:rPr>
                <w:rFonts w:ascii="Calibri" w:eastAsia="Times New Roman" w:hAnsi="Calibri" w:cs="Calibri"/>
                <w:b/>
                <w:bCs/>
                <w:kern w:val="0"/>
                <w14:ligatures w14:val="none"/>
              </w:rPr>
              <w:t>PET</w:t>
            </w:r>
          </w:p>
        </w:tc>
        <w:tc>
          <w:tcPr>
            <w:tcW w:w="0" w:type="auto"/>
            <w:tcBorders>
              <w:top w:val="nil"/>
              <w:left w:val="nil"/>
              <w:bottom w:val="dotted" w:sz="4" w:space="0" w:color="auto"/>
              <w:right w:val="nil"/>
            </w:tcBorders>
            <w:shd w:val="clear" w:color="auto" w:fill="auto"/>
            <w:noWrap/>
            <w:vAlign w:val="bottom"/>
            <w:hideMark/>
          </w:tcPr>
          <w:p w14:paraId="429B6856"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Beth Israel Deaconess Medical Center</w:t>
            </w:r>
          </w:p>
        </w:tc>
        <w:tc>
          <w:tcPr>
            <w:tcW w:w="0" w:type="auto"/>
            <w:tcBorders>
              <w:top w:val="nil"/>
              <w:left w:val="nil"/>
              <w:bottom w:val="dotted" w:sz="4" w:space="0" w:color="auto"/>
              <w:right w:val="nil"/>
            </w:tcBorders>
            <w:shd w:val="clear" w:color="auto" w:fill="auto"/>
            <w:noWrap/>
            <w:vAlign w:val="bottom"/>
            <w:hideMark/>
          </w:tcPr>
          <w:p w14:paraId="5EFE7AAA"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0.85</w:t>
            </w:r>
          </w:p>
        </w:tc>
        <w:tc>
          <w:tcPr>
            <w:tcW w:w="0" w:type="auto"/>
            <w:tcBorders>
              <w:top w:val="nil"/>
              <w:left w:val="nil"/>
              <w:bottom w:val="dotted" w:sz="4" w:space="0" w:color="auto"/>
              <w:right w:val="nil"/>
            </w:tcBorders>
            <w:shd w:val="clear" w:color="auto" w:fill="auto"/>
            <w:noWrap/>
            <w:vAlign w:val="bottom"/>
            <w:hideMark/>
          </w:tcPr>
          <w:p w14:paraId="63B4BA46"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2.00</w:t>
            </w:r>
          </w:p>
        </w:tc>
        <w:tc>
          <w:tcPr>
            <w:tcW w:w="0" w:type="auto"/>
            <w:tcBorders>
              <w:top w:val="nil"/>
              <w:left w:val="nil"/>
              <w:bottom w:val="dotted" w:sz="4" w:space="0" w:color="auto"/>
              <w:right w:val="single" w:sz="8" w:space="0" w:color="auto"/>
            </w:tcBorders>
            <w:shd w:val="clear" w:color="auto" w:fill="auto"/>
            <w:noWrap/>
            <w:vAlign w:val="bottom"/>
            <w:hideMark/>
          </w:tcPr>
          <w:p w14:paraId="275B0C90"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1.15</w:t>
            </w:r>
          </w:p>
        </w:tc>
      </w:tr>
      <w:tr w:rsidR="009352D6" w:rsidRPr="009B0F23" w14:paraId="6BB8C1D8" w14:textId="77777777" w:rsidTr="009352D6">
        <w:trPr>
          <w:cantSplit/>
          <w:trHeight w:val="290"/>
          <w:jc w:val="center"/>
        </w:trPr>
        <w:tc>
          <w:tcPr>
            <w:tcW w:w="0" w:type="auto"/>
            <w:vMerge/>
            <w:tcBorders>
              <w:top w:val="nil"/>
              <w:left w:val="single" w:sz="8" w:space="0" w:color="auto"/>
              <w:bottom w:val="single" w:sz="8" w:space="0" w:color="000000"/>
              <w:right w:val="nil"/>
            </w:tcBorders>
            <w:vAlign w:val="center"/>
            <w:hideMark/>
          </w:tcPr>
          <w:p w14:paraId="2175778E" w14:textId="77777777" w:rsidR="009352D6" w:rsidRPr="009B0F23" w:rsidRDefault="009352D6" w:rsidP="009352D6">
            <w:pPr>
              <w:spacing w:after="0" w:line="240" w:lineRule="auto"/>
              <w:rPr>
                <w:rFonts w:ascii="Calibri" w:eastAsia="Times New Roman" w:hAnsi="Calibri" w:cs="Calibri"/>
                <w:b/>
                <w:bCs/>
                <w:kern w:val="0"/>
                <w14:ligatures w14:val="none"/>
              </w:rPr>
            </w:pPr>
          </w:p>
        </w:tc>
        <w:tc>
          <w:tcPr>
            <w:tcW w:w="0" w:type="auto"/>
            <w:tcBorders>
              <w:top w:val="nil"/>
              <w:left w:val="nil"/>
              <w:bottom w:val="dotted" w:sz="4" w:space="0" w:color="auto"/>
              <w:right w:val="nil"/>
            </w:tcBorders>
            <w:shd w:val="clear" w:color="auto" w:fill="auto"/>
            <w:noWrap/>
            <w:vAlign w:val="bottom"/>
            <w:hideMark/>
          </w:tcPr>
          <w:p w14:paraId="32784174"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Dana-Farber Cancer Institute</w:t>
            </w:r>
          </w:p>
        </w:tc>
        <w:tc>
          <w:tcPr>
            <w:tcW w:w="0" w:type="auto"/>
            <w:tcBorders>
              <w:top w:val="nil"/>
              <w:left w:val="nil"/>
              <w:bottom w:val="dotted" w:sz="4" w:space="0" w:color="auto"/>
              <w:right w:val="nil"/>
            </w:tcBorders>
            <w:shd w:val="clear" w:color="auto" w:fill="auto"/>
            <w:noWrap/>
            <w:vAlign w:val="bottom"/>
            <w:hideMark/>
          </w:tcPr>
          <w:p w14:paraId="4A73C1D4"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0.82</w:t>
            </w:r>
          </w:p>
        </w:tc>
        <w:tc>
          <w:tcPr>
            <w:tcW w:w="0" w:type="auto"/>
            <w:tcBorders>
              <w:top w:val="nil"/>
              <w:left w:val="nil"/>
              <w:bottom w:val="dotted" w:sz="4" w:space="0" w:color="auto"/>
              <w:right w:val="nil"/>
            </w:tcBorders>
            <w:shd w:val="clear" w:color="auto" w:fill="auto"/>
            <w:noWrap/>
            <w:vAlign w:val="bottom"/>
            <w:hideMark/>
          </w:tcPr>
          <w:p w14:paraId="55DFAED1"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2.23</w:t>
            </w:r>
          </w:p>
        </w:tc>
        <w:tc>
          <w:tcPr>
            <w:tcW w:w="0" w:type="auto"/>
            <w:tcBorders>
              <w:top w:val="nil"/>
              <w:left w:val="nil"/>
              <w:bottom w:val="dotted" w:sz="4" w:space="0" w:color="auto"/>
              <w:right w:val="single" w:sz="8" w:space="0" w:color="auto"/>
            </w:tcBorders>
            <w:shd w:val="clear" w:color="auto" w:fill="auto"/>
            <w:noWrap/>
            <w:vAlign w:val="bottom"/>
            <w:hideMark/>
          </w:tcPr>
          <w:p w14:paraId="014268BD"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1.45</w:t>
            </w:r>
          </w:p>
        </w:tc>
      </w:tr>
      <w:tr w:rsidR="009352D6" w:rsidRPr="009B0F23" w14:paraId="78010F28" w14:textId="77777777" w:rsidTr="009352D6">
        <w:trPr>
          <w:cantSplit/>
          <w:trHeight w:val="300"/>
          <w:jc w:val="center"/>
        </w:trPr>
        <w:tc>
          <w:tcPr>
            <w:tcW w:w="0" w:type="auto"/>
            <w:vMerge/>
            <w:tcBorders>
              <w:top w:val="nil"/>
              <w:left w:val="single" w:sz="8" w:space="0" w:color="auto"/>
              <w:bottom w:val="single" w:sz="8" w:space="0" w:color="000000"/>
              <w:right w:val="nil"/>
            </w:tcBorders>
            <w:vAlign w:val="center"/>
            <w:hideMark/>
          </w:tcPr>
          <w:p w14:paraId="29F17B99" w14:textId="77777777" w:rsidR="009352D6" w:rsidRPr="009B0F23" w:rsidRDefault="009352D6" w:rsidP="009352D6">
            <w:pPr>
              <w:spacing w:after="0" w:line="240" w:lineRule="auto"/>
              <w:rPr>
                <w:rFonts w:ascii="Calibri" w:eastAsia="Times New Roman" w:hAnsi="Calibri" w:cs="Calibri"/>
                <w:b/>
                <w:bCs/>
                <w:kern w:val="0"/>
                <w14:ligatures w14:val="none"/>
              </w:rPr>
            </w:pPr>
          </w:p>
        </w:tc>
        <w:tc>
          <w:tcPr>
            <w:tcW w:w="0" w:type="auto"/>
            <w:tcBorders>
              <w:top w:val="nil"/>
              <w:left w:val="nil"/>
              <w:bottom w:val="single" w:sz="8" w:space="0" w:color="auto"/>
              <w:right w:val="nil"/>
            </w:tcBorders>
            <w:shd w:val="clear" w:color="auto" w:fill="auto"/>
            <w:noWrap/>
            <w:vAlign w:val="bottom"/>
            <w:hideMark/>
          </w:tcPr>
          <w:p w14:paraId="301F72D3" w14:textId="77777777" w:rsidR="009352D6" w:rsidRPr="009B0F23" w:rsidRDefault="009352D6" w:rsidP="009352D6">
            <w:pPr>
              <w:spacing w:after="0" w:line="240" w:lineRule="auto"/>
              <w:rPr>
                <w:rFonts w:ascii="Calibri" w:eastAsia="Times New Roman" w:hAnsi="Calibri" w:cs="Calibri"/>
                <w:kern w:val="0"/>
                <w14:ligatures w14:val="none"/>
              </w:rPr>
            </w:pPr>
            <w:r w:rsidRPr="009B0F23">
              <w:rPr>
                <w:rFonts w:ascii="Calibri" w:eastAsia="Times New Roman" w:hAnsi="Calibri" w:cs="Calibri"/>
                <w:kern w:val="0"/>
                <w14:ligatures w14:val="none"/>
              </w:rPr>
              <w:t>Brigham and Women's Hospital</w:t>
            </w:r>
          </w:p>
        </w:tc>
        <w:tc>
          <w:tcPr>
            <w:tcW w:w="0" w:type="auto"/>
            <w:tcBorders>
              <w:top w:val="nil"/>
              <w:left w:val="nil"/>
              <w:bottom w:val="single" w:sz="8" w:space="0" w:color="auto"/>
              <w:right w:val="nil"/>
            </w:tcBorders>
            <w:shd w:val="clear" w:color="auto" w:fill="auto"/>
            <w:noWrap/>
            <w:vAlign w:val="bottom"/>
            <w:hideMark/>
          </w:tcPr>
          <w:p w14:paraId="4184E51D"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0.97</w:t>
            </w:r>
          </w:p>
        </w:tc>
        <w:tc>
          <w:tcPr>
            <w:tcW w:w="0" w:type="auto"/>
            <w:tcBorders>
              <w:top w:val="nil"/>
              <w:left w:val="nil"/>
              <w:bottom w:val="single" w:sz="8" w:space="0" w:color="auto"/>
              <w:right w:val="nil"/>
            </w:tcBorders>
            <w:shd w:val="clear" w:color="auto" w:fill="auto"/>
            <w:noWrap/>
            <w:vAlign w:val="bottom"/>
            <w:hideMark/>
          </w:tcPr>
          <w:p w14:paraId="225668EC"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2.02</w:t>
            </w:r>
          </w:p>
        </w:tc>
        <w:tc>
          <w:tcPr>
            <w:tcW w:w="0" w:type="auto"/>
            <w:tcBorders>
              <w:top w:val="nil"/>
              <w:left w:val="nil"/>
              <w:bottom w:val="single" w:sz="8" w:space="0" w:color="auto"/>
              <w:right w:val="single" w:sz="8" w:space="0" w:color="auto"/>
            </w:tcBorders>
            <w:shd w:val="clear" w:color="auto" w:fill="auto"/>
            <w:noWrap/>
            <w:vAlign w:val="bottom"/>
            <w:hideMark/>
          </w:tcPr>
          <w:p w14:paraId="6803E1F9" w14:textId="77777777" w:rsidR="009352D6" w:rsidRPr="009B0F23" w:rsidRDefault="009352D6" w:rsidP="009352D6">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0.97</w:t>
            </w:r>
          </w:p>
        </w:tc>
      </w:tr>
    </w:tbl>
    <w:p w14:paraId="4D4B11D0" w14:textId="77777777" w:rsidR="009B0F23" w:rsidRDefault="009B0F23" w:rsidP="00C77405">
      <w:pPr>
        <w:spacing w:after="120" w:line="360" w:lineRule="auto"/>
      </w:pPr>
    </w:p>
    <w:p w14:paraId="38E1EA54" w14:textId="1D2A2687" w:rsidR="00DF7C05" w:rsidRDefault="00D22B38" w:rsidP="00D22B38">
      <w:pPr>
        <w:numPr>
          <w:ilvl w:val="0"/>
          <w:numId w:val="4"/>
        </w:numPr>
        <w:spacing w:before="120" w:after="120" w:line="360" w:lineRule="auto"/>
        <w:jc w:val="both"/>
      </w:pPr>
      <w:r w:rsidRPr="00D22B38">
        <w:t xml:space="preserve">Because the Proposed Project is predicted to shift utilization of outpatient imaging from BWH to DFCI, the relative prices between these entities is relevant for estimating changes in total healthcare </w:t>
      </w:r>
      <w:r w:rsidRPr="00D22B38">
        <w:lastRenderedPageBreak/>
        <w:t>expenditures.</w:t>
      </w:r>
      <w:r>
        <w:t xml:space="preserve"> </w:t>
      </w:r>
      <w:r w:rsidRPr="00D22B38">
        <w:t xml:space="preserve">DFCI’s commercial prices are estimated to be higher </w:t>
      </w:r>
      <w:r w:rsidR="00F7130C">
        <w:t xml:space="preserve">on </w:t>
      </w:r>
      <w:r w:rsidR="00F7130C" w:rsidRPr="00D22B38">
        <w:t xml:space="preserve">average </w:t>
      </w:r>
      <w:r w:rsidRPr="00D22B38">
        <w:t>than BWH for outpatient imaging (except for Medicare reimbursement of PET-CT).</w:t>
      </w:r>
      <w:r w:rsidR="00523010">
        <w:rPr>
          <w:rStyle w:val="FootnoteReference"/>
        </w:rPr>
        <w:footnoteReference w:id="118"/>
      </w:r>
      <w:r>
        <w:t xml:space="preserve"> </w:t>
      </w:r>
      <w:r w:rsidRPr="00D22B38">
        <w:t>Because of capitated and global payment reimbursement arrangements used in the outpatient setting, especially by DFCI, these relative prices may be subject to bias. However, the ICA analysis uses these as a benchmark. As show</w:t>
      </w:r>
      <w:r w:rsidR="0050791F">
        <w:t>n</w:t>
      </w:r>
      <w:r w:rsidRPr="00D22B38">
        <w:t xml:space="preserve"> below, the relative prices between these facilities is not a significant driver of estimated cost impacts.</w:t>
      </w:r>
      <w:r w:rsidR="00DF7C05">
        <w:t xml:space="preserve"> </w:t>
      </w:r>
    </w:p>
    <w:p w14:paraId="5A27FE62" w14:textId="4BA35375" w:rsidR="00DF7C05" w:rsidRDefault="00DF7C05" w:rsidP="008C4EE0">
      <w:pPr>
        <w:pStyle w:val="Heading2"/>
      </w:pPr>
      <w:bookmarkStart w:id="76" w:name="_Toc187401765"/>
      <w:r>
        <w:t xml:space="preserve">Forecasted Impacts of </w:t>
      </w:r>
      <w:r w:rsidR="00F7130C">
        <w:t xml:space="preserve">the </w:t>
      </w:r>
      <w:r>
        <w:t xml:space="preserve">Proposed Project on </w:t>
      </w:r>
      <w:r w:rsidR="00D13083">
        <w:t xml:space="preserve">Outpatient </w:t>
      </w:r>
      <w:r>
        <w:t>Diagnostic Imaging Shares, Prices, and Spending</w:t>
      </w:r>
      <w:bookmarkEnd w:id="76"/>
    </w:p>
    <w:p w14:paraId="030F0B29" w14:textId="2642260A" w:rsidR="00DF7C05" w:rsidRDefault="00D13083" w:rsidP="00DF7C05">
      <w:pPr>
        <w:numPr>
          <w:ilvl w:val="0"/>
          <w:numId w:val="4"/>
        </w:numPr>
        <w:spacing w:before="120" w:after="120" w:line="360" w:lineRule="auto"/>
        <w:ind w:hanging="547"/>
        <w:jc w:val="both"/>
      </w:pPr>
      <w:r w:rsidRPr="00D13083">
        <w:t xml:space="preserve">The Proposed Project will not meaningfully impact shares, </w:t>
      </w:r>
      <w:r w:rsidR="00523010">
        <w:t xml:space="preserve">or </w:t>
      </w:r>
      <w:r w:rsidRPr="00D13083">
        <w:t>competition for outpatient imaging.</w:t>
      </w:r>
      <w:r>
        <w:t xml:space="preserve"> </w:t>
      </w:r>
      <w:r w:rsidRPr="00D13083">
        <w:t xml:space="preserve">DFCI reports that a substantial number of its unmet outpatient imaging (CT and PET-CT) scans are currently met by </w:t>
      </w:r>
      <w:r>
        <w:t xml:space="preserve">MGB </w:t>
      </w:r>
      <w:r w:rsidRPr="00D13083">
        <w:t>facilities (especially by BWH). Therefore, the Proposed Project is projected to shift share away from MGB to DFCI</w:t>
      </w:r>
      <w:r w:rsidR="004B1A81">
        <w:t xml:space="preserve"> and BIDMC</w:t>
      </w:r>
      <w:r w:rsidRPr="00D13083">
        <w:t>.</w:t>
      </w:r>
      <w:r>
        <w:t xml:space="preserve"> Based upon the estimated unmet outpatient demand estimates above, the projected shifts away from MGB to DFCI are 0.8% of total outpatient CT scans and 9.1% of outpatient PET-CT scans. These shifts do not meaningfully affect market concentration (as measured by HHI).</w:t>
      </w:r>
    </w:p>
    <w:p w14:paraId="3D7287B2" w14:textId="68C649E8" w:rsidR="00D13083" w:rsidRDefault="00D13083" w:rsidP="00017609">
      <w:pPr>
        <w:numPr>
          <w:ilvl w:val="0"/>
          <w:numId w:val="4"/>
        </w:numPr>
        <w:spacing w:before="120" w:after="120" w:line="360" w:lineRule="auto"/>
        <w:ind w:hanging="547"/>
        <w:jc w:val="both"/>
      </w:pPr>
      <w:r w:rsidRPr="00D13083">
        <w:t>Given DFCI’s existing presence in outpatient imaging and the lack of meaningful change in market concentration, facility-level prices are not projected to change.</w:t>
      </w:r>
      <w:r>
        <w:t xml:space="preserve"> The dynamic described above for inpatient cancer care prices </w:t>
      </w:r>
      <w:r w:rsidR="00C47D2E">
        <w:t xml:space="preserve">whereby DFCI </w:t>
      </w:r>
      <w:r w:rsidR="007F0031">
        <w:t xml:space="preserve">could gain </w:t>
      </w:r>
      <w:r w:rsidR="00C47D2E">
        <w:t xml:space="preserve">bargaining leverage by virtue of its expanding capacity </w:t>
      </w:r>
      <w:r>
        <w:t xml:space="preserve">is not applicable to DFCI’s </w:t>
      </w:r>
      <w:r w:rsidR="007F0031">
        <w:t xml:space="preserve">diagnostic </w:t>
      </w:r>
      <w:r>
        <w:t xml:space="preserve">imaging prices. </w:t>
      </w:r>
      <w:r w:rsidR="00C47D2E">
        <w:t xml:space="preserve">Unlike in the inpatient cancer care facility setting, </w:t>
      </w:r>
      <w:r>
        <w:t xml:space="preserve">DFCI is already established with </w:t>
      </w:r>
      <w:r w:rsidR="00C47D2E">
        <w:t xml:space="preserve">significant </w:t>
      </w:r>
      <w:r>
        <w:t xml:space="preserve">capacity in </w:t>
      </w:r>
      <w:r w:rsidR="00C47D2E">
        <w:t xml:space="preserve">the relevant </w:t>
      </w:r>
      <w:r>
        <w:t>service lines</w:t>
      </w:r>
      <w:r w:rsidR="00C47D2E">
        <w:t xml:space="preserve">. Therefore, </w:t>
      </w:r>
      <w:r>
        <w:t>its bargaining position will not materially change from the incremental increases in equipment availability envisioned in the Proposed Project.</w:t>
      </w:r>
    </w:p>
    <w:p w14:paraId="265C72AE" w14:textId="04B44E78" w:rsidR="00D13083" w:rsidRDefault="00C47D2E" w:rsidP="00017609">
      <w:pPr>
        <w:numPr>
          <w:ilvl w:val="0"/>
          <w:numId w:val="4"/>
        </w:numPr>
        <w:spacing w:before="120" w:after="120" w:line="360" w:lineRule="auto"/>
        <w:ind w:hanging="547"/>
        <w:jc w:val="both"/>
      </w:pPr>
      <w:r>
        <w:t>FTI’s e</w:t>
      </w:r>
      <w:r w:rsidRPr="00C47D2E">
        <w:t xml:space="preserve">stimated changes in total medical spending for outpatient imaging </w:t>
      </w:r>
      <w:r>
        <w:t xml:space="preserve">was </w:t>
      </w:r>
      <w:r w:rsidRPr="00C47D2E">
        <w:t>derived by combining</w:t>
      </w:r>
      <w:r>
        <w:t xml:space="preserve"> </w:t>
      </w:r>
      <w:r w:rsidRPr="00C47D2E">
        <w:t>forecasted changes in overall demand, utilization by provider, prices, and shares.</w:t>
      </w:r>
      <w:r>
        <w:t xml:space="preserve"> Table </w:t>
      </w:r>
      <w:r w:rsidR="00AC0296">
        <w:t>30</w:t>
      </w:r>
      <w:r>
        <w:t xml:space="preserve"> presents estimated outpatient imaging costs impacts for each </w:t>
      </w:r>
      <w:r w:rsidRPr="00F7130C">
        <w:t xml:space="preserve">outpatient imaging modality. The projected shifts in utilization between MGB and DFCI are estimated to increase total medical spending for outpatient CT scans in Massachusetts by 0.3% </w:t>
      </w:r>
      <w:r w:rsidR="008F5C6C">
        <w:t xml:space="preserve">($1.7 million) </w:t>
      </w:r>
      <w:r w:rsidRPr="00F7130C">
        <w:t>in 2025, with similar but decreasing impacts in the following years, and to increase total medical spending for outpatient PET-CT scans in Massachusetts by 0.1%</w:t>
      </w:r>
      <w:r w:rsidR="008F5C6C">
        <w:t xml:space="preserve"> ($28,</w:t>
      </w:r>
      <w:r w:rsidR="00BD200A">
        <w:t>038</w:t>
      </w:r>
      <w:r w:rsidR="008F5C6C">
        <w:t>)</w:t>
      </w:r>
      <w:r w:rsidRPr="00F7130C">
        <w:t xml:space="preserve"> in 2025, again with similar but decreasing impacts in the following years.</w:t>
      </w:r>
      <w:r>
        <w:t xml:space="preserve"> These cost impacts are driven primarily by </w:t>
      </w:r>
      <w:r w:rsidR="00D13083" w:rsidRPr="00D13083">
        <w:t>patients mov</w:t>
      </w:r>
      <w:r>
        <w:t>ing</w:t>
      </w:r>
      <w:r w:rsidR="00D13083" w:rsidRPr="00D13083">
        <w:t xml:space="preserve"> to a relatively higher priced DFCI, </w:t>
      </w:r>
      <w:r w:rsidR="00D13083" w:rsidRPr="00D13083">
        <w:lastRenderedPageBreak/>
        <w:t xml:space="preserve">but this </w:t>
      </w:r>
      <w:r>
        <w:t>price e</w:t>
      </w:r>
      <w:r w:rsidR="00D13083" w:rsidRPr="00D13083">
        <w:t>ffect may be overstated for the reasons described above.</w:t>
      </w:r>
      <w:r>
        <w:t xml:space="preserve"> </w:t>
      </w:r>
      <w:r w:rsidR="00D13083" w:rsidRPr="00D13083">
        <w:t>The projections show little to no scope for shifts between freestanding outpatient to hospital-based outpatient settings.</w:t>
      </w:r>
    </w:p>
    <w:p w14:paraId="1900B8E6" w14:textId="20F8BC45" w:rsidR="00C47D2E" w:rsidRDefault="00C47D2E" w:rsidP="00A35837">
      <w:pPr>
        <w:pStyle w:val="Caption"/>
        <w:keepNext/>
        <w:jc w:val="center"/>
      </w:pPr>
      <w:bookmarkStart w:id="77" w:name="_Toc187401803"/>
      <w:r>
        <w:t xml:space="preserve">Table </w:t>
      </w:r>
      <w:fldSimple w:instr=" SEQ Table \* ARABIC ">
        <w:r w:rsidR="0085394E">
          <w:rPr>
            <w:noProof/>
          </w:rPr>
          <w:t>30</w:t>
        </w:r>
      </w:fldSimple>
      <w:r>
        <w:t xml:space="preserve">: </w:t>
      </w:r>
      <w:bookmarkStart w:id="78" w:name="_Hlk180705333"/>
      <w:r>
        <w:t>Estimated Changes in Outpatient Imaging Costs, 2025-2040</w:t>
      </w:r>
      <w:bookmarkEnd w:id="78"/>
      <w:bookmarkEnd w:id="77"/>
    </w:p>
    <w:tbl>
      <w:tblPr>
        <w:tblW w:w="8800" w:type="dxa"/>
        <w:jc w:val="center"/>
        <w:tblLook w:val="04A0" w:firstRow="1" w:lastRow="0" w:firstColumn="1" w:lastColumn="0" w:noHBand="0" w:noVBand="1"/>
      </w:tblPr>
      <w:tblGrid>
        <w:gridCol w:w="960"/>
        <w:gridCol w:w="1960"/>
        <w:gridCol w:w="1960"/>
        <w:gridCol w:w="1960"/>
        <w:gridCol w:w="1960"/>
      </w:tblGrid>
      <w:tr w:rsidR="004514C8" w:rsidRPr="009B0F23" w14:paraId="5631E3D7" w14:textId="77777777" w:rsidTr="004514C8">
        <w:trPr>
          <w:cantSplit/>
          <w:trHeight w:val="290"/>
          <w:jc w:val="center"/>
        </w:trPr>
        <w:tc>
          <w:tcPr>
            <w:tcW w:w="960" w:type="dxa"/>
            <w:tcBorders>
              <w:top w:val="single" w:sz="8" w:space="0" w:color="auto"/>
              <w:left w:val="single" w:sz="8" w:space="0" w:color="auto"/>
              <w:right w:val="nil"/>
            </w:tcBorders>
            <w:shd w:val="clear" w:color="000000" w:fill="002060"/>
            <w:noWrap/>
            <w:vAlign w:val="bottom"/>
            <w:hideMark/>
          </w:tcPr>
          <w:p w14:paraId="4994DDBA" w14:textId="3FE9877F"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p>
        </w:tc>
        <w:tc>
          <w:tcPr>
            <w:tcW w:w="1960" w:type="dxa"/>
            <w:tcBorders>
              <w:top w:val="single" w:sz="8" w:space="0" w:color="auto"/>
              <w:left w:val="nil"/>
              <w:bottom w:val="nil"/>
              <w:right w:val="single" w:sz="4" w:space="0" w:color="000000"/>
            </w:tcBorders>
            <w:shd w:val="clear" w:color="000000" w:fill="002060"/>
            <w:noWrap/>
            <w:vAlign w:val="bottom"/>
            <w:hideMark/>
          </w:tcPr>
          <w:p w14:paraId="2A898C2D" w14:textId="77777777"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CT</w:t>
            </w:r>
          </w:p>
        </w:tc>
        <w:tc>
          <w:tcPr>
            <w:tcW w:w="1960" w:type="dxa"/>
            <w:tcBorders>
              <w:top w:val="single" w:sz="8" w:space="0" w:color="auto"/>
              <w:left w:val="nil"/>
              <w:bottom w:val="nil"/>
              <w:right w:val="single" w:sz="4" w:space="0" w:color="000000"/>
            </w:tcBorders>
            <w:shd w:val="clear" w:color="000000" w:fill="002060"/>
            <w:vAlign w:val="bottom"/>
          </w:tcPr>
          <w:p w14:paraId="6F0B0434" w14:textId="5A0881D2"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CT</w:t>
            </w:r>
          </w:p>
        </w:tc>
        <w:tc>
          <w:tcPr>
            <w:tcW w:w="1960" w:type="dxa"/>
            <w:tcBorders>
              <w:top w:val="single" w:sz="8" w:space="0" w:color="auto"/>
              <w:left w:val="nil"/>
              <w:bottom w:val="nil"/>
              <w:right w:val="single" w:sz="8" w:space="0" w:color="000000"/>
            </w:tcBorders>
            <w:shd w:val="clear" w:color="000000" w:fill="002060"/>
            <w:noWrap/>
            <w:vAlign w:val="bottom"/>
            <w:hideMark/>
          </w:tcPr>
          <w:p w14:paraId="7A55D6C2" w14:textId="77777777"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PET-CT</w:t>
            </w:r>
          </w:p>
        </w:tc>
        <w:tc>
          <w:tcPr>
            <w:tcW w:w="1960" w:type="dxa"/>
            <w:tcBorders>
              <w:top w:val="single" w:sz="8" w:space="0" w:color="auto"/>
              <w:left w:val="nil"/>
              <w:bottom w:val="nil"/>
              <w:right w:val="single" w:sz="8" w:space="0" w:color="000000"/>
            </w:tcBorders>
            <w:shd w:val="clear" w:color="000000" w:fill="002060"/>
            <w:vAlign w:val="bottom"/>
          </w:tcPr>
          <w:p w14:paraId="14AD44B7" w14:textId="77C29442"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PET-CT</w:t>
            </w:r>
          </w:p>
        </w:tc>
      </w:tr>
      <w:tr w:rsidR="004514C8" w:rsidRPr="009B0F23" w14:paraId="5A5FEC11" w14:textId="77777777" w:rsidTr="004514C8">
        <w:trPr>
          <w:cantSplit/>
          <w:trHeight w:val="484"/>
          <w:jc w:val="center"/>
        </w:trPr>
        <w:tc>
          <w:tcPr>
            <w:tcW w:w="960" w:type="dxa"/>
            <w:tcBorders>
              <w:left w:val="single" w:sz="8" w:space="0" w:color="auto"/>
              <w:bottom w:val="single" w:sz="8" w:space="0" w:color="000000"/>
              <w:right w:val="nil"/>
            </w:tcBorders>
            <w:shd w:val="clear" w:color="000000" w:fill="002060"/>
            <w:vAlign w:val="center"/>
            <w:hideMark/>
          </w:tcPr>
          <w:p w14:paraId="52FE9442" w14:textId="7CFFF78A" w:rsidR="004514C8" w:rsidRPr="009B0F23" w:rsidRDefault="004514C8" w:rsidP="004514C8">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Year</w:t>
            </w:r>
          </w:p>
        </w:tc>
        <w:tc>
          <w:tcPr>
            <w:tcW w:w="1960" w:type="dxa"/>
            <w:tcBorders>
              <w:top w:val="nil"/>
              <w:left w:val="nil"/>
              <w:bottom w:val="single" w:sz="8" w:space="0" w:color="auto"/>
              <w:right w:val="nil"/>
            </w:tcBorders>
            <w:shd w:val="clear" w:color="000000" w:fill="002060"/>
            <w:vAlign w:val="bottom"/>
            <w:hideMark/>
          </w:tcPr>
          <w:p w14:paraId="0B8A8A10" w14:textId="77777777" w:rsidR="004514C8" w:rsidRPr="009B0F23" w:rsidRDefault="004514C8" w:rsidP="004514C8">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 xml:space="preserve">Baseline </w:t>
            </w:r>
            <w:r w:rsidRPr="009B0F23">
              <w:rPr>
                <w:rFonts w:ascii="Calibri" w:eastAsia="Times New Roman" w:hAnsi="Calibri" w:cs="Calibri"/>
                <w:i/>
                <w:iCs/>
                <w:color w:val="FFFFFF"/>
                <w:kern w:val="0"/>
                <w14:ligatures w14:val="none"/>
              </w:rPr>
              <w:br/>
              <w:t>Projection</w:t>
            </w:r>
          </w:p>
        </w:tc>
        <w:tc>
          <w:tcPr>
            <w:tcW w:w="1960" w:type="dxa"/>
            <w:tcBorders>
              <w:top w:val="nil"/>
              <w:left w:val="nil"/>
              <w:bottom w:val="single" w:sz="8" w:space="0" w:color="auto"/>
              <w:right w:val="single" w:sz="4" w:space="0" w:color="auto"/>
            </w:tcBorders>
            <w:shd w:val="clear" w:color="000000" w:fill="002060"/>
            <w:vAlign w:val="bottom"/>
            <w:hideMark/>
          </w:tcPr>
          <w:p w14:paraId="5CDF325F" w14:textId="77777777" w:rsidR="004514C8" w:rsidRPr="009B0F23" w:rsidRDefault="004514C8" w:rsidP="004514C8">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With Supply-Induced Demand</w:t>
            </w:r>
          </w:p>
        </w:tc>
        <w:tc>
          <w:tcPr>
            <w:tcW w:w="1960" w:type="dxa"/>
            <w:tcBorders>
              <w:top w:val="nil"/>
              <w:left w:val="nil"/>
              <w:bottom w:val="single" w:sz="8" w:space="0" w:color="auto"/>
              <w:right w:val="nil"/>
            </w:tcBorders>
            <w:shd w:val="clear" w:color="000000" w:fill="002060"/>
            <w:vAlign w:val="bottom"/>
            <w:hideMark/>
          </w:tcPr>
          <w:p w14:paraId="799C46F1" w14:textId="77777777" w:rsidR="004514C8" w:rsidRPr="009B0F23" w:rsidRDefault="004514C8" w:rsidP="004514C8">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 xml:space="preserve">Baseline </w:t>
            </w:r>
            <w:r w:rsidRPr="009B0F23">
              <w:rPr>
                <w:rFonts w:ascii="Calibri" w:eastAsia="Times New Roman" w:hAnsi="Calibri" w:cs="Calibri"/>
                <w:i/>
                <w:iCs/>
                <w:color w:val="FFFFFF"/>
                <w:kern w:val="0"/>
                <w14:ligatures w14:val="none"/>
              </w:rPr>
              <w:br/>
              <w:t>Projection</w:t>
            </w:r>
          </w:p>
        </w:tc>
        <w:tc>
          <w:tcPr>
            <w:tcW w:w="1960" w:type="dxa"/>
            <w:tcBorders>
              <w:top w:val="nil"/>
              <w:left w:val="nil"/>
              <w:bottom w:val="single" w:sz="8" w:space="0" w:color="auto"/>
              <w:right w:val="single" w:sz="8" w:space="0" w:color="auto"/>
            </w:tcBorders>
            <w:shd w:val="clear" w:color="000000" w:fill="002060"/>
            <w:vAlign w:val="bottom"/>
            <w:hideMark/>
          </w:tcPr>
          <w:p w14:paraId="7B5A82FC" w14:textId="77777777" w:rsidR="004514C8" w:rsidRPr="009B0F23" w:rsidRDefault="004514C8" w:rsidP="004514C8">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With Supply-Induced Demand</w:t>
            </w:r>
          </w:p>
        </w:tc>
      </w:tr>
      <w:tr w:rsidR="004514C8" w:rsidRPr="009B0F23" w14:paraId="2363EE74" w14:textId="77777777" w:rsidTr="004514C8">
        <w:trPr>
          <w:cantSplit/>
          <w:trHeight w:val="290"/>
          <w:jc w:val="center"/>
        </w:trPr>
        <w:tc>
          <w:tcPr>
            <w:tcW w:w="960" w:type="dxa"/>
            <w:tcBorders>
              <w:top w:val="nil"/>
              <w:left w:val="single" w:sz="8" w:space="0" w:color="auto"/>
              <w:bottom w:val="dashed" w:sz="4" w:space="0" w:color="auto"/>
              <w:right w:val="nil"/>
            </w:tcBorders>
            <w:shd w:val="clear" w:color="auto" w:fill="auto"/>
            <w:noWrap/>
            <w:vAlign w:val="bottom"/>
            <w:hideMark/>
          </w:tcPr>
          <w:p w14:paraId="2CF01F0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2025</w:t>
            </w:r>
          </w:p>
        </w:tc>
        <w:tc>
          <w:tcPr>
            <w:tcW w:w="1960" w:type="dxa"/>
            <w:tcBorders>
              <w:top w:val="nil"/>
              <w:left w:val="nil"/>
              <w:bottom w:val="dashed" w:sz="4" w:space="0" w:color="auto"/>
              <w:right w:val="nil"/>
            </w:tcBorders>
            <w:shd w:val="clear" w:color="auto" w:fill="auto"/>
            <w:noWrap/>
            <w:vAlign w:val="bottom"/>
            <w:hideMark/>
          </w:tcPr>
          <w:p w14:paraId="12E2CA4D"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0.3%</w:t>
            </w:r>
          </w:p>
        </w:tc>
        <w:tc>
          <w:tcPr>
            <w:tcW w:w="1960" w:type="dxa"/>
            <w:tcBorders>
              <w:top w:val="nil"/>
              <w:left w:val="nil"/>
              <w:bottom w:val="dashed" w:sz="4" w:space="0" w:color="auto"/>
              <w:right w:val="single" w:sz="4" w:space="0" w:color="auto"/>
            </w:tcBorders>
            <w:shd w:val="clear" w:color="auto" w:fill="auto"/>
            <w:noWrap/>
            <w:vAlign w:val="bottom"/>
            <w:hideMark/>
          </w:tcPr>
          <w:p w14:paraId="2177AA64"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w:t>
            </w:r>
          </w:p>
        </w:tc>
        <w:tc>
          <w:tcPr>
            <w:tcW w:w="1960" w:type="dxa"/>
            <w:tcBorders>
              <w:top w:val="nil"/>
              <w:left w:val="nil"/>
              <w:bottom w:val="dashed" w:sz="4" w:space="0" w:color="auto"/>
              <w:right w:val="nil"/>
            </w:tcBorders>
            <w:shd w:val="clear" w:color="auto" w:fill="auto"/>
            <w:noWrap/>
            <w:vAlign w:val="bottom"/>
            <w:hideMark/>
          </w:tcPr>
          <w:p w14:paraId="06D07D92"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0.1%</w:t>
            </w:r>
          </w:p>
        </w:tc>
        <w:tc>
          <w:tcPr>
            <w:tcW w:w="1960" w:type="dxa"/>
            <w:tcBorders>
              <w:top w:val="nil"/>
              <w:left w:val="nil"/>
              <w:bottom w:val="dashed" w:sz="4" w:space="0" w:color="auto"/>
              <w:right w:val="single" w:sz="8" w:space="0" w:color="auto"/>
            </w:tcBorders>
            <w:shd w:val="clear" w:color="auto" w:fill="auto"/>
            <w:noWrap/>
            <w:vAlign w:val="bottom"/>
            <w:hideMark/>
          </w:tcPr>
          <w:p w14:paraId="076E093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7.7%</w:t>
            </w:r>
          </w:p>
        </w:tc>
      </w:tr>
      <w:tr w:rsidR="004514C8" w:rsidRPr="009B0F23" w14:paraId="0ABF1551" w14:textId="77777777" w:rsidTr="004514C8">
        <w:trPr>
          <w:cantSplit/>
          <w:trHeight w:val="290"/>
          <w:jc w:val="center"/>
        </w:trPr>
        <w:tc>
          <w:tcPr>
            <w:tcW w:w="960" w:type="dxa"/>
            <w:tcBorders>
              <w:top w:val="nil"/>
              <w:left w:val="single" w:sz="8" w:space="0" w:color="auto"/>
              <w:bottom w:val="dashed" w:sz="4" w:space="0" w:color="auto"/>
              <w:right w:val="nil"/>
            </w:tcBorders>
            <w:shd w:val="clear" w:color="auto" w:fill="auto"/>
            <w:noWrap/>
            <w:vAlign w:val="bottom"/>
            <w:hideMark/>
          </w:tcPr>
          <w:p w14:paraId="4BBF947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2030</w:t>
            </w:r>
          </w:p>
        </w:tc>
        <w:tc>
          <w:tcPr>
            <w:tcW w:w="1960" w:type="dxa"/>
            <w:tcBorders>
              <w:top w:val="nil"/>
              <w:left w:val="nil"/>
              <w:bottom w:val="dashed" w:sz="4" w:space="0" w:color="auto"/>
              <w:right w:val="nil"/>
            </w:tcBorders>
            <w:shd w:val="clear" w:color="auto" w:fill="auto"/>
            <w:noWrap/>
            <w:vAlign w:val="bottom"/>
            <w:hideMark/>
          </w:tcPr>
          <w:p w14:paraId="0FAF2ED0"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0.3%</w:t>
            </w:r>
          </w:p>
        </w:tc>
        <w:tc>
          <w:tcPr>
            <w:tcW w:w="1960" w:type="dxa"/>
            <w:tcBorders>
              <w:top w:val="nil"/>
              <w:left w:val="nil"/>
              <w:bottom w:val="dashed" w:sz="4" w:space="0" w:color="auto"/>
              <w:right w:val="single" w:sz="4" w:space="0" w:color="auto"/>
            </w:tcBorders>
            <w:shd w:val="clear" w:color="auto" w:fill="auto"/>
            <w:noWrap/>
            <w:vAlign w:val="bottom"/>
            <w:hideMark/>
          </w:tcPr>
          <w:p w14:paraId="4EA3A107"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w:t>
            </w:r>
          </w:p>
        </w:tc>
        <w:tc>
          <w:tcPr>
            <w:tcW w:w="1960" w:type="dxa"/>
            <w:tcBorders>
              <w:top w:val="nil"/>
              <w:left w:val="nil"/>
              <w:bottom w:val="dashed" w:sz="4" w:space="0" w:color="auto"/>
              <w:right w:val="nil"/>
            </w:tcBorders>
            <w:shd w:val="clear" w:color="auto" w:fill="auto"/>
            <w:noWrap/>
            <w:vAlign w:val="bottom"/>
            <w:hideMark/>
          </w:tcPr>
          <w:p w14:paraId="76655D9C"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0.0%</w:t>
            </w:r>
          </w:p>
        </w:tc>
        <w:tc>
          <w:tcPr>
            <w:tcW w:w="1960" w:type="dxa"/>
            <w:tcBorders>
              <w:top w:val="nil"/>
              <w:left w:val="nil"/>
              <w:bottom w:val="dashed" w:sz="4" w:space="0" w:color="auto"/>
              <w:right w:val="single" w:sz="8" w:space="0" w:color="auto"/>
            </w:tcBorders>
            <w:shd w:val="clear" w:color="auto" w:fill="auto"/>
            <w:noWrap/>
            <w:vAlign w:val="bottom"/>
            <w:hideMark/>
          </w:tcPr>
          <w:p w14:paraId="29C5223C"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7.5%</w:t>
            </w:r>
          </w:p>
        </w:tc>
      </w:tr>
      <w:tr w:rsidR="004514C8" w:rsidRPr="009B0F23" w14:paraId="01DE96C8" w14:textId="77777777" w:rsidTr="004514C8">
        <w:trPr>
          <w:cantSplit/>
          <w:trHeight w:val="290"/>
          <w:jc w:val="center"/>
        </w:trPr>
        <w:tc>
          <w:tcPr>
            <w:tcW w:w="960" w:type="dxa"/>
            <w:tcBorders>
              <w:top w:val="nil"/>
              <w:left w:val="single" w:sz="8" w:space="0" w:color="auto"/>
              <w:bottom w:val="dashed" w:sz="4" w:space="0" w:color="auto"/>
              <w:right w:val="nil"/>
            </w:tcBorders>
            <w:shd w:val="clear" w:color="auto" w:fill="auto"/>
            <w:noWrap/>
            <w:vAlign w:val="bottom"/>
            <w:hideMark/>
          </w:tcPr>
          <w:p w14:paraId="5FA17CC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2035</w:t>
            </w:r>
          </w:p>
        </w:tc>
        <w:tc>
          <w:tcPr>
            <w:tcW w:w="1960" w:type="dxa"/>
            <w:tcBorders>
              <w:top w:val="nil"/>
              <w:left w:val="nil"/>
              <w:bottom w:val="dashed" w:sz="4" w:space="0" w:color="auto"/>
              <w:right w:val="nil"/>
            </w:tcBorders>
            <w:shd w:val="clear" w:color="auto" w:fill="auto"/>
            <w:noWrap/>
            <w:vAlign w:val="bottom"/>
            <w:hideMark/>
          </w:tcPr>
          <w:p w14:paraId="513C822F"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0.3%</w:t>
            </w:r>
          </w:p>
        </w:tc>
        <w:tc>
          <w:tcPr>
            <w:tcW w:w="1960" w:type="dxa"/>
            <w:tcBorders>
              <w:top w:val="nil"/>
              <w:left w:val="nil"/>
              <w:bottom w:val="dashed" w:sz="4" w:space="0" w:color="auto"/>
              <w:right w:val="single" w:sz="4" w:space="0" w:color="auto"/>
            </w:tcBorders>
            <w:shd w:val="clear" w:color="auto" w:fill="auto"/>
            <w:noWrap/>
            <w:vAlign w:val="bottom"/>
            <w:hideMark/>
          </w:tcPr>
          <w:p w14:paraId="195B1F24"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1.1%</w:t>
            </w:r>
          </w:p>
        </w:tc>
        <w:tc>
          <w:tcPr>
            <w:tcW w:w="1960" w:type="dxa"/>
            <w:tcBorders>
              <w:top w:val="nil"/>
              <w:left w:val="nil"/>
              <w:bottom w:val="dashed" w:sz="4" w:space="0" w:color="auto"/>
              <w:right w:val="nil"/>
            </w:tcBorders>
            <w:shd w:val="clear" w:color="auto" w:fill="auto"/>
            <w:noWrap/>
            <w:vAlign w:val="bottom"/>
            <w:hideMark/>
          </w:tcPr>
          <w:p w14:paraId="57C6684A"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-0.1%</w:t>
            </w:r>
          </w:p>
        </w:tc>
        <w:tc>
          <w:tcPr>
            <w:tcW w:w="1960" w:type="dxa"/>
            <w:tcBorders>
              <w:top w:val="nil"/>
              <w:left w:val="nil"/>
              <w:bottom w:val="dashed" w:sz="4" w:space="0" w:color="auto"/>
              <w:right w:val="single" w:sz="8" w:space="0" w:color="auto"/>
            </w:tcBorders>
            <w:shd w:val="clear" w:color="auto" w:fill="auto"/>
            <w:noWrap/>
            <w:vAlign w:val="bottom"/>
            <w:hideMark/>
          </w:tcPr>
          <w:p w14:paraId="719BD24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7.3%</w:t>
            </w:r>
          </w:p>
        </w:tc>
      </w:tr>
      <w:tr w:rsidR="004514C8" w:rsidRPr="009B0F23" w14:paraId="70033383" w14:textId="77777777" w:rsidTr="004514C8">
        <w:trPr>
          <w:cantSplit/>
          <w:trHeight w:val="300"/>
          <w:jc w:val="center"/>
        </w:trPr>
        <w:tc>
          <w:tcPr>
            <w:tcW w:w="960" w:type="dxa"/>
            <w:tcBorders>
              <w:top w:val="nil"/>
              <w:left w:val="single" w:sz="8" w:space="0" w:color="auto"/>
              <w:bottom w:val="single" w:sz="8" w:space="0" w:color="auto"/>
              <w:right w:val="nil"/>
            </w:tcBorders>
            <w:shd w:val="clear" w:color="auto" w:fill="auto"/>
            <w:noWrap/>
            <w:vAlign w:val="bottom"/>
            <w:hideMark/>
          </w:tcPr>
          <w:p w14:paraId="534B37EB"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2040</w:t>
            </w:r>
          </w:p>
        </w:tc>
        <w:tc>
          <w:tcPr>
            <w:tcW w:w="1960" w:type="dxa"/>
            <w:tcBorders>
              <w:top w:val="nil"/>
              <w:left w:val="nil"/>
              <w:bottom w:val="single" w:sz="8" w:space="0" w:color="auto"/>
              <w:right w:val="nil"/>
            </w:tcBorders>
            <w:shd w:val="clear" w:color="auto" w:fill="auto"/>
            <w:noWrap/>
            <w:vAlign w:val="bottom"/>
            <w:hideMark/>
          </w:tcPr>
          <w:p w14:paraId="07AD143C"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0.3%</w:t>
            </w:r>
          </w:p>
        </w:tc>
        <w:tc>
          <w:tcPr>
            <w:tcW w:w="1960" w:type="dxa"/>
            <w:tcBorders>
              <w:top w:val="nil"/>
              <w:left w:val="nil"/>
              <w:bottom w:val="single" w:sz="8" w:space="0" w:color="auto"/>
              <w:right w:val="single" w:sz="4" w:space="0" w:color="auto"/>
            </w:tcBorders>
            <w:shd w:val="clear" w:color="auto" w:fill="auto"/>
            <w:noWrap/>
            <w:vAlign w:val="bottom"/>
            <w:hideMark/>
          </w:tcPr>
          <w:p w14:paraId="15EDEE75"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1.0%</w:t>
            </w:r>
          </w:p>
        </w:tc>
        <w:tc>
          <w:tcPr>
            <w:tcW w:w="1960" w:type="dxa"/>
            <w:tcBorders>
              <w:top w:val="nil"/>
              <w:left w:val="nil"/>
              <w:bottom w:val="single" w:sz="8" w:space="0" w:color="auto"/>
              <w:right w:val="nil"/>
            </w:tcBorders>
            <w:shd w:val="clear" w:color="auto" w:fill="auto"/>
            <w:noWrap/>
            <w:vAlign w:val="bottom"/>
            <w:hideMark/>
          </w:tcPr>
          <w:p w14:paraId="63E1BBDE"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-0.1%</w:t>
            </w:r>
          </w:p>
        </w:tc>
        <w:tc>
          <w:tcPr>
            <w:tcW w:w="1960" w:type="dxa"/>
            <w:tcBorders>
              <w:top w:val="nil"/>
              <w:left w:val="nil"/>
              <w:bottom w:val="single" w:sz="8" w:space="0" w:color="auto"/>
              <w:right w:val="single" w:sz="8" w:space="0" w:color="auto"/>
            </w:tcBorders>
            <w:shd w:val="clear" w:color="auto" w:fill="auto"/>
            <w:noWrap/>
            <w:vAlign w:val="bottom"/>
            <w:hideMark/>
          </w:tcPr>
          <w:p w14:paraId="65F12AC8" w14:textId="77777777" w:rsidR="004514C8" w:rsidRPr="009B0F23" w:rsidRDefault="004514C8" w:rsidP="004514C8">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7.2%</w:t>
            </w:r>
          </w:p>
        </w:tc>
      </w:tr>
    </w:tbl>
    <w:p w14:paraId="0E984DB5" w14:textId="038705FD" w:rsidR="00903576" w:rsidRDefault="00903576" w:rsidP="00C77405">
      <w:pPr>
        <w:spacing w:after="0" w:line="360" w:lineRule="auto"/>
      </w:pPr>
    </w:p>
    <w:tbl>
      <w:tblPr>
        <w:tblW w:w="8810" w:type="dxa"/>
        <w:jc w:val="center"/>
        <w:tblLayout w:type="fixed"/>
        <w:tblLook w:val="04A0" w:firstRow="1" w:lastRow="0" w:firstColumn="1" w:lastColumn="0" w:noHBand="0" w:noVBand="1"/>
      </w:tblPr>
      <w:tblGrid>
        <w:gridCol w:w="980"/>
        <w:gridCol w:w="1957"/>
        <w:gridCol w:w="1958"/>
        <w:gridCol w:w="1957"/>
        <w:gridCol w:w="1958"/>
      </w:tblGrid>
      <w:tr w:rsidR="00E11F44" w:rsidRPr="009B0F23" w14:paraId="6B0D0793" w14:textId="77777777" w:rsidTr="00E11F44">
        <w:trPr>
          <w:cantSplit/>
          <w:trHeight w:val="290"/>
          <w:tblHeader/>
          <w:jc w:val="center"/>
        </w:trPr>
        <w:tc>
          <w:tcPr>
            <w:tcW w:w="980" w:type="dxa"/>
            <w:tcBorders>
              <w:top w:val="single" w:sz="8" w:space="0" w:color="auto"/>
              <w:left w:val="single" w:sz="8" w:space="0" w:color="auto"/>
              <w:bottom w:val="nil"/>
            </w:tcBorders>
            <w:shd w:val="clear" w:color="000000" w:fill="002060"/>
            <w:vAlign w:val="bottom"/>
          </w:tcPr>
          <w:p w14:paraId="30F3B291" w14:textId="5B205C6F" w:rsidR="00E11F44" w:rsidRPr="009B0F23" w:rsidRDefault="00E11F44" w:rsidP="00E11F44">
            <w:pPr>
              <w:spacing w:after="0" w:line="240" w:lineRule="auto"/>
              <w:jc w:val="center"/>
              <w:rPr>
                <w:rFonts w:ascii="Calibri" w:eastAsia="Times New Roman" w:hAnsi="Calibri" w:cs="Calibri"/>
                <w:b/>
                <w:bCs/>
                <w:color w:val="FFFFFF"/>
                <w:kern w:val="0"/>
                <w14:ligatures w14:val="none"/>
              </w:rPr>
            </w:pPr>
          </w:p>
        </w:tc>
        <w:tc>
          <w:tcPr>
            <w:tcW w:w="1957" w:type="dxa"/>
            <w:tcBorders>
              <w:top w:val="single" w:sz="8" w:space="0" w:color="auto"/>
              <w:left w:val="nil"/>
              <w:bottom w:val="nil"/>
              <w:right w:val="single" w:sz="4" w:space="0" w:color="000000"/>
            </w:tcBorders>
            <w:shd w:val="clear" w:color="000000" w:fill="002060"/>
            <w:noWrap/>
            <w:vAlign w:val="bottom"/>
            <w:hideMark/>
          </w:tcPr>
          <w:p w14:paraId="6EE29C91" w14:textId="77777777" w:rsidR="00E11F44" w:rsidRPr="009B0F23" w:rsidRDefault="00E11F44" w:rsidP="00E11F44">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CT</w:t>
            </w:r>
          </w:p>
        </w:tc>
        <w:tc>
          <w:tcPr>
            <w:tcW w:w="1958" w:type="dxa"/>
            <w:tcBorders>
              <w:top w:val="single" w:sz="8" w:space="0" w:color="auto"/>
              <w:left w:val="nil"/>
              <w:bottom w:val="nil"/>
              <w:right w:val="single" w:sz="4" w:space="0" w:color="000000"/>
            </w:tcBorders>
            <w:shd w:val="clear" w:color="000000" w:fill="002060"/>
            <w:vAlign w:val="bottom"/>
          </w:tcPr>
          <w:p w14:paraId="37D0E8AF" w14:textId="70B0B436" w:rsidR="00E11F44" w:rsidRPr="009B0F23" w:rsidRDefault="00E11F44" w:rsidP="00E11F44">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CT</w:t>
            </w:r>
          </w:p>
        </w:tc>
        <w:tc>
          <w:tcPr>
            <w:tcW w:w="1957" w:type="dxa"/>
            <w:tcBorders>
              <w:top w:val="single" w:sz="8" w:space="0" w:color="auto"/>
              <w:left w:val="nil"/>
              <w:bottom w:val="nil"/>
              <w:right w:val="single" w:sz="8" w:space="0" w:color="auto"/>
            </w:tcBorders>
            <w:shd w:val="clear" w:color="000000" w:fill="002060"/>
            <w:noWrap/>
            <w:vAlign w:val="bottom"/>
            <w:hideMark/>
          </w:tcPr>
          <w:p w14:paraId="483AE285" w14:textId="77777777" w:rsidR="00E11F44" w:rsidRPr="009B0F23" w:rsidRDefault="00E11F44" w:rsidP="00E11F44">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PET-CT</w:t>
            </w:r>
          </w:p>
        </w:tc>
        <w:tc>
          <w:tcPr>
            <w:tcW w:w="1958" w:type="dxa"/>
            <w:tcBorders>
              <w:top w:val="single" w:sz="8" w:space="0" w:color="auto"/>
              <w:left w:val="nil"/>
              <w:bottom w:val="nil"/>
              <w:right w:val="single" w:sz="8" w:space="0" w:color="auto"/>
            </w:tcBorders>
            <w:shd w:val="clear" w:color="000000" w:fill="002060"/>
            <w:vAlign w:val="bottom"/>
          </w:tcPr>
          <w:p w14:paraId="647B58DD" w14:textId="324CC4B3" w:rsidR="00E11F44" w:rsidRPr="009B0F23" w:rsidRDefault="00E11F44" w:rsidP="00E11F44">
            <w:pPr>
              <w:spacing w:after="0" w:line="240" w:lineRule="auto"/>
              <w:jc w:val="center"/>
              <w:rPr>
                <w:rFonts w:ascii="Calibri" w:eastAsia="Times New Roman" w:hAnsi="Calibri" w:cs="Calibri"/>
                <w:b/>
                <w:bCs/>
                <w:color w:val="FFFFFF"/>
                <w:kern w:val="0"/>
                <w14:ligatures w14:val="none"/>
              </w:rPr>
            </w:pPr>
            <w:r w:rsidRPr="009B0F23">
              <w:rPr>
                <w:rFonts w:ascii="Calibri" w:eastAsia="Times New Roman" w:hAnsi="Calibri" w:cs="Calibri"/>
                <w:b/>
                <w:bCs/>
                <w:color w:val="FFFFFF"/>
                <w:kern w:val="0"/>
                <w14:ligatures w14:val="none"/>
              </w:rPr>
              <w:t>PET-CT</w:t>
            </w:r>
          </w:p>
        </w:tc>
      </w:tr>
      <w:tr w:rsidR="00E11F44" w:rsidRPr="009B0F23" w14:paraId="45084A97" w14:textId="77777777" w:rsidTr="00E11F44">
        <w:trPr>
          <w:cantSplit/>
          <w:trHeight w:val="197"/>
          <w:tblHeader/>
          <w:jc w:val="center"/>
        </w:trPr>
        <w:tc>
          <w:tcPr>
            <w:tcW w:w="980" w:type="dxa"/>
            <w:tcBorders>
              <w:top w:val="nil"/>
              <w:left w:val="single" w:sz="8" w:space="0" w:color="auto"/>
            </w:tcBorders>
            <w:shd w:val="clear" w:color="000000" w:fill="002060"/>
            <w:vAlign w:val="bottom"/>
          </w:tcPr>
          <w:p w14:paraId="3BDCF401" w14:textId="450197CD" w:rsidR="00E11F44" w:rsidRPr="00A35837" w:rsidRDefault="00E11F44" w:rsidP="00E11F44">
            <w:pPr>
              <w:spacing w:after="0" w:line="240" w:lineRule="auto"/>
              <w:jc w:val="center"/>
              <w:rPr>
                <w:rFonts w:ascii="Calibri" w:eastAsia="Times New Roman" w:hAnsi="Calibri" w:cs="Calibri"/>
                <w:b/>
                <w:bCs/>
                <w:color w:val="FFFFFF"/>
                <w:kern w:val="0"/>
                <w14:ligatures w14:val="none"/>
              </w:rPr>
            </w:pPr>
          </w:p>
        </w:tc>
        <w:tc>
          <w:tcPr>
            <w:tcW w:w="1957" w:type="dxa"/>
            <w:vMerge w:val="restart"/>
            <w:tcBorders>
              <w:top w:val="nil"/>
              <w:left w:val="nil"/>
              <w:right w:val="nil"/>
            </w:tcBorders>
            <w:shd w:val="clear" w:color="000000" w:fill="002060"/>
            <w:vAlign w:val="bottom"/>
            <w:hideMark/>
          </w:tcPr>
          <w:p w14:paraId="6DE884D1" w14:textId="1DF4ABE1"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 xml:space="preserve">Baseline </w:t>
            </w:r>
            <w:r w:rsidRPr="009B0F23">
              <w:rPr>
                <w:rFonts w:ascii="Calibri" w:eastAsia="Times New Roman" w:hAnsi="Calibri" w:cs="Calibri"/>
                <w:i/>
                <w:iCs/>
                <w:color w:val="FFFFFF"/>
                <w:kern w:val="0"/>
                <w14:ligatures w14:val="none"/>
              </w:rPr>
              <w:br/>
              <w:t>Projection</w:t>
            </w:r>
          </w:p>
        </w:tc>
        <w:tc>
          <w:tcPr>
            <w:tcW w:w="1958" w:type="dxa"/>
            <w:vMerge w:val="restart"/>
            <w:tcBorders>
              <w:top w:val="nil"/>
              <w:left w:val="nil"/>
              <w:right w:val="single" w:sz="4" w:space="0" w:color="auto"/>
            </w:tcBorders>
            <w:shd w:val="clear" w:color="000000" w:fill="002060"/>
            <w:vAlign w:val="bottom"/>
            <w:hideMark/>
          </w:tcPr>
          <w:p w14:paraId="0C3C2DDB"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With Supply-Induced Demand</w:t>
            </w:r>
          </w:p>
        </w:tc>
        <w:tc>
          <w:tcPr>
            <w:tcW w:w="1957" w:type="dxa"/>
            <w:vMerge w:val="restart"/>
            <w:tcBorders>
              <w:top w:val="nil"/>
              <w:left w:val="nil"/>
              <w:right w:val="nil"/>
            </w:tcBorders>
            <w:shd w:val="clear" w:color="000000" w:fill="002060"/>
            <w:vAlign w:val="bottom"/>
            <w:hideMark/>
          </w:tcPr>
          <w:p w14:paraId="7BB7DBA2"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 xml:space="preserve">Baseline </w:t>
            </w:r>
            <w:r w:rsidRPr="009B0F23">
              <w:rPr>
                <w:rFonts w:ascii="Calibri" w:eastAsia="Times New Roman" w:hAnsi="Calibri" w:cs="Calibri"/>
                <w:i/>
                <w:iCs/>
                <w:color w:val="FFFFFF"/>
                <w:kern w:val="0"/>
                <w14:ligatures w14:val="none"/>
              </w:rPr>
              <w:br/>
              <w:t>Projection</w:t>
            </w:r>
          </w:p>
        </w:tc>
        <w:tc>
          <w:tcPr>
            <w:tcW w:w="1958" w:type="dxa"/>
            <w:vMerge w:val="restart"/>
            <w:tcBorders>
              <w:top w:val="nil"/>
              <w:left w:val="nil"/>
              <w:right w:val="single" w:sz="8" w:space="0" w:color="auto"/>
            </w:tcBorders>
            <w:shd w:val="clear" w:color="000000" w:fill="002060"/>
            <w:vAlign w:val="bottom"/>
            <w:hideMark/>
          </w:tcPr>
          <w:p w14:paraId="5771D514"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r w:rsidRPr="009B0F23">
              <w:rPr>
                <w:rFonts w:ascii="Calibri" w:eastAsia="Times New Roman" w:hAnsi="Calibri" w:cs="Calibri"/>
                <w:i/>
                <w:iCs/>
                <w:color w:val="FFFFFF"/>
                <w:kern w:val="0"/>
                <w14:ligatures w14:val="none"/>
              </w:rPr>
              <w:t>With Supply-Induced Demand</w:t>
            </w:r>
          </w:p>
        </w:tc>
      </w:tr>
      <w:tr w:rsidR="00E11F44" w:rsidRPr="009B0F23" w14:paraId="481C31D5" w14:textId="77777777" w:rsidTr="00E11F44">
        <w:trPr>
          <w:cantSplit/>
          <w:trHeight w:val="196"/>
          <w:jc w:val="center"/>
        </w:trPr>
        <w:tc>
          <w:tcPr>
            <w:tcW w:w="980" w:type="dxa"/>
            <w:tcBorders>
              <w:left w:val="single" w:sz="8" w:space="0" w:color="auto"/>
              <w:bottom w:val="single" w:sz="8" w:space="0" w:color="auto"/>
            </w:tcBorders>
            <w:shd w:val="clear" w:color="000000" w:fill="002060"/>
            <w:vAlign w:val="bottom"/>
          </w:tcPr>
          <w:p w14:paraId="15F10DB6" w14:textId="692962AB" w:rsidR="00E11F44" w:rsidRPr="00A35837" w:rsidRDefault="00E11F44" w:rsidP="00E11F44">
            <w:pPr>
              <w:spacing w:after="0" w:line="240" w:lineRule="auto"/>
              <w:jc w:val="center"/>
              <w:rPr>
                <w:rFonts w:ascii="Calibri" w:eastAsia="Times New Roman" w:hAnsi="Calibri" w:cs="Calibri"/>
                <w:b/>
                <w:bCs/>
                <w:color w:val="FFFFFF"/>
                <w:kern w:val="0"/>
                <w14:ligatures w14:val="none"/>
              </w:rPr>
            </w:pPr>
            <w:r w:rsidRPr="00A35837">
              <w:rPr>
                <w:rFonts w:ascii="Calibri" w:eastAsia="Times New Roman" w:hAnsi="Calibri" w:cs="Calibri"/>
                <w:b/>
                <w:bCs/>
                <w:color w:val="FFFFFF"/>
                <w:kern w:val="0"/>
                <w14:ligatures w14:val="none"/>
              </w:rPr>
              <w:t>Year</w:t>
            </w:r>
          </w:p>
        </w:tc>
        <w:tc>
          <w:tcPr>
            <w:tcW w:w="1957" w:type="dxa"/>
            <w:vMerge/>
            <w:tcBorders>
              <w:left w:val="nil"/>
              <w:bottom w:val="single" w:sz="8" w:space="0" w:color="auto"/>
              <w:right w:val="nil"/>
            </w:tcBorders>
            <w:shd w:val="clear" w:color="000000" w:fill="002060"/>
            <w:vAlign w:val="bottom"/>
          </w:tcPr>
          <w:p w14:paraId="5BA7CC97"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p>
        </w:tc>
        <w:tc>
          <w:tcPr>
            <w:tcW w:w="1958" w:type="dxa"/>
            <w:vMerge/>
            <w:tcBorders>
              <w:left w:val="nil"/>
              <w:bottom w:val="single" w:sz="8" w:space="0" w:color="auto"/>
              <w:right w:val="single" w:sz="4" w:space="0" w:color="auto"/>
            </w:tcBorders>
            <w:shd w:val="clear" w:color="000000" w:fill="002060"/>
            <w:vAlign w:val="bottom"/>
          </w:tcPr>
          <w:p w14:paraId="4F60B604"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p>
        </w:tc>
        <w:tc>
          <w:tcPr>
            <w:tcW w:w="1957" w:type="dxa"/>
            <w:vMerge/>
            <w:tcBorders>
              <w:left w:val="nil"/>
              <w:bottom w:val="single" w:sz="8" w:space="0" w:color="auto"/>
              <w:right w:val="nil"/>
            </w:tcBorders>
            <w:shd w:val="clear" w:color="000000" w:fill="002060"/>
            <w:vAlign w:val="bottom"/>
          </w:tcPr>
          <w:p w14:paraId="4C338647"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p>
        </w:tc>
        <w:tc>
          <w:tcPr>
            <w:tcW w:w="1958" w:type="dxa"/>
            <w:vMerge/>
            <w:tcBorders>
              <w:left w:val="nil"/>
              <w:bottom w:val="single" w:sz="8" w:space="0" w:color="auto"/>
              <w:right w:val="single" w:sz="8" w:space="0" w:color="auto"/>
            </w:tcBorders>
            <w:shd w:val="clear" w:color="000000" w:fill="002060"/>
            <w:vAlign w:val="bottom"/>
          </w:tcPr>
          <w:p w14:paraId="6FB32EED" w14:textId="77777777" w:rsidR="00E11F44" w:rsidRPr="009B0F23" w:rsidRDefault="00E11F44" w:rsidP="00E11F44">
            <w:pPr>
              <w:spacing w:after="0" w:line="240" w:lineRule="auto"/>
              <w:jc w:val="center"/>
              <w:rPr>
                <w:rFonts w:ascii="Calibri" w:eastAsia="Times New Roman" w:hAnsi="Calibri" w:cs="Calibri"/>
                <w:i/>
                <w:iCs/>
                <w:color w:val="FFFFFF"/>
                <w:kern w:val="0"/>
                <w14:ligatures w14:val="none"/>
              </w:rPr>
            </w:pPr>
          </w:p>
        </w:tc>
      </w:tr>
      <w:tr w:rsidR="00E11F44" w:rsidRPr="009B0F23" w14:paraId="61E1136A" w14:textId="77777777" w:rsidTr="00E11F44">
        <w:trPr>
          <w:cantSplit/>
          <w:trHeight w:val="290"/>
          <w:jc w:val="center"/>
        </w:trPr>
        <w:tc>
          <w:tcPr>
            <w:tcW w:w="980" w:type="dxa"/>
            <w:tcBorders>
              <w:top w:val="nil"/>
              <w:left w:val="single" w:sz="8" w:space="0" w:color="auto"/>
              <w:bottom w:val="dashed" w:sz="4" w:space="0" w:color="auto"/>
            </w:tcBorders>
            <w:vAlign w:val="bottom"/>
          </w:tcPr>
          <w:p w14:paraId="0684B210" w14:textId="43B2F58C"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2025</w:t>
            </w:r>
          </w:p>
        </w:tc>
        <w:tc>
          <w:tcPr>
            <w:tcW w:w="1957" w:type="dxa"/>
            <w:tcBorders>
              <w:top w:val="nil"/>
              <w:left w:val="nil"/>
              <w:bottom w:val="dashed" w:sz="4" w:space="0" w:color="auto"/>
              <w:right w:val="nil"/>
            </w:tcBorders>
            <w:shd w:val="clear" w:color="auto" w:fill="auto"/>
            <w:noWrap/>
            <w:vAlign w:val="bottom"/>
            <w:hideMark/>
          </w:tcPr>
          <w:p w14:paraId="6A225307" w14:textId="1BD6D58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$1,709,787</w:t>
            </w:r>
          </w:p>
        </w:tc>
        <w:tc>
          <w:tcPr>
            <w:tcW w:w="1958" w:type="dxa"/>
            <w:tcBorders>
              <w:top w:val="nil"/>
              <w:left w:val="nil"/>
              <w:bottom w:val="dashed" w:sz="4" w:space="0" w:color="auto"/>
              <w:right w:val="single" w:sz="4" w:space="0" w:color="auto"/>
            </w:tcBorders>
            <w:shd w:val="clear" w:color="auto" w:fill="auto"/>
            <w:noWrap/>
            <w:vAlign w:val="bottom"/>
            <w:hideMark/>
          </w:tcPr>
          <w:p w14:paraId="41D81B05"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$6,252,872</w:t>
            </w:r>
          </w:p>
        </w:tc>
        <w:tc>
          <w:tcPr>
            <w:tcW w:w="1957" w:type="dxa"/>
            <w:tcBorders>
              <w:top w:val="nil"/>
              <w:left w:val="nil"/>
              <w:bottom w:val="dashed" w:sz="4" w:space="0" w:color="auto"/>
              <w:right w:val="nil"/>
            </w:tcBorders>
            <w:shd w:val="clear" w:color="auto" w:fill="auto"/>
            <w:noWrap/>
            <w:vAlign w:val="bottom"/>
            <w:hideMark/>
          </w:tcPr>
          <w:p w14:paraId="1A9162BD"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$28,038</w:t>
            </w:r>
          </w:p>
        </w:tc>
        <w:tc>
          <w:tcPr>
            <w:tcW w:w="1958" w:type="dxa"/>
            <w:tcBorders>
              <w:top w:val="nil"/>
              <w:left w:val="nil"/>
              <w:bottom w:val="dashed" w:sz="4" w:space="0" w:color="auto"/>
              <w:right w:val="single" w:sz="8" w:space="0" w:color="auto"/>
            </w:tcBorders>
            <w:shd w:val="clear" w:color="auto" w:fill="auto"/>
            <w:noWrap/>
            <w:vAlign w:val="bottom"/>
            <w:hideMark/>
          </w:tcPr>
          <w:p w14:paraId="5685B0EB"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$3,697,295</w:t>
            </w:r>
          </w:p>
        </w:tc>
      </w:tr>
      <w:tr w:rsidR="00E11F44" w:rsidRPr="009B0F23" w14:paraId="79561E21" w14:textId="77777777" w:rsidTr="00E11F44">
        <w:trPr>
          <w:cantSplit/>
          <w:trHeight w:val="290"/>
          <w:jc w:val="center"/>
        </w:trPr>
        <w:tc>
          <w:tcPr>
            <w:tcW w:w="980" w:type="dxa"/>
            <w:tcBorders>
              <w:top w:val="nil"/>
              <w:left w:val="single" w:sz="8" w:space="0" w:color="auto"/>
              <w:bottom w:val="dashed" w:sz="4" w:space="0" w:color="auto"/>
            </w:tcBorders>
            <w:vAlign w:val="bottom"/>
          </w:tcPr>
          <w:p w14:paraId="0FCCEC1A" w14:textId="4382D0FA"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2030</w:t>
            </w:r>
          </w:p>
        </w:tc>
        <w:tc>
          <w:tcPr>
            <w:tcW w:w="1957" w:type="dxa"/>
            <w:tcBorders>
              <w:top w:val="nil"/>
              <w:left w:val="nil"/>
              <w:bottom w:val="dashed" w:sz="4" w:space="0" w:color="auto"/>
              <w:right w:val="nil"/>
            </w:tcBorders>
            <w:shd w:val="clear" w:color="auto" w:fill="auto"/>
            <w:noWrap/>
            <w:vAlign w:val="bottom"/>
            <w:hideMark/>
          </w:tcPr>
          <w:p w14:paraId="12B2C6DE" w14:textId="3B8A50CA"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$1,822,226</w:t>
            </w:r>
          </w:p>
        </w:tc>
        <w:tc>
          <w:tcPr>
            <w:tcW w:w="1958" w:type="dxa"/>
            <w:tcBorders>
              <w:top w:val="nil"/>
              <w:left w:val="nil"/>
              <w:bottom w:val="dashed" w:sz="4" w:space="0" w:color="auto"/>
              <w:right w:val="single" w:sz="4" w:space="0" w:color="auto"/>
            </w:tcBorders>
            <w:shd w:val="clear" w:color="auto" w:fill="auto"/>
            <w:noWrap/>
            <w:vAlign w:val="bottom"/>
            <w:hideMark/>
          </w:tcPr>
          <w:p w14:paraId="6F83E1B3"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$6,652,852</w:t>
            </w:r>
          </w:p>
        </w:tc>
        <w:tc>
          <w:tcPr>
            <w:tcW w:w="1957" w:type="dxa"/>
            <w:tcBorders>
              <w:top w:val="nil"/>
              <w:left w:val="nil"/>
              <w:bottom w:val="dashed" w:sz="4" w:space="0" w:color="auto"/>
              <w:right w:val="nil"/>
            </w:tcBorders>
            <w:shd w:val="clear" w:color="auto" w:fill="auto"/>
            <w:noWrap/>
            <w:vAlign w:val="bottom"/>
            <w:hideMark/>
          </w:tcPr>
          <w:p w14:paraId="317692EE"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-$7,878</w:t>
            </w:r>
          </w:p>
        </w:tc>
        <w:tc>
          <w:tcPr>
            <w:tcW w:w="1958" w:type="dxa"/>
            <w:tcBorders>
              <w:top w:val="nil"/>
              <w:left w:val="nil"/>
              <w:bottom w:val="dashed" w:sz="4" w:space="0" w:color="auto"/>
              <w:right w:val="single" w:sz="8" w:space="0" w:color="auto"/>
            </w:tcBorders>
            <w:shd w:val="clear" w:color="auto" w:fill="auto"/>
            <w:noWrap/>
            <w:vAlign w:val="bottom"/>
            <w:hideMark/>
          </w:tcPr>
          <w:p w14:paraId="2CEF7487"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$3,884,621</w:t>
            </w:r>
          </w:p>
        </w:tc>
      </w:tr>
      <w:tr w:rsidR="00E11F44" w:rsidRPr="009B0F23" w14:paraId="0A8802BB" w14:textId="77777777" w:rsidTr="00E11F44">
        <w:trPr>
          <w:cantSplit/>
          <w:trHeight w:val="290"/>
          <w:jc w:val="center"/>
        </w:trPr>
        <w:tc>
          <w:tcPr>
            <w:tcW w:w="980" w:type="dxa"/>
            <w:tcBorders>
              <w:top w:val="nil"/>
              <w:left w:val="single" w:sz="8" w:space="0" w:color="auto"/>
              <w:bottom w:val="dashed" w:sz="4" w:space="0" w:color="auto"/>
            </w:tcBorders>
            <w:vAlign w:val="bottom"/>
          </w:tcPr>
          <w:p w14:paraId="2F417861" w14:textId="0C97EDDA"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2035</w:t>
            </w:r>
          </w:p>
        </w:tc>
        <w:tc>
          <w:tcPr>
            <w:tcW w:w="1957" w:type="dxa"/>
            <w:tcBorders>
              <w:top w:val="nil"/>
              <w:left w:val="nil"/>
              <w:bottom w:val="dashed" w:sz="4" w:space="0" w:color="auto"/>
              <w:right w:val="nil"/>
            </w:tcBorders>
            <w:shd w:val="clear" w:color="auto" w:fill="auto"/>
            <w:noWrap/>
            <w:vAlign w:val="bottom"/>
            <w:hideMark/>
          </w:tcPr>
          <w:p w14:paraId="77CED5F1" w14:textId="6DF104A4"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$1,878,157</w:t>
            </w:r>
          </w:p>
        </w:tc>
        <w:tc>
          <w:tcPr>
            <w:tcW w:w="1958" w:type="dxa"/>
            <w:tcBorders>
              <w:top w:val="nil"/>
              <w:left w:val="nil"/>
              <w:bottom w:val="dashed" w:sz="4" w:space="0" w:color="auto"/>
              <w:right w:val="single" w:sz="4" w:space="0" w:color="auto"/>
            </w:tcBorders>
            <w:shd w:val="clear" w:color="auto" w:fill="auto"/>
            <w:noWrap/>
            <w:vAlign w:val="bottom"/>
            <w:hideMark/>
          </w:tcPr>
          <w:p w14:paraId="54F2656D"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$6,841,650</w:t>
            </w:r>
          </w:p>
        </w:tc>
        <w:tc>
          <w:tcPr>
            <w:tcW w:w="1957" w:type="dxa"/>
            <w:tcBorders>
              <w:top w:val="nil"/>
              <w:left w:val="nil"/>
              <w:bottom w:val="dashed" w:sz="4" w:space="0" w:color="auto"/>
              <w:right w:val="nil"/>
            </w:tcBorders>
            <w:shd w:val="clear" w:color="auto" w:fill="auto"/>
            <w:noWrap/>
            <w:vAlign w:val="bottom"/>
            <w:hideMark/>
          </w:tcPr>
          <w:p w14:paraId="7229EF92"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-$30,288</w:t>
            </w:r>
          </w:p>
        </w:tc>
        <w:tc>
          <w:tcPr>
            <w:tcW w:w="1958" w:type="dxa"/>
            <w:tcBorders>
              <w:top w:val="nil"/>
              <w:left w:val="nil"/>
              <w:bottom w:val="dashed" w:sz="4" w:space="0" w:color="auto"/>
              <w:right w:val="single" w:sz="8" w:space="0" w:color="auto"/>
            </w:tcBorders>
            <w:shd w:val="clear" w:color="auto" w:fill="auto"/>
            <w:noWrap/>
            <w:vAlign w:val="bottom"/>
            <w:hideMark/>
          </w:tcPr>
          <w:p w14:paraId="4DD8A03C"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$3,958,735</w:t>
            </w:r>
          </w:p>
        </w:tc>
      </w:tr>
      <w:tr w:rsidR="00E11F44" w:rsidRPr="009B0F23" w14:paraId="06009924" w14:textId="77777777" w:rsidTr="00E11F44">
        <w:trPr>
          <w:cantSplit/>
          <w:trHeight w:val="300"/>
          <w:jc w:val="center"/>
        </w:trPr>
        <w:tc>
          <w:tcPr>
            <w:tcW w:w="980" w:type="dxa"/>
            <w:tcBorders>
              <w:top w:val="nil"/>
              <w:left w:val="single" w:sz="8" w:space="0" w:color="auto"/>
              <w:bottom w:val="single" w:sz="8" w:space="0" w:color="auto"/>
            </w:tcBorders>
            <w:vAlign w:val="bottom"/>
          </w:tcPr>
          <w:p w14:paraId="7A0ABE96" w14:textId="3B8C6E4E"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2040</w:t>
            </w:r>
          </w:p>
        </w:tc>
        <w:tc>
          <w:tcPr>
            <w:tcW w:w="1957" w:type="dxa"/>
            <w:tcBorders>
              <w:top w:val="nil"/>
              <w:left w:val="nil"/>
              <w:bottom w:val="single" w:sz="8" w:space="0" w:color="auto"/>
              <w:right w:val="nil"/>
            </w:tcBorders>
            <w:shd w:val="clear" w:color="auto" w:fill="auto"/>
            <w:noWrap/>
            <w:vAlign w:val="bottom"/>
            <w:hideMark/>
          </w:tcPr>
          <w:p w14:paraId="1EDD66C0" w14:textId="4A3DB08B"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$1,881,615</w:t>
            </w:r>
          </w:p>
        </w:tc>
        <w:tc>
          <w:tcPr>
            <w:tcW w:w="1958" w:type="dxa"/>
            <w:tcBorders>
              <w:top w:val="nil"/>
              <w:left w:val="nil"/>
              <w:bottom w:val="single" w:sz="8" w:space="0" w:color="auto"/>
              <w:right w:val="single" w:sz="4" w:space="0" w:color="auto"/>
            </w:tcBorders>
            <w:shd w:val="clear" w:color="auto" w:fill="auto"/>
            <w:noWrap/>
            <w:vAlign w:val="bottom"/>
            <w:hideMark/>
          </w:tcPr>
          <w:p w14:paraId="2EBB8AAC"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$6,839,643</w:t>
            </w:r>
          </w:p>
        </w:tc>
        <w:tc>
          <w:tcPr>
            <w:tcW w:w="1957" w:type="dxa"/>
            <w:tcBorders>
              <w:top w:val="nil"/>
              <w:left w:val="nil"/>
              <w:bottom w:val="single" w:sz="8" w:space="0" w:color="auto"/>
              <w:right w:val="nil"/>
            </w:tcBorders>
            <w:shd w:val="clear" w:color="auto" w:fill="auto"/>
            <w:noWrap/>
            <w:vAlign w:val="bottom"/>
            <w:hideMark/>
          </w:tcPr>
          <w:p w14:paraId="6BC3C7CA"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-$31,999</w:t>
            </w:r>
          </w:p>
        </w:tc>
        <w:tc>
          <w:tcPr>
            <w:tcW w:w="1958" w:type="dxa"/>
            <w:tcBorders>
              <w:top w:val="nil"/>
              <w:left w:val="nil"/>
              <w:bottom w:val="single" w:sz="8" w:space="0" w:color="auto"/>
              <w:right w:val="single" w:sz="8" w:space="0" w:color="auto"/>
            </w:tcBorders>
            <w:shd w:val="clear" w:color="auto" w:fill="auto"/>
            <w:noWrap/>
            <w:vAlign w:val="bottom"/>
            <w:hideMark/>
          </w:tcPr>
          <w:p w14:paraId="50D49262" w14:textId="77777777" w:rsidR="00E11F44" w:rsidRPr="009B0F23" w:rsidRDefault="00E11F44" w:rsidP="00E11F44">
            <w:pPr>
              <w:spacing w:after="0" w:line="240" w:lineRule="auto"/>
              <w:jc w:val="center"/>
              <w:rPr>
                <w:rFonts w:ascii="Calibri" w:eastAsia="Times New Roman" w:hAnsi="Calibri" w:cs="Calibri"/>
                <w:kern w:val="0"/>
                <w14:ligatures w14:val="none"/>
              </w:rPr>
            </w:pPr>
            <w:r w:rsidRPr="009B0F23">
              <w:rPr>
                <w:rFonts w:ascii="Calibri" w:eastAsia="Times New Roman" w:hAnsi="Calibri" w:cs="Calibri"/>
                <w:kern w:val="0"/>
                <w14:ligatures w14:val="none"/>
              </w:rPr>
              <w:t>$3,944,841</w:t>
            </w:r>
          </w:p>
        </w:tc>
      </w:tr>
    </w:tbl>
    <w:p w14:paraId="2809E2A4" w14:textId="77777777" w:rsidR="009B0F23" w:rsidRDefault="009B0F23" w:rsidP="00C77405">
      <w:pPr>
        <w:spacing w:after="120" w:line="360" w:lineRule="auto"/>
        <w:ind w:left="-7"/>
        <w:jc w:val="center"/>
      </w:pPr>
    </w:p>
    <w:p w14:paraId="272BA33D" w14:textId="57DD2F3C" w:rsidR="00551DA3" w:rsidRDefault="00C47D2E" w:rsidP="0086078C">
      <w:pPr>
        <w:numPr>
          <w:ilvl w:val="0"/>
          <w:numId w:val="4"/>
        </w:numPr>
        <w:spacing w:before="120" w:after="120" w:line="360" w:lineRule="auto"/>
        <w:ind w:hanging="547"/>
        <w:jc w:val="both"/>
      </w:pPr>
      <w:r>
        <w:t xml:space="preserve">As with shifts in inpatient cancer care, shifts in outpatient imaging away from existing providers to the new DFCI facility will leave </w:t>
      </w:r>
      <w:r w:rsidR="0086078C">
        <w:t xml:space="preserve">behind available capacity, raising the potential for supply-induced demand. </w:t>
      </w:r>
      <w:r w:rsidR="0086078C" w:rsidRPr="0086078C">
        <w:t xml:space="preserve">If MGB were to replace all the scans </w:t>
      </w:r>
      <w:r w:rsidR="007B15F0">
        <w:t xml:space="preserve">projected to shift </w:t>
      </w:r>
      <w:r w:rsidR="0086078C" w:rsidRPr="0086078C">
        <w:t xml:space="preserve">to DFCI with new scans (i.e., scans that would otherwise not have occurred rather than with scans pulled from other competitors), this </w:t>
      </w:r>
      <w:r w:rsidR="0086078C">
        <w:t>increased utilization</w:t>
      </w:r>
      <w:r w:rsidR="0086078C" w:rsidRPr="0086078C">
        <w:t xml:space="preserve"> would lead to increases in total medical spending for outpatient imaging</w:t>
      </w:r>
      <w:r w:rsidR="0086078C">
        <w:t xml:space="preserve">. As shown in Table </w:t>
      </w:r>
      <w:r w:rsidR="009502AD">
        <w:t>30</w:t>
      </w:r>
      <w:r w:rsidR="0086078C">
        <w:t>, the estimated impact of this increased utilization (combined with the increased cost estimates predicted in the baseline scenario) would be to increase outpatient CT imaging costs by 1.1%</w:t>
      </w:r>
      <w:r w:rsidR="008F5C6C">
        <w:t xml:space="preserve"> ($6.3 million)</w:t>
      </w:r>
      <w:r w:rsidR="0086078C">
        <w:t xml:space="preserve"> in 2025 and to increase outpatient PET-CT imaging costs by 7.7%</w:t>
      </w:r>
      <w:r w:rsidR="008F5C6C">
        <w:t xml:space="preserve"> ($3.7 million)</w:t>
      </w:r>
      <w:r w:rsidR="0086078C">
        <w:t xml:space="preserve"> in 2025. </w:t>
      </w:r>
      <w:r w:rsidR="0086078C" w:rsidRPr="0086078C">
        <w:t xml:space="preserve">The </w:t>
      </w:r>
      <w:r w:rsidR="00BD200A">
        <w:t xml:space="preserve">percentage </w:t>
      </w:r>
      <w:r w:rsidR="0086078C" w:rsidRPr="0086078C">
        <w:t xml:space="preserve">impact on PET-CT spending is relatively higher because </w:t>
      </w:r>
      <w:r w:rsidR="007B15F0">
        <w:t xml:space="preserve">the </w:t>
      </w:r>
      <w:r w:rsidR="0086078C" w:rsidRPr="0086078C">
        <w:t xml:space="preserve">estimated number of DFCI’s </w:t>
      </w:r>
      <w:r w:rsidR="006020D7">
        <w:t>“</w:t>
      </w:r>
      <w:r w:rsidR="0086078C" w:rsidRPr="0086078C">
        <w:t>unmet</w:t>
      </w:r>
      <w:r w:rsidR="006020D7">
        <w:t>”</w:t>
      </w:r>
      <w:r w:rsidR="0086078C" w:rsidRPr="0086078C">
        <w:t xml:space="preserve"> PET-CT scans is larger as a proportion of the overall market.</w:t>
      </w:r>
    </w:p>
    <w:p w14:paraId="05C7C43D" w14:textId="1A17539D" w:rsidR="0077332D" w:rsidRPr="00762734" w:rsidRDefault="0077332D" w:rsidP="0077332D">
      <w:pPr>
        <w:pStyle w:val="Heading1"/>
        <w:rPr>
          <w:rFonts w:hint="eastAsia"/>
        </w:rPr>
      </w:pPr>
      <w:bookmarkStart w:id="79" w:name="_Toc187401766"/>
      <w:r>
        <w:t>Impa</w:t>
      </w:r>
      <w:r w:rsidR="00DF7C05">
        <w:t>c</w:t>
      </w:r>
      <w:r>
        <w:t>ts on Radiation Therapy Services</w:t>
      </w:r>
      <w:bookmarkEnd w:id="79"/>
    </w:p>
    <w:p w14:paraId="4A4230CF" w14:textId="54C7C538" w:rsidR="00B17D84" w:rsidRDefault="00B17D84" w:rsidP="00B17D84">
      <w:pPr>
        <w:numPr>
          <w:ilvl w:val="0"/>
          <w:numId w:val="4"/>
        </w:numPr>
        <w:spacing w:before="120" w:after="120" w:line="360" w:lineRule="auto"/>
        <w:ind w:hanging="547"/>
        <w:jc w:val="both"/>
      </w:pPr>
      <w:r w:rsidRPr="00B17D84">
        <w:t xml:space="preserve">DFCI has proposed need for </w:t>
      </w:r>
      <w:r>
        <w:t xml:space="preserve">linear accelerators (LINACs) and CT simulators </w:t>
      </w:r>
      <w:r w:rsidRPr="00B17D84">
        <w:t xml:space="preserve">to </w:t>
      </w:r>
      <w:r>
        <w:t xml:space="preserve">provide radiation therapy services </w:t>
      </w:r>
      <w:r w:rsidRPr="00B17D84">
        <w:t>currently being referred to other providers</w:t>
      </w:r>
      <w:r>
        <w:t xml:space="preserve"> in its proposed new facility</w:t>
      </w:r>
      <w:r w:rsidRPr="00B17D84">
        <w:t>. This section provides detailed analysis of the patients, providers, and payors for each of the relevant service lines. These apply standard methodologies and a standard basis for estimating shares based on volumes in a geography and by provider.</w:t>
      </w:r>
    </w:p>
    <w:p w14:paraId="09F7798C" w14:textId="64B68CBE" w:rsidR="001E1546" w:rsidRDefault="001E1546" w:rsidP="008C4EE0">
      <w:pPr>
        <w:pStyle w:val="Heading2"/>
        <w:numPr>
          <w:ilvl w:val="0"/>
          <w:numId w:val="27"/>
        </w:numPr>
      </w:pPr>
      <w:bookmarkStart w:id="80" w:name="_Toc187401767"/>
      <w:r>
        <w:lastRenderedPageBreak/>
        <w:t>Defining Radiation Therapy Service Lines</w:t>
      </w:r>
      <w:bookmarkEnd w:id="80"/>
    </w:p>
    <w:p w14:paraId="23C317E1" w14:textId="3FB1188C" w:rsidR="00B17D84" w:rsidRDefault="00B17D84" w:rsidP="00B17D84">
      <w:pPr>
        <w:numPr>
          <w:ilvl w:val="0"/>
          <w:numId w:val="4"/>
        </w:numPr>
        <w:spacing w:before="120" w:after="120" w:line="360" w:lineRule="auto"/>
        <w:jc w:val="both"/>
      </w:pPr>
      <w:r>
        <w:t>Service lines used in this analysis include outpatient LINAC procedures</w:t>
      </w:r>
      <w:r w:rsidR="007B15F0">
        <w:t>,</w:t>
      </w:r>
      <w:r>
        <w:t xml:space="preserve"> CT simulation procedures</w:t>
      </w:r>
      <w:r w:rsidR="007B15F0">
        <w:t>, and the combination of these procedures</w:t>
      </w:r>
      <w:r>
        <w:t>. Because radiation therapy is primarily provided on an outpatient basis, inpatient utilization was not measured. Because these treatments are primarily used to provide cancer care by specialized cancer treatment providers</w:t>
      </w:r>
      <w:r w:rsidRPr="00EF4F3E">
        <w:t xml:space="preserve">, </w:t>
      </w:r>
      <w:r>
        <w:t xml:space="preserve">no additional restrictions were applied to the </w:t>
      </w:r>
      <w:r w:rsidRPr="00EF4F3E">
        <w:t>service line</w:t>
      </w:r>
      <w:r>
        <w:t>s</w:t>
      </w:r>
      <w:r w:rsidRPr="00EF4F3E">
        <w:t xml:space="preserve"> </w:t>
      </w:r>
      <w:r>
        <w:t>for specific diagnoses.</w:t>
      </w:r>
    </w:p>
    <w:p w14:paraId="2B3B79F9" w14:textId="58A15B58" w:rsidR="00B17D84" w:rsidRDefault="00B17D84" w:rsidP="00B17D84">
      <w:pPr>
        <w:numPr>
          <w:ilvl w:val="0"/>
          <w:numId w:val="4"/>
        </w:numPr>
        <w:spacing w:before="120" w:after="120" w:line="360" w:lineRule="auto"/>
        <w:jc w:val="both"/>
      </w:pPr>
      <w:r>
        <w:t xml:space="preserve">Radiation therapies were identified by all claim lines associated with relevant CPT codes in the CHIA </w:t>
      </w:r>
      <w:r w:rsidR="005F36FE">
        <w:t>Massachusetts APCD</w:t>
      </w:r>
      <w:r>
        <w:rPr>
          <w:rStyle w:val="FootnoteReference"/>
        </w:rPr>
        <w:footnoteReference w:id="119"/>
      </w:r>
      <w:r>
        <w:t xml:space="preserve"> or the Medicare Outpatient Claims file.</w:t>
      </w:r>
      <w:r>
        <w:rPr>
          <w:rStyle w:val="FootnoteReference"/>
        </w:rPr>
        <w:footnoteReference w:id="120"/>
      </w:r>
      <w:r>
        <w:t xml:space="preserve"> Similar restrictions to the outpatient claims file as outlined in Section XI were employed for this analysis as well.</w:t>
      </w:r>
    </w:p>
    <w:p w14:paraId="7869041F" w14:textId="41378509" w:rsidR="009A58A5" w:rsidRDefault="009A58A5" w:rsidP="008C4EE0">
      <w:pPr>
        <w:pStyle w:val="Heading2"/>
      </w:pPr>
      <w:bookmarkStart w:id="81" w:name="_Toc187401768"/>
      <w:r>
        <w:t>Geographic Areas of Coverage</w:t>
      </w:r>
      <w:bookmarkEnd w:id="81"/>
    </w:p>
    <w:p w14:paraId="2F1F1520" w14:textId="4A06DE30" w:rsidR="00CC41F7" w:rsidRDefault="00CC41F7" w:rsidP="00CC41F7">
      <w:pPr>
        <w:numPr>
          <w:ilvl w:val="0"/>
          <w:numId w:val="4"/>
        </w:numPr>
        <w:spacing w:before="120" w:after="120" w:line="360" w:lineRule="auto"/>
        <w:jc w:val="both"/>
      </w:pPr>
      <w:r>
        <w:t xml:space="preserve">To assess the geographic scope of radiation therapy services provided by DFCI and competition between outpatient </w:t>
      </w:r>
      <w:r w:rsidR="0050791F">
        <w:t xml:space="preserve">radiation therapy </w:t>
      </w:r>
      <w:r>
        <w:t xml:space="preserve">providers, </w:t>
      </w:r>
      <w:r w:rsidR="001A3174">
        <w:t>FTI</w:t>
      </w:r>
      <w:r>
        <w:t xml:space="preserve"> generated a service area using the methodology described above combining both LINAC and CT simulator procedures.</w:t>
      </w:r>
      <w:r>
        <w:rPr>
          <w:rStyle w:val="FootnoteReference"/>
        </w:rPr>
        <w:footnoteReference w:id="121"/>
      </w:r>
      <w:r>
        <w:t xml:space="preserve"> The service area analysis evaluated data based on current utilization patterns (derived from outpatient claims data) of patients located in Massachusetts. The service area for DFCI </w:t>
      </w:r>
      <w:r w:rsidR="0050791F">
        <w:t xml:space="preserve">radiation therapy </w:t>
      </w:r>
      <w:r>
        <w:t xml:space="preserve">was generated by identifying the set of Massachusetts ZIP codes from which 90% of the </w:t>
      </w:r>
      <w:r w:rsidR="001A3174">
        <w:t xml:space="preserve">radiation therapy service </w:t>
      </w:r>
      <w:r>
        <w:t>line’s 202</w:t>
      </w:r>
      <w:r w:rsidR="0071557D">
        <w:t>1</w:t>
      </w:r>
      <w:r>
        <w:t xml:space="preserve"> visits originated.</w:t>
      </w:r>
    </w:p>
    <w:p w14:paraId="567A47E3" w14:textId="3DE4471F" w:rsidR="00CC41F7" w:rsidRDefault="00CC41F7" w:rsidP="00017609">
      <w:pPr>
        <w:numPr>
          <w:ilvl w:val="0"/>
          <w:numId w:val="4"/>
        </w:numPr>
        <w:spacing w:before="120" w:after="120" w:line="360" w:lineRule="auto"/>
        <w:jc w:val="both"/>
      </w:pPr>
      <w:r>
        <w:t xml:space="preserve">Figure </w:t>
      </w:r>
      <w:r w:rsidR="001204A7">
        <w:t>5</w:t>
      </w:r>
      <w:r>
        <w:t xml:space="preserve"> depicts the 90% PSA for DFCI radiation therapy services in 202</w:t>
      </w:r>
      <w:r w:rsidR="0071557D">
        <w:t>1</w:t>
      </w:r>
      <w:r>
        <w:t>. The service area encompasses a broad set of ZIP codes centered around DFCI’s outpatient facilities</w:t>
      </w:r>
      <w:r w:rsidR="00EB7863">
        <w:t xml:space="preserve">, with some </w:t>
      </w:r>
      <w:r>
        <w:t xml:space="preserve">additional ZIP codes expanding into other areas of the state. </w:t>
      </w:r>
    </w:p>
    <w:p w14:paraId="56AA0205" w14:textId="42C7EFCC" w:rsidR="00EB7863" w:rsidRDefault="00EB7863" w:rsidP="00017609">
      <w:pPr>
        <w:numPr>
          <w:ilvl w:val="0"/>
          <w:numId w:val="4"/>
        </w:numPr>
        <w:spacing w:before="120" w:after="120" w:line="360" w:lineRule="auto"/>
        <w:jc w:val="both"/>
      </w:pPr>
      <w:r w:rsidRPr="00EB7863">
        <w:t>Outpatient CHIA data do not allow for delineation between DFCI radiation therapy locations.</w:t>
      </w:r>
      <w:r>
        <w:t xml:space="preserve"> </w:t>
      </w:r>
      <w:r w:rsidRPr="00EB7863">
        <w:t>LINAC license records</w:t>
      </w:r>
      <w:r>
        <w:t xml:space="preserve"> provided by DPH</w:t>
      </w:r>
      <w:r w:rsidRPr="00EB7863">
        <w:t xml:space="preserve"> indicate that DFCI has LINACs in Milford (1), South Weymouth at South Shore Hospital (2), Boston (3), and Weymouth (1)</w:t>
      </w:r>
      <w:r>
        <w:t>. The s</w:t>
      </w:r>
      <w:r w:rsidRPr="00EB7863">
        <w:t>ervice area mapping demonstrates that DFCI primarily draws its patients from the areas near its Boston and South Shore Hospital locations. This indicates that patient draw areas are relatively local to radiation oncology providers.</w:t>
      </w:r>
      <w:r>
        <w:t xml:space="preserve"> Consequently, </w:t>
      </w:r>
      <w:r w:rsidRPr="00EB7863">
        <w:t xml:space="preserve">FTI conducted its ICA analysis of radiation therapy </w:t>
      </w:r>
      <w:r>
        <w:t xml:space="preserve">for </w:t>
      </w:r>
      <w:r w:rsidRPr="00EB7863">
        <w:t>the Boston region</w:t>
      </w:r>
      <w:r>
        <w:t xml:space="preserve"> (the region in which DFCI proposes to expand its radiation therapy equipment capacity)</w:t>
      </w:r>
      <w:r w:rsidRPr="00EB7863">
        <w:t>, as defined by the Massachusetts Executive Office of Health &amp; Human Services.</w:t>
      </w:r>
    </w:p>
    <w:p w14:paraId="2C24B272" w14:textId="22E190A6" w:rsidR="00CC41F7" w:rsidRDefault="00CC41F7" w:rsidP="00CC41F7">
      <w:pPr>
        <w:pStyle w:val="Caption"/>
        <w:keepNext/>
        <w:jc w:val="center"/>
      </w:pPr>
      <w:bookmarkStart w:id="82" w:name="_Toc187401817"/>
      <w:r>
        <w:lastRenderedPageBreak/>
        <w:t xml:space="preserve">Figure </w:t>
      </w:r>
      <w:fldSimple w:instr=" SEQ Figure \* ARABIC ">
        <w:r w:rsidR="0085394E">
          <w:rPr>
            <w:noProof/>
          </w:rPr>
          <w:t>5</w:t>
        </w:r>
      </w:fldSimple>
      <w:r>
        <w:t>: DFCI Radiation Therapy Services Primary Service Area (90%), 202</w:t>
      </w:r>
      <w:r w:rsidR="0071557D">
        <w:t>1</w:t>
      </w:r>
      <w:r>
        <w:rPr>
          <w:rStyle w:val="FootnoteReference"/>
        </w:rPr>
        <w:footnoteReference w:id="122"/>
      </w:r>
      <w:bookmarkEnd w:id="82"/>
    </w:p>
    <w:p w14:paraId="16DE973C" w14:textId="223CBF4A" w:rsidR="00CC41F7" w:rsidRDefault="002D5863" w:rsidP="00CC41F7">
      <w:pPr>
        <w:spacing w:before="120" w:after="120" w:line="360" w:lineRule="auto"/>
        <w:jc w:val="center"/>
      </w:pPr>
      <w:r>
        <w:rPr>
          <w:noProof/>
        </w:rPr>
        <w:drawing>
          <wp:inline distT="0" distB="0" distL="0" distR="0" wp14:anchorId="10032C57" wp14:editId="62032035">
            <wp:extent cx="4934832" cy="2383860"/>
            <wp:effectExtent l="0" t="0" r="0" b="0"/>
            <wp:docPr id="732095592" name="Picture 38" descr="Map of Massachusetts, DFCI Radiation Therapy Services Primary Service Area (9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95592" name="Picture 38" descr="Map of Massachusetts, DFCI Radiation Therapy Services Primary Service Area (90%),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6999" cy="2399399"/>
                    </a:xfrm>
                    <a:prstGeom prst="rect">
                      <a:avLst/>
                    </a:prstGeom>
                    <a:noFill/>
                  </pic:spPr>
                </pic:pic>
              </a:graphicData>
            </a:graphic>
          </wp:inline>
        </w:drawing>
      </w:r>
    </w:p>
    <w:p w14:paraId="633DA0BE" w14:textId="36DDA551" w:rsidR="009A58A5" w:rsidRDefault="009A58A5" w:rsidP="008C4EE0">
      <w:pPr>
        <w:pStyle w:val="Heading2"/>
      </w:pPr>
      <w:bookmarkStart w:id="83" w:name="_Toc187401769"/>
      <w:r>
        <w:t>Current Provision of Radiation Therapy Services in Massachusetts</w:t>
      </w:r>
      <w:bookmarkEnd w:id="83"/>
    </w:p>
    <w:p w14:paraId="5E3B5820" w14:textId="417C096D" w:rsidR="00350F45" w:rsidRDefault="00350F45" w:rsidP="009A58A5">
      <w:pPr>
        <w:numPr>
          <w:ilvl w:val="0"/>
          <w:numId w:val="4"/>
        </w:numPr>
        <w:spacing w:before="120" w:after="120" w:line="360" w:lineRule="auto"/>
        <w:jc w:val="both"/>
      </w:pPr>
      <w:r w:rsidRPr="00350F45">
        <w:t xml:space="preserve">Table </w:t>
      </w:r>
      <w:r w:rsidR="00AB290B">
        <w:t>3</w:t>
      </w:r>
      <w:r w:rsidR="00AC0296">
        <w:t>1</w:t>
      </w:r>
      <w:r w:rsidRPr="00350F45">
        <w:t xml:space="preserve"> sets out demographic information for patients receiving outpatient radiation therapy at DFCI in 202</w:t>
      </w:r>
      <w:r w:rsidR="0071557D">
        <w:t>1</w:t>
      </w:r>
      <w:r w:rsidRPr="00350F45">
        <w:t xml:space="preserve"> separated by procedure type (LINAC </w:t>
      </w:r>
      <w:r w:rsidR="006C3127">
        <w:t xml:space="preserve">and </w:t>
      </w:r>
      <w:r w:rsidRPr="00350F45">
        <w:t xml:space="preserve">CT simulation). </w:t>
      </w:r>
      <w:r w:rsidR="001A3174">
        <w:t>FTI</w:t>
      </w:r>
      <w:r w:rsidR="006C3127">
        <w:t xml:space="preserve"> estimate</w:t>
      </w:r>
      <w:r w:rsidR="001A3174">
        <w:t>d</w:t>
      </w:r>
      <w:r w:rsidR="006C3127">
        <w:t xml:space="preserve"> that </w:t>
      </w:r>
      <w:r w:rsidRPr="00350F45">
        <w:t>DFCI provided 38,515 LINAC procedures and 974 CT simulations in 202</w:t>
      </w:r>
      <w:r w:rsidR="0071557D">
        <w:t>1</w:t>
      </w:r>
      <w:r w:rsidRPr="00350F45">
        <w:t xml:space="preserve"> across all of its Massachusetts locations. The payor mix of DFCI’s radiation therapy patient panel consists of a majority of Medicare patients (58%) and approximately 20% commercially</w:t>
      </w:r>
      <w:r w:rsidR="006C3127">
        <w:t>-</w:t>
      </w:r>
      <w:r w:rsidRPr="00350F45">
        <w:t>covered patients. Similar to its outpatient imaging patient panel, DFCI’s radiation therapy patient panel is, on average, older and more likely to have Medicare insurance than its inpatient patient panel.</w:t>
      </w:r>
    </w:p>
    <w:p w14:paraId="5F71B43C" w14:textId="3FCF87AB" w:rsidR="00350F45" w:rsidRDefault="006C3127" w:rsidP="00A35837">
      <w:pPr>
        <w:pStyle w:val="Caption"/>
        <w:keepNext/>
        <w:jc w:val="center"/>
      </w:pPr>
      <w:bookmarkStart w:id="84" w:name="_Toc187401804"/>
      <w:r>
        <w:t xml:space="preserve">Table </w:t>
      </w:r>
      <w:fldSimple w:instr=" SEQ Table \* ARABIC ">
        <w:r w:rsidR="0085394E">
          <w:rPr>
            <w:noProof/>
          </w:rPr>
          <w:t>31</w:t>
        </w:r>
      </w:fldSimple>
      <w:r>
        <w:t xml:space="preserve">: </w:t>
      </w:r>
      <w:bookmarkStart w:id="85" w:name="_Hlk180705411"/>
      <w:r>
        <w:t>Demographic Characteristics of DFCI Radiation Therapy Patient Panel, 202</w:t>
      </w:r>
      <w:r w:rsidR="0071557D">
        <w:t>1</w:t>
      </w:r>
      <w:r>
        <w:rPr>
          <w:rStyle w:val="FootnoteReference"/>
        </w:rPr>
        <w:footnoteReference w:id="123"/>
      </w:r>
      <w:bookmarkEnd w:id="85"/>
      <w:bookmarkEnd w:id="84"/>
    </w:p>
    <w:tbl>
      <w:tblPr>
        <w:tblW w:w="9322" w:type="dxa"/>
        <w:jc w:val="center"/>
        <w:tblLook w:val="04A0" w:firstRow="1" w:lastRow="0" w:firstColumn="1" w:lastColumn="0" w:noHBand="0" w:noVBand="1"/>
      </w:tblPr>
      <w:tblGrid>
        <w:gridCol w:w="1215"/>
        <w:gridCol w:w="2862"/>
        <w:gridCol w:w="1316"/>
        <w:gridCol w:w="138"/>
        <w:gridCol w:w="1179"/>
        <w:gridCol w:w="1273"/>
        <w:gridCol w:w="40"/>
        <w:gridCol w:w="1299"/>
      </w:tblGrid>
      <w:tr w:rsidR="00554A1A" w:rsidRPr="009B0F23" w14:paraId="0D932DF5" w14:textId="77777777" w:rsidTr="00054FD5">
        <w:trPr>
          <w:cantSplit/>
          <w:trHeight w:val="274"/>
          <w:tblHeader/>
          <w:jc w:val="center"/>
        </w:trPr>
        <w:tc>
          <w:tcPr>
            <w:tcW w:w="1215" w:type="dxa"/>
            <w:tcBorders>
              <w:top w:val="single" w:sz="8" w:space="0" w:color="auto"/>
              <w:left w:val="single" w:sz="8" w:space="0" w:color="auto"/>
              <w:bottom w:val="nil"/>
              <w:right w:val="nil"/>
            </w:tcBorders>
            <w:shd w:val="clear" w:color="000000" w:fill="002060"/>
            <w:noWrap/>
            <w:vAlign w:val="bottom"/>
            <w:hideMark/>
          </w:tcPr>
          <w:p w14:paraId="55DA7798" w14:textId="77777777" w:rsidR="00554A1A" w:rsidRPr="009B0F23" w:rsidRDefault="00554A1A" w:rsidP="00554A1A">
            <w:pPr>
              <w:spacing w:after="0" w:line="240" w:lineRule="auto"/>
              <w:rPr>
                <w:rFonts w:ascii="Calibri" w:eastAsia="Times New Roman" w:hAnsi="Calibri" w:cs="Calibri"/>
                <w:color w:val="FFFFFF"/>
                <w:kern w:val="0"/>
                <w:sz w:val="20"/>
                <w:szCs w:val="20"/>
                <w14:ligatures w14:val="none"/>
              </w:rPr>
            </w:pPr>
            <w:r w:rsidRPr="009B0F23">
              <w:rPr>
                <w:rFonts w:ascii="Calibri" w:eastAsia="Times New Roman" w:hAnsi="Calibri" w:cs="Calibri"/>
                <w:color w:val="FFFFFF"/>
                <w:kern w:val="0"/>
                <w:sz w:val="20"/>
                <w:szCs w:val="20"/>
                <w14:ligatures w14:val="none"/>
              </w:rPr>
              <w:t> </w:t>
            </w:r>
          </w:p>
        </w:tc>
        <w:tc>
          <w:tcPr>
            <w:tcW w:w="2862" w:type="dxa"/>
            <w:tcBorders>
              <w:top w:val="single" w:sz="8" w:space="0" w:color="auto"/>
              <w:left w:val="nil"/>
              <w:bottom w:val="nil"/>
              <w:right w:val="nil"/>
            </w:tcBorders>
            <w:shd w:val="clear" w:color="000000" w:fill="002060"/>
            <w:noWrap/>
            <w:vAlign w:val="bottom"/>
            <w:hideMark/>
          </w:tcPr>
          <w:p w14:paraId="392ADC78" w14:textId="77777777" w:rsidR="00554A1A" w:rsidRPr="009B0F23" w:rsidRDefault="00554A1A" w:rsidP="00554A1A">
            <w:pPr>
              <w:spacing w:after="0" w:line="240" w:lineRule="auto"/>
              <w:rPr>
                <w:rFonts w:ascii="Calibri" w:eastAsia="Times New Roman" w:hAnsi="Calibri" w:cs="Calibri"/>
                <w:color w:val="FFFFFF"/>
                <w:kern w:val="0"/>
                <w:sz w:val="20"/>
                <w:szCs w:val="20"/>
                <w14:ligatures w14:val="none"/>
              </w:rPr>
            </w:pPr>
            <w:r w:rsidRPr="009B0F23">
              <w:rPr>
                <w:rFonts w:ascii="Calibri" w:eastAsia="Times New Roman" w:hAnsi="Calibri" w:cs="Calibri"/>
                <w:color w:val="FFFFFF"/>
                <w:kern w:val="0"/>
                <w:sz w:val="20"/>
                <w:szCs w:val="20"/>
                <w14:ligatures w14:val="none"/>
              </w:rPr>
              <w:t> </w:t>
            </w:r>
          </w:p>
        </w:tc>
        <w:tc>
          <w:tcPr>
            <w:tcW w:w="1316" w:type="dxa"/>
            <w:tcBorders>
              <w:top w:val="single" w:sz="8" w:space="0" w:color="auto"/>
              <w:left w:val="single" w:sz="4" w:space="0" w:color="auto"/>
              <w:bottom w:val="nil"/>
              <w:right w:val="nil"/>
            </w:tcBorders>
            <w:shd w:val="clear" w:color="000000" w:fill="002060"/>
            <w:noWrap/>
            <w:vAlign w:val="bottom"/>
            <w:hideMark/>
          </w:tcPr>
          <w:p w14:paraId="294C2E41" w14:textId="77777777" w:rsidR="00554A1A" w:rsidRPr="009B0F23" w:rsidRDefault="00554A1A" w:rsidP="00554A1A">
            <w:pPr>
              <w:spacing w:after="0" w:line="240" w:lineRule="auto"/>
              <w:jc w:val="center"/>
              <w:rPr>
                <w:rFonts w:ascii="Calibri" w:eastAsia="Times New Roman" w:hAnsi="Calibri" w:cs="Calibri"/>
                <w:b/>
                <w:bCs/>
                <w:color w:val="FFFFFF"/>
                <w:kern w:val="0"/>
                <w:sz w:val="20"/>
                <w:szCs w:val="20"/>
                <w14:ligatures w14:val="none"/>
              </w:rPr>
            </w:pPr>
            <w:r w:rsidRPr="009B0F23">
              <w:rPr>
                <w:rFonts w:ascii="Calibri" w:eastAsia="Times New Roman" w:hAnsi="Calibri" w:cs="Calibri"/>
                <w:b/>
                <w:bCs/>
                <w:color w:val="FFFFFF"/>
                <w:kern w:val="0"/>
                <w:sz w:val="20"/>
                <w:szCs w:val="20"/>
                <w14:ligatures w14:val="none"/>
              </w:rPr>
              <w:t>LINAC</w:t>
            </w:r>
          </w:p>
        </w:tc>
        <w:tc>
          <w:tcPr>
            <w:tcW w:w="1316" w:type="dxa"/>
            <w:gridSpan w:val="2"/>
            <w:tcBorders>
              <w:top w:val="single" w:sz="8" w:space="0" w:color="auto"/>
              <w:left w:val="single" w:sz="4" w:space="0" w:color="auto"/>
              <w:bottom w:val="nil"/>
              <w:right w:val="nil"/>
            </w:tcBorders>
            <w:shd w:val="clear" w:color="000000" w:fill="002060"/>
            <w:vAlign w:val="bottom"/>
          </w:tcPr>
          <w:p w14:paraId="3C58CC73" w14:textId="24E2C10D" w:rsidR="00554A1A" w:rsidRPr="009B0F23" w:rsidRDefault="00554A1A" w:rsidP="00554A1A">
            <w:pPr>
              <w:spacing w:after="0" w:line="240" w:lineRule="auto"/>
              <w:jc w:val="center"/>
              <w:rPr>
                <w:rFonts w:ascii="Calibri" w:eastAsia="Times New Roman" w:hAnsi="Calibri" w:cs="Calibri"/>
                <w:b/>
                <w:bCs/>
                <w:color w:val="FFFFFF"/>
                <w:kern w:val="0"/>
                <w:sz w:val="20"/>
                <w:szCs w:val="20"/>
                <w14:ligatures w14:val="none"/>
              </w:rPr>
            </w:pPr>
            <w:r w:rsidRPr="009B0F23">
              <w:rPr>
                <w:rFonts w:ascii="Calibri" w:eastAsia="Times New Roman" w:hAnsi="Calibri" w:cs="Calibri"/>
                <w:b/>
                <w:bCs/>
                <w:color w:val="FFFFFF"/>
                <w:kern w:val="0"/>
                <w:sz w:val="20"/>
                <w:szCs w:val="20"/>
                <w14:ligatures w14:val="none"/>
              </w:rPr>
              <w:t>LINAC</w:t>
            </w:r>
          </w:p>
        </w:tc>
        <w:tc>
          <w:tcPr>
            <w:tcW w:w="1313" w:type="dxa"/>
            <w:gridSpan w:val="2"/>
            <w:tcBorders>
              <w:top w:val="single" w:sz="8" w:space="0" w:color="auto"/>
              <w:left w:val="single" w:sz="4" w:space="0" w:color="auto"/>
              <w:bottom w:val="nil"/>
              <w:right w:val="single" w:sz="8" w:space="0" w:color="000000"/>
            </w:tcBorders>
            <w:shd w:val="clear" w:color="000000" w:fill="002060"/>
            <w:noWrap/>
            <w:vAlign w:val="bottom"/>
            <w:hideMark/>
          </w:tcPr>
          <w:p w14:paraId="1B47D448" w14:textId="77777777" w:rsidR="00554A1A" w:rsidRPr="009B0F23" w:rsidRDefault="00554A1A" w:rsidP="00554A1A">
            <w:pPr>
              <w:spacing w:after="0" w:line="240" w:lineRule="auto"/>
              <w:jc w:val="center"/>
              <w:rPr>
                <w:rFonts w:ascii="Calibri" w:eastAsia="Times New Roman" w:hAnsi="Calibri" w:cs="Calibri"/>
                <w:b/>
                <w:bCs/>
                <w:color w:val="FFFFFF"/>
                <w:kern w:val="0"/>
                <w:sz w:val="20"/>
                <w:szCs w:val="20"/>
                <w14:ligatures w14:val="none"/>
              </w:rPr>
            </w:pPr>
            <w:r w:rsidRPr="009B0F23">
              <w:rPr>
                <w:rFonts w:ascii="Calibri" w:eastAsia="Times New Roman" w:hAnsi="Calibri" w:cs="Calibri"/>
                <w:b/>
                <w:bCs/>
                <w:color w:val="FFFFFF"/>
                <w:kern w:val="0"/>
                <w:sz w:val="20"/>
                <w:szCs w:val="20"/>
                <w14:ligatures w14:val="none"/>
              </w:rPr>
              <w:t>CT Simulator</w:t>
            </w:r>
          </w:p>
        </w:tc>
        <w:tc>
          <w:tcPr>
            <w:tcW w:w="1299" w:type="dxa"/>
            <w:tcBorders>
              <w:top w:val="single" w:sz="8" w:space="0" w:color="auto"/>
              <w:left w:val="single" w:sz="4" w:space="0" w:color="auto"/>
              <w:bottom w:val="nil"/>
              <w:right w:val="single" w:sz="8" w:space="0" w:color="000000"/>
            </w:tcBorders>
            <w:shd w:val="clear" w:color="000000" w:fill="002060"/>
            <w:vAlign w:val="bottom"/>
          </w:tcPr>
          <w:p w14:paraId="35A81DFC" w14:textId="3CFBD335" w:rsidR="00554A1A" w:rsidRPr="009B0F23" w:rsidRDefault="00554A1A" w:rsidP="00554A1A">
            <w:pPr>
              <w:spacing w:after="0" w:line="240" w:lineRule="auto"/>
              <w:jc w:val="center"/>
              <w:rPr>
                <w:rFonts w:ascii="Calibri" w:eastAsia="Times New Roman" w:hAnsi="Calibri" w:cs="Calibri"/>
                <w:b/>
                <w:bCs/>
                <w:color w:val="FFFFFF"/>
                <w:kern w:val="0"/>
                <w:sz w:val="20"/>
                <w:szCs w:val="20"/>
                <w14:ligatures w14:val="none"/>
              </w:rPr>
            </w:pPr>
            <w:r w:rsidRPr="009B0F23">
              <w:rPr>
                <w:rFonts w:ascii="Calibri" w:eastAsia="Times New Roman" w:hAnsi="Calibri" w:cs="Calibri"/>
                <w:b/>
                <w:bCs/>
                <w:color w:val="FFFFFF"/>
                <w:kern w:val="0"/>
                <w:sz w:val="20"/>
                <w:szCs w:val="20"/>
                <w14:ligatures w14:val="none"/>
              </w:rPr>
              <w:t>CT Simulator</w:t>
            </w:r>
          </w:p>
        </w:tc>
      </w:tr>
      <w:tr w:rsidR="00554A1A" w:rsidRPr="009B0F23" w14:paraId="098A19C4" w14:textId="77777777" w:rsidTr="00054FD5">
        <w:trPr>
          <w:cantSplit/>
          <w:trHeight w:val="147"/>
          <w:tblHeader/>
          <w:jc w:val="center"/>
        </w:trPr>
        <w:tc>
          <w:tcPr>
            <w:tcW w:w="1215" w:type="dxa"/>
            <w:tcBorders>
              <w:top w:val="nil"/>
              <w:left w:val="single" w:sz="8" w:space="0" w:color="auto"/>
              <w:bottom w:val="nil"/>
              <w:right w:val="nil"/>
            </w:tcBorders>
            <w:shd w:val="clear" w:color="000000" w:fill="002060"/>
            <w:noWrap/>
            <w:vAlign w:val="bottom"/>
            <w:hideMark/>
          </w:tcPr>
          <w:p w14:paraId="6256C893" w14:textId="77777777" w:rsidR="00554A1A" w:rsidRPr="009B0F23" w:rsidRDefault="00554A1A" w:rsidP="00554A1A">
            <w:pPr>
              <w:spacing w:after="0" w:line="240" w:lineRule="auto"/>
              <w:rPr>
                <w:rFonts w:ascii="Calibri" w:eastAsia="Times New Roman" w:hAnsi="Calibri" w:cs="Calibri"/>
                <w:color w:val="FFFFFF"/>
                <w:kern w:val="0"/>
                <w:sz w:val="20"/>
                <w:szCs w:val="20"/>
                <w14:ligatures w14:val="none"/>
              </w:rPr>
            </w:pPr>
            <w:r w:rsidRPr="009B0F23">
              <w:rPr>
                <w:rFonts w:ascii="Calibri" w:eastAsia="Times New Roman" w:hAnsi="Calibri" w:cs="Calibri"/>
                <w:color w:val="FFFFFF"/>
                <w:kern w:val="0"/>
                <w:sz w:val="20"/>
                <w:szCs w:val="20"/>
                <w14:ligatures w14:val="none"/>
              </w:rPr>
              <w:t> </w:t>
            </w:r>
          </w:p>
        </w:tc>
        <w:tc>
          <w:tcPr>
            <w:tcW w:w="2862" w:type="dxa"/>
            <w:tcBorders>
              <w:top w:val="nil"/>
              <w:left w:val="nil"/>
              <w:bottom w:val="nil"/>
              <w:right w:val="nil"/>
            </w:tcBorders>
            <w:shd w:val="clear" w:color="000000" w:fill="002060"/>
            <w:noWrap/>
            <w:vAlign w:val="bottom"/>
            <w:hideMark/>
          </w:tcPr>
          <w:p w14:paraId="36598E90" w14:textId="77777777" w:rsidR="00554A1A" w:rsidRPr="009B0F23" w:rsidRDefault="00554A1A" w:rsidP="00554A1A">
            <w:pPr>
              <w:spacing w:after="0" w:line="240" w:lineRule="auto"/>
              <w:rPr>
                <w:rFonts w:ascii="Calibri" w:eastAsia="Times New Roman" w:hAnsi="Calibri" w:cs="Calibri"/>
                <w:color w:val="FFFFFF"/>
                <w:kern w:val="0"/>
                <w:sz w:val="20"/>
                <w:szCs w:val="20"/>
                <w14:ligatures w14:val="none"/>
              </w:rPr>
            </w:pPr>
            <w:r w:rsidRPr="009B0F23">
              <w:rPr>
                <w:rFonts w:ascii="Calibri" w:eastAsia="Times New Roman" w:hAnsi="Calibri" w:cs="Calibri"/>
                <w:color w:val="FFFFFF"/>
                <w:kern w:val="0"/>
                <w:sz w:val="20"/>
                <w:szCs w:val="20"/>
                <w14:ligatures w14:val="none"/>
              </w:rPr>
              <w:t> </w:t>
            </w:r>
          </w:p>
        </w:tc>
        <w:tc>
          <w:tcPr>
            <w:tcW w:w="1454" w:type="dxa"/>
            <w:gridSpan w:val="2"/>
            <w:tcBorders>
              <w:top w:val="nil"/>
              <w:left w:val="single" w:sz="4" w:space="0" w:color="auto"/>
              <w:bottom w:val="nil"/>
              <w:right w:val="nil"/>
            </w:tcBorders>
            <w:shd w:val="clear" w:color="000000" w:fill="002060"/>
            <w:noWrap/>
            <w:vAlign w:val="bottom"/>
            <w:hideMark/>
          </w:tcPr>
          <w:p w14:paraId="24BEF804" w14:textId="77777777" w:rsidR="00554A1A" w:rsidRPr="009B0F23" w:rsidRDefault="00554A1A" w:rsidP="00554A1A">
            <w:pPr>
              <w:spacing w:after="0" w:line="240" w:lineRule="auto"/>
              <w:jc w:val="center"/>
              <w:rPr>
                <w:rFonts w:ascii="Calibri" w:eastAsia="Times New Roman" w:hAnsi="Calibri" w:cs="Calibri"/>
                <w:i/>
                <w:iCs/>
                <w:color w:val="FFFFFF"/>
                <w:kern w:val="0"/>
                <w:sz w:val="20"/>
                <w:szCs w:val="20"/>
                <w14:ligatures w14:val="none"/>
              </w:rPr>
            </w:pPr>
            <w:r w:rsidRPr="009B0F23">
              <w:rPr>
                <w:rFonts w:ascii="Calibri" w:eastAsia="Times New Roman" w:hAnsi="Calibri" w:cs="Calibri"/>
                <w:i/>
                <w:iCs/>
                <w:color w:val="FFFFFF"/>
                <w:kern w:val="0"/>
                <w:sz w:val="20"/>
                <w:szCs w:val="20"/>
                <w14:ligatures w14:val="none"/>
              </w:rPr>
              <w:t>Total</w:t>
            </w:r>
          </w:p>
        </w:tc>
        <w:tc>
          <w:tcPr>
            <w:tcW w:w="1179" w:type="dxa"/>
            <w:tcBorders>
              <w:top w:val="nil"/>
              <w:left w:val="nil"/>
              <w:bottom w:val="nil"/>
              <w:right w:val="nil"/>
            </w:tcBorders>
            <w:shd w:val="clear" w:color="000000" w:fill="002060"/>
            <w:noWrap/>
            <w:vAlign w:val="bottom"/>
            <w:hideMark/>
          </w:tcPr>
          <w:p w14:paraId="4D3D72CA" w14:textId="77777777" w:rsidR="00554A1A" w:rsidRPr="009B0F23" w:rsidRDefault="00554A1A" w:rsidP="00554A1A">
            <w:pPr>
              <w:spacing w:after="0" w:line="240" w:lineRule="auto"/>
              <w:jc w:val="center"/>
              <w:rPr>
                <w:rFonts w:ascii="Calibri" w:eastAsia="Times New Roman" w:hAnsi="Calibri" w:cs="Calibri"/>
                <w:i/>
                <w:iCs/>
                <w:color w:val="FFFFFF"/>
                <w:kern w:val="0"/>
                <w:sz w:val="20"/>
                <w:szCs w:val="20"/>
                <w14:ligatures w14:val="none"/>
              </w:rPr>
            </w:pPr>
            <w:r w:rsidRPr="009B0F23">
              <w:rPr>
                <w:rFonts w:ascii="Calibri" w:eastAsia="Times New Roman" w:hAnsi="Calibri" w:cs="Calibri"/>
                <w:i/>
                <w:iCs/>
                <w:color w:val="FFFFFF"/>
                <w:kern w:val="0"/>
                <w:sz w:val="20"/>
                <w:szCs w:val="20"/>
                <w14:ligatures w14:val="none"/>
              </w:rPr>
              <w:t>%</w:t>
            </w:r>
          </w:p>
        </w:tc>
        <w:tc>
          <w:tcPr>
            <w:tcW w:w="1273" w:type="dxa"/>
            <w:tcBorders>
              <w:top w:val="nil"/>
              <w:left w:val="single" w:sz="4" w:space="0" w:color="auto"/>
              <w:bottom w:val="nil"/>
              <w:right w:val="nil"/>
            </w:tcBorders>
            <w:shd w:val="clear" w:color="000000" w:fill="002060"/>
            <w:noWrap/>
            <w:vAlign w:val="bottom"/>
            <w:hideMark/>
          </w:tcPr>
          <w:p w14:paraId="49699835" w14:textId="77777777" w:rsidR="00554A1A" w:rsidRPr="009B0F23" w:rsidRDefault="00554A1A" w:rsidP="00554A1A">
            <w:pPr>
              <w:spacing w:after="0" w:line="240" w:lineRule="auto"/>
              <w:jc w:val="center"/>
              <w:rPr>
                <w:rFonts w:ascii="Calibri" w:eastAsia="Times New Roman" w:hAnsi="Calibri" w:cs="Calibri"/>
                <w:i/>
                <w:iCs/>
                <w:color w:val="FFFFFF"/>
                <w:kern w:val="0"/>
                <w:sz w:val="20"/>
                <w:szCs w:val="20"/>
                <w14:ligatures w14:val="none"/>
              </w:rPr>
            </w:pPr>
            <w:r w:rsidRPr="009B0F23">
              <w:rPr>
                <w:rFonts w:ascii="Calibri" w:eastAsia="Times New Roman" w:hAnsi="Calibri" w:cs="Calibri"/>
                <w:i/>
                <w:iCs/>
                <w:color w:val="FFFFFF"/>
                <w:kern w:val="0"/>
                <w:sz w:val="20"/>
                <w:szCs w:val="20"/>
                <w14:ligatures w14:val="none"/>
              </w:rPr>
              <w:t>Total</w:t>
            </w:r>
          </w:p>
        </w:tc>
        <w:tc>
          <w:tcPr>
            <w:tcW w:w="1339" w:type="dxa"/>
            <w:gridSpan w:val="2"/>
            <w:tcBorders>
              <w:top w:val="nil"/>
              <w:left w:val="nil"/>
              <w:bottom w:val="nil"/>
              <w:right w:val="single" w:sz="8" w:space="0" w:color="auto"/>
            </w:tcBorders>
            <w:shd w:val="clear" w:color="000000" w:fill="002060"/>
            <w:noWrap/>
            <w:vAlign w:val="bottom"/>
            <w:hideMark/>
          </w:tcPr>
          <w:p w14:paraId="73010783" w14:textId="77777777" w:rsidR="00554A1A" w:rsidRPr="009B0F23" w:rsidRDefault="00554A1A" w:rsidP="00554A1A">
            <w:pPr>
              <w:spacing w:after="0" w:line="240" w:lineRule="auto"/>
              <w:jc w:val="center"/>
              <w:rPr>
                <w:rFonts w:ascii="Calibri" w:eastAsia="Times New Roman" w:hAnsi="Calibri" w:cs="Calibri"/>
                <w:i/>
                <w:iCs/>
                <w:color w:val="FFFFFF"/>
                <w:kern w:val="0"/>
                <w:sz w:val="20"/>
                <w:szCs w:val="20"/>
                <w14:ligatures w14:val="none"/>
              </w:rPr>
            </w:pPr>
            <w:r w:rsidRPr="009B0F23">
              <w:rPr>
                <w:rFonts w:ascii="Calibri" w:eastAsia="Times New Roman" w:hAnsi="Calibri" w:cs="Calibri"/>
                <w:i/>
                <w:iCs/>
                <w:color w:val="FFFFFF"/>
                <w:kern w:val="0"/>
                <w:sz w:val="20"/>
                <w:szCs w:val="20"/>
                <w14:ligatures w14:val="none"/>
              </w:rPr>
              <w:t>%</w:t>
            </w:r>
          </w:p>
        </w:tc>
      </w:tr>
      <w:tr w:rsidR="00554A1A" w:rsidRPr="009B0F23" w14:paraId="30228C9E" w14:textId="77777777" w:rsidTr="00054FD5">
        <w:trPr>
          <w:cantSplit/>
          <w:trHeight w:val="265"/>
          <w:jc w:val="center"/>
        </w:trPr>
        <w:tc>
          <w:tcPr>
            <w:tcW w:w="1215" w:type="dxa"/>
            <w:vMerge w:val="restart"/>
            <w:tcBorders>
              <w:top w:val="single" w:sz="8" w:space="0" w:color="auto"/>
              <w:left w:val="single" w:sz="8" w:space="0" w:color="auto"/>
              <w:bottom w:val="single" w:sz="4" w:space="0" w:color="A6A6A6"/>
              <w:right w:val="nil"/>
            </w:tcBorders>
            <w:shd w:val="clear" w:color="auto" w:fill="auto"/>
            <w:vAlign w:val="center"/>
            <w:hideMark/>
          </w:tcPr>
          <w:p w14:paraId="120B1A58" w14:textId="77777777" w:rsidR="00554A1A" w:rsidRPr="009B0F23" w:rsidRDefault="00554A1A" w:rsidP="00554A1A">
            <w:pPr>
              <w:spacing w:after="0" w:line="240" w:lineRule="auto"/>
              <w:jc w:val="center"/>
              <w:rPr>
                <w:rFonts w:ascii="Calibri" w:eastAsia="Times New Roman" w:hAnsi="Calibri" w:cs="Calibri"/>
                <w:b/>
                <w:bCs/>
                <w:kern w:val="0"/>
                <w:sz w:val="20"/>
                <w:szCs w:val="20"/>
                <w14:ligatures w14:val="none"/>
              </w:rPr>
            </w:pPr>
            <w:r w:rsidRPr="009B0F23">
              <w:rPr>
                <w:rFonts w:ascii="Calibri" w:eastAsia="Times New Roman" w:hAnsi="Calibri" w:cs="Calibri"/>
                <w:b/>
                <w:bCs/>
                <w:kern w:val="0"/>
                <w:sz w:val="20"/>
                <w:szCs w:val="20"/>
                <w14:ligatures w14:val="none"/>
              </w:rPr>
              <w:t>Age</w:t>
            </w:r>
          </w:p>
        </w:tc>
        <w:tc>
          <w:tcPr>
            <w:tcW w:w="2862" w:type="dxa"/>
            <w:tcBorders>
              <w:top w:val="single" w:sz="8" w:space="0" w:color="auto"/>
              <w:left w:val="nil"/>
              <w:bottom w:val="single" w:sz="4" w:space="0" w:color="A6A6A6"/>
              <w:right w:val="nil"/>
            </w:tcBorders>
            <w:shd w:val="clear" w:color="auto" w:fill="auto"/>
            <w:noWrap/>
            <w:vAlign w:val="bottom"/>
            <w:hideMark/>
          </w:tcPr>
          <w:p w14:paraId="4EFE66E7"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18-34</w:t>
            </w:r>
          </w:p>
        </w:tc>
        <w:tc>
          <w:tcPr>
            <w:tcW w:w="1454" w:type="dxa"/>
            <w:gridSpan w:val="2"/>
            <w:tcBorders>
              <w:top w:val="single" w:sz="8" w:space="0" w:color="auto"/>
              <w:left w:val="single" w:sz="4" w:space="0" w:color="auto"/>
              <w:bottom w:val="single" w:sz="4" w:space="0" w:color="A6A6A6"/>
              <w:right w:val="nil"/>
            </w:tcBorders>
            <w:shd w:val="clear" w:color="auto" w:fill="auto"/>
            <w:noWrap/>
            <w:vAlign w:val="bottom"/>
            <w:hideMark/>
          </w:tcPr>
          <w:p w14:paraId="10BE89F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553 </w:t>
            </w:r>
          </w:p>
        </w:tc>
        <w:tc>
          <w:tcPr>
            <w:tcW w:w="1179" w:type="dxa"/>
            <w:tcBorders>
              <w:top w:val="single" w:sz="8" w:space="0" w:color="auto"/>
              <w:left w:val="nil"/>
              <w:bottom w:val="single" w:sz="4" w:space="0" w:color="A6A6A6"/>
              <w:right w:val="nil"/>
            </w:tcBorders>
            <w:shd w:val="clear" w:color="auto" w:fill="auto"/>
            <w:noWrap/>
            <w:vAlign w:val="bottom"/>
            <w:hideMark/>
          </w:tcPr>
          <w:p w14:paraId="78BF2DE7"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w:t>
            </w:r>
          </w:p>
        </w:tc>
        <w:tc>
          <w:tcPr>
            <w:tcW w:w="1273" w:type="dxa"/>
            <w:tcBorders>
              <w:top w:val="single" w:sz="8" w:space="0" w:color="auto"/>
              <w:left w:val="single" w:sz="4" w:space="0" w:color="auto"/>
              <w:bottom w:val="single" w:sz="4" w:space="0" w:color="A6A6A6"/>
              <w:right w:val="nil"/>
            </w:tcBorders>
            <w:shd w:val="clear" w:color="auto" w:fill="auto"/>
            <w:noWrap/>
            <w:vAlign w:val="bottom"/>
            <w:hideMark/>
          </w:tcPr>
          <w:p w14:paraId="5950F612"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12 </w:t>
            </w:r>
          </w:p>
        </w:tc>
        <w:tc>
          <w:tcPr>
            <w:tcW w:w="1339" w:type="dxa"/>
            <w:gridSpan w:val="2"/>
            <w:tcBorders>
              <w:top w:val="single" w:sz="8" w:space="0" w:color="auto"/>
              <w:left w:val="nil"/>
              <w:bottom w:val="single" w:sz="4" w:space="0" w:color="A6A6A6"/>
              <w:right w:val="single" w:sz="8" w:space="0" w:color="auto"/>
            </w:tcBorders>
            <w:shd w:val="clear" w:color="auto" w:fill="auto"/>
            <w:noWrap/>
            <w:vAlign w:val="bottom"/>
            <w:hideMark/>
          </w:tcPr>
          <w:p w14:paraId="11FCF3D2"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w:t>
            </w:r>
          </w:p>
        </w:tc>
      </w:tr>
      <w:tr w:rsidR="00554A1A" w:rsidRPr="009B0F23" w14:paraId="5C4E1DF4" w14:textId="77777777" w:rsidTr="00054FD5">
        <w:trPr>
          <w:cantSplit/>
          <w:trHeight w:val="265"/>
          <w:jc w:val="center"/>
        </w:trPr>
        <w:tc>
          <w:tcPr>
            <w:tcW w:w="1215" w:type="dxa"/>
            <w:vMerge/>
            <w:tcBorders>
              <w:top w:val="single" w:sz="8" w:space="0" w:color="auto"/>
              <w:left w:val="single" w:sz="8" w:space="0" w:color="auto"/>
              <w:bottom w:val="single" w:sz="4" w:space="0" w:color="A6A6A6"/>
              <w:right w:val="nil"/>
            </w:tcBorders>
            <w:vAlign w:val="center"/>
            <w:hideMark/>
          </w:tcPr>
          <w:p w14:paraId="38794E42"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nil"/>
            </w:tcBorders>
            <w:shd w:val="clear" w:color="auto" w:fill="auto"/>
            <w:noWrap/>
            <w:vAlign w:val="bottom"/>
            <w:hideMark/>
          </w:tcPr>
          <w:p w14:paraId="20BC110C"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35-54</w:t>
            </w:r>
          </w:p>
        </w:tc>
        <w:tc>
          <w:tcPr>
            <w:tcW w:w="1454" w:type="dxa"/>
            <w:gridSpan w:val="2"/>
            <w:tcBorders>
              <w:top w:val="nil"/>
              <w:left w:val="single" w:sz="4" w:space="0" w:color="auto"/>
              <w:bottom w:val="single" w:sz="4" w:space="0" w:color="A6A6A6"/>
              <w:right w:val="nil"/>
            </w:tcBorders>
            <w:shd w:val="clear" w:color="auto" w:fill="auto"/>
            <w:noWrap/>
            <w:vAlign w:val="bottom"/>
            <w:hideMark/>
          </w:tcPr>
          <w:p w14:paraId="69E6AF61"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3,965 </w:t>
            </w:r>
          </w:p>
        </w:tc>
        <w:tc>
          <w:tcPr>
            <w:tcW w:w="1179" w:type="dxa"/>
            <w:tcBorders>
              <w:top w:val="nil"/>
              <w:left w:val="nil"/>
              <w:bottom w:val="single" w:sz="4" w:space="0" w:color="A6A6A6"/>
              <w:right w:val="nil"/>
            </w:tcBorders>
            <w:shd w:val="clear" w:color="auto" w:fill="auto"/>
            <w:noWrap/>
            <w:vAlign w:val="bottom"/>
            <w:hideMark/>
          </w:tcPr>
          <w:p w14:paraId="51E31B04"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10%</w:t>
            </w:r>
          </w:p>
        </w:tc>
        <w:tc>
          <w:tcPr>
            <w:tcW w:w="1273" w:type="dxa"/>
            <w:tcBorders>
              <w:top w:val="nil"/>
              <w:left w:val="single" w:sz="4" w:space="0" w:color="auto"/>
              <w:bottom w:val="single" w:sz="4" w:space="0" w:color="A6A6A6"/>
              <w:right w:val="nil"/>
            </w:tcBorders>
            <w:shd w:val="clear" w:color="auto" w:fill="auto"/>
            <w:noWrap/>
            <w:vAlign w:val="bottom"/>
            <w:hideMark/>
          </w:tcPr>
          <w:p w14:paraId="10904F2F"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127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0B3A72A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13%</w:t>
            </w:r>
          </w:p>
        </w:tc>
      </w:tr>
      <w:tr w:rsidR="00554A1A" w:rsidRPr="009B0F23" w14:paraId="48119D11" w14:textId="77777777" w:rsidTr="00054FD5">
        <w:trPr>
          <w:cantSplit/>
          <w:trHeight w:val="265"/>
          <w:jc w:val="center"/>
        </w:trPr>
        <w:tc>
          <w:tcPr>
            <w:tcW w:w="1215" w:type="dxa"/>
            <w:vMerge/>
            <w:tcBorders>
              <w:top w:val="single" w:sz="8" w:space="0" w:color="auto"/>
              <w:left w:val="single" w:sz="8" w:space="0" w:color="auto"/>
              <w:bottom w:val="single" w:sz="4" w:space="0" w:color="A6A6A6"/>
              <w:right w:val="nil"/>
            </w:tcBorders>
            <w:vAlign w:val="center"/>
            <w:hideMark/>
          </w:tcPr>
          <w:p w14:paraId="3BE001F1"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nil"/>
            </w:tcBorders>
            <w:shd w:val="clear" w:color="auto" w:fill="auto"/>
            <w:noWrap/>
            <w:vAlign w:val="bottom"/>
            <w:hideMark/>
          </w:tcPr>
          <w:p w14:paraId="1BB74E66"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55-64</w:t>
            </w:r>
          </w:p>
        </w:tc>
        <w:tc>
          <w:tcPr>
            <w:tcW w:w="1454" w:type="dxa"/>
            <w:gridSpan w:val="2"/>
            <w:tcBorders>
              <w:top w:val="nil"/>
              <w:left w:val="single" w:sz="4" w:space="0" w:color="auto"/>
              <w:bottom w:val="single" w:sz="4" w:space="0" w:color="A6A6A6"/>
              <w:right w:val="nil"/>
            </w:tcBorders>
            <w:shd w:val="clear" w:color="auto" w:fill="auto"/>
            <w:noWrap/>
            <w:vAlign w:val="bottom"/>
            <w:hideMark/>
          </w:tcPr>
          <w:p w14:paraId="62475C58"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5,899 </w:t>
            </w:r>
          </w:p>
        </w:tc>
        <w:tc>
          <w:tcPr>
            <w:tcW w:w="1179" w:type="dxa"/>
            <w:tcBorders>
              <w:top w:val="nil"/>
              <w:left w:val="nil"/>
              <w:bottom w:val="single" w:sz="4" w:space="0" w:color="A6A6A6"/>
              <w:right w:val="nil"/>
            </w:tcBorders>
            <w:shd w:val="clear" w:color="auto" w:fill="auto"/>
            <w:noWrap/>
            <w:vAlign w:val="bottom"/>
            <w:hideMark/>
          </w:tcPr>
          <w:p w14:paraId="66AE8C22"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15%</w:t>
            </w:r>
          </w:p>
        </w:tc>
        <w:tc>
          <w:tcPr>
            <w:tcW w:w="1273" w:type="dxa"/>
            <w:tcBorders>
              <w:top w:val="nil"/>
              <w:left w:val="single" w:sz="4" w:space="0" w:color="auto"/>
              <w:bottom w:val="single" w:sz="4" w:space="0" w:color="A6A6A6"/>
              <w:right w:val="nil"/>
            </w:tcBorders>
            <w:shd w:val="clear" w:color="auto" w:fill="auto"/>
            <w:noWrap/>
            <w:vAlign w:val="bottom"/>
            <w:hideMark/>
          </w:tcPr>
          <w:p w14:paraId="5142F15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159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103122D2"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16%</w:t>
            </w:r>
          </w:p>
        </w:tc>
      </w:tr>
      <w:tr w:rsidR="00554A1A" w:rsidRPr="009B0F23" w14:paraId="24FF05C6" w14:textId="77777777" w:rsidTr="00054FD5">
        <w:trPr>
          <w:cantSplit/>
          <w:trHeight w:val="265"/>
          <w:jc w:val="center"/>
        </w:trPr>
        <w:tc>
          <w:tcPr>
            <w:tcW w:w="1215" w:type="dxa"/>
            <w:vMerge/>
            <w:tcBorders>
              <w:top w:val="single" w:sz="8" w:space="0" w:color="auto"/>
              <w:left w:val="single" w:sz="8" w:space="0" w:color="auto"/>
              <w:bottom w:val="single" w:sz="4" w:space="0" w:color="A6A6A6"/>
              <w:right w:val="nil"/>
            </w:tcBorders>
            <w:vAlign w:val="center"/>
            <w:hideMark/>
          </w:tcPr>
          <w:p w14:paraId="66C379A7"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nil"/>
            </w:tcBorders>
            <w:shd w:val="clear" w:color="auto" w:fill="auto"/>
            <w:noWrap/>
            <w:vAlign w:val="bottom"/>
            <w:hideMark/>
          </w:tcPr>
          <w:p w14:paraId="741EEBC2"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65-74</w:t>
            </w:r>
          </w:p>
        </w:tc>
        <w:tc>
          <w:tcPr>
            <w:tcW w:w="1454" w:type="dxa"/>
            <w:gridSpan w:val="2"/>
            <w:tcBorders>
              <w:top w:val="nil"/>
              <w:left w:val="single" w:sz="4" w:space="0" w:color="auto"/>
              <w:bottom w:val="single" w:sz="4" w:space="0" w:color="A6A6A6"/>
              <w:right w:val="nil"/>
            </w:tcBorders>
            <w:shd w:val="clear" w:color="auto" w:fill="auto"/>
            <w:noWrap/>
            <w:vAlign w:val="bottom"/>
            <w:hideMark/>
          </w:tcPr>
          <w:p w14:paraId="6147677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15,089 </w:t>
            </w:r>
          </w:p>
        </w:tc>
        <w:tc>
          <w:tcPr>
            <w:tcW w:w="1179" w:type="dxa"/>
            <w:tcBorders>
              <w:top w:val="nil"/>
              <w:left w:val="nil"/>
              <w:bottom w:val="single" w:sz="4" w:space="0" w:color="A6A6A6"/>
              <w:right w:val="nil"/>
            </w:tcBorders>
            <w:shd w:val="clear" w:color="auto" w:fill="auto"/>
            <w:noWrap/>
            <w:vAlign w:val="bottom"/>
            <w:hideMark/>
          </w:tcPr>
          <w:p w14:paraId="0B5A038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39%</w:t>
            </w:r>
          </w:p>
        </w:tc>
        <w:tc>
          <w:tcPr>
            <w:tcW w:w="1273" w:type="dxa"/>
            <w:tcBorders>
              <w:top w:val="nil"/>
              <w:left w:val="single" w:sz="4" w:space="0" w:color="auto"/>
              <w:bottom w:val="single" w:sz="4" w:space="0" w:color="A6A6A6"/>
              <w:right w:val="nil"/>
            </w:tcBorders>
            <w:shd w:val="clear" w:color="auto" w:fill="auto"/>
            <w:noWrap/>
            <w:vAlign w:val="bottom"/>
            <w:hideMark/>
          </w:tcPr>
          <w:p w14:paraId="1746E33C"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409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15883251"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42%</w:t>
            </w:r>
          </w:p>
        </w:tc>
      </w:tr>
      <w:tr w:rsidR="00554A1A" w:rsidRPr="009B0F23" w14:paraId="159D715C" w14:textId="77777777" w:rsidTr="00054FD5">
        <w:trPr>
          <w:cantSplit/>
          <w:trHeight w:val="265"/>
          <w:jc w:val="center"/>
        </w:trPr>
        <w:tc>
          <w:tcPr>
            <w:tcW w:w="1215" w:type="dxa"/>
            <w:vMerge/>
            <w:tcBorders>
              <w:top w:val="single" w:sz="8" w:space="0" w:color="auto"/>
              <w:left w:val="single" w:sz="8" w:space="0" w:color="auto"/>
              <w:bottom w:val="single" w:sz="4" w:space="0" w:color="A6A6A6"/>
              <w:right w:val="nil"/>
            </w:tcBorders>
            <w:vAlign w:val="center"/>
            <w:hideMark/>
          </w:tcPr>
          <w:p w14:paraId="668D472E"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nil"/>
            </w:tcBorders>
            <w:shd w:val="clear" w:color="auto" w:fill="auto"/>
            <w:noWrap/>
            <w:vAlign w:val="bottom"/>
            <w:hideMark/>
          </w:tcPr>
          <w:p w14:paraId="54F0B023"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75+</w:t>
            </w:r>
          </w:p>
        </w:tc>
        <w:tc>
          <w:tcPr>
            <w:tcW w:w="1454" w:type="dxa"/>
            <w:gridSpan w:val="2"/>
            <w:tcBorders>
              <w:top w:val="nil"/>
              <w:left w:val="single" w:sz="4" w:space="0" w:color="auto"/>
              <w:bottom w:val="single" w:sz="4" w:space="0" w:color="A6A6A6"/>
              <w:right w:val="nil"/>
            </w:tcBorders>
            <w:shd w:val="clear" w:color="auto" w:fill="auto"/>
            <w:noWrap/>
            <w:vAlign w:val="bottom"/>
            <w:hideMark/>
          </w:tcPr>
          <w:p w14:paraId="30A2154B"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12,990 </w:t>
            </w:r>
          </w:p>
        </w:tc>
        <w:tc>
          <w:tcPr>
            <w:tcW w:w="1179" w:type="dxa"/>
            <w:tcBorders>
              <w:top w:val="nil"/>
              <w:left w:val="nil"/>
              <w:bottom w:val="single" w:sz="4" w:space="0" w:color="A6A6A6"/>
              <w:right w:val="nil"/>
            </w:tcBorders>
            <w:shd w:val="clear" w:color="auto" w:fill="auto"/>
            <w:noWrap/>
            <w:vAlign w:val="bottom"/>
            <w:hideMark/>
          </w:tcPr>
          <w:p w14:paraId="5517AB4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34%</w:t>
            </w:r>
          </w:p>
        </w:tc>
        <w:tc>
          <w:tcPr>
            <w:tcW w:w="1273" w:type="dxa"/>
            <w:tcBorders>
              <w:top w:val="nil"/>
              <w:left w:val="single" w:sz="4" w:space="0" w:color="auto"/>
              <w:bottom w:val="single" w:sz="4" w:space="0" w:color="A6A6A6"/>
              <w:right w:val="nil"/>
            </w:tcBorders>
            <w:shd w:val="clear" w:color="auto" w:fill="auto"/>
            <w:noWrap/>
            <w:vAlign w:val="bottom"/>
            <w:hideMark/>
          </w:tcPr>
          <w:p w14:paraId="08126BC8"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266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45BD98D8"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27%</w:t>
            </w:r>
          </w:p>
        </w:tc>
      </w:tr>
      <w:tr w:rsidR="00554A1A" w:rsidRPr="009B0F23" w14:paraId="1EDE39D0" w14:textId="77777777" w:rsidTr="00054FD5">
        <w:trPr>
          <w:cantSplit/>
          <w:trHeight w:val="265"/>
          <w:jc w:val="center"/>
        </w:trPr>
        <w:tc>
          <w:tcPr>
            <w:tcW w:w="1215" w:type="dxa"/>
            <w:vMerge w:val="restart"/>
            <w:tcBorders>
              <w:top w:val="single" w:sz="4" w:space="0" w:color="auto"/>
              <w:left w:val="single" w:sz="8" w:space="0" w:color="auto"/>
              <w:bottom w:val="nil"/>
              <w:right w:val="nil"/>
            </w:tcBorders>
            <w:shd w:val="clear" w:color="auto" w:fill="auto"/>
            <w:vAlign w:val="center"/>
            <w:hideMark/>
          </w:tcPr>
          <w:p w14:paraId="5412968F" w14:textId="77777777" w:rsidR="00554A1A" w:rsidRPr="009B0F23" w:rsidRDefault="00554A1A" w:rsidP="00554A1A">
            <w:pPr>
              <w:spacing w:after="0" w:line="240" w:lineRule="auto"/>
              <w:jc w:val="center"/>
              <w:rPr>
                <w:rFonts w:ascii="Calibri" w:eastAsia="Times New Roman" w:hAnsi="Calibri" w:cs="Calibri"/>
                <w:b/>
                <w:bCs/>
                <w:kern w:val="0"/>
                <w:sz w:val="20"/>
                <w:szCs w:val="20"/>
                <w14:ligatures w14:val="none"/>
              </w:rPr>
            </w:pPr>
            <w:r w:rsidRPr="009B0F23">
              <w:rPr>
                <w:rFonts w:ascii="Calibri" w:eastAsia="Times New Roman" w:hAnsi="Calibri" w:cs="Calibri"/>
                <w:b/>
                <w:bCs/>
                <w:kern w:val="0"/>
                <w:sz w:val="20"/>
                <w:szCs w:val="20"/>
                <w14:ligatures w14:val="none"/>
              </w:rPr>
              <w:t>Gender</w:t>
            </w:r>
          </w:p>
        </w:tc>
        <w:tc>
          <w:tcPr>
            <w:tcW w:w="2862" w:type="dxa"/>
            <w:tcBorders>
              <w:top w:val="single" w:sz="4" w:space="0" w:color="auto"/>
              <w:left w:val="nil"/>
              <w:bottom w:val="single" w:sz="4" w:space="0" w:color="A6A6A6"/>
              <w:right w:val="nil"/>
            </w:tcBorders>
            <w:shd w:val="clear" w:color="auto" w:fill="auto"/>
            <w:noWrap/>
            <w:vAlign w:val="bottom"/>
            <w:hideMark/>
          </w:tcPr>
          <w:p w14:paraId="6826D85E"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Female</w:t>
            </w:r>
          </w:p>
        </w:tc>
        <w:tc>
          <w:tcPr>
            <w:tcW w:w="1454" w:type="dxa"/>
            <w:gridSpan w:val="2"/>
            <w:tcBorders>
              <w:top w:val="single" w:sz="4" w:space="0" w:color="auto"/>
              <w:left w:val="single" w:sz="4" w:space="0" w:color="auto"/>
              <w:bottom w:val="single" w:sz="4" w:space="0" w:color="A6A6A6"/>
              <w:right w:val="nil"/>
            </w:tcBorders>
            <w:shd w:val="clear" w:color="auto" w:fill="auto"/>
            <w:noWrap/>
            <w:vAlign w:val="bottom"/>
            <w:hideMark/>
          </w:tcPr>
          <w:p w14:paraId="354787FC"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19,569 </w:t>
            </w:r>
          </w:p>
        </w:tc>
        <w:tc>
          <w:tcPr>
            <w:tcW w:w="1179" w:type="dxa"/>
            <w:tcBorders>
              <w:top w:val="single" w:sz="4" w:space="0" w:color="auto"/>
              <w:left w:val="nil"/>
              <w:bottom w:val="single" w:sz="4" w:space="0" w:color="A6A6A6"/>
              <w:right w:val="nil"/>
            </w:tcBorders>
            <w:shd w:val="clear" w:color="auto" w:fill="auto"/>
            <w:noWrap/>
            <w:vAlign w:val="bottom"/>
            <w:hideMark/>
          </w:tcPr>
          <w:p w14:paraId="14388F5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51%</w:t>
            </w:r>
          </w:p>
        </w:tc>
        <w:tc>
          <w:tcPr>
            <w:tcW w:w="1273" w:type="dxa"/>
            <w:tcBorders>
              <w:top w:val="single" w:sz="4" w:space="0" w:color="auto"/>
              <w:left w:val="single" w:sz="4" w:space="0" w:color="auto"/>
              <w:bottom w:val="single" w:sz="4" w:space="0" w:color="A6A6A6"/>
              <w:right w:val="nil"/>
            </w:tcBorders>
            <w:shd w:val="clear" w:color="auto" w:fill="auto"/>
            <w:noWrap/>
            <w:vAlign w:val="bottom"/>
            <w:hideMark/>
          </w:tcPr>
          <w:p w14:paraId="58E09AD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789 </w:t>
            </w:r>
          </w:p>
        </w:tc>
        <w:tc>
          <w:tcPr>
            <w:tcW w:w="1339" w:type="dxa"/>
            <w:gridSpan w:val="2"/>
            <w:tcBorders>
              <w:top w:val="single" w:sz="4" w:space="0" w:color="auto"/>
              <w:left w:val="nil"/>
              <w:bottom w:val="single" w:sz="4" w:space="0" w:color="A6A6A6"/>
              <w:right w:val="single" w:sz="8" w:space="0" w:color="auto"/>
            </w:tcBorders>
            <w:shd w:val="clear" w:color="auto" w:fill="auto"/>
            <w:noWrap/>
            <w:vAlign w:val="bottom"/>
            <w:hideMark/>
          </w:tcPr>
          <w:p w14:paraId="3BA0B220"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81%</w:t>
            </w:r>
          </w:p>
        </w:tc>
      </w:tr>
      <w:tr w:rsidR="00554A1A" w:rsidRPr="009B0F23" w14:paraId="670D082C" w14:textId="77777777" w:rsidTr="00054FD5">
        <w:trPr>
          <w:cantSplit/>
          <w:trHeight w:val="265"/>
          <w:jc w:val="center"/>
        </w:trPr>
        <w:tc>
          <w:tcPr>
            <w:tcW w:w="1215" w:type="dxa"/>
            <w:vMerge/>
            <w:tcBorders>
              <w:top w:val="single" w:sz="4" w:space="0" w:color="auto"/>
              <w:left w:val="single" w:sz="8" w:space="0" w:color="auto"/>
              <w:bottom w:val="nil"/>
              <w:right w:val="nil"/>
            </w:tcBorders>
            <w:vAlign w:val="center"/>
            <w:hideMark/>
          </w:tcPr>
          <w:p w14:paraId="4E5C9F47"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nil"/>
            </w:tcBorders>
            <w:shd w:val="clear" w:color="auto" w:fill="auto"/>
            <w:noWrap/>
            <w:vAlign w:val="bottom"/>
            <w:hideMark/>
          </w:tcPr>
          <w:p w14:paraId="525741E8"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Male</w:t>
            </w:r>
          </w:p>
        </w:tc>
        <w:tc>
          <w:tcPr>
            <w:tcW w:w="1454" w:type="dxa"/>
            <w:gridSpan w:val="2"/>
            <w:tcBorders>
              <w:top w:val="nil"/>
              <w:left w:val="single" w:sz="4" w:space="0" w:color="auto"/>
              <w:bottom w:val="single" w:sz="4" w:space="0" w:color="auto"/>
              <w:right w:val="nil"/>
            </w:tcBorders>
            <w:shd w:val="clear" w:color="auto" w:fill="auto"/>
            <w:noWrap/>
            <w:vAlign w:val="bottom"/>
            <w:hideMark/>
          </w:tcPr>
          <w:p w14:paraId="78883652"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18,733 </w:t>
            </w:r>
          </w:p>
        </w:tc>
        <w:tc>
          <w:tcPr>
            <w:tcW w:w="1179" w:type="dxa"/>
            <w:tcBorders>
              <w:top w:val="nil"/>
              <w:left w:val="nil"/>
              <w:bottom w:val="single" w:sz="4" w:space="0" w:color="auto"/>
              <w:right w:val="nil"/>
            </w:tcBorders>
            <w:shd w:val="clear" w:color="auto" w:fill="auto"/>
            <w:noWrap/>
            <w:vAlign w:val="bottom"/>
            <w:hideMark/>
          </w:tcPr>
          <w:p w14:paraId="1C98EE37"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49%</w:t>
            </w:r>
          </w:p>
        </w:tc>
        <w:tc>
          <w:tcPr>
            <w:tcW w:w="1273" w:type="dxa"/>
            <w:tcBorders>
              <w:top w:val="nil"/>
              <w:left w:val="single" w:sz="4" w:space="0" w:color="auto"/>
              <w:bottom w:val="single" w:sz="4" w:space="0" w:color="A6A6A6"/>
              <w:right w:val="nil"/>
            </w:tcBorders>
            <w:shd w:val="clear" w:color="auto" w:fill="auto"/>
            <w:noWrap/>
            <w:vAlign w:val="bottom"/>
            <w:hideMark/>
          </w:tcPr>
          <w:p w14:paraId="31F7625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181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7A854DF7"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19%</w:t>
            </w:r>
          </w:p>
        </w:tc>
      </w:tr>
      <w:tr w:rsidR="00554A1A" w:rsidRPr="009B0F23" w14:paraId="04D2C0A3" w14:textId="77777777" w:rsidTr="00054FD5">
        <w:trPr>
          <w:cantSplit/>
          <w:trHeight w:val="265"/>
          <w:jc w:val="center"/>
        </w:trPr>
        <w:tc>
          <w:tcPr>
            <w:tcW w:w="1215" w:type="dxa"/>
            <w:vMerge w:val="restart"/>
            <w:tcBorders>
              <w:top w:val="single" w:sz="4" w:space="0" w:color="auto"/>
              <w:left w:val="single" w:sz="8" w:space="0" w:color="auto"/>
              <w:bottom w:val="double" w:sz="6" w:space="0" w:color="000000"/>
              <w:right w:val="nil"/>
            </w:tcBorders>
            <w:shd w:val="clear" w:color="auto" w:fill="auto"/>
            <w:vAlign w:val="center"/>
            <w:hideMark/>
          </w:tcPr>
          <w:p w14:paraId="79FF5B2B" w14:textId="77777777" w:rsidR="00554A1A" w:rsidRPr="009B0F23" w:rsidRDefault="00554A1A" w:rsidP="00554A1A">
            <w:pPr>
              <w:spacing w:after="0" w:line="240" w:lineRule="auto"/>
              <w:jc w:val="center"/>
              <w:rPr>
                <w:rFonts w:ascii="Calibri" w:eastAsia="Times New Roman" w:hAnsi="Calibri" w:cs="Calibri"/>
                <w:b/>
                <w:bCs/>
                <w:kern w:val="0"/>
                <w:sz w:val="20"/>
                <w:szCs w:val="20"/>
                <w14:ligatures w14:val="none"/>
              </w:rPr>
            </w:pPr>
            <w:r w:rsidRPr="009B0F23">
              <w:rPr>
                <w:rFonts w:ascii="Calibri" w:eastAsia="Times New Roman" w:hAnsi="Calibri" w:cs="Calibri"/>
                <w:b/>
                <w:bCs/>
                <w:kern w:val="0"/>
                <w:sz w:val="20"/>
                <w:szCs w:val="20"/>
                <w14:ligatures w14:val="none"/>
              </w:rPr>
              <w:t>Payor Type</w:t>
            </w:r>
          </w:p>
        </w:tc>
        <w:tc>
          <w:tcPr>
            <w:tcW w:w="2862" w:type="dxa"/>
            <w:tcBorders>
              <w:top w:val="single" w:sz="4" w:space="0" w:color="auto"/>
              <w:left w:val="nil"/>
              <w:bottom w:val="single" w:sz="4" w:space="0" w:color="A6A6A6"/>
              <w:right w:val="single" w:sz="4" w:space="0" w:color="auto"/>
            </w:tcBorders>
            <w:shd w:val="clear" w:color="auto" w:fill="auto"/>
            <w:noWrap/>
            <w:vAlign w:val="bottom"/>
            <w:hideMark/>
          </w:tcPr>
          <w:p w14:paraId="545982FF"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Medicare</w:t>
            </w:r>
          </w:p>
        </w:tc>
        <w:tc>
          <w:tcPr>
            <w:tcW w:w="1454" w:type="dxa"/>
            <w:gridSpan w:val="2"/>
            <w:tcBorders>
              <w:top w:val="single" w:sz="4" w:space="0" w:color="auto"/>
              <w:left w:val="single" w:sz="4" w:space="0" w:color="auto"/>
              <w:bottom w:val="single" w:sz="4" w:space="0" w:color="A6A6A6"/>
            </w:tcBorders>
            <w:shd w:val="clear" w:color="auto" w:fill="auto"/>
            <w:noWrap/>
            <w:vAlign w:val="bottom"/>
            <w:hideMark/>
          </w:tcPr>
          <w:p w14:paraId="09034C94"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22,638 </w:t>
            </w:r>
          </w:p>
        </w:tc>
        <w:tc>
          <w:tcPr>
            <w:tcW w:w="1179" w:type="dxa"/>
            <w:tcBorders>
              <w:top w:val="single" w:sz="4" w:space="0" w:color="auto"/>
              <w:bottom w:val="single" w:sz="4" w:space="0" w:color="A6A6A6"/>
              <w:right w:val="single" w:sz="4" w:space="0" w:color="auto"/>
            </w:tcBorders>
            <w:shd w:val="clear" w:color="auto" w:fill="auto"/>
            <w:noWrap/>
            <w:vAlign w:val="bottom"/>
            <w:hideMark/>
          </w:tcPr>
          <w:p w14:paraId="5E9D785F"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59%</w:t>
            </w:r>
          </w:p>
        </w:tc>
        <w:tc>
          <w:tcPr>
            <w:tcW w:w="1273" w:type="dxa"/>
            <w:tcBorders>
              <w:top w:val="single" w:sz="4" w:space="0" w:color="auto"/>
              <w:left w:val="single" w:sz="4" w:space="0" w:color="auto"/>
              <w:bottom w:val="single" w:sz="4" w:space="0" w:color="A6A6A6"/>
              <w:right w:val="nil"/>
            </w:tcBorders>
            <w:shd w:val="clear" w:color="auto" w:fill="auto"/>
            <w:noWrap/>
            <w:vAlign w:val="bottom"/>
            <w:hideMark/>
          </w:tcPr>
          <w:p w14:paraId="5A1FAD9A"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530 </w:t>
            </w:r>
          </w:p>
        </w:tc>
        <w:tc>
          <w:tcPr>
            <w:tcW w:w="1339" w:type="dxa"/>
            <w:gridSpan w:val="2"/>
            <w:tcBorders>
              <w:top w:val="single" w:sz="4" w:space="0" w:color="auto"/>
              <w:left w:val="nil"/>
              <w:bottom w:val="single" w:sz="4" w:space="0" w:color="A6A6A6"/>
              <w:right w:val="single" w:sz="8" w:space="0" w:color="auto"/>
            </w:tcBorders>
            <w:shd w:val="clear" w:color="auto" w:fill="auto"/>
            <w:noWrap/>
            <w:vAlign w:val="bottom"/>
            <w:hideMark/>
          </w:tcPr>
          <w:p w14:paraId="0C53C5AA"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54%</w:t>
            </w:r>
          </w:p>
        </w:tc>
      </w:tr>
      <w:tr w:rsidR="00554A1A" w:rsidRPr="009B0F23" w14:paraId="63E3E9DD" w14:textId="77777777" w:rsidTr="00054FD5">
        <w:trPr>
          <w:cantSplit/>
          <w:trHeight w:val="265"/>
          <w:jc w:val="center"/>
        </w:trPr>
        <w:tc>
          <w:tcPr>
            <w:tcW w:w="1215" w:type="dxa"/>
            <w:vMerge/>
            <w:tcBorders>
              <w:top w:val="single" w:sz="4" w:space="0" w:color="auto"/>
              <w:left w:val="single" w:sz="8" w:space="0" w:color="auto"/>
              <w:bottom w:val="double" w:sz="6" w:space="0" w:color="000000"/>
              <w:right w:val="nil"/>
            </w:tcBorders>
            <w:vAlign w:val="center"/>
            <w:hideMark/>
          </w:tcPr>
          <w:p w14:paraId="2434D155"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single" w:sz="4" w:space="0" w:color="auto"/>
            </w:tcBorders>
            <w:shd w:val="clear" w:color="auto" w:fill="auto"/>
            <w:noWrap/>
            <w:vAlign w:val="bottom"/>
            <w:hideMark/>
          </w:tcPr>
          <w:p w14:paraId="194F727D"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Commercial</w:t>
            </w:r>
          </w:p>
        </w:tc>
        <w:tc>
          <w:tcPr>
            <w:tcW w:w="1454" w:type="dxa"/>
            <w:gridSpan w:val="2"/>
            <w:tcBorders>
              <w:top w:val="single" w:sz="4" w:space="0" w:color="A6A6A6"/>
              <w:left w:val="single" w:sz="4" w:space="0" w:color="auto"/>
              <w:bottom w:val="single" w:sz="4" w:space="0" w:color="A6A6A6"/>
              <w:right w:val="nil"/>
            </w:tcBorders>
            <w:shd w:val="clear" w:color="auto" w:fill="auto"/>
            <w:noWrap/>
            <w:vAlign w:val="bottom"/>
            <w:hideMark/>
          </w:tcPr>
          <w:p w14:paraId="17E7D943"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7,336 </w:t>
            </w:r>
          </w:p>
        </w:tc>
        <w:tc>
          <w:tcPr>
            <w:tcW w:w="1179" w:type="dxa"/>
            <w:tcBorders>
              <w:top w:val="single" w:sz="4" w:space="0" w:color="A6A6A6"/>
              <w:left w:val="nil"/>
              <w:bottom w:val="single" w:sz="4" w:space="0" w:color="A6A6A6"/>
              <w:right w:val="single" w:sz="4" w:space="0" w:color="auto"/>
            </w:tcBorders>
            <w:shd w:val="clear" w:color="auto" w:fill="auto"/>
            <w:noWrap/>
            <w:vAlign w:val="bottom"/>
            <w:hideMark/>
          </w:tcPr>
          <w:p w14:paraId="3486AD7E"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19%</w:t>
            </w:r>
          </w:p>
        </w:tc>
        <w:tc>
          <w:tcPr>
            <w:tcW w:w="1273" w:type="dxa"/>
            <w:tcBorders>
              <w:top w:val="nil"/>
              <w:left w:val="single" w:sz="4" w:space="0" w:color="auto"/>
              <w:bottom w:val="single" w:sz="4" w:space="0" w:color="A6A6A6"/>
              <w:right w:val="nil"/>
            </w:tcBorders>
            <w:shd w:val="clear" w:color="auto" w:fill="auto"/>
            <w:noWrap/>
            <w:vAlign w:val="bottom"/>
            <w:hideMark/>
          </w:tcPr>
          <w:p w14:paraId="2DBA7F8F"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208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66BC610C"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21%</w:t>
            </w:r>
          </w:p>
        </w:tc>
      </w:tr>
      <w:tr w:rsidR="00554A1A" w:rsidRPr="009B0F23" w14:paraId="3BB48B9E" w14:textId="77777777" w:rsidTr="00054FD5">
        <w:trPr>
          <w:cantSplit/>
          <w:trHeight w:val="265"/>
          <w:jc w:val="center"/>
        </w:trPr>
        <w:tc>
          <w:tcPr>
            <w:tcW w:w="1215" w:type="dxa"/>
            <w:vMerge/>
            <w:tcBorders>
              <w:top w:val="single" w:sz="4" w:space="0" w:color="auto"/>
              <w:left w:val="single" w:sz="8" w:space="0" w:color="auto"/>
              <w:bottom w:val="double" w:sz="6" w:space="0" w:color="000000"/>
              <w:right w:val="nil"/>
            </w:tcBorders>
            <w:vAlign w:val="center"/>
            <w:hideMark/>
          </w:tcPr>
          <w:p w14:paraId="398FC1B1"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single" w:sz="4" w:space="0" w:color="A6A6A6"/>
              <w:right w:val="single" w:sz="4" w:space="0" w:color="auto"/>
            </w:tcBorders>
            <w:shd w:val="clear" w:color="auto" w:fill="auto"/>
            <w:noWrap/>
            <w:vAlign w:val="bottom"/>
            <w:hideMark/>
          </w:tcPr>
          <w:p w14:paraId="5B06672F"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Other</w:t>
            </w:r>
          </w:p>
        </w:tc>
        <w:tc>
          <w:tcPr>
            <w:tcW w:w="1454" w:type="dxa"/>
            <w:gridSpan w:val="2"/>
            <w:tcBorders>
              <w:top w:val="single" w:sz="4" w:space="0" w:color="A6A6A6"/>
              <w:left w:val="single" w:sz="4" w:space="0" w:color="auto"/>
              <w:bottom w:val="single" w:sz="4" w:space="0" w:color="A6A6A6"/>
              <w:right w:val="nil"/>
            </w:tcBorders>
            <w:shd w:val="clear" w:color="auto" w:fill="auto"/>
            <w:noWrap/>
            <w:vAlign w:val="bottom"/>
            <w:hideMark/>
          </w:tcPr>
          <w:p w14:paraId="1FB165A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4,550 </w:t>
            </w:r>
          </w:p>
        </w:tc>
        <w:tc>
          <w:tcPr>
            <w:tcW w:w="1179" w:type="dxa"/>
            <w:tcBorders>
              <w:top w:val="single" w:sz="4" w:space="0" w:color="A6A6A6"/>
              <w:left w:val="nil"/>
              <w:bottom w:val="single" w:sz="4" w:space="0" w:color="A6A6A6"/>
              <w:right w:val="single" w:sz="4" w:space="0" w:color="auto"/>
            </w:tcBorders>
            <w:shd w:val="clear" w:color="auto" w:fill="auto"/>
            <w:noWrap/>
            <w:vAlign w:val="bottom"/>
            <w:hideMark/>
          </w:tcPr>
          <w:p w14:paraId="7395302C"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12%</w:t>
            </w:r>
          </w:p>
        </w:tc>
        <w:tc>
          <w:tcPr>
            <w:tcW w:w="1273" w:type="dxa"/>
            <w:tcBorders>
              <w:top w:val="nil"/>
              <w:left w:val="single" w:sz="4" w:space="0" w:color="auto"/>
              <w:bottom w:val="single" w:sz="4" w:space="0" w:color="A6A6A6"/>
              <w:right w:val="nil"/>
            </w:tcBorders>
            <w:shd w:val="clear" w:color="auto" w:fill="auto"/>
            <w:noWrap/>
            <w:vAlign w:val="bottom"/>
            <w:hideMark/>
          </w:tcPr>
          <w:p w14:paraId="3D6601E5"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121 </w:t>
            </w:r>
          </w:p>
        </w:tc>
        <w:tc>
          <w:tcPr>
            <w:tcW w:w="1339" w:type="dxa"/>
            <w:gridSpan w:val="2"/>
            <w:tcBorders>
              <w:top w:val="nil"/>
              <w:left w:val="nil"/>
              <w:bottom w:val="single" w:sz="4" w:space="0" w:color="A6A6A6"/>
              <w:right w:val="single" w:sz="8" w:space="0" w:color="auto"/>
            </w:tcBorders>
            <w:shd w:val="clear" w:color="auto" w:fill="auto"/>
            <w:noWrap/>
            <w:vAlign w:val="bottom"/>
            <w:hideMark/>
          </w:tcPr>
          <w:p w14:paraId="0D63760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12%</w:t>
            </w:r>
          </w:p>
        </w:tc>
      </w:tr>
      <w:tr w:rsidR="00554A1A" w:rsidRPr="009B0F23" w14:paraId="401D81DA" w14:textId="77777777" w:rsidTr="00054FD5">
        <w:trPr>
          <w:cantSplit/>
          <w:trHeight w:val="265"/>
          <w:jc w:val="center"/>
        </w:trPr>
        <w:tc>
          <w:tcPr>
            <w:tcW w:w="1215" w:type="dxa"/>
            <w:vMerge/>
            <w:tcBorders>
              <w:top w:val="single" w:sz="4" w:space="0" w:color="auto"/>
              <w:left w:val="single" w:sz="8" w:space="0" w:color="auto"/>
              <w:bottom w:val="double" w:sz="4" w:space="0" w:color="auto"/>
              <w:right w:val="nil"/>
            </w:tcBorders>
            <w:vAlign w:val="center"/>
            <w:hideMark/>
          </w:tcPr>
          <w:p w14:paraId="185CFD66" w14:textId="77777777" w:rsidR="00554A1A" w:rsidRPr="009B0F23" w:rsidRDefault="00554A1A" w:rsidP="00554A1A">
            <w:pPr>
              <w:spacing w:after="0" w:line="240" w:lineRule="auto"/>
              <w:rPr>
                <w:rFonts w:ascii="Calibri" w:eastAsia="Times New Roman" w:hAnsi="Calibri" w:cs="Calibri"/>
                <w:b/>
                <w:bCs/>
                <w:kern w:val="0"/>
                <w:sz w:val="20"/>
                <w:szCs w:val="20"/>
                <w14:ligatures w14:val="none"/>
              </w:rPr>
            </w:pPr>
          </w:p>
        </w:tc>
        <w:tc>
          <w:tcPr>
            <w:tcW w:w="2862" w:type="dxa"/>
            <w:tcBorders>
              <w:top w:val="nil"/>
              <w:left w:val="nil"/>
              <w:bottom w:val="double" w:sz="4" w:space="0" w:color="auto"/>
              <w:right w:val="single" w:sz="4" w:space="0" w:color="auto"/>
            </w:tcBorders>
            <w:shd w:val="clear" w:color="auto" w:fill="auto"/>
            <w:noWrap/>
            <w:vAlign w:val="bottom"/>
            <w:hideMark/>
          </w:tcPr>
          <w:p w14:paraId="4271F318" w14:textId="63FFC176"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Medicaid</w:t>
            </w:r>
          </w:p>
        </w:tc>
        <w:tc>
          <w:tcPr>
            <w:tcW w:w="1454" w:type="dxa"/>
            <w:gridSpan w:val="2"/>
            <w:tcBorders>
              <w:top w:val="single" w:sz="4" w:space="0" w:color="A6A6A6"/>
              <w:left w:val="single" w:sz="4" w:space="0" w:color="auto"/>
              <w:bottom w:val="double" w:sz="4" w:space="0" w:color="auto"/>
            </w:tcBorders>
            <w:shd w:val="clear" w:color="auto" w:fill="auto"/>
            <w:noWrap/>
            <w:vAlign w:val="bottom"/>
            <w:hideMark/>
          </w:tcPr>
          <w:p w14:paraId="2887ACAC"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3,991 </w:t>
            </w:r>
          </w:p>
        </w:tc>
        <w:tc>
          <w:tcPr>
            <w:tcW w:w="1179" w:type="dxa"/>
            <w:tcBorders>
              <w:top w:val="single" w:sz="4" w:space="0" w:color="A6A6A6"/>
              <w:bottom w:val="double" w:sz="4" w:space="0" w:color="auto"/>
              <w:right w:val="single" w:sz="4" w:space="0" w:color="auto"/>
            </w:tcBorders>
            <w:shd w:val="clear" w:color="auto" w:fill="auto"/>
            <w:noWrap/>
            <w:vAlign w:val="bottom"/>
            <w:hideMark/>
          </w:tcPr>
          <w:p w14:paraId="77F80ADD"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10%</w:t>
            </w:r>
          </w:p>
        </w:tc>
        <w:tc>
          <w:tcPr>
            <w:tcW w:w="1273" w:type="dxa"/>
            <w:tcBorders>
              <w:top w:val="nil"/>
              <w:left w:val="single" w:sz="4" w:space="0" w:color="auto"/>
              <w:bottom w:val="double" w:sz="4" w:space="0" w:color="auto"/>
              <w:right w:val="nil"/>
            </w:tcBorders>
            <w:shd w:val="clear" w:color="auto" w:fill="auto"/>
            <w:noWrap/>
            <w:vAlign w:val="bottom"/>
            <w:hideMark/>
          </w:tcPr>
          <w:p w14:paraId="01C5ABF6"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115 </w:t>
            </w:r>
          </w:p>
        </w:tc>
        <w:tc>
          <w:tcPr>
            <w:tcW w:w="1339" w:type="dxa"/>
            <w:gridSpan w:val="2"/>
            <w:tcBorders>
              <w:top w:val="nil"/>
              <w:left w:val="nil"/>
              <w:bottom w:val="double" w:sz="4" w:space="0" w:color="auto"/>
              <w:right w:val="single" w:sz="8" w:space="0" w:color="auto"/>
            </w:tcBorders>
            <w:shd w:val="clear" w:color="auto" w:fill="auto"/>
            <w:noWrap/>
            <w:vAlign w:val="bottom"/>
            <w:hideMark/>
          </w:tcPr>
          <w:p w14:paraId="1762B098"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12%</w:t>
            </w:r>
          </w:p>
        </w:tc>
      </w:tr>
      <w:tr w:rsidR="00554A1A" w:rsidRPr="009B0F23" w14:paraId="3F1504AA" w14:textId="77777777" w:rsidTr="00054FD5">
        <w:trPr>
          <w:cantSplit/>
          <w:trHeight w:val="295"/>
          <w:jc w:val="center"/>
        </w:trPr>
        <w:tc>
          <w:tcPr>
            <w:tcW w:w="1215" w:type="dxa"/>
            <w:tcBorders>
              <w:top w:val="double" w:sz="4" w:space="0" w:color="auto"/>
              <w:left w:val="single" w:sz="8" w:space="0" w:color="auto"/>
              <w:bottom w:val="single" w:sz="8" w:space="0" w:color="auto"/>
              <w:right w:val="nil"/>
            </w:tcBorders>
            <w:shd w:val="clear" w:color="auto" w:fill="auto"/>
            <w:vAlign w:val="center"/>
            <w:hideMark/>
          </w:tcPr>
          <w:p w14:paraId="470B4F61" w14:textId="77777777" w:rsidR="00554A1A" w:rsidRPr="009B0F23" w:rsidRDefault="00554A1A" w:rsidP="00554A1A">
            <w:pPr>
              <w:spacing w:after="0" w:line="240" w:lineRule="auto"/>
              <w:jc w:val="center"/>
              <w:rPr>
                <w:rFonts w:ascii="Calibri" w:eastAsia="Times New Roman" w:hAnsi="Calibri" w:cs="Calibri"/>
                <w:b/>
                <w:bCs/>
                <w:kern w:val="0"/>
                <w:sz w:val="20"/>
                <w:szCs w:val="20"/>
                <w14:ligatures w14:val="none"/>
              </w:rPr>
            </w:pPr>
            <w:r w:rsidRPr="009B0F23">
              <w:rPr>
                <w:rFonts w:ascii="Calibri" w:eastAsia="Times New Roman" w:hAnsi="Calibri" w:cs="Calibri"/>
                <w:b/>
                <w:bCs/>
                <w:kern w:val="0"/>
                <w:sz w:val="20"/>
                <w:szCs w:val="20"/>
                <w14:ligatures w14:val="none"/>
              </w:rPr>
              <w:t>Total</w:t>
            </w:r>
          </w:p>
        </w:tc>
        <w:tc>
          <w:tcPr>
            <w:tcW w:w="2862" w:type="dxa"/>
            <w:tcBorders>
              <w:top w:val="double" w:sz="4" w:space="0" w:color="auto"/>
              <w:left w:val="nil"/>
              <w:bottom w:val="single" w:sz="8" w:space="0" w:color="auto"/>
              <w:right w:val="nil"/>
            </w:tcBorders>
            <w:shd w:val="clear" w:color="auto" w:fill="auto"/>
            <w:noWrap/>
            <w:vAlign w:val="bottom"/>
            <w:hideMark/>
          </w:tcPr>
          <w:p w14:paraId="17F10525" w14:textId="77777777" w:rsidR="00554A1A" w:rsidRPr="009B0F23" w:rsidRDefault="00554A1A" w:rsidP="00554A1A">
            <w:pPr>
              <w:spacing w:after="0" w:line="240" w:lineRule="auto"/>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Total</w:t>
            </w:r>
          </w:p>
        </w:tc>
        <w:tc>
          <w:tcPr>
            <w:tcW w:w="1454" w:type="dxa"/>
            <w:gridSpan w:val="2"/>
            <w:tcBorders>
              <w:top w:val="double" w:sz="4" w:space="0" w:color="auto"/>
              <w:left w:val="single" w:sz="4" w:space="0" w:color="auto"/>
              <w:bottom w:val="single" w:sz="8" w:space="0" w:color="auto"/>
              <w:right w:val="nil"/>
            </w:tcBorders>
            <w:shd w:val="clear" w:color="auto" w:fill="auto"/>
            <w:noWrap/>
            <w:vAlign w:val="bottom"/>
            <w:hideMark/>
          </w:tcPr>
          <w:p w14:paraId="145F2C2B"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38,515 </w:t>
            </w:r>
          </w:p>
        </w:tc>
        <w:tc>
          <w:tcPr>
            <w:tcW w:w="1179" w:type="dxa"/>
            <w:tcBorders>
              <w:top w:val="double" w:sz="4" w:space="0" w:color="auto"/>
              <w:left w:val="nil"/>
              <w:bottom w:val="single" w:sz="8" w:space="0" w:color="auto"/>
              <w:right w:val="nil"/>
            </w:tcBorders>
            <w:shd w:val="clear" w:color="auto" w:fill="auto"/>
            <w:noWrap/>
            <w:vAlign w:val="bottom"/>
            <w:hideMark/>
          </w:tcPr>
          <w:p w14:paraId="222E2B4A"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100%</w:t>
            </w:r>
          </w:p>
        </w:tc>
        <w:tc>
          <w:tcPr>
            <w:tcW w:w="1273" w:type="dxa"/>
            <w:tcBorders>
              <w:top w:val="double" w:sz="4" w:space="0" w:color="auto"/>
              <w:left w:val="single" w:sz="4" w:space="0" w:color="auto"/>
              <w:bottom w:val="single" w:sz="8" w:space="0" w:color="auto"/>
              <w:right w:val="nil"/>
            </w:tcBorders>
            <w:shd w:val="clear" w:color="auto" w:fill="auto"/>
            <w:noWrap/>
            <w:vAlign w:val="bottom"/>
            <w:hideMark/>
          </w:tcPr>
          <w:p w14:paraId="603F7C2A"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 xml:space="preserve">974 </w:t>
            </w:r>
          </w:p>
        </w:tc>
        <w:tc>
          <w:tcPr>
            <w:tcW w:w="1339" w:type="dxa"/>
            <w:gridSpan w:val="2"/>
            <w:tcBorders>
              <w:top w:val="double" w:sz="4" w:space="0" w:color="auto"/>
              <w:left w:val="nil"/>
              <w:bottom w:val="single" w:sz="8" w:space="0" w:color="auto"/>
              <w:right w:val="single" w:sz="8" w:space="0" w:color="auto"/>
            </w:tcBorders>
            <w:shd w:val="clear" w:color="auto" w:fill="auto"/>
            <w:noWrap/>
            <w:vAlign w:val="bottom"/>
            <w:hideMark/>
          </w:tcPr>
          <w:p w14:paraId="7E8B3FA1" w14:textId="77777777" w:rsidR="00554A1A" w:rsidRPr="009B0F23" w:rsidRDefault="00554A1A" w:rsidP="00554A1A">
            <w:pPr>
              <w:spacing w:after="0" w:line="240" w:lineRule="auto"/>
              <w:jc w:val="center"/>
              <w:rPr>
                <w:rFonts w:ascii="Calibri" w:eastAsia="Times New Roman" w:hAnsi="Calibri" w:cs="Calibri"/>
                <w:kern w:val="0"/>
                <w:sz w:val="20"/>
                <w:szCs w:val="20"/>
                <w14:ligatures w14:val="none"/>
              </w:rPr>
            </w:pPr>
            <w:r w:rsidRPr="009B0F23">
              <w:rPr>
                <w:rFonts w:ascii="Calibri" w:eastAsia="Times New Roman" w:hAnsi="Calibri" w:cs="Calibri"/>
                <w:kern w:val="0"/>
                <w:sz w:val="20"/>
                <w:szCs w:val="20"/>
                <w14:ligatures w14:val="none"/>
              </w:rPr>
              <w:t>100%</w:t>
            </w:r>
          </w:p>
        </w:tc>
      </w:tr>
    </w:tbl>
    <w:p w14:paraId="2526FF1D" w14:textId="77777777" w:rsidR="009B0F23" w:rsidRDefault="009B0F23" w:rsidP="00A35837">
      <w:pPr>
        <w:spacing w:before="120" w:after="120" w:line="360" w:lineRule="auto"/>
      </w:pPr>
    </w:p>
    <w:p w14:paraId="608EBCBC" w14:textId="7B07DD65" w:rsidR="009A58A5" w:rsidRDefault="006C3127" w:rsidP="009A58A5">
      <w:pPr>
        <w:numPr>
          <w:ilvl w:val="0"/>
          <w:numId w:val="4"/>
        </w:numPr>
        <w:spacing w:before="120" w:after="120" w:line="360" w:lineRule="auto"/>
        <w:jc w:val="both"/>
      </w:pPr>
      <w:r w:rsidRPr="006C3127">
        <w:t xml:space="preserve">In response to the ICA </w:t>
      </w:r>
      <w:r w:rsidR="001A3174">
        <w:t>Q</w:t>
      </w:r>
      <w:r w:rsidRPr="006C3127">
        <w:t>uestions regarding price and competition for radiation therapy</w:t>
      </w:r>
      <w:r w:rsidR="001A3174">
        <w:t xml:space="preserve"> services</w:t>
      </w:r>
      <w:r w:rsidRPr="006C3127">
        <w:t xml:space="preserve">, </w:t>
      </w:r>
      <w:r w:rsidR="001A3174">
        <w:t xml:space="preserve">FTI </w:t>
      </w:r>
      <w:r w:rsidRPr="006C3127">
        <w:t xml:space="preserve">analyzed the current shares of DFCI and alternative providers of radiation therapy in Massachusetts. Table </w:t>
      </w:r>
      <w:r w:rsidR="001204A7">
        <w:t>3</w:t>
      </w:r>
      <w:r w:rsidR="00AC0296">
        <w:t>2</w:t>
      </w:r>
      <w:r w:rsidRPr="006C3127">
        <w:t xml:space="preserve"> provides procedure volume and shares for LINAC procedures, CT simulation procedures</w:t>
      </w:r>
      <w:r>
        <w:t>, and the combined count</w:t>
      </w:r>
      <w:r w:rsidRPr="006C3127">
        <w:t xml:space="preserve"> by health system and hospital for 202</w:t>
      </w:r>
      <w:r w:rsidR="0071557D">
        <w:t>1</w:t>
      </w:r>
      <w:r w:rsidRPr="006C3127">
        <w:t xml:space="preserve">. DFCI accounted for 10% of </w:t>
      </w:r>
      <w:r>
        <w:t xml:space="preserve">statewide </w:t>
      </w:r>
      <w:r w:rsidRPr="006C3127">
        <w:t xml:space="preserve">LINAC procedures and 4% of </w:t>
      </w:r>
      <w:r>
        <w:t xml:space="preserve">statewide </w:t>
      </w:r>
      <w:r w:rsidRPr="006C3127">
        <w:t>CT simulation procedures in 202</w:t>
      </w:r>
      <w:r w:rsidR="0071557D">
        <w:t>1</w:t>
      </w:r>
      <w:r w:rsidRPr="006C3127">
        <w:t xml:space="preserve">. </w:t>
      </w:r>
      <w:r>
        <w:t xml:space="preserve">MGB </w:t>
      </w:r>
      <w:r w:rsidRPr="006C3127">
        <w:t>had the largest share (26%) of both radiation therapy categories in 202</w:t>
      </w:r>
      <w:r w:rsidR="0071557D">
        <w:t>1</w:t>
      </w:r>
      <w:r w:rsidRPr="006C3127">
        <w:t>, and MGH had the highest shares for any single hospital (19% of LINAC procedures and 17% of CT simulations). Beth Israel Lahey</w:t>
      </w:r>
      <w:r w:rsidR="001A3174">
        <w:t xml:space="preserve"> Health</w:t>
      </w:r>
      <w:r w:rsidRPr="006C3127">
        <w:t xml:space="preserve"> </w:t>
      </w:r>
      <w:r w:rsidR="001A3174">
        <w:t>accounted for</w:t>
      </w:r>
      <w:r w:rsidRPr="006C3127">
        <w:t xml:space="preserve"> more than 15% of these radiation therapy procedures in 202</w:t>
      </w:r>
      <w:r w:rsidR="0071557D">
        <w:t>1</w:t>
      </w:r>
      <w:r w:rsidRPr="006C3127">
        <w:t xml:space="preserve"> with those procedures being distributed among several facilities</w:t>
      </w:r>
      <w:r>
        <w:t xml:space="preserve">. </w:t>
      </w:r>
      <w:r w:rsidRPr="006C3127">
        <w:t>Although some systems have notable shares of these radiation therapy procedures, these markets are characterized by many small-share providers.</w:t>
      </w:r>
    </w:p>
    <w:p w14:paraId="1133864F" w14:textId="6F69B433" w:rsidR="006C3127" w:rsidRDefault="006C3127" w:rsidP="00A35837">
      <w:pPr>
        <w:pStyle w:val="Caption"/>
        <w:keepNext/>
        <w:jc w:val="center"/>
      </w:pPr>
      <w:bookmarkStart w:id="86" w:name="_Toc187401805"/>
      <w:r>
        <w:t xml:space="preserve">Table </w:t>
      </w:r>
      <w:fldSimple w:instr=" SEQ Table \* ARABIC ">
        <w:r w:rsidR="0085394E">
          <w:rPr>
            <w:noProof/>
          </w:rPr>
          <w:t>32</w:t>
        </w:r>
      </w:fldSimple>
      <w:r>
        <w:t>: Massachusetts Radiation Therapy Procedures by Provider, 202</w:t>
      </w:r>
      <w:r w:rsidR="0071557D">
        <w:t>1</w:t>
      </w:r>
      <w:r>
        <w:rPr>
          <w:rStyle w:val="FootnoteReference"/>
        </w:rPr>
        <w:footnoteReference w:id="124"/>
      </w:r>
      <w:bookmarkEnd w:id="86"/>
    </w:p>
    <w:tbl>
      <w:tblPr>
        <w:tblW w:w="5005" w:type="pct"/>
        <w:tblLayout w:type="fixed"/>
        <w:tblCellMar>
          <w:left w:w="58" w:type="dxa"/>
          <w:right w:w="58" w:type="dxa"/>
        </w:tblCellMar>
        <w:tblLook w:val="04A0" w:firstRow="1" w:lastRow="0" w:firstColumn="1" w:lastColumn="0" w:noHBand="0" w:noVBand="1"/>
      </w:tblPr>
      <w:tblGrid>
        <w:gridCol w:w="2340"/>
        <w:gridCol w:w="2960"/>
        <w:gridCol w:w="1034"/>
        <w:gridCol w:w="853"/>
        <w:gridCol w:w="1081"/>
        <w:gridCol w:w="1081"/>
      </w:tblGrid>
      <w:tr w:rsidR="00BE1FF0" w:rsidRPr="004034CC" w14:paraId="747AA344" w14:textId="77777777" w:rsidTr="00054FD5">
        <w:trPr>
          <w:cantSplit/>
          <w:trHeight w:val="29"/>
          <w:tblHeader/>
        </w:trPr>
        <w:tc>
          <w:tcPr>
            <w:tcW w:w="1252" w:type="pct"/>
            <w:tcBorders>
              <w:top w:val="single" w:sz="8" w:space="0" w:color="auto"/>
              <w:left w:val="single" w:sz="8" w:space="0" w:color="auto"/>
              <w:bottom w:val="single" w:sz="8" w:space="0" w:color="auto"/>
              <w:right w:val="nil"/>
            </w:tcBorders>
            <w:shd w:val="clear" w:color="000000" w:fill="002060"/>
            <w:noWrap/>
            <w:vAlign w:val="bottom"/>
            <w:hideMark/>
          </w:tcPr>
          <w:p w14:paraId="27D29656" w14:textId="77777777" w:rsidR="004034CC" w:rsidRPr="004034CC" w:rsidRDefault="004034CC" w:rsidP="004034CC">
            <w:pPr>
              <w:spacing w:after="0" w:line="240" w:lineRule="auto"/>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System</w:t>
            </w:r>
          </w:p>
        </w:tc>
        <w:tc>
          <w:tcPr>
            <w:tcW w:w="1583" w:type="pct"/>
            <w:tcBorders>
              <w:top w:val="single" w:sz="8" w:space="0" w:color="auto"/>
              <w:left w:val="nil"/>
              <w:bottom w:val="single" w:sz="8" w:space="0" w:color="auto"/>
              <w:right w:val="single" w:sz="4" w:space="0" w:color="auto"/>
            </w:tcBorders>
            <w:shd w:val="clear" w:color="000000" w:fill="002060"/>
            <w:noWrap/>
            <w:vAlign w:val="bottom"/>
            <w:hideMark/>
          </w:tcPr>
          <w:p w14:paraId="54DE3649" w14:textId="77777777" w:rsidR="004034CC" w:rsidRPr="004034CC" w:rsidRDefault="004034CC" w:rsidP="004034CC">
            <w:pPr>
              <w:spacing w:after="0" w:line="240" w:lineRule="auto"/>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Hospital</w:t>
            </w:r>
          </w:p>
        </w:tc>
        <w:tc>
          <w:tcPr>
            <w:tcW w:w="553" w:type="pct"/>
            <w:tcBorders>
              <w:top w:val="single" w:sz="8" w:space="0" w:color="auto"/>
              <w:left w:val="nil"/>
              <w:bottom w:val="single" w:sz="8" w:space="0" w:color="auto"/>
              <w:right w:val="nil"/>
            </w:tcBorders>
            <w:shd w:val="clear" w:color="000000" w:fill="002060"/>
            <w:noWrap/>
            <w:vAlign w:val="bottom"/>
            <w:hideMark/>
          </w:tcPr>
          <w:p w14:paraId="6BD56E93" w14:textId="77777777" w:rsidR="004034CC" w:rsidRPr="004034CC" w:rsidRDefault="004034CC" w:rsidP="00DB054E">
            <w:pPr>
              <w:spacing w:after="0" w:line="240" w:lineRule="auto"/>
              <w:jc w:val="center"/>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LINAC Procedures</w:t>
            </w:r>
          </w:p>
        </w:tc>
        <w:tc>
          <w:tcPr>
            <w:tcW w:w="456" w:type="pct"/>
            <w:tcBorders>
              <w:top w:val="single" w:sz="8" w:space="0" w:color="auto"/>
              <w:left w:val="nil"/>
              <w:bottom w:val="single" w:sz="8" w:space="0" w:color="auto"/>
              <w:right w:val="nil"/>
            </w:tcBorders>
            <w:shd w:val="clear" w:color="000000" w:fill="002060"/>
            <w:noWrap/>
            <w:vAlign w:val="bottom"/>
            <w:hideMark/>
          </w:tcPr>
          <w:p w14:paraId="75FFF85B" w14:textId="77777777" w:rsidR="004034CC" w:rsidRPr="004034CC" w:rsidRDefault="004034CC" w:rsidP="00DB054E">
            <w:pPr>
              <w:spacing w:after="0" w:line="240" w:lineRule="auto"/>
              <w:jc w:val="center"/>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LINAC Share</w:t>
            </w:r>
          </w:p>
        </w:tc>
        <w:tc>
          <w:tcPr>
            <w:tcW w:w="578" w:type="pct"/>
            <w:tcBorders>
              <w:top w:val="single" w:sz="8" w:space="0" w:color="auto"/>
              <w:left w:val="nil"/>
              <w:bottom w:val="single" w:sz="8" w:space="0" w:color="auto"/>
              <w:right w:val="nil"/>
            </w:tcBorders>
            <w:shd w:val="clear" w:color="000000" w:fill="002060"/>
            <w:noWrap/>
            <w:vAlign w:val="bottom"/>
            <w:hideMark/>
          </w:tcPr>
          <w:p w14:paraId="77E7BE1B" w14:textId="77777777" w:rsidR="004034CC" w:rsidRPr="004034CC" w:rsidRDefault="004034CC" w:rsidP="00DB054E">
            <w:pPr>
              <w:spacing w:after="0" w:line="240" w:lineRule="auto"/>
              <w:jc w:val="center"/>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CT Simulator Procedures</w:t>
            </w:r>
          </w:p>
        </w:tc>
        <w:tc>
          <w:tcPr>
            <w:tcW w:w="578" w:type="pct"/>
            <w:tcBorders>
              <w:top w:val="single" w:sz="8" w:space="0" w:color="auto"/>
              <w:left w:val="nil"/>
              <w:bottom w:val="single" w:sz="8" w:space="0" w:color="auto"/>
              <w:right w:val="single" w:sz="8" w:space="0" w:color="auto"/>
            </w:tcBorders>
            <w:shd w:val="clear" w:color="000000" w:fill="002060"/>
            <w:noWrap/>
            <w:vAlign w:val="bottom"/>
            <w:hideMark/>
          </w:tcPr>
          <w:p w14:paraId="1075062D" w14:textId="77777777" w:rsidR="004034CC" w:rsidRPr="004034CC" w:rsidRDefault="004034CC" w:rsidP="00DB054E">
            <w:pPr>
              <w:spacing w:after="0" w:line="240" w:lineRule="auto"/>
              <w:jc w:val="center"/>
              <w:rPr>
                <w:rFonts w:ascii="Calibri" w:eastAsia="Times New Roman" w:hAnsi="Calibri" w:cs="Calibri"/>
                <w:b/>
                <w:bCs/>
                <w:color w:val="FFFFFF"/>
                <w:kern w:val="0"/>
                <w:sz w:val="18"/>
                <w:szCs w:val="18"/>
                <w14:ligatures w14:val="none"/>
              </w:rPr>
            </w:pPr>
            <w:r w:rsidRPr="004034CC">
              <w:rPr>
                <w:rFonts w:ascii="Calibri" w:eastAsia="Times New Roman" w:hAnsi="Calibri" w:cs="Calibri"/>
                <w:b/>
                <w:bCs/>
                <w:color w:val="FFFFFF"/>
                <w:kern w:val="0"/>
                <w:sz w:val="18"/>
                <w:szCs w:val="18"/>
                <w14:ligatures w14:val="none"/>
              </w:rPr>
              <w:t>CT Simulator Share</w:t>
            </w:r>
          </w:p>
        </w:tc>
      </w:tr>
      <w:tr w:rsidR="00BE1FF0" w:rsidRPr="004034CC" w14:paraId="2571E443" w14:textId="77777777" w:rsidTr="00054FD5">
        <w:trPr>
          <w:cantSplit/>
          <w:trHeight w:val="160"/>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1FD66D61"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Mass General Brigham</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002ED784"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200E9C0D" w14:textId="0850B37D"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96,951</w:t>
            </w:r>
          </w:p>
        </w:tc>
        <w:tc>
          <w:tcPr>
            <w:tcW w:w="456" w:type="pct"/>
            <w:tcBorders>
              <w:top w:val="single" w:sz="4" w:space="0" w:color="auto"/>
              <w:left w:val="nil"/>
              <w:bottom w:val="dotted" w:sz="4" w:space="0" w:color="auto"/>
              <w:right w:val="nil"/>
            </w:tcBorders>
            <w:shd w:val="clear" w:color="auto" w:fill="auto"/>
            <w:noWrap/>
            <w:vAlign w:val="bottom"/>
            <w:hideMark/>
          </w:tcPr>
          <w:p w14:paraId="6B8561EF"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26%</w:t>
            </w:r>
          </w:p>
        </w:tc>
        <w:tc>
          <w:tcPr>
            <w:tcW w:w="578" w:type="pct"/>
            <w:tcBorders>
              <w:top w:val="single" w:sz="4" w:space="0" w:color="auto"/>
              <w:left w:val="nil"/>
              <w:bottom w:val="dotted" w:sz="4" w:space="0" w:color="auto"/>
              <w:right w:val="nil"/>
            </w:tcBorders>
            <w:shd w:val="clear" w:color="auto" w:fill="auto"/>
            <w:noWrap/>
            <w:vAlign w:val="bottom"/>
            <w:hideMark/>
          </w:tcPr>
          <w:p w14:paraId="770AF36D" w14:textId="45E7B45D"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6,753</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7A29821F"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26%</w:t>
            </w:r>
          </w:p>
        </w:tc>
      </w:tr>
      <w:tr w:rsidR="00BE1FF0" w:rsidRPr="004034CC" w14:paraId="1D099212"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1D4EA1B4"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Mass General Brigham</w:t>
            </w:r>
          </w:p>
        </w:tc>
        <w:tc>
          <w:tcPr>
            <w:tcW w:w="1583" w:type="pct"/>
            <w:tcBorders>
              <w:top w:val="nil"/>
              <w:left w:val="nil"/>
              <w:bottom w:val="dotted" w:sz="4" w:space="0" w:color="auto"/>
              <w:right w:val="single" w:sz="4" w:space="0" w:color="auto"/>
            </w:tcBorders>
            <w:shd w:val="clear" w:color="auto" w:fill="auto"/>
            <w:noWrap/>
            <w:vAlign w:val="bottom"/>
            <w:hideMark/>
          </w:tcPr>
          <w:p w14:paraId="6C9E352E"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Massachusetts General Hospital</w:t>
            </w:r>
          </w:p>
        </w:tc>
        <w:tc>
          <w:tcPr>
            <w:tcW w:w="553" w:type="pct"/>
            <w:tcBorders>
              <w:top w:val="nil"/>
              <w:left w:val="nil"/>
              <w:bottom w:val="dotted" w:sz="4" w:space="0" w:color="auto"/>
              <w:right w:val="nil"/>
            </w:tcBorders>
            <w:shd w:val="clear" w:color="auto" w:fill="auto"/>
            <w:noWrap/>
            <w:vAlign w:val="bottom"/>
            <w:hideMark/>
          </w:tcPr>
          <w:p w14:paraId="0C6B07CC" w14:textId="2E0D1336"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68,715</w:t>
            </w:r>
          </w:p>
        </w:tc>
        <w:tc>
          <w:tcPr>
            <w:tcW w:w="456" w:type="pct"/>
            <w:tcBorders>
              <w:top w:val="nil"/>
              <w:left w:val="nil"/>
              <w:bottom w:val="dotted" w:sz="4" w:space="0" w:color="auto"/>
              <w:right w:val="nil"/>
            </w:tcBorders>
            <w:shd w:val="clear" w:color="auto" w:fill="auto"/>
            <w:noWrap/>
            <w:vAlign w:val="bottom"/>
            <w:hideMark/>
          </w:tcPr>
          <w:p w14:paraId="0116C7BF"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19%</w:t>
            </w:r>
          </w:p>
        </w:tc>
        <w:tc>
          <w:tcPr>
            <w:tcW w:w="578" w:type="pct"/>
            <w:tcBorders>
              <w:top w:val="nil"/>
              <w:left w:val="nil"/>
              <w:bottom w:val="dotted" w:sz="4" w:space="0" w:color="auto"/>
              <w:right w:val="nil"/>
            </w:tcBorders>
            <w:shd w:val="clear" w:color="auto" w:fill="auto"/>
            <w:noWrap/>
            <w:vAlign w:val="bottom"/>
            <w:hideMark/>
          </w:tcPr>
          <w:p w14:paraId="61F9AB6C" w14:textId="0638BB4E"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4,440</w:t>
            </w:r>
          </w:p>
        </w:tc>
        <w:tc>
          <w:tcPr>
            <w:tcW w:w="578" w:type="pct"/>
            <w:tcBorders>
              <w:top w:val="nil"/>
              <w:left w:val="nil"/>
              <w:bottom w:val="dotted" w:sz="4" w:space="0" w:color="auto"/>
              <w:right w:val="single" w:sz="8" w:space="0" w:color="auto"/>
            </w:tcBorders>
            <w:shd w:val="clear" w:color="auto" w:fill="auto"/>
            <w:noWrap/>
            <w:vAlign w:val="bottom"/>
            <w:hideMark/>
          </w:tcPr>
          <w:p w14:paraId="4232418D"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17%</w:t>
            </w:r>
          </w:p>
        </w:tc>
      </w:tr>
      <w:tr w:rsidR="00BE1FF0" w:rsidRPr="004034CC" w14:paraId="4306F6C3"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133579D5"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Mass General Brigham</w:t>
            </w:r>
          </w:p>
        </w:tc>
        <w:tc>
          <w:tcPr>
            <w:tcW w:w="1583" w:type="pct"/>
            <w:tcBorders>
              <w:top w:val="nil"/>
              <w:left w:val="nil"/>
              <w:bottom w:val="dotted" w:sz="4" w:space="0" w:color="auto"/>
              <w:right w:val="single" w:sz="4" w:space="0" w:color="auto"/>
            </w:tcBorders>
            <w:shd w:val="clear" w:color="auto" w:fill="auto"/>
            <w:noWrap/>
            <w:vAlign w:val="bottom"/>
            <w:hideMark/>
          </w:tcPr>
          <w:p w14:paraId="058FAA30"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Brigham and Women's Hospital</w:t>
            </w:r>
          </w:p>
        </w:tc>
        <w:tc>
          <w:tcPr>
            <w:tcW w:w="553" w:type="pct"/>
            <w:tcBorders>
              <w:top w:val="nil"/>
              <w:left w:val="nil"/>
              <w:bottom w:val="dotted" w:sz="4" w:space="0" w:color="auto"/>
              <w:right w:val="nil"/>
            </w:tcBorders>
            <w:shd w:val="clear" w:color="auto" w:fill="auto"/>
            <w:noWrap/>
            <w:vAlign w:val="bottom"/>
            <w:hideMark/>
          </w:tcPr>
          <w:p w14:paraId="7380A3B0" w14:textId="5C2E3D6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19,616</w:t>
            </w:r>
          </w:p>
        </w:tc>
        <w:tc>
          <w:tcPr>
            <w:tcW w:w="456" w:type="pct"/>
            <w:tcBorders>
              <w:top w:val="nil"/>
              <w:left w:val="nil"/>
              <w:bottom w:val="dotted" w:sz="4" w:space="0" w:color="auto"/>
              <w:right w:val="nil"/>
            </w:tcBorders>
            <w:shd w:val="clear" w:color="auto" w:fill="auto"/>
            <w:noWrap/>
            <w:vAlign w:val="bottom"/>
            <w:hideMark/>
          </w:tcPr>
          <w:p w14:paraId="2914963E"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5%</w:t>
            </w:r>
          </w:p>
        </w:tc>
        <w:tc>
          <w:tcPr>
            <w:tcW w:w="578" w:type="pct"/>
            <w:tcBorders>
              <w:top w:val="nil"/>
              <w:left w:val="nil"/>
              <w:bottom w:val="dotted" w:sz="4" w:space="0" w:color="auto"/>
              <w:right w:val="nil"/>
            </w:tcBorders>
            <w:shd w:val="clear" w:color="auto" w:fill="auto"/>
            <w:noWrap/>
            <w:vAlign w:val="bottom"/>
            <w:hideMark/>
          </w:tcPr>
          <w:p w14:paraId="15D49361" w14:textId="32472913"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1,731</w:t>
            </w:r>
          </w:p>
        </w:tc>
        <w:tc>
          <w:tcPr>
            <w:tcW w:w="578" w:type="pct"/>
            <w:tcBorders>
              <w:top w:val="nil"/>
              <w:left w:val="nil"/>
              <w:bottom w:val="dotted" w:sz="4" w:space="0" w:color="auto"/>
              <w:right w:val="single" w:sz="8" w:space="0" w:color="auto"/>
            </w:tcBorders>
            <w:shd w:val="clear" w:color="auto" w:fill="auto"/>
            <w:noWrap/>
            <w:vAlign w:val="bottom"/>
            <w:hideMark/>
          </w:tcPr>
          <w:p w14:paraId="1726B553"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7%</w:t>
            </w:r>
          </w:p>
        </w:tc>
      </w:tr>
      <w:tr w:rsidR="00BE1FF0" w:rsidRPr="004034CC" w14:paraId="0F00EC60"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7D3566DC"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Beth Israel Lahey Health</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04B805D4"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22C44BE4" w14:textId="5C733C75"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54,605</w:t>
            </w:r>
          </w:p>
        </w:tc>
        <w:tc>
          <w:tcPr>
            <w:tcW w:w="456" w:type="pct"/>
            <w:tcBorders>
              <w:top w:val="single" w:sz="4" w:space="0" w:color="auto"/>
              <w:left w:val="nil"/>
              <w:bottom w:val="dotted" w:sz="4" w:space="0" w:color="auto"/>
              <w:right w:val="nil"/>
            </w:tcBorders>
            <w:shd w:val="clear" w:color="auto" w:fill="auto"/>
            <w:noWrap/>
            <w:vAlign w:val="bottom"/>
            <w:hideMark/>
          </w:tcPr>
          <w:p w14:paraId="5FA0344E"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15%</w:t>
            </w:r>
          </w:p>
        </w:tc>
        <w:tc>
          <w:tcPr>
            <w:tcW w:w="578" w:type="pct"/>
            <w:tcBorders>
              <w:top w:val="single" w:sz="4" w:space="0" w:color="auto"/>
              <w:left w:val="nil"/>
              <w:bottom w:val="dotted" w:sz="4" w:space="0" w:color="auto"/>
              <w:right w:val="nil"/>
            </w:tcBorders>
            <w:shd w:val="clear" w:color="auto" w:fill="auto"/>
            <w:noWrap/>
            <w:vAlign w:val="bottom"/>
            <w:hideMark/>
          </w:tcPr>
          <w:p w14:paraId="2003834F" w14:textId="64E03E5D"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4,819</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41D1218D"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19%</w:t>
            </w:r>
          </w:p>
        </w:tc>
      </w:tr>
      <w:tr w:rsidR="00BE1FF0" w:rsidRPr="004034CC" w14:paraId="3C0416B7"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3178E3A9"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Beth Israel Lahey Health</w:t>
            </w:r>
          </w:p>
        </w:tc>
        <w:tc>
          <w:tcPr>
            <w:tcW w:w="1583" w:type="pct"/>
            <w:tcBorders>
              <w:top w:val="nil"/>
              <w:left w:val="nil"/>
              <w:bottom w:val="dotted" w:sz="4" w:space="0" w:color="auto"/>
              <w:right w:val="single" w:sz="4" w:space="0" w:color="auto"/>
            </w:tcBorders>
            <w:shd w:val="clear" w:color="auto" w:fill="auto"/>
            <w:noWrap/>
            <w:vAlign w:val="bottom"/>
            <w:hideMark/>
          </w:tcPr>
          <w:p w14:paraId="05C29A7F"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Beth Israel Deaconess Medical Center</w:t>
            </w:r>
          </w:p>
        </w:tc>
        <w:tc>
          <w:tcPr>
            <w:tcW w:w="553" w:type="pct"/>
            <w:tcBorders>
              <w:top w:val="nil"/>
              <w:left w:val="nil"/>
              <w:bottom w:val="dotted" w:sz="4" w:space="0" w:color="auto"/>
              <w:right w:val="nil"/>
            </w:tcBorders>
            <w:shd w:val="clear" w:color="auto" w:fill="auto"/>
            <w:noWrap/>
            <w:vAlign w:val="bottom"/>
            <w:hideMark/>
          </w:tcPr>
          <w:p w14:paraId="15ADB449" w14:textId="74D998C6"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19,429</w:t>
            </w:r>
          </w:p>
        </w:tc>
        <w:tc>
          <w:tcPr>
            <w:tcW w:w="456" w:type="pct"/>
            <w:tcBorders>
              <w:top w:val="nil"/>
              <w:left w:val="nil"/>
              <w:bottom w:val="dotted" w:sz="4" w:space="0" w:color="auto"/>
              <w:right w:val="nil"/>
            </w:tcBorders>
            <w:shd w:val="clear" w:color="auto" w:fill="auto"/>
            <w:noWrap/>
            <w:vAlign w:val="bottom"/>
            <w:hideMark/>
          </w:tcPr>
          <w:p w14:paraId="43EA0632"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5%</w:t>
            </w:r>
          </w:p>
        </w:tc>
        <w:tc>
          <w:tcPr>
            <w:tcW w:w="578" w:type="pct"/>
            <w:tcBorders>
              <w:top w:val="nil"/>
              <w:left w:val="nil"/>
              <w:bottom w:val="dotted" w:sz="4" w:space="0" w:color="auto"/>
              <w:right w:val="nil"/>
            </w:tcBorders>
            <w:shd w:val="clear" w:color="auto" w:fill="auto"/>
            <w:noWrap/>
            <w:vAlign w:val="bottom"/>
            <w:hideMark/>
          </w:tcPr>
          <w:p w14:paraId="03FC966B" w14:textId="17C0E56B"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1,690</w:t>
            </w:r>
          </w:p>
        </w:tc>
        <w:tc>
          <w:tcPr>
            <w:tcW w:w="578" w:type="pct"/>
            <w:tcBorders>
              <w:top w:val="nil"/>
              <w:left w:val="nil"/>
              <w:bottom w:val="dotted" w:sz="4" w:space="0" w:color="auto"/>
              <w:right w:val="single" w:sz="8" w:space="0" w:color="auto"/>
            </w:tcBorders>
            <w:shd w:val="clear" w:color="auto" w:fill="auto"/>
            <w:noWrap/>
            <w:vAlign w:val="bottom"/>
            <w:hideMark/>
          </w:tcPr>
          <w:p w14:paraId="0C2329B7"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7%</w:t>
            </w:r>
          </w:p>
        </w:tc>
      </w:tr>
      <w:tr w:rsidR="00BE1FF0" w:rsidRPr="004034CC" w14:paraId="3C1B978F"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03E83E08"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Beth Israel Lahey Health</w:t>
            </w:r>
          </w:p>
        </w:tc>
        <w:tc>
          <w:tcPr>
            <w:tcW w:w="1583" w:type="pct"/>
            <w:tcBorders>
              <w:top w:val="nil"/>
              <w:left w:val="nil"/>
              <w:bottom w:val="dotted" w:sz="4" w:space="0" w:color="auto"/>
              <w:right w:val="single" w:sz="4" w:space="0" w:color="auto"/>
            </w:tcBorders>
            <w:shd w:val="clear" w:color="auto" w:fill="auto"/>
            <w:noWrap/>
            <w:vAlign w:val="bottom"/>
            <w:hideMark/>
          </w:tcPr>
          <w:p w14:paraId="7FA05A52"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Lahey Hospital Medical Center</w:t>
            </w:r>
          </w:p>
        </w:tc>
        <w:tc>
          <w:tcPr>
            <w:tcW w:w="553" w:type="pct"/>
            <w:tcBorders>
              <w:top w:val="nil"/>
              <w:left w:val="nil"/>
              <w:bottom w:val="dotted" w:sz="4" w:space="0" w:color="auto"/>
              <w:right w:val="nil"/>
            </w:tcBorders>
            <w:shd w:val="clear" w:color="auto" w:fill="auto"/>
            <w:noWrap/>
            <w:vAlign w:val="bottom"/>
            <w:hideMark/>
          </w:tcPr>
          <w:p w14:paraId="45B5FC71" w14:textId="21F76C84"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17,660</w:t>
            </w:r>
          </w:p>
        </w:tc>
        <w:tc>
          <w:tcPr>
            <w:tcW w:w="456" w:type="pct"/>
            <w:tcBorders>
              <w:top w:val="nil"/>
              <w:left w:val="nil"/>
              <w:bottom w:val="dotted" w:sz="4" w:space="0" w:color="auto"/>
              <w:right w:val="nil"/>
            </w:tcBorders>
            <w:shd w:val="clear" w:color="auto" w:fill="auto"/>
            <w:noWrap/>
            <w:vAlign w:val="bottom"/>
            <w:hideMark/>
          </w:tcPr>
          <w:p w14:paraId="71A2503E"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5%</w:t>
            </w:r>
          </w:p>
        </w:tc>
        <w:tc>
          <w:tcPr>
            <w:tcW w:w="578" w:type="pct"/>
            <w:tcBorders>
              <w:top w:val="nil"/>
              <w:left w:val="nil"/>
              <w:bottom w:val="dotted" w:sz="4" w:space="0" w:color="auto"/>
              <w:right w:val="nil"/>
            </w:tcBorders>
            <w:shd w:val="clear" w:color="auto" w:fill="auto"/>
            <w:noWrap/>
            <w:vAlign w:val="bottom"/>
            <w:hideMark/>
          </w:tcPr>
          <w:p w14:paraId="7AED4884" w14:textId="3553844B"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1,886</w:t>
            </w:r>
          </w:p>
        </w:tc>
        <w:tc>
          <w:tcPr>
            <w:tcW w:w="578" w:type="pct"/>
            <w:tcBorders>
              <w:top w:val="nil"/>
              <w:left w:val="nil"/>
              <w:bottom w:val="dotted" w:sz="4" w:space="0" w:color="auto"/>
              <w:right w:val="single" w:sz="8" w:space="0" w:color="auto"/>
            </w:tcBorders>
            <w:shd w:val="clear" w:color="auto" w:fill="auto"/>
            <w:noWrap/>
            <w:vAlign w:val="bottom"/>
            <w:hideMark/>
          </w:tcPr>
          <w:p w14:paraId="7C03E2AA"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7%</w:t>
            </w:r>
          </w:p>
        </w:tc>
      </w:tr>
      <w:tr w:rsidR="00BE1FF0" w:rsidRPr="004034CC" w14:paraId="39E1670D"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09920FE9"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Dana-Farber Cancer Institute</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437911A5"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16A6C308" w14:textId="081EC9BB"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38,515</w:t>
            </w:r>
          </w:p>
        </w:tc>
        <w:tc>
          <w:tcPr>
            <w:tcW w:w="456" w:type="pct"/>
            <w:tcBorders>
              <w:top w:val="single" w:sz="4" w:space="0" w:color="auto"/>
              <w:left w:val="nil"/>
              <w:bottom w:val="dotted" w:sz="4" w:space="0" w:color="auto"/>
              <w:right w:val="nil"/>
            </w:tcBorders>
            <w:shd w:val="clear" w:color="auto" w:fill="auto"/>
            <w:noWrap/>
            <w:vAlign w:val="bottom"/>
            <w:hideMark/>
          </w:tcPr>
          <w:p w14:paraId="1694C673"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10%</w:t>
            </w:r>
          </w:p>
        </w:tc>
        <w:tc>
          <w:tcPr>
            <w:tcW w:w="578" w:type="pct"/>
            <w:tcBorders>
              <w:top w:val="single" w:sz="4" w:space="0" w:color="auto"/>
              <w:left w:val="nil"/>
              <w:bottom w:val="dotted" w:sz="4" w:space="0" w:color="auto"/>
              <w:right w:val="nil"/>
            </w:tcBorders>
            <w:shd w:val="clear" w:color="auto" w:fill="auto"/>
            <w:noWrap/>
            <w:vAlign w:val="bottom"/>
            <w:hideMark/>
          </w:tcPr>
          <w:p w14:paraId="648DFAA0" w14:textId="14FFFE8E"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974</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35D4A597"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w:t>
            </w:r>
          </w:p>
        </w:tc>
      </w:tr>
      <w:tr w:rsidR="00BE1FF0" w:rsidRPr="004034CC" w14:paraId="56DE0FC6"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173B255B"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Dana-Farber Cancer Institute</w:t>
            </w:r>
          </w:p>
        </w:tc>
        <w:tc>
          <w:tcPr>
            <w:tcW w:w="1583" w:type="pct"/>
            <w:tcBorders>
              <w:top w:val="nil"/>
              <w:left w:val="nil"/>
              <w:bottom w:val="dotted" w:sz="4" w:space="0" w:color="auto"/>
              <w:right w:val="single" w:sz="4" w:space="0" w:color="auto"/>
            </w:tcBorders>
            <w:shd w:val="clear" w:color="auto" w:fill="auto"/>
            <w:noWrap/>
            <w:vAlign w:val="bottom"/>
            <w:hideMark/>
          </w:tcPr>
          <w:p w14:paraId="5314E069"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Dana Farber Cancer Institute</w:t>
            </w:r>
          </w:p>
        </w:tc>
        <w:tc>
          <w:tcPr>
            <w:tcW w:w="553" w:type="pct"/>
            <w:tcBorders>
              <w:top w:val="nil"/>
              <w:left w:val="nil"/>
              <w:bottom w:val="dotted" w:sz="4" w:space="0" w:color="auto"/>
              <w:right w:val="nil"/>
            </w:tcBorders>
            <w:shd w:val="clear" w:color="auto" w:fill="auto"/>
            <w:noWrap/>
            <w:vAlign w:val="bottom"/>
            <w:hideMark/>
          </w:tcPr>
          <w:p w14:paraId="62F1F981" w14:textId="7EA0FAD1"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38,515</w:t>
            </w:r>
          </w:p>
        </w:tc>
        <w:tc>
          <w:tcPr>
            <w:tcW w:w="456" w:type="pct"/>
            <w:tcBorders>
              <w:top w:val="nil"/>
              <w:left w:val="nil"/>
              <w:bottom w:val="dotted" w:sz="4" w:space="0" w:color="auto"/>
              <w:right w:val="nil"/>
            </w:tcBorders>
            <w:shd w:val="clear" w:color="auto" w:fill="auto"/>
            <w:noWrap/>
            <w:vAlign w:val="bottom"/>
            <w:hideMark/>
          </w:tcPr>
          <w:p w14:paraId="77FDB023"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10%</w:t>
            </w:r>
          </w:p>
        </w:tc>
        <w:tc>
          <w:tcPr>
            <w:tcW w:w="578" w:type="pct"/>
            <w:tcBorders>
              <w:top w:val="nil"/>
              <w:left w:val="nil"/>
              <w:bottom w:val="dotted" w:sz="4" w:space="0" w:color="auto"/>
              <w:right w:val="nil"/>
            </w:tcBorders>
            <w:shd w:val="clear" w:color="auto" w:fill="auto"/>
            <w:noWrap/>
            <w:vAlign w:val="bottom"/>
            <w:hideMark/>
          </w:tcPr>
          <w:p w14:paraId="5A5B2C98" w14:textId="5AC0A6FA"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974</w:t>
            </w:r>
          </w:p>
        </w:tc>
        <w:tc>
          <w:tcPr>
            <w:tcW w:w="578" w:type="pct"/>
            <w:tcBorders>
              <w:top w:val="nil"/>
              <w:left w:val="nil"/>
              <w:bottom w:val="dotted" w:sz="4" w:space="0" w:color="auto"/>
              <w:right w:val="single" w:sz="8" w:space="0" w:color="auto"/>
            </w:tcBorders>
            <w:shd w:val="clear" w:color="auto" w:fill="auto"/>
            <w:noWrap/>
            <w:vAlign w:val="bottom"/>
            <w:hideMark/>
          </w:tcPr>
          <w:p w14:paraId="76CAA30D"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4%</w:t>
            </w:r>
          </w:p>
        </w:tc>
      </w:tr>
      <w:tr w:rsidR="00BE1FF0" w:rsidRPr="004034CC" w14:paraId="16648325"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2010080E"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UMass Memorial Health Care</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2211D4DC"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211FB23F" w14:textId="4ADE2DDD"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28,762</w:t>
            </w:r>
          </w:p>
        </w:tc>
        <w:tc>
          <w:tcPr>
            <w:tcW w:w="456" w:type="pct"/>
            <w:tcBorders>
              <w:top w:val="single" w:sz="4" w:space="0" w:color="auto"/>
              <w:left w:val="nil"/>
              <w:bottom w:val="dotted" w:sz="4" w:space="0" w:color="auto"/>
              <w:right w:val="nil"/>
            </w:tcBorders>
            <w:shd w:val="clear" w:color="auto" w:fill="auto"/>
            <w:noWrap/>
            <w:vAlign w:val="bottom"/>
            <w:hideMark/>
          </w:tcPr>
          <w:p w14:paraId="5805E8D0"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8%</w:t>
            </w:r>
          </w:p>
        </w:tc>
        <w:tc>
          <w:tcPr>
            <w:tcW w:w="578" w:type="pct"/>
            <w:tcBorders>
              <w:top w:val="single" w:sz="4" w:space="0" w:color="auto"/>
              <w:left w:val="nil"/>
              <w:bottom w:val="dotted" w:sz="4" w:space="0" w:color="auto"/>
              <w:right w:val="nil"/>
            </w:tcBorders>
            <w:shd w:val="clear" w:color="auto" w:fill="auto"/>
            <w:noWrap/>
            <w:vAlign w:val="bottom"/>
            <w:hideMark/>
          </w:tcPr>
          <w:p w14:paraId="75C149CD" w14:textId="3397A3C2"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1,639</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1339404D"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w:t>
            </w:r>
          </w:p>
        </w:tc>
      </w:tr>
      <w:tr w:rsidR="00BE1FF0" w:rsidRPr="004034CC" w14:paraId="20120ABD"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2907EC9F"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UMass Memorial Health Care</w:t>
            </w:r>
          </w:p>
        </w:tc>
        <w:tc>
          <w:tcPr>
            <w:tcW w:w="1583" w:type="pct"/>
            <w:tcBorders>
              <w:top w:val="nil"/>
              <w:left w:val="nil"/>
              <w:bottom w:val="dotted" w:sz="4" w:space="0" w:color="auto"/>
              <w:right w:val="single" w:sz="4" w:space="0" w:color="auto"/>
            </w:tcBorders>
            <w:shd w:val="clear" w:color="auto" w:fill="auto"/>
            <w:noWrap/>
            <w:vAlign w:val="bottom"/>
            <w:hideMark/>
          </w:tcPr>
          <w:p w14:paraId="300D62DC"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UMass Memorial Medical Center</w:t>
            </w:r>
          </w:p>
        </w:tc>
        <w:tc>
          <w:tcPr>
            <w:tcW w:w="553" w:type="pct"/>
            <w:tcBorders>
              <w:top w:val="nil"/>
              <w:left w:val="nil"/>
              <w:bottom w:val="dotted" w:sz="4" w:space="0" w:color="auto"/>
              <w:right w:val="nil"/>
            </w:tcBorders>
            <w:shd w:val="clear" w:color="auto" w:fill="auto"/>
            <w:noWrap/>
            <w:vAlign w:val="bottom"/>
            <w:hideMark/>
          </w:tcPr>
          <w:p w14:paraId="0C965643" w14:textId="449F2DA6"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28,762</w:t>
            </w:r>
          </w:p>
        </w:tc>
        <w:tc>
          <w:tcPr>
            <w:tcW w:w="456" w:type="pct"/>
            <w:tcBorders>
              <w:top w:val="nil"/>
              <w:left w:val="nil"/>
              <w:bottom w:val="dotted" w:sz="4" w:space="0" w:color="auto"/>
              <w:right w:val="nil"/>
            </w:tcBorders>
            <w:shd w:val="clear" w:color="auto" w:fill="auto"/>
            <w:noWrap/>
            <w:vAlign w:val="bottom"/>
            <w:hideMark/>
          </w:tcPr>
          <w:p w14:paraId="7E77EEA0"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8%</w:t>
            </w:r>
          </w:p>
        </w:tc>
        <w:tc>
          <w:tcPr>
            <w:tcW w:w="578" w:type="pct"/>
            <w:tcBorders>
              <w:top w:val="nil"/>
              <w:left w:val="nil"/>
              <w:bottom w:val="dotted" w:sz="4" w:space="0" w:color="auto"/>
              <w:right w:val="nil"/>
            </w:tcBorders>
            <w:shd w:val="clear" w:color="auto" w:fill="auto"/>
            <w:noWrap/>
            <w:vAlign w:val="bottom"/>
            <w:hideMark/>
          </w:tcPr>
          <w:p w14:paraId="5A0A695C" w14:textId="0B2E71C1"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1,639</w:t>
            </w:r>
          </w:p>
        </w:tc>
        <w:tc>
          <w:tcPr>
            <w:tcW w:w="578" w:type="pct"/>
            <w:tcBorders>
              <w:top w:val="nil"/>
              <w:left w:val="nil"/>
              <w:bottom w:val="dotted" w:sz="4" w:space="0" w:color="auto"/>
              <w:right w:val="single" w:sz="8" w:space="0" w:color="auto"/>
            </w:tcBorders>
            <w:shd w:val="clear" w:color="auto" w:fill="auto"/>
            <w:noWrap/>
            <w:vAlign w:val="bottom"/>
            <w:hideMark/>
          </w:tcPr>
          <w:p w14:paraId="5C78C45D"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6%</w:t>
            </w:r>
          </w:p>
        </w:tc>
      </w:tr>
      <w:tr w:rsidR="00BE1FF0" w:rsidRPr="004034CC" w14:paraId="48659113"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6F32BE2A"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Cape Cod Healthcare</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08B6325E"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50B70335" w14:textId="0539001F"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19,792</w:t>
            </w:r>
          </w:p>
        </w:tc>
        <w:tc>
          <w:tcPr>
            <w:tcW w:w="456" w:type="pct"/>
            <w:tcBorders>
              <w:top w:val="single" w:sz="4" w:space="0" w:color="auto"/>
              <w:left w:val="nil"/>
              <w:bottom w:val="dotted" w:sz="4" w:space="0" w:color="auto"/>
              <w:right w:val="nil"/>
            </w:tcBorders>
            <w:shd w:val="clear" w:color="auto" w:fill="auto"/>
            <w:noWrap/>
            <w:vAlign w:val="bottom"/>
            <w:hideMark/>
          </w:tcPr>
          <w:p w14:paraId="1802F7E6"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w:t>
            </w:r>
          </w:p>
        </w:tc>
        <w:tc>
          <w:tcPr>
            <w:tcW w:w="578" w:type="pct"/>
            <w:tcBorders>
              <w:top w:val="single" w:sz="4" w:space="0" w:color="auto"/>
              <w:left w:val="nil"/>
              <w:bottom w:val="dotted" w:sz="4" w:space="0" w:color="auto"/>
              <w:right w:val="nil"/>
            </w:tcBorders>
            <w:shd w:val="clear" w:color="auto" w:fill="auto"/>
            <w:noWrap/>
            <w:vAlign w:val="bottom"/>
            <w:hideMark/>
          </w:tcPr>
          <w:p w14:paraId="44ECFEC2" w14:textId="2FF6F6F9"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2,146</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52F627E6"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8%</w:t>
            </w:r>
          </w:p>
        </w:tc>
      </w:tr>
      <w:tr w:rsidR="00BE1FF0" w:rsidRPr="004034CC" w14:paraId="6EB0B2B4" w14:textId="77777777" w:rsidTr="00054FD5">
        <w:trPr>
          <w:cantSplit/>
          <w:trHeight w:val="29"/>
        </w:trPr>
        <w:tc>
          <w:tcPr>
            <w:tcW w:w="1252" w:type="pct"/>
            <w:tcBorders>
              <w:top w:val="nil"/>
              <w:left w:val="single" w:sz="8" w:space="0" w:color="auto"/>
              <w:bottom w:val="dotted" w:sz="4" w:space="0" w:color="auto"/>
              <w:right w:val="nil"/>
            </w:tcBorders>
            <w:shd w:val="clear" w:color="auto" w:fill="auto"/>
            <w:noWrap/>
            <w:vAlign w:val="bottom"/>
            <w:hideMark/>
          </w:tcPr>
          <w:p w14:paraId="7B7B5CAA"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Cape Cod Healthcare</w:t>
            </w:r>
          </w:p>
        </w:tc>
        <w:tc>
          <w:tcPr>
            <w:tcW w:w="1583" w:type="pct"/>
            <w:tcBorders>
              <w:top w:val="nil"/>
              <w:left w:val="nil"/>
              <w:bottom w:val="dotted" w:sz="4" w:space="0" w:color="auto"/>
              <w:right w:val="single" w:sz="4" w:space="0" w:color="auto"/>
            </w:tcBorders>
            <w:shd w:val="clear" w:color="auto" w:fill="auto"/>
            <w:noWrap/>
            <w:vAlign w:val="bottom"/>
            <w:hideMark/>
          </w:tcPr>
          <w:p w14:paraId="469EF2FF" w14:textId="77777777" w:rsidR="004034CC" w:rsidRPr="004034CC" w:rsidRDefault="004034CC" w:rsidP="004034CC">
            <w:pPr>
              <w:spacing w:after="0" w:line="240" w:lineRule="auto"/>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Cape Cod Hospital</w:t>
            </w:r>
          </w:p>
        </w:tc>
        <w:tc>
          <w:tcPr>
            <w:tcW w:w="553" w:type="pct"/>
            <w:tcBorders>
              <w:top w:val="nil"/>
              <w:left w:val="nil"/>
              <w:bottom w:val="dotted" w:sz="4" w:space="0" w:color="auto"/>
              <w:right w:val="nil"/>
            </w:tcBorders>
            <w:shd w:val="clear" w:color="auto" w:fill="auto"/>
            <w:noWrap/>
            <w:vAlign w:val="bottom"/>
            <w:hideMark/>
          </w:tcPr>
          <w:p w14:paraId="5ADD099C" w14:textId="75BF1585"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19,791</w:t>
            </w:r>
          </w:p>
        </w:tc>
        <w:tc>
          <w:tcPr>
            <w:tcW w:w="456" w:type="pct"/>
            <w:tcBorders>
              <w:top w:val="nil"/>
              <w:left w:val="nil"/>
              <w:bottom w:val="dotted" w:sz="4" w:space="0" w:color="auto"/>
              <w:right w:val="nil"/>
            </w:tcBorders>
            <w:shd w:val="clear" w:color="auto" w:fill="auto"/>
            <w:noWrap/>
            <w:vAlign w:val="bottom"/>
            <w:hideMark/>
          </w:tcPr>
          <w:p w14:paraId="6CC691DE"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5%</w:t>
            </w:r>
          </w:p>
        </w:tc>
        <w:tc>
          <w:tcPr>
            <w:tcW w:w="578" w:type="pct"/>
            <w:tcBorders>
              <w:top w:val="nil"/>
              <w:left w:val="nil"/>
              <w:bottom w:val="dotted" w:sz="4" w:space="0" w:color="auto"/>
              <w:right w:val="nil"/>
            </w:tcBorders>
            <w:shd w:val="clear" w:color="auto" w:fill="auto"/>
            <w:noWrap/>
            <w:vAlign w:val="bottom"/>
            <w:hideMark/>
          </w:tcPr>
          <w:p w14:paraId="18D6D694" w14:textId="07531154"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2,146</w:t>
            </w:r>
          </w:p>
        </w:tc>
        <w:tc>
          <w:tcPr>
            <w:tcW w:w="578" w:type="pct"/>
            <w:tcBorders>
              <w:top w:val="nil"/>
              <w:left w:val="nil"/>
              <w:bottom w:val="dotted" w:sz="4" w:space="0" w:color="auto"/>
              <w:right w:val="single" w:sz="8" w:space="0" w:color="auto"/>
            </w:tcBorders>
            <w:shd w:val="clear" w:color="auto" w:fill="auto"/>
            <w:noWrap/>
            <w:vAlign w:val="bottom"/>
            <w:hideMark/>
          </w:tcPr>
          <w:p w14:paraId="04F2B905" w14:textId="77777777" w:rsidR="004034CC" w:rsidRPr="004034CC" w:rsidRDefault="004034CC" w:rsidP="00DB054E">
            <w:pPr>
              <w:spacing w:after="0" w:line="240" w:lineRule="auto"/>
              <w:jc w:val="right"/>
              <w:rPr>
                <w:rFonts w:ascii="Calibri" w:eastAsia="Times New Roman" w:hAnsi="Calibri" w:cs="Calibri"/>
                <w:kern w:val="0"/>
                <w:sz w:val="18"/>
                <w:szCs w:val="18"/>
                <w14:ligatures w14:val="none"/>
              </w:rPr>
            </w:pPr>
            <w:r w:rsidRPr="004034CC">
              <w:rPr>
                <w:rFonts w:ascii="Calibri" w:eastAsia="Times New Roman" w:hAnsi="Calibri" w:cs="Calibri"/>
                <w:kern w:val="0"/>
                <w:sz w:val="18"/>
                <w:szCs w:val="18"/>
                <w14:ligatures w14:val="none"/>
              </w:rPr>
              <w:t>8%</w:t>
            </w:r>
          </w:p>
        </w:tc>
      </w:tr>
      <w:tr w:rsidR="00BE1FF0" w:rsidRPr="004034CC" w14:paraId="24C647C7"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0BC4A4F2"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Other Health Systems</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11F88DA4"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075E8920" w14:textId="78C10BA3"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20,139</w:t>
            </w:r>
          </w:p>
        </w:tc>
        <w:tc>
          <w:tcPr>
            <w:tcW w:w="456" w:type="pct"/>
            <w:tcBorders>
              <w:top w:val="single" w:sz="4" w:space="0" w:color="auto"/>
              <w:left w:val="nil"/>
              <w:bottom w:val="dotted" w:sz="4" w:space="0" w:color="auto"/>
              <w:right w:val="nil"/>
            </w:tcBorders>
            <w:shd w:val="clear" w:color="auto" w:fill="auto"/>
            <w:noWrap/>
            <w:vAlign w:val="bottom"/>
            <w:hideMark/>
          </w:tcPr>
          <w:p w14:paraId="50BF3B1C"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w:t>
            </w:r>
          </w:p>
        </w:tc>
        <w:tc>
          <w:tcPr>
            <w:tcW w:w="578" w:type="pct"/>
            <w:tcBorders>
              <w:top w:val="single" w:sz="4" w:space="0" w:color="auto"/>
              <w:left w:val="nil"/>
              <w:bottom w:val="dotted" w:sz="4" w:space="0" w:color="auto"/>
              <w:right w:val="nil"/>
            </w:tcBorders>
            <w:shd w:val="clear" w:color="auto" w:fill="auto"/>
            <w:noWrap/>
            <w:vAlign w:val="bottom"/>
            <w:hideMark/>
          </w:tcPr>
          <w:p w14:paraId="534B7AA3" w14:textId="10492E8C"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1,504</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11AC9469"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w:t>
            </w:r>
          </w:p>
        </w:tc>
      </w:tr>
      <w:tr w:rsidR="00BE1FF0" w:rsidRPr="004034CC" w14:paraId="2E192EEA"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65BC69A5"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Tufts Medicine</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082DBC4E"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5D9DBC40" w14:textId="1BF08240"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18,793</w:t>
            </w:r>
          </w:p>
        </w:tc>
        <w:tc>
          <w:tcPr>
            <w:tcW w:w="456" w:type="pct"/>
            <w:tcBorders>
              <w:top w:val="single" w:sz="4" w:space="0" w:color="auto"/>
              <w:left w:val="nil"/>
              <w:bottom w:val="dotted" w:sz="4" w:space="0" w:color="auto"/>
              <w:right w:val="nil"/>
            </w:tcBorders>
            <w:shd w:val="clear" w:color="auto" w:fill="auto"/>
            <w:noWrap/>
            <w:vAlign w:val="bottom"/>
            <w:hideMark/>
          </w:tcPr>
          <w:p w14:paraId="074BBAC5"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w:t>
            </w:r>
          </w:p>
        </w:tc>
        <w:tc>
          <w:tcPr>
            <w:tcW w:w="578" w:type="pct"/>
            <w:tcBorders>
              <w:top w:val="single" w:sz="4" w:space="0" w:color="auto"/>
              <w:left w:val="nil"/>
              <w:bottom w:val="dotted" w:sz="4" w:space="0" w:color="auto"/>
              <w:right w:val="nil"/>
            </w:tcBorders>
            <w:shd w:val="clear" w:color="auto" w:fill="auto"/>
            <w:noWrap/>
            <w:vAlign w:val="bottom"/>
            <w:hideMark/>
          </w:tcPr>
          <w:p w14:paraId="7F48D108" w14:textId="3E4D0DE8"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1,513</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27882C53"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w:t>
            </w:r>
          </w:p>
        </w:tc>
      </w:tr>
      <w:tr w:rsidR="00BE1FF0" w:rsidRPr="004034CC" w14:paraId="4CC040ED" w14:textId="77777777" w:rsidTr="00054FD5">
        <w:trPr>
          <w:cantSplit/>
          <w:trHeight w:val="161"/>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17299AC8"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Steward Health Care System</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3223A0FB"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1BE38B1D" w14:textId="0DFE0586"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18,132</w:t>
            </w:r>
          </w:p>
        </w:tc>
        <w:tc>
          <w:tcPr>
            <w:tcW w:w="456" w:type="pct"/>
            <w:tcBorders>
              <w:top w:val="single" w:sz="4" w:space="0" w:color="auto"/>
              <w:left w:val="nil"/>
              <w:bottom w:val="dotted" w:sz="4" w:space="0" w:color="auto"/>
              <w:right w:val="nil"/>
            </w:tcBorders>
            <w:shd w:val="clear" w:color="auto" w:fill="auto"/>
            <w:noWrap/>
            <w:vAlign w:val="bottom"/>
            <w:hideMark/>
          </w:tcPr>
          <w:p w14:paraId="035C876B"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w:t>
            </w:r>
          </w:p>
        </w:tc>
        <w:tc>
          <w:tcPr>
            <w:tcW w:w="578" w:type="pct"/>
            <w:tcBorders>
              <w:top w:val="single" w:sz="4" w:space="0" w:color="auto"/>
              <w:left w:val="nil"/>
              <w:bottom w:val="dotted" w:sz="4" w:space="0" w:color="auto"/>
              <w:right w:val="nil"/>
            </w:tcBorders>
            <w:shd w:val="clear" w:color="auto" w:fill="auto"/>
            <w:noWrap/>
            <w:vAlign w:val="bottom"/>
            <w:hideMark/>
          </w:tcPr>
          <w:p w14:paraId="0FC3C9F9" w14:textId="12F13AAD"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548</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65280E7A"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r>
      <w:tr w:rsidR="00BE1FF0" w:rsidRPr="004034CC" w14:paraId="6AB377C5"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06879F70"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Baystate Health</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1BFC4F46"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397A0420" w14:textId="701177B8"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16,881</w:t>
            </w:r>
          </w:p>
        </w:tc>
        <w:tc>
          <w:tcPr>
            <w:tcW w:w="456" w:type="pct"/>
            <w:tcBorders>
              <w:top w:val="single" w:sz="4" w:space="0" w:color="auto"/>
              <w:left w:val="nil"/>
              <w:bottom w:val="dotted" w:sz="4" w:space="0" w:color="auto"/>
              <w:right w:val="nil"/>
            </w:tcBorders>
            <w:shd w:val="clear" w:color="auto" w:fill="auto"/>
            <w:noWrap/>
            <w:vAlign w:val="bottom"/>
            <w:hideMark/>
          </w:tcPr>
          <w:p w14:paraId="18FD1558"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w:t>
            </w:r>
          </w:p>
        </w:tc>
        <w:tc>
          <w:tcPr>
            <w:tcW w:w="578" w:type="pct"/>
            <w:tcBorders>
              <w:top w:val="single" w:sz="4" w:space="0" w:color="auto"/>
              <w:left w:val="nil"/>
              <w:bottom w:val="dotted" w:sz="4" w:space="0" w:color="auto"/>
              <w:right w:val="nil"/>
            </w:tcBorders>
            <w:shd w:val="clear" w:color="auto" w:fill="auto"/>
            <w:noWrap/>
            <w:vAlign w:val="bottom"/>
            <w:hideMark/>
          </w:tcPr>
          <w:p w14:paraId="4028A304" w14:textId="2971BCA5"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1,121</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7202A651"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w:t>
            </w:r>
          </w:p>
        </w:tc>
      </w:tr>
      <w:tr w:rsidR="00BE1FF0" w:rsidRPr="004034CC" w14:paraId="0ED780B7"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0206B4A2"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Southcoast Health System</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564C6C30"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4CDF5644" w14:textId="4D7A5E58"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12,995</w:t>
            </w:r>
          </w:p>
        </w:tc>
        <w:tc>
          <w:tcPr>
            <w:tcW w:w="456" w:type="pct"/>
            <w:tcBorders>
              <w:top w:val="single" w:sz="4" w:space="0" w:color="auto"/>
              <w:left w:val="nil"/>
              <w:bottom w:val="dotted" w:sz="4" w:space="0" w:color="auto"/>
              <w:right w:val="nil"/>
            </w:tcBorders>
            <w:shd w:val="clear" w:color="auto" w:fill="auto"/>
            <w:noWrap/>
            <w:vAlign w:val="bottom"/>
            <w:hideMark/>
          </w:tcPr>
          <w:p w14:paraId="2EFD3D9B"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w:t>
            </w:r>
          </w:p>
        </w:tc>
        <w:tc>
          <w:tcPr>
            <w:tcW w:w="578" w:type="pct"/>
            <w:tcBorders>
              <w:top w:val="single" w:sz="4" w:space="0" w:color="auto"/>
              <w:left w:val="nil"/>
              <w:bottom w:val="dotted" w:sz="4" w:space="0" w:color="auto"/>
              <w:right w:val="nil"/>
            </w:tcBorders>
            <w:shd w:val="clear" w:color="auto" w:fill="auto"/>
            <w:noWrap/>
            <w:vAlign w:val="bottom"/>
            <w:hideMark/>
          </w:tcPr>
          <w:p w14:paraId="4431210D" w14:textId="1DB91DA9"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1,493</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2BCDBCFA"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w:t>
            </w:r>
          </w:p>
        </w:tc>
      </w:tr>
      <w:tr w:rsidR="00BE1FF0" w:rsidRPr="004034CC" w14:paraId="22A139F4"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7C71A14D"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Tenet Healthcare</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2E460959"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4FE17745" w14:textId="4312F39F"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12,956</w:t>
            </w:r>
          </w:p>
        </w:tc>
        <w:tc>
          <w:tcPr>
            <w:tcW w:w="456" w:type="pct"/>
            <w:tcBorders>
              <w:top w:val="single" w:sz="4" w:space="0" w:color="auto"/>
              <w:left w:val="nil"/>
              <w:bottom w:val="dotted" w:sz="4" w:space="0" w:color="auto"/>
              <w:right w:val="nil"/>
            </w:tcBorders>
            <w:shd w:val="clear" w:color="auto" w:fill="auto"/>
            <w:noWrap/>
            <w:vAlign w:val="bottom"/>
            <w:hideMark/>
          </w:tcPr>
          <w:p w14:paraId="17A9670A"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w:t>
            </w:r>
          </w:p>
        </w:tc>
        <w:tc>
          <w:tcPr>
            <w:tcW w:w="578" w:type="pct"/>
            <w:tcBorders>
              <w:top w:val="single" w:sz="4" w:space="0" w:color="auto"/>
              <w:left w:val="nil"/>
              <w:bottom w:val="dotted" w:sz="4" w:space="0" w:color="auto"/>
              <w:right w:val="nil"/>
            </w:tcBorders>
            <w:shd w:val="clear" w:color="auto" w:fill="auto"/>
            <w:noWrap/>
            <w:vAlign w:val="bottom"/>
            <w:hideMark/>
          </w:tcPr>
          <w:p w14:paraId="58E29D5C" w14:textId="5B923EF4"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1,084</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08BBAB24"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w:t>
            </w:r>
          </w:p>
        </w:tc>
      </w:tr>
      <w:tr w:rsidR="00BE1FF0" w:rsidRPr="004034CC" w14:paraId="58442B98"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1E39101F"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Berkshire Health Systems</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0E2C3DDF"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524E47DC" w14:textId="7580A126"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8,923</w:t>
            </w:r>
          </w:p>
        </w:tc>
        <w:tc>
          <w:tcPr>
            <w:tcW w:w="456" w:type="pct"/>
            <w:tcBorders>
              <w:top w:val="single" w:sz="4" w:space="0" w:color="auto"/>
              <w:left w:val="nil"/>
              <w:bottom w:val="dotted" w:sz="4" w:space="0" w:color="auto"/>
              <w:right w:val="nil"/>
            </w:tcBorders>
            <w:shd w:val="clear" w:color="auto" w:fill="auto"/>
            <w:noWrap/>
            <w:vAlign w:val="bottom"/>
            <w:hideMark/>
          </w:tcPr>
          <w:p w14:paraId="2027B770"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c>
          <w:tcPr>
            <w:tcW w:w="578" w:type="pct"/>
            <w:tcBorders>
              <w:top w:val="single" w:sz="4" w:space="0" w:color="auto"/>
              <w:left w:val="nil"/>
              <w:bottom w:val="dotted" w:sz="4" w:space="0" w:color="auto"/>
              <w:right w:val="nil"/>
            </w:tcBorders>
            <w:shd w:val="clear" w:color="auto" w:fill="auto"/>
            <w:noWrap/>
            <w:vAlign w:val="bottom"/>
            <w:hideMark/>
          </w:tcPr>
          <w:p w14:paraId="2EB50879" w14:textId="0DDA602A"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618</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7212DA0D"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r>
      <w:tr w:rsidR="00BE1FF0" w:rsidRPr="004034CC" w14:paraId="1472301A"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4A493E42"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Boston Medical Center</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76E65439"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7D39FE46" w14:textId="7EEA2381"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8,256</w:t>
            </w:r>
          </w:p>
        </w:tc>
        <w:tc>
          <w:tcPr>
            <w:tcW w:w="456" w:type="pct"/>
            <w:tcBorders>
              <w:top w:val="single" w:sz="4" w:space="0" w:color="auto"/>
              <w:left w:val="nil"/>
              <w:bottom w:val="dotted" w:sz="4" w:space="0" w:color="auto"/>
              <w:right w:val="nil"/>
            </w:tcBorders>
            <w:shd w:val="clear" w:color="auto" w:fill="auto"/>
            <w:noWrap/>
            <w:vAlign w:val="bottom"/>
            <w:hideMark/>
          </w:tcPr>
          <w:p w14:paraId="34DCAF1A"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c>
          <w:tcPr>
            <w:tcW w:w="578" w:type="pct"/>
            <w:tcBorders>
              <w:top w:val="single" w:sz="4" w:space="0" w:color="auto"/>
              <w:left w:val="nil"/>
              <w:bottom w:val="dotted" w:sz="4" w:space="0" w:color="auto"/>
              <w:right w:val="nil"/>
            </w:tcBorders>
            <w:shd w:val="clear" w:color="auto" w:fill="auto"/>
            <w:noWrap/>
            <w:vAlign w:val="bottom"/>
            <w:hideMark/>
          </w:tcPr>
          <w:p w14:paraId="11365309" w14:textId="613E182A"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826</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6C1C4AE5"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3%</w:t>
            </w:r>
          </w:p>
        </w:tc>
      </w:tr>
      <w:tr w:rsidR="00BE1FF0" w:rsidRPr="004034CC" w14:paraId="464F45F8" w14:textId="77777777" w:rsidTr="00054FD5">
        <w:trPr>
          <w:cantSplit/>
          <w:trHeight w:val="29"/>
        </w:trPr>
        <w:tc>
          <w:tcPr>
            <w:tcW w:w="1252" w:type="pct"/>
            <w:tcBorders>
              <w:top w:val="single" w:sz="4" w:space="0" w:color="auto"/>
              <w:left w:val="single" w:sz="8" w:space="0" w:color="auto"/>
              <w:bottom w:val="dotted" w:sz="4" w:space="0" w:color="auto"/>
              <w:right w:val="nil"/>
            </w:tcBorders>
            <w:shd w:val="clear" w:color="auto" w:fill="auto"/>
            <w:noWrap/>
            <w:vAlign w:val="bottom"/>
            <w:hideMark/>
          </w:tcPr>
          <w:p w14:paraId="7BAC0120"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Trinity Health</w:t>
            </w:r>
          </w:p>
        </w:tc>
        <w:tc>
          <w:tcPr>
            <w:tcW w:w="1583" w:type="pct"/>
            <w:tcBorders>
              <w:top w:val="single" w:sz="4" w:space="0" w:color="auto"/>
              <w:left w:val="nil"/>
              <w:bottom w:val="dotted" w:sz="4" w:space="0" w:color="auto"/>
              <w:right w:val="single" w:sz="4" w:space="0" w:color="auto"/>
            </w:tcBorders>
            <w:shd w:val="clear" w:color="auto" w:fill="auto"/>
            <w:noWrap/>
            <w:vAlign w:val="bottom"/>
            <w:hideMark/>
          </w:tcPr>
          <w:p w14:paraId="10B424DC"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dotted" w:sz="4" w:space="0" w:color="auto"/>
              <w:right w:val="nil"/>
            </w:tcBorders>
            <w:shd w:val="clear" w:color="auto" w:fill="auto"/>
            <w:noWrap/>
            <w:vAlign w:val="bottom"/>
            <w:hideMark/>
          </w:tcPr>
          <w:p w14:paraId="69F6C5B0" w14:textId="6565B270"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7,466</w:t>
            </w:r>
          </w:p>
        </w:tc>
        <w:tc>
          <w:tcPr>
            <w:tcW w:w="456" w:type="pct"/>
            <w:tcBorders>
              <w:top w:val="single" w:sz="4" w:space="0" w:color="auto"/>
              <w:left w:val="nil"/>
              <w:bottom w:val="dotted" w:sz="4" w:space="0" w:color="auto"/>
              <w:right w:val="nil"/>
            </w:tcBorders>
            <w:shd w:val="clear" w:color="auto" w:fill="auto"/>
            <w:noWrap/>
            <w:vAlign w:val="bottom"/>
            <w:hideMark/>
          </w:tcPr>
          <w:p w14:paraId="3B0AF2DD"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c>
          <w:tcPr>
            <w:tcW w:w="578" w:type="pct"/>
            <w:tcBorders>
              <w:top w:val="single" w:sz="4" w:space="0" w:color="auto"/>
              <w:left w:val="nil"/>
              <w:bottom w:val="dotted" w:sz="4" w:space="0" w:color="auto"/>
              <w:right w:val="nil"/>
            </w:tcBorders>
            <w:shd w:val="clear" w:color="auto" w:fill="auto"/>
            <w:noWrap/>
            <w:vAlign w:val="bottom"/>
            <w:hideMark/>
          </w:tcPr>
          <w:p w14:paraId="2E13E0C7" w14:textId="5C1C52BA"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475</w:t>
            </w:r>
          </w:p>
        </w:tc>
        <w:tc>
          <w:tcPr>
            <w:tcW w:w="578" w:type="pct"/>
            <w:tcBorders>
              <w:top w:val="single" w:sz="4" w:space="0" w:color="auto"/>
              <w:left w:val="nil"/>
              <w:bottom w:val="dotted" w:sz="4" w:space="0" w:color="auto"/>
              <w:right w:val="single" w:sz="8" w:space="0" w:color="auto"/>
            </w:tcBorders>
            <w:shd w:val="clear" w:color="auto" w:fill="auto"/>
            <w:noWrap/>
            <w:vAlign w:val="bottom"/>
            <w:hideMark/>
          </w:tcPr>
          <w:p w14:paraId="4BA2F9A0"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2%</w:t>
            </w:r>
          </w:p>
        </w:tc>
      </w:tr>
      <w:tr w:rsidR="00BE1FF0" w:rsidRPr="004034CC" w14:paraId="66025DBE" w14:textId="77777777" w:rsidTr="00054FD5">
        <w:trPr>
          <w:cantSplit/>
          <w:trHeight w:val="29"/>
        </w:trPr>
        <w:tc>
          <w:tcPr>
            <w:tcW w:w="1252" w:type="pct"/>
            <w:tcBorders>
              <w:top w:val="single" w:sz="4" w:space="0" w:color="auto"/>
              <w:left w:val="single" w:sz="8" w:space="0" w:color="auto"/>
              <w:bottom w:val="single" w:sz="8" w:space="0" w:color="auto"/>
              <w:right w:val="nil"/>
            </w:tcBorders>
            <w:shd w:val="clear" w:color="auto" w:fill="auto"/>
            <w:noWrap/>
            <w:vAlign w:val="bottom"/>
            <w:hideMark/>
          </w:tcPr>
          <w:p w14:paraId="6A3C0293"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Signature Healthcare</w:t>
            </w:r>
          </w:p>
        </w:tc>
        <w:tc>
          <w:tcPr>
            <w:tcW w:w="1583" w:type="pct"/>
            <w:tcBorders>
              <w:top w:val="single" w:sz="4" w:space="0" w:color="auto"/>
              <w:left w:val="nil"/>
              <w:bottom w:val="single" w:sz="8" w:space="0" w:color="auto"/>
              <w:right w:val="single" w:sz="4" w:space="0" w:color="auto"/>
            </w:tcBorders>
            <w:shd w:val="clear" w:color="auto" w:fill="auto"/>
            <w:noWrap/>
            <w:vAlign w:val="bottom"/>
            <w:hideMark/>
          </w:tcPr>
          <w:p w14:paraId="1B3BA62F" w14:textId="77777777" w:rsidR="004034CC" w:rsidRPr="004034CC" w:rsidRDefault="004034CC" w:rsidP="004034CC">
            <w:pPr>
              <w:spacing w:after="0" w:line="240" w:lineRule="auto"/>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Total</w:t>
            </w:r>
          </w:p>
        </w:tc>
        <w:tc>
          <w:tcPr>
            <w:tcW w:w="553" w:type="pct"/>
            <w:tcBorders>
              <w:top w:val="single" w:sz="4" w:space="0" w:color="auto"/>
              <w:left w:val="nil"/>
              <w:bottom w:val="single" w:sz="8" w:space="0" w:color="auto"/>
              <w:right w:val="nil"/>
            </w:tcBorders>
            <w:shd w:val="clear" w:color="auto" w:fill="auto"/>
            <w:noWrap/>
            <w:vAlign w:val="bottom"/>
            <w:hideMark/>
          </w:tcPr>
          <w:p w14:paraId="5A631850" w14:textId="715174B4"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5,375</w:t>
            </w:r>
          </w:p>
        </w:tc>
        <w:tc>
          <w:tcPr>
            <w:tcW w:w="456" w:type="pct"/>
            <w:tcBorders>
              <w:top w:val="single" w:sz="4" w:space="0" w:color="auto"/>
              <w:left w:val="nil"/>
              <w:bottom w:val="single" w:sz="8" w:space="0" w:color="auto"/>
              <w:right w:val="nil"/>
            </w:tcBorders>
            <w:shd w:val="clear" w:color="auto" w:fill="auto"/>
            <w:noWrap/>
            <w:vAlign w:val="bottom"/>
            <w:hideMark/>
          </w:tcPr>
          <w:p w14:paraId="26A89A98"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w:t>
            </w:r>
          </w:p>
        </w:tc>
        <w:tc>
          <w:tcPr>
            <w:tcW w:w="578" w:type="pct"/>
            <w:tcBorders>
              <w:top w:val="single" w:sz="4" w:space="0" w:color="auto"/>
              <w:left w:val="nil"/>
              <w:bottom w:val="single" w:sz="8" w:space="0" w:color="auto"/>
              <w:right w:val="nil"/>
            </w:tcBorders>
            <w:shd w:val="clear" w:color="auto" w:fill="auto"/>
            <w:noWrap/>
            <w:vAlign w:val="bottom"/>
            <w:hideMark/>
          </w:tcPr>
          <w:p w14:paraId="2D3F716B" w14:textId="0F5F6029"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376</w:t>
            </w:r>
          </w:p>
        </w:tc>
        <w:tc>
          <w:tcPr>
            <w:tcW w:w="578" w:type="pct"/>
            <w:tcBorders>
              <w:top w:val="single" w:sz="4" w:space="0" w:color="auto"/>
              <w:left w:val="nil"/>
              <w:bottom w:val="single" w:sz="8" w:space="0" w:color="auto"/>
              <w:right w:val="single" w:sz="8" w:space="0" w:color="auto"/>
            </w:tcBorders>
            <w:shd w:val="clear" w:color="auto" w:fill="auto"/>
            <w:noWrap/>
            <w:vAlign w:val="bottom"/>
            <w:hideMark/>
          </w:tcPr>
          <w:p w14:paraId="75EED22F" w14:textId="77777777" w:rsidR="004034CC" w:rsidRPr="004034CC" w:rsidRDefault="004034CC" w:rsidP="00DB054E">
            <w:pPr>
              <w:spacing w:after="0" w:line="240" w:lineRule="auto"/>
              <w:jc w:val="right"/>
              <w:rPr>
                <w:rFonts w:ascii="Calibri" w:eastAsia="Times New Roman" w:hAnsi="Calibri" w:cs="Calibri"/>
                <w:b/>
                <w:bCs/>
                <w:kern w:val="0"/>
                <w:sz w:val="18"/>
                <w:szCs w:val="18"/>
                <w14:ligatures w14:val="none"/>
              </w:rPr>
            </w:pPr>
            <w:r w:rsidRPr="004034CC">
              <w:rPr>
                <w:rFonts w:ascii="Calibri" w:eastAsia="Times New Roman" w:hAnsi="Calibri" w:cs="Calibri"/>
                <w:b/>
                <w:bCs/>
                <w:kern w:val="0"/>
                <w:sz w:val="18"/>
                <w:szCs w:val="18"/>
                <w14:ligatures w14:val="none"/>
              </w:rPr>
              <w:t>1%</w:t>
            </w:r>
          </w:p>
        </w:tc>
      </w:tr>
    </w:tbl>
    <w:p w14:paraId="7D196CC8" w14:textId="77777777" w:rsidR="004034CC" w:rsidRDefault="004034CC" w:rsidP="00BE1FF0">
      <w:pPr>
        <w:spacing w:after="120" w:line="360" w:lineRule="auto"/>
        <w:jc w:val="center"/>
      </w:pPr>
    </w:p>
    <w:p w14:paraId="5910A0CC" w14:textId="044F0244" w:rsidR="00CC41F7" w:rsidRDefault="00CC41F7" w:rsidP="008C4EE0">
      <w:pPr>
        <w:pStyle w:val="Heading2"/>
      </w:pPr>
      <w:bookmarkStart w:id="87" w:name="_Toc187401770"/>
      <w:r>
        <w:t>Forecast of Future Demand for Radiation Therapy Services</w:t>
      </w:r>
      <w:bookmarkEnd w:id="87"/>
    </w:p>
    <w:p w14:paraId="3A4233C8" w14:textId="7C2E90E8" w:rsidR="00EB7863" w:rsidRDefault="00EB7863" w:rsidP="00EB7863">
      <w:pPr>
        <w:numPr>
          <w:ilvl w:val="0"/>
          <w:numId w:val="4"/>
        </w:numPr>
        <w:spacing w:before="120" w:after="120" w:line="360" w:lineRule="auto"/>
        <w:ind w:hanging="547"/>
        <w:jc w:val="both"/>
      </w:pPr>
      <w:r>
        <w:t xml:space="preserve">This section presents the results of the demand projection methodology outlined above for each relevant service line in radiation therapy services. As described in Section </w:t>
      </w:r>
      <w:r w:rsidR="001204A7">
        <w:t>IX</w:t>
      </w:r>
      <w:r>
        <w:t>, ut</w:t>
      </w:r>
      <w:r w:rsidRPr="001272B8">
        <w:t xml:space="preserve">ilization projections were developed by area, service, and payor. </w:t>
      </w:r>
      <w:r>
        <w:t xml:space="preserve">Because the radiation therapy service lines are not </w:t>
      </w:r>
      <w:r>
        <w:lastRenderedPageBreak/>
        <w:t xml:space="preserve">directly restricted to cancer care, only demographic-based growth was incorporated into these projections. Table </w:t>
      </w:r>
      <w:r w:rsidR="001204A7">
        <w:t>3</w:t>
      </w:r>
      <w:r w:rsidR="00AC0296">
        <w:t>3</w:t>
      </w:r>
      <w:r>
        <w:t xml:space="preserve"> and Table </w:t>
      </w:r>
      <w:r w:rsidR="001204A7">
        <w:t>3</w:t>
      </w:r>
      <w:r w:rsidR="00AC0296">
        <w:t>4</w:t>
      </w:r>
      <w:r>
        <w:t xml:space="preserve"> show projected demand growth for LINAC and CT simulator procedures by payor type. </w:t>
      </w:r>
      <w:r w:rsidRPr="001272B8">
        <w:t xml:space="preserve">Application of the methodology results in initial projections that the </w:t>
      </w:r>
      <w:r>
        <w:t xml:space="preserve">LINAC </w:t>
      </w:r>
      <w:r w:rsidRPr="001272B8">
        <w:t>procedures in the service area will increase by 17.</w:t>
      </w:r>
      <w:r>
        <w:t>4</w:t>
      </w:r>
      <w:r w:rsidRPr="001272B8">
        <w:t xml:space="preserve">% from </w:t>
      </w:r>
      <w:r>
        <w:t>36,003</w:t>
      </w:r>
      <w:r w:rsidRPr="001272B8">
        <w:t xml:space="preserve"> in 2025 to </w:t>
      </w:r>
      <w:r>
        <w:t>42,283</w:t>
      </w:r>
      <w:r w:rsidRPr="001272B8">
        <w:t xml:space="preserve"> in 2040 and CT </w:t>
      </w:r>
      <w:r>
        <w:t xml:space="preserve">simulator </w:t>
      </w:r>
      <w:r w:rsidRPr="001272B8">
        <w:t xml:space="preserve">procedures will increase by </w:t>
      </w:r>
      <w:r>
        <w:t>14.8</w:t>
      </w:r>
      <w:r w:rsidRPr="001272B8">
        <w:t xml:space="preserve">% from </w:t>
      </w:r>
      <w:r>
        <w:t>2,541</w:t>
      </w:r>
      <w:r w:rsidRPr="001272B8">
        <w:t xml:space="preserve"> in 2025 to </w:t>
      </w:r>
      <w:r>
        <w:t>2,918</w:t>
      </w:r>
      <w:r w:rsidRPr="001272B8">
        <w:t xml:space="preserve"> in 2040.</w:t>
      </w:r>
      <w:r>
        <w:t xml:space="preserve"> Growth in both service lines is concentrated among Medicare patients, consistent with the demographic trends and aging population shown above.</w:t>
      </w:r>
    </w:p>
    <w:p w14:paraId="7C0E7640" w14:textId="10A42672" w:rsidR="00EB7863" w:rsidRDefault="00EB7863" w:rsidP="00DB054E">
      <w:pPr>
        <w:pStyle w:val="Caption"/>
        <w:keepNext/>
        <w:jc w:val="center"/>
      </w:pPr>
      <w:bookmarkStart w:id="88" w:name="_Toc187401806"/>
      <w:r>
        <w:t xml:space="preserve">Table </w:t>
      </w:r>
      <w:fldSimple w:instr=" SEQ Table \* ARABIC ">
        <w:r w:rsidR="0085394E">
          <w:rPr>
            <w:noProof/>
          </w:rPr>
          <w:t>33</w:t>
        </w:r>
      </w:fldSimple>
      <w:r>
        <w:t xml:space="preserve">: Projected Demand for </w:t>
      </w:r>
      <w:r w:rsidR="006329C3">
        <w:t>LINAC Procedures</w:t>
      </w:r>
      <w:r>
        <w:t xml:space="preserve"> by Payor Type, 2025-2040</w:t>
      </w:r>
      <w:bookmarkEnd w:id="88"/>
    </w:p>
    <w:tbl>
      <w:tblPr>
        <w:tblW w:w="7465" w:type="dxa"/>
        <w:jc w:val="center"/>
        <w:tblLayout w:type="fixed"/>
        <w:tblLook w:val="04A0" w:firstRow="1" w:lastRow="0" w:firstColumn="1" w:lastColumn="0" w:noHBand="0" w:noVBand="1"/>
      </w:tblPr>
      <w:tblGrid>
        <w:gridCol w:w="1795"/>
        <w:gridCol w:w="1076"/>
        <w:gridCol w:w="1076"/>
        <w:gridCol w:w="1076"/>
        <w:gridCol w:w="1077"/>
        <w:gridCol w:w="1365"/>
      </w:tblGrid>
      <w:tr w:rsidR="004034CC" w:rsidRPr="004034CC" w14:paraId="5A7AEF82" w14:textId="77777777" w:rsidTr="00DA35EC">
        <w:trPr>
          <w:cantSplit/>
          <w:trHeight w:val="290"/>
          <w:tblHeader/>
          <w:jc w:val="center"/>
        </w:trPr>
        <w:tc>
          <w:tcPr>
            <w:tcW w:w="1795" w:type="dxa"/>
            <w:tcBorders>
              <w:top w:val="single" w:sz="4" w:space="0" w:color="auto"/>
              <w:left w:val="single" w:sz="4" w:space="0" w:color="auto"/>
              <w:bottom w:val="nil"/>
              <w:right w:val="single" w:sz="4" w:space="0" w:color="auto"/>
            </w:tcBorders>
            <w:shd w:val="clear" w:color="000000" w:fill="002060"/>
            <w:noWrap/>
            <w:vAlign w:val="bottom"/>
            <w:hideMark/>
          </w:tcPr>
          <w:p w14:paraId="477F9D8A"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 </w:t>
            </w:r>
          </w:p>
        </w:tc>
        <w:tc>
          <w:tcPr>
            <w:tcW w:w="4305" w:type="dxa"/>
            <w:gridSpan w:val="4"/>
            <w:tcBorders>
              <w:top w:val="single" w:sz="4" w:space="0" w:color="auto"/>
              <w:left w:val="nil"/>
              <w:bottom w:val="nil"/>
              <w:right w:val="single" w:sz="4" w:space="0" w:color="000000"/>
            </w:tcBorders>
            <w:shd w:val="clear" w:color="000000" w:fill="002060"/>
            <w:noWrap/>
            <w:vAlign w:val="bottom"/>
            <w:hideMark/>
          </w:tcPr>
          <w:p w14:paraId="05CB9FF6"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Projected Procedures</w:t>
            </w:r>
          </w:p>
        </w:tc>
        <w:tc>
          <w:tcPr>
            <w:tcW w:w="1365" w:type="dxa"/>
            <w:tcBorders>
              <w:top w:val="single" w:sz="4" w:space="0" w:color="auto"/>
              <w:left w:val="nil"/>
              <w:bottom w:val="nil"/>
              <w:right w:val="single" w:sz="4" w:space="0" w:color="auto"/>
            </w:tcBorders>
            <w:shd w:val="clear" w:color="000000" w:fill="002060"/>
            <w:noWrap/>
            <w:vAlign w:val="bottom"/>
            <w:hideMark/>
          </w:tcPr>
          <w:p w14:paraId="6FC45843"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Growth</w:t>
            </w:r>
          </w:p>
        </w:tc>
      </w:tr>
      <w:tr w:rsidR="00DB054E" w:rsidRPr="004034CC" w14:paraId="22644947" w14:textId="77777777" w:rsidTr="00DA35EC">
        <w:trPr>
          <w:cantSplit/>
          <w:trHeight w:val="290"/>
          <w:tblHeader/>
          <w:jc w:val="center"/>
        </w:trPr>
        <w:tc>
          <w:tcPr>
            <w:tcW w:w="1795" w:type="dxa"/>
            <w:tcBorders>
              <w:top w:val="nil"/>
              <w:left w:val="single" w:sz="4" w:space="0" w:color="auto"/>
              <w:bottom w:val="single" w:sz="4" w:space="0" w:color="auto"/>
              <w:right w:val="single" w:sz="4" w:space="0" w:color="auto"/>
            </w:tcBorders>
            <w:shd w:val="clear" w:color="000000" w:fill="002060"/>
            <w:noWrap/>
            <w:vAlign w:val="bottom"/>
            <w:hideMark/>
          </w:tcPr>
          <w:p w14:paraId="39434118"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Payor</w:t>
            </w:r>
          </w:p>
        </w:tc>
        <w:tc>
          <w:tcPr>
            <w:tcW w:w="1076" w:type="dxa"/>
            <w:tcBorders>
              <w:top w:val="nil"/>
              <w:left w:val="nil"/>
              <w:bottom w:val="single" w:sz="4" w:space="0" w:color="auto"/>
              <w:right w:val="nil"/>
            </w:tcBorders>
            <w:shd w:val="clear" w:color="000000" w:fill="002060"/>
            <w:noWrap/>
            <w:vAlign w:val="bottom"/>
            <w:hideMark/>
          </w:tcPr>
          <w:p w14:paraId="6424FAA7"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2025</w:t>
            </w:r>
          </w:p>
        </w:tc>
        <w:tc>
          <w:tcPr>
            <w:tcW w:w="1076" w:type="dxa"/>
            <w:tcBorders>
              <w:top w:val="nil"/>
              <w:left w:val="nil"/>
              <w:bottom w:val="single" w:sz="4" w:space="0" w:color="auto"/>
              <w:right w:val="nil"/>
            </w:tcBorders>
            <w:shd w:val="clear" w:color="000000" w:fill="002060"/>
            <w:noWrap/>
            <w:vAlign w:val="bottom"/>
            <w:hideMark/>
          </w:tcPr>
          <w:p w14:paraId="79B0B6B3"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2030</w:t>
            </w:r>
          </w:p>
        </w:tc>
        <w:tc>
          <w:tcPr>
            <w:tcW w:w="1076" w:type="dxa"/>
            <w:tcBorders>
              <w:top w:val="nil"/>
              <w:left w:val="nil"/>
              <w:bottom w:val="single" w:sz="4" w:space="0" w:color="auto"/>
              <w:right w:val="nil"/>
            </w:tcBorders>
            <w:shd w:val="clear" w:color="000000" w:fill="002060"/>
            <w:noWrap/>
            <w:vAlign w:val="bottom"/>
            <w:hideMark/>
          </w:tcPr>
          <w:p w14:paraId="0B5DEFA9"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2035</w:t>
            </w:r>
          </w:p>
        </w:tc>
        <w:tc>
          <w:tcPr>
            <w:tcW w:w="1077" w:type="dxa"/>
            <w:tcBorders>
              <w:top w:val="nil"/>
              <w:left w:val="nil"/>
              <w:bottom w:val="single" w:sz="4" w:space="0" w:color="auto"/>
              <w:right w:val="single" w:sz="4" w:space="0" w:color="auto"/>
            </w:tcBorders>
            <w:shd w:val="clear" w:color="000000" w:fill="002060"/>
            <w:noWrap/>
            <w:vAlign w:val="bottom"/>
            <w:hideMark/>
          </w:tcPr>
          <w:p w14:paraId="2DBFD8F9"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2040</w:t>
            </w:r>
          </w:p>
        </w:tc>
        <w:tc>
          <w:tcPr>
            <w:tcW w:w="1365" w:type="dxa"/>
            <w:tcBorders>
              <w:top w:val="nil"/>
              <w:left w:val="nil"/>
              <w:bottom w:val="single" w:sz="4" w:space="0" w:color="auto"/>
              <w:right w:val="single" w:sz="4" w:space="0" w:color="auto"/>
            </w:tcBorders>
            <w:shd w:val="clear" w:color="000000" w:fill="002060"/>
            <w:noWrap/>
            <w:vAlign w:val="bottom"/>
            <w:hideMark/>
          </w:tcPr>
          <w:p w14:paraId="33F3933D" w14:textId="77777777" w:rsidR="004034CC" w:rsidRPr="004034CC" w:rsidRDefault="004034CC" w:rsidP="004034CC">
            <w:pPr>
              <w:spacing w:after="0" w:line="240" w:lineRule="auto"/>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(2025-2040)</w:t>
            </w:r>
          </w:p>
        </w:tc>
      </w:tr>
      <w:tr w:rsidR="004034CC" w:rsidRPr="004034CC" w14:paraId="22E31A52" w14:textId="77777777" w:rsidTr="00DA35EC">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7C5BF285"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Medicare</w:t>
            </w:r>
          </w:p>
        </w:tc>
        <w:tc>
          <w:tcPr>
            <w:tcW w:w="1076" w:type="dxa"/>
            <w:tcBorders>
              <w:top w:val="nil"/>
              <w:left w:val="nil"/>
              <w:bottom w:val="dashed" w:sz="4" w:space="0" w:color="auto"/>
              <w:right w:val="nil"/>
            </w:tcBorders>
            <w:shd w:val="clear" w:color="auto" w:fill="auto"/>
            <w:noWrap/>
            <w:vAlign w:val="bottom"/>
            <w:hideMark/>
          </w:tcPr>
          <w:p w14:paraId="6E73CE5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20,056</w:t>
            </w:r>
          </w:p>
        </w:tc>
        <w:tc>
          <w:tcPr>
            <w:tcW w:w="1076" w:type="dxa"/>
            <w:tcBorders>
              <w:top w:val="nil"/>
              <w:left w:val="nil"/>
              <w:bottom w:val="dashed" w:sz="4" w:space="0" w:color="auto"/>
              <w:right w:val="nil"/>
            </w:tcBorders>
            <w:shd w:val="clear" w:color="auto" w:fill="auto"/>
            <w:noWrap/>
            <w:vAlign w:val="bottom"/>
            <w:hideMark/>
          </w:tcPr>
          <w:p w14:paraId="6BBF49A6"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23,068</w:t>
            </w:r>
          </w:p>
        </w:tc>
        <w:tc>
          <w:tcPr>
            <w:tcW w:w="1076" w:type="dxa"/>
            <w:tcBorders>
              <w:top w:val="nil"/>
              <w:left w:val="nil"/>
              <w:bottom w:val="dashed" w:sz="4" w:space="0" w:color="auto"/>
              <w:right w:val="nil"/>
            </w:tcBorders>
            <w:shd w:val="clear" w:color="auto" w:fill="auto"/>
            <w:noWrap/>
            <w:vAlign w:val="bottom"/>
            <w:hideMark/>
          </w:tcPr>
          <w:p w14:paraId="24795D1E"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24,557</w:t>
            </w:r>
          </w:p>
        </w:tc>
        <w:tc>
          <w:tcPr>
            <w:tcW w:w="1077" w:type="dxa"/>
            <w:tcBorders>
              <w:top w:val="nil"/>
              <w:left w:val="nil"/>
              <w:bottom w:val="dashed" w:sz="4" w:space="0" w:color="auto"/>
              <w:right w:val="single" w:sz="4" w:space="0" w:color="auto"/>
            </w:tcBorders>
            <w:shd w:val="clear" w:color="auto" w:fill="auto"/>
            <w:noWrap/>
            <w:vAlign w:val="bottom"/>
            <w:hideMark/>
          </w:tcPr>
          <w:p w14:paraId="5EF60C75"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24,846</w:t>
            </w:r>
          </w:p>
        </w:tc>
        <w:tc>
          <w:tcPr>
            <w:tcW w:w="1365" w:type="dxa"/>
            <w:tcBorders>
              <w:top w:val="nil"/>
              <w:left w:val="nil"/>
              <w:bottom w:val="dashed" w:sz="4" w:space="0" w:color="auto"/>
              <w:right w:val="single" w:sz="4" w:space="0" w:color="auto"/>
            </w:tcBorders>
            <w:shd w:val="clear" w:color="auto" w:fill="auto"/>
            <w:noWrap/>
            <w:vAlign w:val="bottom"/>
            <w:hideMark/>
          </w:tcPr>
          <w:p w14:paraId="2048C610"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23.9%</w:t>
            </w:r>
          </w:p>
        </w:tc>
      </w:tr>
      <w:tr w:rsidR="004034CC" w:rsidRPr="004034CC" w14:paraId="44FE0650" w14:textId="77777777" w:rsidTr="00DA35EC">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7D7592B4"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Medicaid</w:t>
            </w:r>
          </w:p>
        </w:tc>
        <w:tc>
          <w:tcPr>
            <w:tcW w:w="1076" w:type="dxa"/>
            <w:tcBorders>
              <w:top w:val="nil"/>
              <w:left w:val="nil"/>
              <w:bottom w:val="dashed" w:sz="4" w:space="0" w:color="auto"/>
              <w:right w:val="nil"/>
            </w:tcBorders>
            <w:shd w:val="clear" w:color="auto" w:fill="auto"/>
            <w:noWrap/>
            <w:vAlign w:val="bottom"/>
            <w:hideMark/>
          </w:tcPr>
          <w:p w14:paraId="2289F835"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7,034</w:t>
            </w:r>
          </w:p>
        </w:tc>
        <w:tc>
          <w:tcPr>
            <w:tcW w:w="1076" w:type="dxa"/>
            <w:tcBorders>
              <w:top w:val="nil"/>
              <w:left w:val="nil"/>
              <w:bottom w:val="dashed" w:sz="4" w:space="0" w:color="auto"/>
              <w:right w:val="nil"/>
            </w:tcBorders>
            <w:shd w:val="clear" w:color="auto" w:fill="auto"/>
            <w:noWrap/>
            <w:vAlign w:val="bottom"/>
            <w:hideMark/>
          </w:tcPr>
          <w:p w14:paraId="2203C3A0"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7,268</w:t>
            </w:r>
          </w:p>
        </w:tc>
        <w:tc>
          <w:tcPr>
            <w:tcW w:w="1076" w:type="dxa"/>
            <w:tcBorders>
              <w:top w:val="nil"/>
              <w:left w:val="nil"/>
              <w:bottom w:val="dashed" w:sz="4" w:space="0" w:color="auto"/>
              <w:right w:val="nil"/>
            </w:tcBorders>
            <w:shd w:val="clear" w:color="auto" w:fill="auto"/>
            <w:noWrap/>
            <w:vAlign w:val="bottom"/>
            <w:hideMark/>
          </w:tcPr>
          <w:p w14:paraId="057497B6"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7,412</w:t>
            </w:r>
          </w:p>
        </w:tc>
        <w:tc>
          <w:tcPr>
            <w:tcW w:w="1077" w:type="dxa"/>
            <w:tcBorders>
              <w:top w:val="nil"/>
              <w:left w:val="nil"/>
              <w:bottom w:val="dashed" w:sz="4" w:space="0" w:color="auto"/>
              <w:right w:val="single" w:sz="4" w:space="0" w:color="auto"/>
            </w:tcBorders>
            <w:shd w:val="clear" w:color="auto" w:fill="auto"/>
            <w:noWrap/>
            <w:vAlign w:val="bottom"/>
            <w:hideMark/>
          </w:tcPr>
          <w:p w14:paraId="64ECD8A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7,538</w:t>
            </w:r>
          </w:p>
        </w:tc>
        <w:tc>
          <w:tcPr>
            <w:tcW w:w="1365" w:type="dxa"/>
            <w:tcBorders>
              <w:top w:val="nil"/>
              <w:left w:val="nil"/>
              <w:bottom w:val="dashed" w:sz="4" w:space="0" w:color="auto"/>
              <w:right w:val="single" w:sz="4" w:space="0" w:color="auto"/>
            </w:tcBorders>
            <w:shd w:val="clear" w:color="auto" w:fill="auto"/>
            <w:noWrap/>
            <w:vAlign w:val="bottom"/>
            <w:hideMark/>
          </w:tcPr>
          <w:p w14:paraId="6D3FD5E8"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7.2%</w:t>
            </w:r>
          </w:p>
        </w:tc>
      </w:tr>
      <w:tr w:rsidR="004034CC" w:rsidRPr="004034CC" w14:paraId="0BF6531C" w14:textId="77777777" w:rsidTr="00DA35EC">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60450D97"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Commercial</w:t>
            </w:r>
          </w:p>
        </w:tc>
        <w:tc>
          <w:tcPr>
            <w:tcW w:w="1076" w:type="dxa"/>
            <w:tcBorders>
              <w:top w:val="nil"/>
              <w:left w:val="nil"/>
              <w:bottom w:val="dashed" w:sz="4" w:space="0" w:color="auto"/>
              <w:right w:val="nil"/>
            </w:tcBorders>
            <w:shd w:val="clear" w:color="auto" w:fill="auto"/>
            <w:noWrap/>
            <w:vAlign w:val="bottom"/>
            <w:hideMark/>
          </w:tcPr>
          <w:p w14:paraId="54275496"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5,397</w:t>
            </w:r>
          </w:p>
        </w:tc>
        <w:tc>
          <w:tcPr>
            <w:tcW w:w="1076" w:type="dxa"/>
            <w:tcBorders>
              <w:top w:val="nil"/>
              <w:left w:val="nil"/>
              <w:bottom w:val="dashed" w:sz="4" w:space="0" w:color="auto"/>
              <w:right w:val="nil"/>
            </w:tcBorders>
            <w:shd w:val="clear" w:color="auto" w:fill="auto"/>
            <w:noWrap/>
            <w:vAlign w:val="bottom"/>
            <w:hideMark/>
          </w:tcPr>
          <w:p w14:paraId="03E4EC9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5,444</w:t>
            </w:r>
          </w:p>
        </w:tc>
        <w:tc>
          <w:tcPr>
            <w:tcW w:w="1076" w:type="dxa"/>
            <w:tcBorders>
              <w:top w:val="nil"/>
              <w:left w:val="nil"/>
              <w:bottom w:val="dashed" w:sz="4" w:space="0" w:color="auto"/>
              <w:right w:val="nil"/>
            </w:tcBorders>
            <w:shd w:val="clear" w:color="auto" w:fill="auto"/>
            <w:noWrap/>
            <w:vAlign w:val="bottom"/>
            <w:hideMark/>
          </w:tcPr>
          <w:p w14:paraId="005423A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5,480</w:t>
            </w:r>
          </w:p>
        </w:tc>
        <w:tc>
          <w:tcPr>
            <w:tcW w:w="1077" w:type="dxa"/>
            <w:tcBorders>
              <w:top w:val="nil"/>
              <w:left w:val="nil"/>
              <w:bottom w:val="dashed" w:sz="4" w:space="0" w:color="auto"/>
              <w:right w:val="single" w:sz="4" w:space="0" w:color="auto"/>
            </w:tcBorders>
            <w:shd w:val="clear" w:color="auto" w:fill="auto"/>
            <w:noWrap/>
            <w:vAlign w:val="bottom"/>
            <w:hideMark/>
          </w:tcPr>
          <w:p w14:paraId="36E7D718"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5,567</w:t>
            </w:r>
          </w:p>
        </w:tc>
        <w:tc>
          <w:tcPr>
            <w:tcW w:w="1365" w:type="dxa"/>
            <w:tcBorders>
              <w:top w:val="nil"/>
              <w:left w:val="nil"/>
              <w:bottom w:val="dashed" w:sz="4" w:space="0" w:color="auto"/>
              <w:right w:val="single" w:sz="4" w:space="0" w:color="auto"/>
            </w:tcBorders>
            <w:shd w:val="clear" w:color="auto" w:fill="auto"/>
            <w:noWrap/>
            <w:vAlign w:val="bottom"/>
            <w:hideMark/>
          </w:tcPr>
          <w:p w14:paraId="7733740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3.2%</w:t>
            </w:r>
          </w:p>
        </w:tc>
      </w:tr>
      <w:tr w:rsidR="004034CC" w:rsidRPr="004034CC" w14:paraId="3FB6CBB0" w14:textId="77777777" w:rsidTr="00DA35EC">
        <w:trPr>
          <w:cantSplit/>
          <w:trHeight w:val="29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3DF1FAF"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Self-Pay/Other</w:t>
            </w:r>
          </w:p>
        </w:tc>
        <w:tc>
          <w:tcPr>
            <w:tcW w:w="1076" w:type="dxa"/>
            <w:tcBorders>
              <w:top w:val="nil"/>
              <w:left w:val="nil"/>
              <w:bottom w:val="single" w:sz="4" w:space="0" w:color="auto"/>
              <w:right w:val="nil"/>
            </w:tcBorders>
            <w:shd w:val="clear" w:color="auto" w:fill="auto"/>
            <w:noWrap/>
            <w:vAlign w:val="bottom"/>
            <w:hideMark/>
          </w:tcPr>
          <w:p w14:paraId="21CF2D2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3,515</w:t>
            </w:r>
          </w:p>
        </w:tc>
        <w:tc>
          <w:tcPr>
            <w:tcW w:w="1076" w:type="dxa"/>
            <w:tcBorders>
              <w:top w:val="nil"/>
              <w:left w:val="nil"/>
              <w:bottom w:val="single" w:sz="4" w:space="0" w:color="auto"/>
              <w:right w:val="nil"/>
            </w:tcBorders>
            <w:shd w:val="clear" w:color="auto" w:fill="auto"/>
            <w:noWrap/>
            <w:vAlign w:val="bottom"/>
            <w:hideMark/>
          </w:tcPr>
          <w:p w14:paraId="2403197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4,050</w:t>
            </w:r>
          </w:p>
        </w:tc>
        <w:tc>
          <w:tcPr>
            <w:tcW w:w="1076" w:type="dxa"/>
            <w:tcBorders>
              <w:top w:val="nil"/>
              <w:left w:val="nil"/>
              <w:bottom w:val="single" w:sz="4" w:space="0" w:color="auto"/>
              <w:right w:val="nil"/>
            </w:tcBorders>
            <w:shd w:val="clear" w:color="auto" w:fill="auto"/>
            <w:noWrap/>
            <w:vAlign w:val="bottom"/>
            <w:hideMark/>
          </w:tcPr>
          <w:p w14:paraId="25F3BE5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4,302</w:t>
            </w:r>
          </w:p>
        </w:tc>
        <w:tc>
          <w:tcPr>
            <w:tcW w:w="1077" w:type="dxa"/>
            <w:tcBorders>
              <w:top w:val="nil"/>
              <w:left w:val="nil"/>
              <w:bottom w:val="single" w:sz="4" w:space="0" w:color="auto"/>
              <w:right w:val="single" w:sz="4" w:space="0" w:color="auto"/>
            </w:tcBorders>
            <w:shd w:val="clear" w:color="auto" w:fill="auto"/>
            <w:noWrap/>
            <w:vAlign w:val="bottom"/>
            <w:hideMark/>
          </w:tcPr>
          <w:p w14:paraId="12DA1BF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4,331</w:t>
            </w:r>
          </w:p>
        </w:tc>
        <w:tc>
          <w:tcPr>
            <w:tcW w:w="1365" w:type="dxa"/>
            <w:tcBorders>
              <w:top w:val="nil"/>
              <w:left w:val="nil"/>
              <w:bottom w:val="single" w:sz="4" w:space="0" w:color="auto"/>
              <w:right w:val="single" w:sz="4" w:space="0" w:color="auto"/>
            </w:tcBorders>
            <w:shd w:val="clear" w:color="auto" w:fill="auto"/>
            <w:noWrap/>
            <w:vAlign w:val="bottom"/>
            <w:hideMark/>
          </w:tcPr>
          <w:p w14:paraId="546EF4EB"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23.2%</w:t>
            </w:r>
          </w:p>
        </w:tc>
      </w:tr>
      <w:tr w:rsidR="004034CC" w:rsidRPr="004034CC" w14:paraId="2D3759C5" w14:textId="77777777" w:rsidTr="00DA35EC">
        <w:trPr>
          <w:cantSplit/>
          <w:trHeight w:val="29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2B1037D" w14:textId="77777777" w:rsidR="004034CC" w:rsidRPr="004034CC" w:rsidRDefault="004034CC" w:rsidP="004034CC">
            <w:pPr>
              <w:spacing w:after="0" w:line="240" w:lineRule="auto"/>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Total</w:t>
            </w:r>
          </w:p>
        </w:tc>
        <w:tc>
          <w:tcPr>
            <w:tcW w:w="1076" w:type="dxa"/>
            <w:tcBorders>
              <w:top w:val="nil"/>
              <w:left w:val="nil"/>
              <w:bottom w:val="single" w:sz="4" w:space="0" w:color="auto"/>
              <w:right w:val="nil"/>
            </w:tcBorders>
            <w:shd w:val="clear" w:color="auto" w:fill="auto"/>
            <w:noWrap/>
            <w:vAlign w:val="bottom"/>
            <w:hideMark/>
          </w:tcPr>
          <w:p w14:paraId="3BDFC979"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36,003</w:t>
            </w:r>
          </w:p>
        </w:tc>
        <w:tc>
          <w:tcPr>
            <w:tcW w:w="1076" w:type="dxa"/>
            <w:tcBorders>
              <w:top w:val="nil"/>
              <w:left w:val="nil"/>
              <w:bottom w:val="single" w:sz="4" w:space="0" w:color="auto"/>
              <w:right w:val="nil"/>
            </w:tcBorders>
            <w:shd w:val="clear" w:color="auto" w:fill="auto"/>
            <w:noWrap/>
            <w:vAlign w:val="bottom"/>
            <w:hideMark/>
          </w:tcPr>
          <w:p w14:paraId="1340F27D"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39,829</w:t>
            </w:r>
          </w:p>
        </w:tc>
        <w:tc>
          <w:tcPr>
            <w:tcW w:w="1076" w:type="dxa"/>
            <w:tcBorders>
              <w:top w:val="nil"/>
              <w:left w:val="nil"/>
              <w:bottom w:val="single" w:sz="4" w:space="0" w:color="auto"/>
              <w:right w:val="nil"/>
            </w:tcBorders>
            <w:shd w:val="clear" w:color="auto" w:fill="auto"/>
            <w:noWrap/>
            <w:vAlign w:val="bottom"/>
            <w:hideMark/>
          </w:tcPr>
          <w:p w14:paraId="3DA35C7C"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41,751</w:t>
            </w:r>
          </w:p>
        </w:tc>
        <w:tc>
          <w:tcPr>
            <w:tcW w:w="1077" w:type="dxa"/>
            <w:tcBorders>
              <w:top w:val="nil"/>
              <w:left w:val="nil"/>
              <w:bottom w:val="single" w:sz="4" w:space="0" w:color="auto"/>
              <w:right w:val="single" w:sz="4" w:space="0" w:color="auto"/>
            </w:tcBorders>
            <w:shd w:val="clear" w:color="auto" w:fill="auto"/>
            <w:noWrap/>
            <w:vAlign w:val="bottom"/>
            <w:hideMark/>
          </w:tcPr>
          <w:p w14:paraId="3F1FC7EE"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42,283</w:t>
            </w:r>
          </w:p>
        </w:tc>
        <w:tc>
          <w:tcPr>
            <w:tcW w:w="1365" w:type="dxa"/>
            <w:tcBorders>
              <w:top w:val="nil"/>
              <w:left w:val="nil"/>
              <w:bottom w:val="single" w:sz="4" w:space="0" w:color="auto"/>
              <w:right w:val="single" w:sz="4" w:space="0" w:color="auto"/>
            </w:tcBorders>
            <w:shd w:val="clear" w:color="auto" w:fill="auto"/>
            <w:noWrap/>
            <w:vAlign w:val="bottom"/>
            <w:hideMark/>
          </w:tcPr>
          <w:p w14:paraId="4145C8DB"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17.4%</w:t>
            </w:r>
          </w:p>
        </w:tc>
      </w:tr>
    </w:tbl>
    <w:p w14:paraId="3E3954E5" w14:textId="77777777" w:rsidR="004034CC" w:rsidRDefault="004034CC" w:rsidP="00BE1FF0">
      <w:pPr>
        <w:spacing w:after="120" w:line="360" w:lineRule="auto"/>
        <w:ind w:left="-7"/>
        <w:jc w:val="center"/>
      </w:pPr>
    </w:p>
    <w:p w14:paraId="5F968750" w14:textId="35D8DC0C" w:rsidR="00CC41F7" w:rsidRDefault="00EB7863" w:rsidP="00DB054E">
      <w:pPr>
        <w:pStyle w:val="Caption"/>
        <w:keepNext/>
        <w:jc w:val="center"/>
      </w:pPr>
      <w:bookmarkStart w:id="89" w:name="_Toc187401807"/>
      <w:r>
        <w:t xml:space="preserve">Table </w:t>
      </w:r>
      <w:fldSimple w:instr=" SEQ Table \* ARABIC ">
        <w:r w:rsidR="0085394E">
          <w:rPr>
            <w:noProof/>
          </w:rPr>
          <w:t>34</w:t>
        </w:r>
      </w:fldSimple>
      <w:r>
        <w:t xml:space="preserve">: Projected Demand for </w:t>
      </w:r>
      <w:r w:rsidR="006329C3">
        <w:t xml:space="preserve">CT Simulator </w:t>
      </w:r>
      <w:r>
        <w:t>Procedures by Payor Type, 2025-2040</w:t>
      </w:r>
      <w:bookmarkEnd w:id="89"/>
    </w:p>
    <w:tbl>
      <w:tblPr>
        <w:tblW w:w="7465" w:type="dxa"/>
        <w:jc w:val="center"/>
        <w:tblLayout w:type="fixed"/>
        <w:tblLook w:val="04A0" w:firstRow="1" w:lastRow="0" w:firstColumn="1" w:lastColumn="0" w:noHBand="0" w:noVBand="1"/>
      </w:tblPr>
      <w:tblGrid>
        <w:gridCol w:w="1795"/>
        <w:gridCol w:w="1076"/>
        <w:gridCol w:w="1076"/>
        <w:gridCol w:w="1076"/>
        <w:gridCol w:w="1077"/>
        <w:gridCol w:w="1365"/>
      </w:tblGrid>
      <w:tr w:rsidR="004034CC" w:rsidRPr="004034CC" w14:paraId="503CABF5" w14:textId="77777777" w:rsidTr="009537B0">
        <w:trPr>
          <w:cantSplit/>
          <w:trHeight w:val="290"/>
          <w:tblHeader/>
          <w:jc w:val="center"/>
        </w:trPr>
        <w:tc>
          <w:tcPr>
            <w:tcW w:w="1795" w:type="dxa"/>
            <w:tcBorders>
              <w:top w:val="single" w:sz="4" w:space="0" w:color="auto"/>
              <w:left w:val="single" w:sz="4" w:space="0" w:color="auto"/>
              <w:bottom w:val="nil"/>
              <w:right w:val="single" w:sz="4" w:space="0" w:color="auto"/>
            </w:tcBorders>
            <w:shd w:val="clear" w:color="000000" w:fill="002060"/>
            <w:noWrap/>
            <w:vAlign w:val="bottom"/>
            <w:hideMark/>
          </w:tcPr>
          <w:p w14:paraId="6F6F3046"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 </w:t>
            </w:r>
          </w:p>
        </w:tc>
        <w:tc>
          <w:tcPr>
            <w:tcW w:w="4305" w:type="dxa"/>
            <w:gridSpan w:val="4"/>
            <w:tcBorders>
              <w:top w:val="single" w:sz="4" w:space="0" w:color="auto"/>
              <w:left w:val="nil"/>
              <w:bottom w:val="nil"/>
              <w:right w:val="single" w:sz="4" w:space="0" w:color="000000"/>
            </w:tcBorders>
            <w:shd w:val="clear" w:color="000000" w:fill="002060"/>
            <w:noWrap/>
            <w:vAlign w:val="bottom"/>
            <w:hideMark/>
          </w:tcPr>
          <w:p w14:paraId="179BE8EA"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Projected Procedures</w:t>
            </w:r>
          </w:p>
        </w:tc>
        <w:tc>
          <w:tcPr>
            <w:tcW w:w="1365" w:type="dxa"/>
            <w:tcBorders>
              <w:top w:val="single" w:sz="4" w:space="0" w:color="auto"/>
              <w:left w:val="nil"/>
              <w:bottom w:val="nil"/>
              <w:right w:val="single" w:sz="4" w:space="0" w:color="auto"/>
            </w:tcBorders>
            <w:shd w:val="clear" w:color="000000" w:fill="002060"/>
            <w:noWrap/>
            <w:vAlign w:val="bottom"/>
            <w:hideMark/>
          </w:tcPr>
          <w:p w14:paraId="534319AC"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Growth</w:t>
            </w:r>
          </w:p>
        </w:tc>
      </w:tr>
      <w:tr w:rsidR="004034CC" w:rsidRPr="004034CC" w14:paraId="78BB1AB2" w14:textId="77777777" w:rsidTr="009537B0">
        <w:trPr>
          <w:cantSplit/>
          <w:trHeight w:val="290"/>
          <w:tblHeader/>
          <w:jc w:val="center"/>
        </w:trPr>
        <w:tc>
          <w:tcPr>
            <w:tcW w:w="1795" w:type="dxa"/>
            <w:tcBorders>
              <w:top w:val="nil"/>
              <w:left w:val="single" w:sz="4" w:space="0" w:color="auto"/>
              <w:bottom w:val="single" w:sz="4" w:space="0" w:color="auto"/>
              <w:right w:val="single" w:sz="4" w:space="0" w:color="auto"/>
            </w:tcBorders>
            <w:shd w:val="clear" w:color="000000" w:fill="002060"/>
            <w:noWrap/>
            <w:vAlign w:val="bottom"/>
            <w:hideMark/>
          </w:tcPr>
          <w:p w14:paraId="429DB2FD"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Payor</w:t>
            </w:r>
          </w:p>
        </w:tc>
        <w:tc>
          <w:tcPr>
            <w:tcW w:w="1076" w:type="dxa"/>
            <w:tcBorders>
              <w:top w:val="nil"/>
              <w:left w:val="nil"/>
              <w:bottom w:val="single" w:sz="4" w:space="0" w:color="auto"/>
              <w:right w:val="nil"/>
            </w:tcBorders>
            <w:shd w:val="clear" w:color="000000" w:fill="002060"/>
            <w:noWrap/>
            <w:vAlign w:val="bottom"/>
            <w:hideMark/>
          </w:tcPr>
          <w:p w14:paraId="36E87DB6"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2025</w:t>
            </w:r>
          </w:p>
        </w:tc>
        <w:tc>
          <w:tcPr>
            <w:tcW w:w="1076" w:type="dxa"/>
            <w:tcBorders>
              <w:top w:val="nil"/>
              <w:left w:val="nil"/>
              <w:bottom w:val="single" w:sz="4" w:space="0" w:color="auto"/>
              <w:right w:val="nil"/>
            </w:tcBorders>
            <w:shd w:val="clear" w:color="000000" w:fill="002060"/>
            <w:noWrap/>
            <w:vAlign w:val="bottom"/>
            <w:hideMark/>
          </w:tcPr>
          <w:p w14:paraId="102B74E1"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2030</w:t>
            </w:r>
          </w:p>
        </w:tc>
        <w:tc>
          <w:tcPr>
            <w:tcW w:w="1076" w:type="dxa"/>
            <w:tcBorders>
              <w:top w:val="nil"/>
              <w:left w:val="nil"/>
              <w:bottom w:val="single" w:sz="4" w:space="0" w:color="auto"/>
              <w:right w:val="nil"/>
            </w:tcBorders>
            <w:shd w:val="clear" w:color="000000" w:fill="002060"/>
            <w:noWrap/>
            <w:vAlign w:val="bottom"/>
            <w:hideMark/>
          </w:tcPr>
          <w:p w14:paraId="6E2F9355"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2035</w:t>
            </w:r>
          </w:p>
        </w:tc>
        <w:tc>
          <w:tcPr>
            <w:tcW w:w="1077" w:type="dxa"/>
            <w:tcBorders>
              <w:top w:val="nil"/>
              <w:left w:val="nil"/>
              <w:bottom w:val="single" w:sz="4" w:space="0" w:color="auto"/>
              <w:right w:val="single" w:sz="4" w:space="0" w:color="auto"/>
            </w:tcBorders>
            <w:shd w:val="clear" w:color="000000" w:fill="002060"/>
            <w:noWrap/>
            <w:vAlign w:val="bottom"/>
            <w:hideMark/>
          </w:tcPr>
          <w:p w14:paraId="32341B8A"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2040</w:t>
            </w:r>
          </w:p>
        </w:tc>
        <w:tc>
          <w:tcPr>
            <w:tcW w:w="1365" w:type="dxa"/>
            <w:tcBorders>
              <w:top w:val="nil"/>
              <w:left w:val="nil"/>
              <w:bottom w:val="single" w:sz="4" w:space="0" w:color="auto"/>
              <w:right w:val="single" w:sz="4" w:space="0" w:color="auto"/>
            </w:tcBorders>
            <w:shd w:val="clear" w:color="000000" w:fill="002060"/>
            <w:noWrap/>
            <w:vAlign w:val="bottom"/>
            <w:hideMark/>
          </w:tcPr>
          <w:p w14:paraId="14115A1F" w14:textId="77777777" w:rsidR="004034CC" w:rsidRPr="004034CC" w:rsidRDefault="004034CC" w:rsidP="004034CC">
            <w:pPr>
              <w:spacing w:after="0" w:line="240" w:lineRule="auto"/>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(2025-2040)</w:t>
            </w:r>
          </w:p>
        </w:tc>
      </w:tr>
      <w:tr w:rsidR="004034CC" w:rsidRPr="004034CC" w14:paraId="59898570" w14:textId="77777777" w:rsidTr="009537B0">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3CFC0AC9"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Medicare</w:t>
            </w:r>
          </w:p>
        </w:tc>
        <w:tc>
          <w:tcPr>
            <w:tcW w:w="1076" w:type="dxa"/>
            <w:tcBorders>
              <w:top w:val="nil"/>
              <w:left w:val="nil"/>
              <w:bottom w:val="dashed" w:sz="4" w:space="0" w:color="auto"/>
              <w:right w:val="nil"/>
            </w:tcBorders>
            <w:shd w:val="clear" w:color="auto" w:fill="auto"/>
            <w:noWrap/>
            <w:vAlign w:val="bottom"/>
            <w:hideMark/>
          </w:tcPr>
          <w:p w14:paraId="2C369F0E"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1,323</w:t>
            </w:r>
          </w:p>
        </w:tc>
        <w:tc>
          <w:tcPr>
            <w:tcW w:w="1076" w:type="dxa"/>
            <w:tcBorders>
              <w:top w:val="nil"/>
              <w:left w:val="nil"/>
              <w:bottom w:val="dashed" w:sz="4" w:space="0" w:color="auto"/>
              <w:right w:val="nil"/>
            </w:tcBorders>
            <w:shd w:val="clear" w:color="auto" w:fill="auto"/>
            <w:noWrap/>
            <w:vAlign w:val="bottom"/>
            <w:hideMark/>
          </w:tcPr>
          <w:p w14:paraId="4680B45A"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1,503</w:t>
            </w:r>
          </w:p>
        </w:tc>
        <w:tc>
          <w:tcPr>
            <w:tcW w:w="1076" w:type="dxa"/>
            <w:tcBorders>
              <w:top w:val="nil"/>
              <w:left w:val="nil"/>
              <w:bottom w:val="dashed" w:sz="4" w:space="0" w:color="auto"/>
              <w:right w:val="nil"/>
            </w:tcBorders>
            <w:shd w:val="clear" w:color="auto" w:fill="auto"/>
            <w:noWrap/>
            <w:vAlign w:val="bottom"/>
            <w:hideMark/>
          </w:tcPr>
          <w:p w14:paraId="5293B97C"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1,589</w:t>
            </w:r>
          </w:p>
        </w:tc>
        <w:tc>
          <w:tcPr>
            <w:tcW w:w="1077" w:type="dxa"/>
            <w:tcBorders>
              <w:top w:val="nil"/>
              <w:left w:val="nil"/>
              <w:bottom w:val="dashed" w:sz="4" w:space="0" w:color="auto"/>
              <w:right w:val="single" w:sz="4" w:space="0" w:color="auto"/>
            </w:tcBorders>
            <w:shd w:val="clear" w:color="auto" w:fill="auto"/>
            <w:noWrap/>
            <w:vAlign w:val="bottom"/>
            <w:hideMark/>
          </w:tcPr>
          <w:p w14:paraId="083FAD4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1,603</w:t>
            </w:r>
          </w:p>
        </w:tc>
        <w:tc>
          <w:tcPr>
            <w:tcW w:w="1365" w:type="dxa"/>
            <w:tcBorders>
              <w:top w:val="nil"/>
              <w:left w:val="nil"/>
              <w:bottom w:val="dashed" w:sz="4" w:space="0" w:color="auto"/>
              <w:right w:val="single" w:sz="4" w:space="0" w:color="auto"/>
            </w:tcBorders>
            <w:shd w:val="clear" w:color="auto" w:fill="auto"/>
            <w:noWrap/>
            <w:vAlign w:val="bottom"/>
            <w:hideMark/>
          </w:tcPr>
          <w:p w14:paraId="0DE65CF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21.1%</w:t>
            </w:r>
          </w:p>
        </w:tc>
      </w:tr>
      <w:tr w:rsidR="004034CC" w:rsidRPr="004034CC" w14:paraId="00D3F9F2" w14:textId="77777777" w:rsidTr="009537B0">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0BD0F062"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Medicaid</w:t>
            </w:r>
          </w:p>
        </w:tc>
        <w:tc>
          <w:tcPr>
            <w:tcW w:w="1076" w:type="dxa"/>
            <w:tcBorders>
              <w:top w:val="nil"/>
              <w:left w:val="nil"/>
              <w:bottom w:val="dashed" w:sz="4" w:space="0" w:color="auto"/>
              <w:right w:val="nil"/>
            </w:tcBorders>
            <w:shd w:val="clear" w:color="auto" w:fill="auto"/>
            <w:noWrap/>
            <w:vAlign w:val="bottom"/>
            <w:hideMark/>
          </w:tcPr>
          <w:p w14:paraId="69A29925"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542</w:t>
            </w:r>
          </w:p>
        </w:tc>
        <w:tc>
          <w:tcPr>
            <w:tcW w:w="1076" w:type="dxa"/>
            <w:tcBorders>
              <w:top w:val="nil"/>
              <w:left w:val="nil"/>
              <w:bottom w:val="dashed" w:sz="4" w:space="0" w:color="auto"/>
              <w:right w:val="nil"/>
            </w:tcBorders>
            <w:shd w:val="clear" w:color="auto" w:fill="auto"/>
            <w:noWrap/>
            <w:vAlign w:val="bottom"/>
            <w:hideMark/>
          </w:tcPr>
          <w:p w14:paraId="1DDA0D77"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561</w:t>
            </w:r>
          </w:p>
        </w:tc>
        <w:tc>
          <w:tcPr>
            <w:tcW w:w="1076" w:type="dxa"/>
            <w:tcBorders>
              <w:top w:val="nil"/>
              <w:left w:val="nil"/>
              <w:bottom w:val="dashed" w:sz="4" w:space="0" w:color="auto"/>
              <w:right w:val="nil"/>
            </w:tcBorders>
            <w:shd w:val="clear" w:color="auto" w:fill="auto"/>
            <w:noWrap/>
            <w:vAlign w:val="bottom"/>
            <w:hideMark/>
          </w:tcPr>
          <w:p w14:paraId="51434CB8"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573</w:t>
            </w:r>
          </w:p>
        </w:tc>
        <w:tc>
          <w:tcPr>
            <w:tcW w:w="1077" w:type="dxa"/>
            <w:tcBorders>
              <w:top w:val="nil"/>
              <w:left w:val="nil"/>
              <w:bottom w:val="dashed" w:sz="4" w:space="0" w:color="auto"/>
              <w:right w:val="single" w:sz="4" w:space="0" w:color="auto"/>
            </w:tcBorders>
            <w:shd w:val="clear" w:color="auto" w:fill="auto"/>
            <w:noWrap/>
            <w:vAlign w:val="bottom"/>
            <w:hideMark/>
          </w:tcPr>
          <w:p w14:paraId="1DE31B6B"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582</w:t>
            </w:r>
          </w:p>
        </w:tc>
        <w:tc>
          <w:tcPr>
            <w:tcW w:w="1365" w:type="dxa"/>
            <w:tcBorders>
              <w:top w:val="nil"/>
              <w:left w:val="nil"/>
              <w:bottom w:val="dashed" w:sz="4" w:space="0" w:color="auto"/>
              <w:right w:val="single" w:sz="4" w:space="0" w:color="auto"/>
            </w:tcBorders>
            <w:shd w:val="clear" w:color="auto" w:fill="auto"/>
            <w:noWrap/>
            <w:vAlign w:val="bottom"/>
            <w:hideMark/>
          </w:tcPr>
          <w:p w14:paraId="2C9F92EB"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7.4%</w:t>
            </w:r>
          </w:p>
        </w:tc>
      </w:tr>
      <w:tr w:rsidR="004034CC" w:rsidRPr="004034CC" w14:paraId="67ACE095" w14:textId="77777777" w:rsidTr="009537B0">
        <w:trPr>
          <w:cantSplit/>
          <w:trHeight w:val="290"/>
          <w:jc w:val="center"/>
        </w:trPr>
        <w:tc>
          <w:tcPr>
            <w:tcW w:w="1795" w:type="dxa"/>
            <w:tcBorders>
              <w:top w:val="nil"/>
              <w:left w:val="single" w:sz="4" w:space="0" w:color="auto"/>
              <w:bottom w:val="dashed" w:sz="4" w:space="0" w:color="auto"/>
              <w:right w:val="single" w:sz="4" w:space="0" w:color="auto"/>
            </w:tcBorders>
            <w:shd w:val="clear" w:color="auto" w:fill="auto"/>
            <w:noWrap/>
            <w:vAlign w:val="bottom"/>
            <w:hideMark/>
          </w:tcPr>
          <w:p w14:paraId="5F2871B5"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Commercial</w:t>
            </w:r>
          </w:p>
        </w:tc>
        <w:tc>
          <w:tcPr>
            <w:tcW w:w="1076" w:type="dxa"/>
            <w:tcBorders>
              <w:top w:val="nil"/>
              <w:left w:val="nil"/>
              <w:bottom w:val="dashed" w:sz="4" w:space="0" w:color="auto"/>
              <w:right w:val="nil"/>
            </w:tcBorders>
            <w:shd w:val="clear" w:color="auto" w:fill="auto"/>
            <w:noWrap/>
            <w:vAlign w:val="bottom"/>
            <w:hideMark/>
          </w:tcPr>
          <w:p w14:paraId="2D9F20D2"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452</w:t>
            </w:r>
          </w:p>
        </w:tc>
        <w:tc>
          <w:tcPr>
            <w:tcW w:w="1076" w:type="dxa"/>
            <w:tcBorders>
              <w:top w:val="nil"/>
              <w:left w:val="nil"/>
              <w:bottom w:val="dashed" w:sz="4" w:space="0" w:color="auto"/>
              <w:right w:val="nil"/>
            </w:tcBorders>
            <w:shd w:val="clear" w:color="auto" w:fill="auto"/>
            <w:noWrap/>
            <w:vAlign w:val="bottom"/>
            <w:hideMark/>
          </w:tcPr>
          <w:p w14:paraId="4CBAE517"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454</w:t>
            </w:r>
          </w:p>
        </w:tc>
        <w:tc>
          <w:tcPr>
            <w:tcW w:w="1076" w:type="dxa"/>
            <w:tcBorders>
              <w:top w:val="nil"/>
              <w:left w:val="nil"/>
              <w:bottom w:val="dashed" w:sz="4" w:space="0" w:color="auto"/>
              <w:right w:val="nil"/>
            </w:tcBorders>
            <w:shd w:val="clear" w:color="auto" w:fill="auto"/>
            <w:noWrap/>
            <w:vAlign w:val="bottom"/>
            <w:hideMark/>
          </w:tcPr>
          <w:p w14:paraId="38F3842A"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457</w:t>
            </w:r>
          </w:p>
        </w:tc>
        <w:tc>
          <w:tcPr>
            <w:tcW w:w="1077" w:type="dxa"/>
            <w:tcBorders>
              <w:top w:val="nil"/>
              <w:left w:val="nil"/>
              <w:bottom w:val="dashed" w:sz="4" w:space="0" w:color="auto"/>
              <w:right w:val="single" w:sz="4" w:space="0" w:color="auto"/>
            </w:tcBorders>
            <w:shd w:val="clear" w:color="auto" w:fill="auto"/>
            <w:noWrap/>
            <w:vAlign w:val="bottom"/>
            <w:hideMark/>
          </w:tcPr>
          <w:p w14:paraId="71220CCE"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466</w:t>
            </w:r>
          </w:p>
        </w:tc>
        <w:tc>
          <w:tcPr>
            <w:tcW w:w="1365" w:type="dxa"/>
            <w:tcBorders>
              <w:top w:val="nil"/>
              <w:left w:val="nil"/>
              <w:bottom w:val="dashed" w:sz="4" w:space="0" w:color="auto"/>
              <w:right w:val="single" w:sz="4" w:space="0" w:color="auto"/>
            </w:tcBorders>
            <w:shd w:val="clear" w:color="auto" w:fill="auto"/>
            <w:noWrap/>
            <w:vAlign w:val="bottom"/>
            <w:hideMark/>
          </w:tcPr>
          <w:p w14:paraId="42523AF7"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3.2%</w:t>
            </w:r>
          </w:p>
        </w:tc>
      </w:tr>
      <w:tr w:rsidR="004034CC" w:rsidRPr="004034CC" w14:paraId="466FA121" w14:textId="77777777" w:rsidTr="009537B0">
        <w:trPr>
          <w:cantSplit/>
          <w:trHeight w:val="29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E309F93"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Self-Pay/Other</w:t>
            </w:r>
          </w:p>
        </w:tc>
        <w:tc>
          <w:tcPr>
            <w:tcW w:w="1076" w:type="dxa"/>
            <w:tcBorders>
              <w:top w:val="nil"/>
              <w:left w:val="nil"/>
              <w:bottom w:val="single" w:sz="4" w:space="0" w:color="auto"/>
              <w:right w:val="nil"/>
            </w:tcBorders>
            <w:shd w:val="clear" w:color="auto" w:fill="auto"/>
            <w:noWrap/>
            <w:vAlign w:val="bottom"/>
            <w:hideMark/>
          </w:tcPr>
          <w:p w14:paraId="5A66B65F"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224</w:t>
            </w:r>
          </w:p>
        </w:tc>
        <w:tc>
          <w:tcPr>
            <w:tcW w:w="1076" w:type="dxa"/>
            <w:tcBorders>
              <w:top w:val="nil"/>
              <w:left w:val="nil"/>
              <w:bottom w:val="single" w:sz="4" w:space="0" w:color="auto"/>
              <w:right w:val="nil"/>
            </w:tcBorders>
            <w:shd w:val="clear" w:color="auto" w:fill="auto"/>
            <w:noWrap/>
            <w:vAlign w:val="bottom"/>
            <w:hideMark/>
          </w:tcPr>
          <w:p w14:paraId="316F50F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252</w:t>
            </w:r>
          </w:p>
        </w:tc>
        <w:tc>
          <w:tcPr>
            <w:tcW w:w="1076" w:type="dxa"/>
            <w:tcBorders>
              <w:top w:val="nil"/>
              <w:left w:val="nil"/>
              <w:bottom w:val="single" w:sz="4" w:space="0" w:color="auto"/>
              <w:right w:val="nil"/>
            </w:tcBorders>
            <w:shd w:val="clear" w:color="auto" w:fill="auto"/>
            <w:noWrap/>
            <w:vAlign w:val="bottom"/>
            <w:hideMark/>
          </w:tcPr>
          <w:p w14:paraId="168240F8"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265</w:t>
            </w:r>
          </w:p>
        </w:tc>
        <w:tc>
          <w:tcPr>
            <w:tcW w:w="1077" w:type="dxa"/>
            <w:tcBorders>
              <w:top w:val="nil"/>
              <w:left w:val="nil"/>
              <w:bottom w:val="single" w:sz="4" w:space="0" w:color="auto"/>
              <w:right w:val="single" w:sz="4" w:space="0" w:color="auto"/>
            </w:tcBorders>
            <w:shd w:val="clear" w:color="auto" w:fill="auto"/>
            <w:noWrap/>
            <w:vAlign w:val="bottom"/>
            <w:hideMark/>
          </w:tcPr>
          <w:p w14:paraId="1E031BC6"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267</w:t>
            </w:r>
          </w:p>
        </w:tc>
        <w:tc>
          <w:tcPr>
            <w:tcW w:w="1365" w:type="dxa"/>
            <w:tcBorders>
              <w:top w:val="nil"/>
              <w:left w:val="nil"/>
              <w:bottom w:val="single" w:sz="4" w:space="0" w:color="auto"/>
              <w:right w:val="single" w:sz="4" w:space="0" w:color="auto"/>
            </w:tcBorders>
            <w:shd w:val="clear" w:color="auto" w:fill="auto"/>
            <w:noWrap/>
            <w:vAlign w:val="bottom"/>
            <w:hideMark/>
          </w:tcPr>
          <w:p w14:paraId="784D3ED0"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18.9%</w:t>
            </w:r>
          </w:p>
        </w:tc>
      </w:tr>
      <w:tr w:rsidR="004034CC" w:rsidRPr="004034CC" w14:paraId="45BE59FD" w14:textId="77777777" w:rsidTr="009537B0">
        <w:trPr>
          <w:cantSplit/>
          <w:trHeight w:val="29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3855AA9" w14:textId="77777777" w:rsidR="004034CC" w:rsidRPr="004034CC" w:rsidRDefault="004034CC" w:rsidP="004034CC">
            <w:pPr>
              <w:spacing w:after="0" w:line="240" w:lineRule="auto"/>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Total</w:t>
            </w:r>
          </w:p>
        </w:tc>
        <w:tc>
          <w:tcPr>
            <w:tcW w:w="1076" w:type="dxa"/>
            <w:tcBorders>
              <w:top w:val="nil"/>
              <w:left w:val="nil"/>
              <w:bottom w:val="single" w:sz="4" w:space="0" w:color="auto"/>
              <w:right w:val="nil"/>
            </w:tcBorders>
            <w:shd w:val="clear" w:color="auto" w:fill="auto"/>
            <w:noWrap/>
            <w:vAlign w:val="bottom"/>
            <w:hideMark/>
          </w:tcPr>
          <w:p w14:paraId="6DF3DFE8"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2,541</w:t>
            </w:r>
          </w:p>
        </w:tc>
        <w:tc>
          <w:tcPr>
            <w:tcW w:w="1076" w:type="dxa"/>
            <w:tcBorders>
              <w:top w:val="nil"/>
              <w:left w:val="nil"/>
              <w:bottom w:val="single" w:sz="4" w:space="0" w:color="auto"/>
              <w:right w:val="nil"/>
            </w:tcBorders>
            <w:shd w:val="clear" w:color="auto" w:fill="auto"/>
            <w:noWrap/>
            <w:vAlign w:val="bottom"/>
            <w:hideMark/>
          </w:tcPr>
          <w:p w14:paraId="3FE1B14E"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2,769</w:t>
            </w:r>
          </w:p>
        </w:tc>
        <w:tc>
          <w:tcPr>
            <w:tcW w:w="1076" w:type="dxa"/>
            <w:tcBorders>
              <w:top w:val="nil"/>
              <w:left w:val="nil"/>
              <w:bottom w:val="single" w:sz="4" w:space="0" w:color="auto"/>
              <w:right w:val="nil"/>
            </w:tcBorders>
            <w:shd w:val="clear" w:color="auto" w:fill="auto"/>
            <w:noWrap/>
            <w:vAlign w:val="bottom"/>
            <w:hideMark/>
          </w:tcPr>
          <w:p w14:paraId="505BD813"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2,884</w:t>
            </w:r>
          </w:p>
        </w:tc>
        <w:tc>
          <w:tcPr>
            <w:tcW w:w="1077" w:type="dxa"/>
            <w:tcBorders>
              <w:top w:val="nil"/>
              <w:left w:val="nil"/>
              <w:bottom w:val="single" w:sz="4" w:space="0" w:color="auto"/>
              <w:right w:val="single" w:sz="4" w:space="0" w:color="auto"/>
            </w:tcBorders>
            <w:shd w:val="clear" w:color="auto" w:fill="auto"/>
            <w:noWrap/>
            <w:vAlign w:val="bottom"/>
            <w:hideMark/>
          </w:tcPr>
          <w:p w14:paraId="6E7D2977"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2,918</w:t>
            </w:r>
          </w:p>
        </w:tc>
        <w:tc>
          <w:tcPr>
            <w:tcW w:w="1365" w:type="dxa"/>
            <w:tcBorders>
              <w:top w:val="nil"/>
              <w:left w:val="nil"/>
              <w:bottom w:val="single" w:sz="4" w:space="0" w:color="auto"/>
              <w:right w:val="single" w:sz="4" w:space="0" w:color="auto"/>
            </w:tcBorders>
            <w:shd w:val="clear" w:color="auto" w:fill="auto"/>
            <w:noWrap/>
            <w:vAlign w:val="bottom"/>
            <w:hideMark/>
          </w:tcPr>
          <w:p w14:paraId="52ACAEE5"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14.8%</w:t>
            </w:r>
          </w:p>
        </w:tc>
      </w:tr>
    </w:tbl>
    <w:p w14:paraId="517D081C" w14:textId="77777777" w:rsidR="004034CC" w:rsidRDefault="004034CC" w:rsidP="00BE1FF0">
      <w:pPr>
        <w:spacing w:after="120" w:line="360" w:lineRule="auto"/>
        <w:ind w:left="-7"/>
        <w:jc w:val="center"/>
      </w:pPr>
    </w:p>
    <w:p w14:paraId="55B91564" w14:textId="002A650D" w:rsidR="009A58A5" w:rsidRPr="00441070" w:rsidRDefault="00CC41F7" w:rsidP="008C4EE0">
      <w:pPr>
        <w:pStyle w:val="Heading2"/>
      </w:pPr>
      <w:bookmarkStart w:id="90" w:name="_Toc187401771"/>
      <w:r>
        <w:t>Evaluation of DFCI Need for Radiation Therapy Equipment</w:t>
      </w:r>
      <w:bookmarkEnd w:id="90"/>
    </w:p>
    <w:p w14:paraId="6EB81EA1" w14:textId="2EFA357E" w:rsidR="00C86EA2" w:rsidRDefault="000A3C59" w:rsidP="00C86EA2">
      <w:pPr>
        <w:numPr>
          <w:ilvl w:val="0"/>
          <w:numId w:val="4"/>
        </w:numPr>
        <w:spacing w:before="120" w:after="120" w:line="360" w:lineRule="auto"/>
        <w:jc w:val="both"/>
      </w:pPr>
      <w:r>
        <w:t>DFCI estimates that the Proposed Project will have associated demand for radiation therapy services requiring the addition of three LINACs and two CT simulators to the existing stock operated by DFCI and BIDMC in the Boston area.</w:t>
      </w:r>
      <w:r>
        <w:rPr>
          <w:rStyle w:val="FootnoteReference"/>
        </w:rPr>
        <w:footnoteReference w:id="125"/>
      </w:r>
      <w:r>
        <w:t xml:space="preserve"> </w:t>
      </w:r>
      <w:r w:rsidRPr="000A3C59">
        <w:t>Because of confidentiality restrictions related to BWH information, DFCI calculated this need by</w:t>
      </w:r>
      <w:r>
        <w:t xml:space="preserve"> (1) e</w:t>
      </w:r>
      <w:r w:rsidRPr="000A3C59">
        <w:t>stimating demand for LINAC procedures by disease center at its South Shore Hospital facilities</w:t>
      </w:r>
      <w:r>
        <w:t>, (2) e</w:t>
      </w:r>
      <w:r w:rsidRPr="000A3C59">
        <w:t>stimating an adjustment factor to account for demand differences between its urban and community hospital locations</w:t>
      </w:r>
      <w:r>
        <w:t>, (3) e</w:t>
      </w:r>
      <w:r w:rsidRPr="000A3C59">
        <w:t xml:space="preserve">stimating its demand for LINAC procedures in the Longwood Medical Area by applying the </w:t>
      </w:r>
      <w:r w:rsidR="001A3174">
        <w:t>South Shore Hospital</w:t>
      </w:r>
      <w:r w:rsidRPr="000A3C59">
        <w:t xml:space="preserve"> demand and adjustment factor to its count of </w:t>
      </w:r>
      <w:r w:rsidR="00C86EA2">
        <w:t>Longwood Medical Area</w:t>
      </w:r>
      <w:r w:rsidR="00C86EA2" w:rsidRPr="000A3C59">
        <w:t xml:space="preserve"> </w:t>
      </w:r>
      <w:r w:rsidRPr="000A3C59">
        <w:t>outpatient</w:t>
      </w:r>
      <w:r w:rsidR="001A3174">
        <w:t xml:space="preserve"> patients</w:t>
      </w:r>
      <w:r w:rsidRPr="000A3C59">
        <w:t xml:space="preserve"> by disease center</w:t>
      </w:r>
      <w:r>
        <w:t>, (4) e</w:t>
      </w:r>
      <w:r w:rsidRPr="000A3C59">
        <w:t xml:space="preserve">stimating CT </w:t>
      </w:r>
      <w:r w:rsidRPr="000A3C59">
        <w:lastRenderedPageBreak/>
        <w:t>simulator demand by dividing LINAC demand by its estimate of treatments per unique patient (assuming each patient will require one CT simulation appointment at the outset of their sequence of radiation therapy treatments)</w:t>
      </w:r>
      <w:r>
        <w:t>, and (5) e</w:t>
      </w:r>
      <w:r w:rsidRPr="000A3C59">
        <w:t>stimating typical LINAC and CT simulator throughput based on its historical information.</w:t>
      </w:r>
      <w:r>
        <w:t xml:space="preserve"> This section evaluates DFCI’s need for radiation therapy equipment in connection with the Proposed Project, including assessing these calculations and predicting shifts in utilization across providers.</w:t>
      </w:r>
      <w:r w:rsidR="00C86EA2" w:rsidRPr="00C86EA2">
        <w:t xml:space="preserve"> </w:t>
      </w:r>
    </w:p>
    <w:p w14:paraId="3B03BB85" w14:textId="4D75A9BA" w:rsidR="00C86EA2" w:rsidRDefault="00C86EA2" w:rsidP="00C86EA2">
      <w:pPr>
        <w:numPr>
          <w:ilvl w:val="0"/>
          <w:numId w:val="4"/>
        </w:numPr>
        <w:spacing w:before="120" w:after="120" w:line="360" w:lineRule="auto"/>
        <w:jc w:val="both"/>
      </w:pPr>
      <w:r w:rsidRPr="004E3B61">
        <w:t xml:space="preserve">DFCI reported total hypothetical capacity (throughput) of each </w:t>
      </w:r>
      <w:r w:rsidR="001A3174">
        <w:t xml:space="preserve">radiation therapy modality </w:t>
      </w:r>
      <w:r w:rsidRPr="004E3B61">
        <w:t>based on their historical data.</w:t>
      </w:r>
      <w:r>
        <w:t xml:space="preserve"> </w:t>
      </w:r>
      <w:r w:rsidRPr="004E3B61">
        <w:t>FTI independently verified the reasonableness of these estimates based on existing literature and throughput assumptions used in other settings.</w:t>
      </w:r>
      <w:r>
        <w:rPr>
          <w:rStyle w:val="FootnoteReference"/>
        </w:rPr>
        <w:footnoteReference w:id="126"/>
      </w:r>
    </w:p>
    <w:p w14:paraId="2CD04CFB" w14:textId="23947AA4" w:rsidR="000A3C59" w:rsidRDefault="000A3C59" w:rsidP="009A58A5">
      <w:pPr>
        <w:numPr>
          <w:ilvl w:val="0"/>
          <w:numId w:val="4"/>
        </w:numPr>
        <w:spacing w:before="120" w:after="120" w:line="360" w:lineRule="auto"/>
        <w:jc w:val="both"/>
      </w:pPr>
      <w:r w:rsidRPr="000A3C59">
        <w:t xml:space="preserve">DFCI reported it had 25,356 </w:t>
      </w:r>
      <w:r w:rsidR="00C86EA2">
        <w:t>Longwood Medical Area</w:t>
      </w:r>
      <w:r w:rsidRPr="000A3C59">
        <w:t xml:space="preserve"> LINAC procedures in 2022 and a total need of 47,456 </w:t>
      </w:r>
      <w:r w:rsidR="001A3174">
        <w:t>Longwood Medical Area</w:t>
      </w:r>
      <w:r w:rsidRPr="000A3C59">
        <w:t xml:space="preserve"> LINAC procedures, implying 22,100 procedures referred to BWH.</w:t>
      </w:r>
      <w:r>
        <w:rPr>
          <w:rStyle w:val="FootnoteReference"/>
        </w:rPr>
        <w:footnoteReference w:id="127"/>
      </w:r>
      <w:r w:rsidRPr="000A3C59">
        <w:t xml:space="preserve"> DFCI also reported BIDMC had 18,080 LINAC procedures in 2022.</w:t>
      </w:r>
      <w:r>
        <w:rPr>
          <w:rStyle w:val="FootnoteReference"/>
        </w:rPr>
        <w:footnoteReference w:id="128"/>
      </w:r>
      <w:r>
        <w:t xml:space="preserve"> Because the claims data lack </w:t>
      </w:r>
      <w:r w:rsidRPr="000A3C59">
        <w:t>reliable disease center information or referral information</w:t>
      </w:r>
      <w:r>
        <w:t xml:space="preserve"> and without the ability to </w:t>
      </w:r>
      <w:r w:rsidRPr="000A3C59">
        <w:t xml:space="preserve">separately identify DFCI’s </w:t>
      </w:r>
      <w:r>
        <w:t xml:space="preserve">South Shore Hospital </w:t>
      </w:r>
      <w:r w:rsidRPr="000A3C59">
        <w:t xml:space="preserve">versus </w:t>
      </w:r>
      <w:r>
        <w:t xml:space="preserve">Longwood Medical Area </w:t>
      </w:r>
      <w:r w:rsidRPr="000A3C59">
        <w:t>procedures, FTI was unable to directly evaluate these demand estimates.</w:t>
      </w:r>
    </w:p>
    <w:p w14:paraId="61698B5A" w14:textId="63CE8C11" w:rsidR="000A3C59" w:rsidRDefault="000A3C59" w:rsidP="009A58A5">
      <w:pPr>
        <w:numPr>
          <w:ilvl w:val="0"/>
          <w:numId w:val="4"/>
        </w:numPr>
        <w:spacing w:before="120" w:after="120" w:line="360" w:lineRule="auto"/>
        <w:jc w:val="both"/>
      </w:pPr>
      <w:r w:rsidRPr="000A3C59">
        <w:t>Instead, FTI evaluated these estimates indirectly using outpatient claims data</w:t>
      </w:r>
      <w:r>
        <w:t xml:space="preserve">. </w:t>
      </w:r>
      <w:r w:rsidRPr="000A3C59">
        <w:t>FTI identified 38,515 DFCI LINAC procedures in 202</w:t>
      </w:r>
      <w:r w:rsidR="0071557D">
        <w:t>1</w:t>
      </w:r>
      <w:r w:rsidRPr="000A3C59">
        <w:t xml:space="preserve"> across all </w:t>
      </w:r>
      <w:r>
        <w:t xml:space="preserve">DFCI care </w:t>
      </w:r>
      <w:r w:rsidRPr="000A3C59">
        <w:t>locations</w:t>
      </w:r>
      <w:r>
        <w:t xml:space="preserve"> in Massachusetts</w:t>
      </w:r>
      <w:r w:rsidRPr="000A3C59">
        <w:t xml:space="preserve">. </w:t>
      </w:r>
      <w:r>
        <w:t xml:space="preserve">Assuming </w:t>
      </w:r>
      <w:r w:rsidRPr="000A3C59">
        <w:t xml:space="preserve">DFCI’s estimate of 25,356 LINAC procedures in </w:t>
      </w:r>
      <w:r w:rsidR="001A3174">
        <w:t>Longwood Medical Area</w:t>
      </w:r>
      <w:r w:rsidR="001A3174" w:rsidRPr="000A3C59">
        <w:t xml:space="preserve"> </w:t>
      </w:r>
      <w:r w:rsidRPr="000A3C59">
        <w:t xml:space="preserve">for that year is accurate, this </w:t>
      </w:r>
      <w:r>
        <w:t xml:space="preserve">implies </w:t>
      </w:r>
      <w:r w:rsidRPr="000A3C59">
        <w:t xml:space="preserve">13,159 procedures performed at its other locations. DFCI has </w:t>
      </w:r>
      <w:r w:rsidR="001A3174">
        <w:t xml:space="preserve">four </w:t>
      </w:r>
      <w:r w:rsidRPr="000A3C59">
        <w:t xml:space="preserve">LINACs in three locations outside of Boston with a theoretical </w:t>
      </w:r>
      <w:r w:rsidR="001A3174">
        <w:t xml:space="preserve">maximum </w:t>
      </w:r>
      <w:r w:rsidRPr="000A3C59">
        <w:t>capacity of between 7,000 and 28,000 procedures</w:t>
      </w:r>
      <w:r w:rsidR="001A3174">
        <w:t xml:space="preserve"> (based on throughput assumptions)</w:t>
      </w:r>
      <w:r w:rsidRPr="000A3C59">
        <w:t>, giving some credence to DFCI’s self-reported number of procedures.</w:t>
      </w:r>
      <w:r>
        <w:t xml:space="preserve"> </w:t>
      </w:r>
      <w:r w:rsidRPr="000A3C59">
        <w:t>FTI estimates BIDMC facilities performed 19,429 LINAC procedures in 202</w:t>
      </w:r>
      <w:r w:rsidR="0071557D">
        <w:t>1</w:t>
      </w:r>
      <w:r w:rsidRPr="000A3C59">
        <w:t xml:space="preserve">, </w:t>
      </w:r>
      <w:r w:rsidR="001A3174">
        <w:t xml:space="preserve">somewhat </w:t>
      </w:r>
      <w:r w:rsidRPr="000A3C59">
        <w:t xml:space="preserve">more than DFCI’s estimate </w:t>
      </w:r>
      <w:r w:rsidR="0071557D">
        <w:t xml:space="preserve">for 2022 </w:t>
      </w:r>
      <w:r w:rsidRPr="000A3C59">
        <w:t>(18,080).</w:t>
      </w:r>
      <w:r>
        <w:t xml:space="preserve"> </w:t>
      </w:r>
      <w:r w:rsidRPr="000A3C59">
        <w:t>BWH facilities performed 19,616 LINAC procedures in 202</w:t>
      </w:r>
      <w:r w:rsidR="0071557D">
        <w:t>1</w:t>
      </w:r>
      <w:r w:rsidRPr="000A3C59">
        <w:t>—</w:t>
      </w:r>
      <w:r w:rsidR="005B43BD">
        <w:t>somewhat</w:t>
      </w:r>
      <w:r w:rsidR="001A3174">
        <w:t xml:space="preserve"> </w:t>
      </w:r>
      <w:r w:rsidRPr="000A3C59">
        <w:t>less than DFCI’s implied estimate of its patients receiving radiation therapy from BWH and others</w:t>
      </w:r>
      <w:r w:rsidR="0071557D">
        <w:t xml:space="preserve"> for 2022</w:t>
      </w:r>
      <w:r w:rsidRPr="000A3C59">
        <w:t>.</w:t>
      </w:r>
      <w:r>
        <w:t xml:space="preserve"> </w:t>
      </w:r>
      <w:r w:rsidR="00DB277D">
        <w:t xml:space="preserve">Each of these data points are broadly consistent with DFCI’s demand </w:t>
      </w:r>
      <w:r w:rsidR="00DB277D">
        <w:lastRenderedPageBreak/>
        <w:t xml:space="preserve">estimates. To check robustness of this methodology, FTI </w:t>
      </w:r>
      <w:r w:rsidR="00DB277D" w:rsidRPr="00DB277D">
        <w:t>evaluated DFCI LINAC need both based on DFCI’s estimates and 202</w:t>
      </w:r>
      <w:r w:rsidR="0071557D">
        <w:t>1</w:t>
      </w:r>
      <w:r w:rsidR="00DB277D" w:rsidRPr="00DB277D">
        <w:t xml:space="preserve"> claims data.</w:t>
      </w:r>
    </w:p>
    <w:p w14:paraId="7003E5A6" w14:textId="5FCD54B2" w:rsidR="00DB277D" w:rsidRDefault="00FF2B9D" w:rsidP="009A58A5">
      <w:pPr>
        <w:numPr>
          <w:ilvl w:val="0"/>
          <w:numId w:val="4"/>
        </w:numPr>
        <w:spacing w:before="120" w:after="120" w:line="360" w:lineRule="auto"/>
        <w:jc w:val="both"/>
      </w:pPr>
      <w:r>
        <w:t xml:space="preserve">As shown in Table </w:t>
      </w:r>
      <w:r w:rsidR="001204A7">
        <w:t>3</w:t>
      </w:r>
      <w:r w:rsidR="00AC0296">
        <w:t>5</w:t>
      </w:r>
      <w:r>
        <w:t xml:space="preserve">, both approaches to forecasting demand yield similar projected LINAC demand estimates for 2025. </w:t>
      </w:r>
      <w:r w:rsidR="00E46052">
        <w:t xml:space="preserve">FTI projects that the combined demand </w:t>
      </w:r>
      <w:r w:rsidR="004B1A81">
        <w:t xml:space="preserve">from DFCI and BIDMC patients </w:t>
      </w:r>
      <w:r w:rsidR="00E46052">
        <w:t xml:space="preserve">for LINAC sessions in 2025 will be between 46,347-47,786 with an additional demand of </w:t>
      </w:r>
      <w:r w:rsidR="00B4491B">
        <w:t>20,930</w:t>
      </w:r>
      <w:r w:rsidR="00E46052">
        <w:t xml:space="preserve">-23,581 sessions from patients currently receiving care at BWH facilities (some or many of which may be DFCI patients). Based on estimated throughputs, </w:t>
      </w:r>
      <w:r w:rsidR="00DC0C75" w:rsidRPr="00DC0C75">
        <w:t xml:space="preserve">FTI projects that the combined demand of existing DFCI, BIDMC, and BWH LINAC procedures </w:t>
      </w:r>
      <w:r w:rsidR="00DC0C75" w:rsidRPr="001A3174">
        <w:t xml:space="preserve">will require approximately </w:t>
      </w:r>
      <w:r w:rsidR="001A3174">
        <w:t>ten</w:t>
      </w:r>
      <w:r w:rsidR="00DC0C75" w:rsidRPr="001A3174">
        <w:t xml:space="preserve"> LINACs in</w:t>
      </w:r>
      <w:r w:rsidR="00DC0C75" w:rsidRPr="00DC0C75">
        <w:t xml:space="preserve"> 2025.</w:t>
      </w:r>
      <w:r w:rsidR="00DC0C75">
        <w:t xml:space="preserve"> </w:t>
      </w:r>
      <w:r w:rsidR="00DC0C75" w:rsidRPr="00DC0C75">
        <w:t xml:space="preserve">Excluding LINAC sessions currently performed by BWH LINACs, the need will be approximately </w:t>
      </w:r>
      <w:r w:rsidR="001A3174">
        <w:t xml:space="preserve">seven </w:t>
      </w:r>
      <w:r w:rsidR="00DC0C75" w:rsidRPr="00DC0C75">
        <w:t xml:space="preserve">LINACs </w:t>
      </w:r>
      <w:r w:rsidR="004B1A81">
        <w:t xml:space="preserve">between DFCI and BIDMC </w:t>
      </w:r>
      <w:r w:rsidR="00DC0C75" w:rsidRPr="00DC0C75">
        <w:t>in 2025.</w:t>
      </w:r>
      <w:r w:rsidR="00DC0C75">
        <w:t xml:space="preserve"> </w:t>
      </w:r>
      <w:r w:rsidR="00DC0C75" w:rsidRPr="00DC0C75">
        <w:t xml:space="preserve">DFCI’s Application indicates it will have access to </w:t>
      </w:r>
      <w:r w:rsidR="001A3174">
        <w:t xml:space="preserve">six </w:t>
      </w:r>
      <w:r w:rsidR="00DC0C75" w:rsidRPr="00DC0C75">
        <w:t>existing LINACs in the Boston area</w:t>
      </w:r>
      <w:r w:rsidR="00DC0C75">
        <w:t xml:space="preserve"> (DFCI’s current three LINACs operat</w:t>
      </w:r>
      <w:r w:rsidR="0050791F">
        <w:t>ing</w:t>
      </w:r>
      <w:r w:rsidR="00DC0C75">
        <w:t xml:space="preserve"> in its existing Boston facilities and three that it plans to acquire by lease from BIDMC).</w:t>
      </w:r>
      <w:r w:rsidR="00DC0C75">
        <w:rPr>
          <w:rStyle w:val="FootnoteReference"/>
        </w:rPr>
        <w:footnoteReference w:id="129"/>
      </w:r>
      <w:r w:rsidR="00E46052">
        <w:t xml:space="preserve"> </w:t>
      </w:r>
      <w:r w:rsidR="00DC0C75">
        <w:t>These demand estimates, therefore, are consistent with need for between one and four additional LINACs in the Boston area in 2025, with demand increasing in future years.</w:t>
      </w:r>
    </w:p>
    <w:p w14:paraId="0F8B2AF0" w14:textId="629A9E64" w:rsidR="00FF2B9D" w:rsidRDefault="00FF2B9D" w:rsidP="00DB054E">
      <w:pPr>
        <w:pStyle w:val="Caption"/>
        <w:keepNext/>
        <w:jc w:val="center"/>
      </w:pPr>
      <w:bookmarkStart w:id="91" w:name="_Toc187401808"/>
      <w:r>
        <w:t xml:space="preserve">Table </w:t>
      </w:r>
      <w:fldSimple w:instr=" SEQ Table \* ARABIC ">
        <w:r w:rsidR="0085394E">
          <w:rPr>
            <w:noProof/>
          </w:rPr>
          <w:t>35</w:t>
        </w:r>
      </w:fldSimple>
      <w:r>
        <w:t>: Project</w:t>
      </w:r>
      <w:r w:rsidR="00C22865">
        <w:t>ed</w:t>
      </w:r>
      <w:r>
        <w:t xml:space="preserve"> LINAC Demand, 2025</w:t>
      </w:r>
      <w:bookmarkEnd w:id="91"/>
    </w:p>
    <w:tbl>
      <w:tblPr>
        <w:tblW w:w="6980" w:type="dxa"/>
        <w:jc w:val="center"/>
        <w:tblLook w:val="04A0" w:firstRow="1" w:lastRow="0" w:firstColumn="1" w:lastColumn="0" w:noHBand="0" w:noVBand="1"/>
      </w:tblPr>
      <w:tblGrid>
        <w:gridCol w:w="4300"/>
        <w:gridCol w:w="1340"/>
        <w:gridCol w:w="1340"/>
      </w:tblGrid>
      <w:tr w:rsidR="004034CC" w:rsidRPr="004034CC" w14:paraId="5A734F00" w14:textId="77777777" w:rsidTr="00D83C82">
        <w:trPr>
          <w:cantSplit/>
          <w:trHeight w:val="290"/>
          <w:tblHeader/>
          <w:jc w:val="center"/>
        </w:trPr>
        <w:tc>
          <w:tcPr>
            <w:tcW w:w="4300" w:type="dxa"/>
            <w:tcBorders>
              <w:top w:val="single" w:sz="8" w:space="0" w:color="auto"/>
              <w:left w:val="single" w:sz="8" w:space="0" w:color="auto"/>
              <w:bottom w:val="nil"/>
              <w:right w:val="nil"/>
            </w:tcBorders>
            <w:shd w:val="clear" w:color="000000" w:fill="002060"/>
            <w:noWrap/>
            <w:vAlign w:val="bottom"/>
            <w:hideMark/>
          </w:tcPr>
          <w:p w14:paraId="48C13177"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 </w:t>
            </w:r>
          </w:p>
        </w:tc>
        <w:tc>
          <w:tcPr>
            <w:tcW w:w="1340" w:type="dxa"/>
            <w:tcBorders>
              <w:top w:val="single" w:sz="8" w:space="0" w:color="auto"/>
              <w:left w:val="nil"/>
              <w:bottom w:val="nil"/>
              <w:right w:val="single" w:sz="8" w:space="0" w:color="auto"/>
            </w:tcBorders>
            <w:shd w:val="clear" w:color="000000" w:fill="002060"/>
            <w:vAlign w:val="bottom"/>
            <w:hideMark/>
          </w:tcPr>
          <w:p w14:paraId="3693727B"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Claims Data</w:t>
            </w:r>
          </w:p>
        </w:tc>
        <w:tc>
          <w:tcPr>
            <w:tcW w:w="1340" w:type="dxa"/>
            <w:tcBorders>
              <w:top w:val="single" w:sz="8" w:space="0" w:color="auto"/>
              <w:left w:val="nil"/>
              <w:bottom w:val="nil"/>
              <w:right w:val="single" w:sz="8" w:space="0" w:color="auto"/>
            </w:tcBorders>
            <w:shd w:val="clear" w:color="000000" w:fill="002060"/>
            <w:vAlign w:val="bottom"/>
            <w:hideMark/>
          </w:tcPr>
          <w:p w14:paraId="519BA0C4"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Application</w:t>
            </w:r>
          </w:p>
        </w:tc>
      </w:tr>
      <w:tr w:rsidR="004034CC" w:rsidRPr="004034CC" w14:paraId="1802B263" w14:textId="77777777" w:rsidTr="00D83C82">
        <w:trPr>
          <w:cantSplit/>
          <w:trHeight w:val="290"/>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9E00"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DFCI LINAC Sessions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07C2829"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27,055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61D95A4"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27,055</w:t>
            </w:r>
          </w:p>
        </w:tc>
      </w:tr>
      <w:tr w:rsidR="004034CC" w:rsidRPr="004034CC" w14:paraId="3A2B722C"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A823278"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BIDMC LINAC Sessions</w:t>
            </w:r>
          </w:p>
        </w:tc>
        <w:tc>
          <w:tcPr>
            <w:tcW w:w="1340" w:type="dxa"/>
            <w:tcBorders>
              <w:top w:val="nil"/>
              <w:left w:val="nil"/>
              <w:bottom w:val="single" w:sz="4" w:space="0" w:color="auto"/>
              <w:right w:val="single" w:sz="4" w:space="0" w:color="auto"/>
            </w:tcBorders>
            <w:shd w:val="clear" w:color="auto" w:fill="auto"/>
            <w:noWrap/>
            <w:vAlign w:val="bottom"/>
            <w:hideMark/>
          </w:tcPr>
          <w:p w14:paraId="2FD6E968"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20,731</w:t>
            </w:r>
          </w:p>
        </w:tc>
        <w:tc>
          <w:tcPr>
            <w:tcW w:w="1340" w:type="dxa"/>
            <w:tcBorders>
              <w:top w:val="nil"/>
              <w:left w:val="nil"/>
              <w:bottom w:val="single" w:sz="4" w:space="0" w:color="auto"/>
              <w:right w:val="single" w:sz="4" w:space="0" w:color="auto"/>
            </w:tcBorders>
            <w:shd w:val="clear" w:color="auto" w:fill="auto"/>
            <w:noWrap/>
            <w:vAlign w:val="bottom"/>
            <w:hideMark/>
          </w:tcPr>
          <w:p w14:paraId="62C4FD04"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19,292</w:t>
            </w:r>
          </w:p>
        </w:tc>
      </w:tr>
      <w:tr w:rsidR="004034CC" w:rsidRPr="004034CC" w14:paraId="56327CAD"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FC7D528"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BWH LINAC Sessions</w:t>
            </w:r>
          </w:p>
        </w:tc>
        <w:tc>
          <w:tcPr>
            <w:tcW w:w="1340" w:type="dxa"/>
            <w:tcBorders>
              <w:top w:val="nil"/>
              <w:left w:val="nil"/>
              <w:bottom w:val="single" w:sz="4" w:space="0" w:color="auto"/>
              <w:right w:val="single" w:sz="4" w:space="0" w:color="auto"/>
            </w:tcBorders>
            <w:shd w:val="clear" w:color="auto" w:fill="auto"/>
            <w:noWrap/>
            <w:vAlign w:val="bottom"/>
            <w:hideMark/>
          </w:tcPr>
          <w:p w14:paraId="20492AD6"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20,930</w:t>
            </w:r>
          </w:p>
        </w:tc>
        <w:tc>
          <w:tcPr>
            <w:tcW w:w="1340" w:type="dxa"/>
            <w:tcBorders>
              <w:top w:val="nil"/>
              <w:left w:val="nil"/>
              <w:bottom w:val="single" w:sz="4" w:space="0" w:color="auto"/>
              <w:right w:val="single" w:sz="4" w:space="0" w:color="auto"/>
            </w:tcBorders>
            <w:shd w:val="clear" w:color="auto" w:fill="auto"/>
            <w:noWrap/>
            <w:vAlign w:val="bottom"/>
            <w:hideMark/>
          </w:tcPr>
          <w:p w14:paraId="31FD1C46"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23,581</w:t>
            </w:r>
          </w:p>
        </w:tc>
      </w:tr>
      <w:tr w:rsidR="004034CC" w:rsidRPr="004034CC" w14:paraId="0E383490"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9E5CB1E"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Projected Total LINAC Sessions</w:t>
            </w:r>
          </w:p>
        </w:tc>
        <w:tc>
          <w:tcPr>
            <w:tcW w:w="1340" w:type="dxa"/>
            <w:tcBorders>
              <w:top w:val="nil"/>
              <w:left w:val="nil"/>
              <w:bottom w:val="single" w:sz="4" w:space="0" w:color="auto"/>
              <w:right w:val="single" w:sz="4" w:space="0" w:color="auto"/>
            </w:tcBorders>
            <w:shd w:val="clear" w:color="auto" w:fill="auto"/>
            <w:noWrap/>
            <w:vAlign w:val="bottom"/>
            <w:hideMark/>
          </w:tcPr>
          <w:p w14:paraId="2FAE28AC"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68,716</w:t>
            </w:r>
          </w:p>
        </w:tc>
        <w:tc>
          <w:tcPr>
            <w:tcW w:w="1340" w:type="dxa"/>
            <w:tcBorders>
              <w:top w:val="nil"/>
              <w:left w:val="nil"/>
              <w:bottom w:val="single" w:sz="4" w:space="0" w:color="auto"/>
              <w:right w:val="single" w:sz="4" w:space="0" w:color="auto"/>
            </w:tcBorders>
            <w:shd w:val="clear" w:color="auto" w:fill="auto"/>
            <w:noWrap/>
            <w:vAlign w:val="bottom"/>
            <w:hideMark/>
          </w:tcPr>
          <w:p w14:paraId="475B221B"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69,928</w:t>
            </w:r>
          </w:p>
        </w:tc>
      </w:tr>
      <w:tr w:rsidR="004034CC" w:rsidRPr="004034CC" w14:paraId="609F8C9C"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D45281F"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Throughput</w:t>
            </w:r>
          </w:p>
        </w:tc>
        <w:tc>
          <w:tcPr>
            <w:tcW w:w="1340" w:type="dxa"/>
            <w:tcBorders>
              <w:top w:val="nil"/>
              <w:left w:val="nil"/>
              <w:bottom w:val="single" w:sz="4" w:space="0" w:color="auto"/>
              <w:right w:val="single" w:sz="4" w:space="0" w:color="auto"/>
            </w:tcBorders>
            <w:shd w:val="clear" w:color="auto" w:fill="auto"/>
            <w:noWrap/>
            <w:vAlign w:val="bottom"/>
            <w:hideMark/>
          </w:tcPr>
          <w:p w14:paraId="0120DC65"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7,000</w:t>
            </w:r>
          </w:p>
        </w:tc>
        <w:tc>
          <w:tcPr>
            <w:tcW w:w="1340" w:type="dxa"/>
            <w:tcBorders>
              <w:top w:val="nil"/>
              <w:left w:val="nil"/>
              <w:bottom w:val="single" w:sz="4" w:space="0" w:color="auto"/>
              <w:right w:val="single" w:sz="4" w:space="0" w:color="auto"/>
            </w:tcBorders>
            <w:shd w:val="clear" w:color="auto" w:fill="auto"/>
            <w:noWrap/>
            <w:vAlign w:val="bottom"/>
            <w:hideMark/>
          </w:tcPr>
          <w:p w14:paraId="64B3CBD5"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7,000</w:t>
            </w:r>
          </w:p>
        </w:tc>
      </w:tr>
      <w:tr w:rsidR="004034CC" w:rsidRPr="004034CC" w14:paraId="72BBF0D7"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3E226FE"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LINAC Need</w:t>
            </w:r>
          </w:p>
        </w:tc>
        <w:tc>
          <w:tcPr>
            <w:tcW w:w="1340" w:type="dxa"/>
            <w:tcBorders>
              <w:top w:val="nil"/>
              <w:left w:val="nil"/>
              <w:bottom w:val="single" w:sz="4" w:space="0" w:color="auto"/>
              <w:right w:val="single" w:sz="4" w:space="0" w:color="auto"/>
            </w:tcBorders>
            <w:shd w:val="clear" w:color="auto" w:fill="auto"/>
            <w:noWrap/>
            <w:vAlign w:val="bottom"/>
            <w:hideMark/>
          </w:tcPr>
          <w:p w14:paraId="75FED4CF"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9.8</w:t>
            </w:r>
          </w:p>
        </w:tc>
        <w:tc>
          <w:tcPr>
            <w:tcW w:w="1340" w:type="dxa"/>
            <w:tcBorders>
              <w:top w:val="nil"/>
              <w:left w:val="nil"/>
              <w:bottom w:val="single" w:sz="4" w:space="0" w:color="auto"/>
              <w:right w:val="single" w:sz="4" w:space="0" w:color="auto"/>
            </w:tcBorders>
            <w:shd w:val="clear" w:color="auto" w:fill="auto"/>
            <w:noWrap/>
            <w:vAlign w:val="bottom"/>
            <w:hideMark/>
          </w:tcPr>
          <w:p w14:paraId="4C36F0AD"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10.0</w:t>
            </w:r>
          </w:p>
        </w:tc>
      </w:tr>
      <w:tr w:rsidR="004034CC" w:rsidRPr="004034CC" w14:paraId="1507E59B"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F1359B3"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LINAC Need less BWH Sessions</w:t>
            </w:r>
          </w:p>
        </w:tc>
        <w:tc>
          <w:tcPr>
            <w:tcW w:w="1340" w:type="dxa"/>
            <w:tcBorders>
              <w:top w:val="nil"/>
              <w:left w:val="nil"/>
              <w:bottom w:val="single" w:sz="4" w:space="0" w:color="auto"/>
              <w:right w:val="single" w:sz="4" w:space="0" w:color="auto"/>
            </w:tcBorders>
            <w:shd w:val="clear" w:color="auto" w:fill="auto"/>
            <w:noWrap/>
            <w:vAlign w:val="bottom"/>
            <w:hideMark/>
          </w:tcPr>
          <w:p w14:paraId="1464E998"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6.9</w:t>
            </w:r>
          </w:p>
        </w:tc>
        <w:tc>
          <w:tcPr>
            <w:tcW w:w="1340" w:type="dxa"/>
            <w:tcBorders>
              <w:top w:val="nil"/>
              <w:left w:val="nil"/>
              <w:bottom w:val="single" w:sz="4" w:space="0" w:color="auto"/>
              <w:right w:val="single" w:sz="4" w:space="0" w:color="auto"/>
            </w:tcBorders>
            <w:shd w:val="clear" w:color="auto" w:fill="auto"/>
            <w:noWrap/>
            <w:vAlign w:val="bottom"/>
            <w:hideMark/>
          </w:tcPr>
          <w:p w14:paraId="7E621D38"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7.2</w:t>
            </w:r>
          </w:p>
        </w:tc>
      </w:tr>
    </w:tbl>
    <w:p w14:paraId="409E7EC0" w14:textId="77777777" w:rsidR="004034CC" w:rsidRDefault="004034CC" w:rsidP="0085394E">
      <w:pPr>
        <w:spacing w:before="120" w:after="120" w:line="360" w:lineRule="auto"/>
      </w:pPr>
    </w:p>
    <w:p w14:paraId="6F19A1F3" w14:textId="51756A37" w:rsidR="00DC0C75" w:rsidRDefault="00DC0C75" w:rsidP="009A58A5">
      <w:pPr>
        <w:numPr>
          <w:ilvl w:val="0"/>
          <w:numId w:val="4"/>
        </w:numPr>
        <w:spacing w:before="120" w:after="120" w:line="360" w:lineRule="auto"/>
        <w:jc w:val="both"/>
      </w:pPr>
      <w:r>
        <w:t>The methodology for estimating t</w:t>
      </w:r>
      <w:r w:rsidRPr="00DC0C75">
        <w:t>otal projected 2025 CT simulator need follows the methodology for LINAC need.</w:t>
      </w:r>
      <w:r>
        <w:t xml:space="preserve"> Table </w:t>
      </w:r>
      <w:r w:rsidR="001204A7">
        <w:t>3</w:t>
      </w:r>
      <w:r w:rsidR="00AC0296">
        <w:t>6</w:t>
      </w:r>
      <w:r>
        <w:t xml:space="preserve"> lists estimated demand for CT simulator treatments by source in 2025. </w:t>
      </w:r>
      <w:r w:rsidR="00DD14FD">
        <w:t xml:space="preserve">FTI projects that the combined DFCI/BIDMC demand for CT simulator treatments in 2025 will be 2,487 with an additional demand of 1,877 sessions from patients currently receiving care at BWH facilities (some or many of which may be DFCI patients). Based on estimated throughputs, </w:t>
      </w:r>
      <w:r w:rsidR="00DD14FD" w:rsidRPr="00DC0C75">
        <w:t xml:space="preserve">FTI estimates that the combined demand of existing DFCI, BIDMC, and BWH </w:t>
      </w:r>
      <w:r w:rsidR="00DD14FD" w:rsidRPr="001A3174">
        <w:t>LINAC procedures will require the equivalent of 2.1 CT simulators in 2025 or 1.2 equivalent CT simulators wit</w:t>
      </w:r>
      <w:r w:rsidR="00DD14FD" w:rsidRPr="00DC0C75">
        <w:t>hout BWH treatments.</w:t>
      </w:r>
    </w:p>
    <w:p w14:paraId="10358B6B" w14:textId="63E03BAA" w:rsidR="00DC0C75" w:rsidRDefault="00DC0C75" w:rsidP="00DB054E">
      <w:pPr>
        <w:pStyle w:val="Caption"/>
        <w:keepNext/>
        <w:jc w:val="center"/>
      </w:pPr>
      <w:bookmarkStart w:id="92" w:name="_Toc187401809"/>
      <w:r>
        <w:lastRenderedPageBreak/>
        <w:t xml:space="preserve">Table </w:t>
      </w:r>
      <w:fldSimple w:instr=" SEQ Table \* ARABIC ">
        <w:r w:rsidR="0085394E">
          <w:rPr>
            <w:noProof/>
          </w:rPr>
          <w:t>36</w:t>
        </w:r>
      </w:fldSimple>
      <w:r>
        <w:t>: Projected CT Simulator Demand, 2025</w:t>
      </w:r>
      <w:bookmarkEnd w:id="92"/>
    </w:p>
    <w:tbl>
      <w:tblPr>
        <w:tblW w:w="5640" w:type="dxa"/>
        <w:jc w:val="center"/>
        <w:tblLook w:val="04A0" w:firstRow="1" w:lastRow="0" w:firstColumn="1" w:lastColumn="0" w:noHBand="0" w:noVBand="1"/>
      </w:tblPr>
      <w:tblGrid>
        <w:gridCol w:w="4300"/>
        <w:gridCol w:w="1340"/>
      </w:tblGrid>
      <w:tr w:rsidR="004034CC" w:rsidRPr="004034CC" w14:paraId="4CEA80DA" w14:textId="77777777" w:rsidTr="00D83C82">
        <w:trPr>
          <w:cantSplit/>
          <w:trHeight w:val="290"/>
          <w:tblHeader/>
          <w:jc w:val="center"/>
        </w:trPr>
        <w:tc>
          <w:tcPr>
            <w:tcW w:w="4300" w:type="dxa"/>
            <w:tcBorders>
              <w:top w:val="single" w:sz="8" w:space="0" w:color="auto"/>
              <w:left w:val="single" w:sz="8" w:space="0" w:color="auto"/>
              <w:bottom w:val="nil"/>
              <w:right w:val="nil"/>
            </w:tcBorders>
            <w:shd w:val="clear" w:color="000000" w:fill="002060"/>
            <w:noWrap/>
            <w:vAlign w:val="bottom"/>
            <w:hideMark/>
          </w:tcPr>
          <w:p w14:paraId="4FBC7CFD"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 </w:t>
            </w:r>
          </w:p>
        </w:tc>
        <w:tc>
          <w:tcPr>
            <w:tcW w:w="1340" w:type="dxa"/>
            <w:tcBorders>
              <w:top w:val="single" w:sz="8" w:space="0" w:color="auto"/>
              <w:left w:val="nil"/>
              <w:bottom w:val="nil"/>
              <w:right w:val="single" w:sz="8" w:space="0" w:color="auto"/>
            </w:tcBorders>
            <w:shd w:val="clear" w:color="000000" w:fill="002060"/>
            <w:vAlign w:val="bottom"/>
            <w:hideMark/>
          </w:tcPr>
          <w:p w14:paraId="0D13D54C"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Total</w:t>
            </w:r>
          </w:p>
        </w:tc>
      </w:tr>
      <w:tr w:rsidR="004034CC" w:rsidRPr="004034CC" w14:paraId="08956BC2" w14:textId="77777777" w:rsidTr="00D83C82">
        <w:trPr>
          <w:cantSplit/>
          <w:trHeight w:val="290"/>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0688"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DFCI CT Simulator Treatments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12D795B"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684</w:t>
            </w:r>
          </w:p>
        </w:tc>
      </w:tr>
      <w:tr w:rsidR="004034CC" w:rsidRPr="004034CC" w14:paraId="5C347477"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753A0D4"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BIDMC CT Simulator Treatments</w:t>
            </w:r>
          </w:p>
        </w:tc>
        <w:tc>
          <w:tcPr>
            <w:tcW w:w="1340" w:type="dxa"/>
            <w:tcBorders>
              <w:top w:val="nil"/>
              <w:left w:val="nil"/>
              <w:bottom w:val="single" w:sz="4" w:space="0" w:color="auto"/>
              <w:right w:val="single" w:sz="4" w:space="0" w:color="auto"/>
            </w:tcBorders>
            <w:shd w:val="clear" w:color="auto" w:fill="auto"/>
            <w:noWrap/>
            <w:vAlign w:val="bottom"/>
            <w:hideMark/>
          </w:tcPr>
          <w:p w14:paraId="0E4DDD6E"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1,803</w:t>
            </w:r>
          </w:p>
        </w:tc>
      </w:tr>
      <w:tr w:rsidR="004034CC" w:rsidRPr="004034CC" w14:paraId="76CE7B0A"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364D936"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BWH CT Simulator Treatments</w:t>
            </w:r>
          </w:p>
        </w:tc>
        <w:tc>
          <w:tcPr>
            <w:tcW w:w="1340" w:type="dxa"/>
            <w:tcBorders>
              <w:top w:val="nil"/>
              <w:left w:val="nil"/>
              <w:bottom w:val="single" w:sz="4" w:space="0" w:color="auto"/>
              <w:right w:val="single" w:sz="4" w:space="0" w:color="auto"/>
            </w:tcBorders>
            <w:shd w:val="clear" w:color="auto" w:fill="auto"/>
            <w:noWrap/>
            <w:vAlign w:val="bottom"/>
            <w:hideMark/>
          </w:tcPr>
          <w:p w14:paraId="2EEDE09C"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1,877</w:t>
            </w:r>
          </w:p>
        </w:tc>
      </w:tr>
      <w:tr w:rsidR="004034CC" w:rsidRPr="004034CC" w14:paraId="25B7C2BD"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A531B94"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Projected Total CT Simulator Treatments</w:t>
            </w:r>
          </w:p>
        </w:tc>
        <w:tc>
          <w:tcPr>
            <w:tcW w:w="1340" w:type="dxa"/>
            <w:tcBorders>
              <w:top w:val="nil"/>
              <w:left w:val="nil"/>
              <w:bottom w:val="single" w:sz="4" w:space="0" w:color="auto"/>
              <w:right w:val="single" w:sz="4" w:space="0" w:color="auto"/>
            </w:tcBorders>
            <w:shd w:val="clear" w:color="auto" w:fill="auto"/>
            <w:noWrap/>
            <w:vAlign w:val="bottom"/>
            <w:hideMark/>
          </w:tcPr>
          <w:p w14:paraId="1155DACE"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4,364</w:t>
            </w:r>
          </w:p>
        </w:tc>
      </w:tr>
      <w:tr w:rsidR="004034CC" w:rsidRPr="004034CC" w14:paraId="6CCFFCE7"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5B6A574"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Throughput</w:t>
            </w:r>
          </w:p>
        </w:tc>
        <w:tc>
          <w:tcPr>
            <w:tcW w:w="1340" w:type="dxa"/>
            <w:tcBorders>
              <w:top w:val="nil"/>
              <w:left w:val="nil"/>
              <w:bottom w:val="single" w:sz="4" w:space="0" w:color="auto"/>
              <w:right w:val="single" w:sz="4" w:space="0" w:color="auto"/>
            </w:tcBorders>
            <w:shd w:val="clear" w:color="auto" w:fill="auto"/>
            <w:noWrap/>
            <w:vAlign w:val="bottom"/>
            <w:hideMark/>
          </w:tcPr>
          <w:p w14:paraId="1AF60FFC"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2,125</w:t>
            </w:r>
          </w:p>
        </w:tc>
      </w:tr>
      <w:tr w:rsidR="004034CC" w:rsidRPr="004034CC" w14:paraId="4F28308F"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2261944"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CT Simulator Need</w:t>
            </w:r>
          </w:p>
        </w:tc>
        <w:tc>
          <w:tcPr>
            <w:tcW w:w="1340" w:type="dxa"/>
            <w:tcBorders>
              <w:top w:val="nil"/>
              <w:left w:val="nil"/>
              <w:bottom w:val="single" w:sz="4" w:space="0" w:color="auto"/>
              <w:right w:val="single" w:sz="4" w:space="0" w:color="auto"/>
            </w:tcBorders>
            <w:shd w:val="clear" w:color="auto" w:fill="auto"/>
            <w:noWrap/>
            <w:vAlign w:val="bottom"/>
            <w:hideMark/>
          </w:tcPr>
          <w:p w14:paraId="0AA3F62F"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2.1</w:t>
            </w:r>
          </w:p>
        </w:tc>
      </w:tr>
      <w:tr w:rsidR="004034CC" w:rsidRPr="004034CC" w14:paraId="7DB9B3BC"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3DBB35B"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CT Simulator Need less BWH Treatments</w:t>
            </w:r>
          </w:p>
        </w:tc>
        <w:tc>
          <w:tcPr>
            <w:tcW w:w="1340" w:type="dxa"/>
            <w:tcBorders>
              <w:top w:val="nil"/>
              <w:left w:val="nil"/>
              <w:bottom w:val="single" w:sz="4" w:space="0" w:color="auto"/>
              <w:right w:val="single" w:sz="4" w:space="0" w:color="auto"/>
            </w:tcBorders>
            <w:shd w:val="clear" w:color="auto" w:fill="auto"/>
            <w:noWrap/>
            <w:vAlign w:val="bottom"/>
            <w:hideMark/>
          </w:tcPr>
          <w:p w14:paraId="2E7C9DAD"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1.2</w:t>
            </w:r>
          </w:p>
        </w:tc>
      </w:tr>
    </w:tbl>
    <w:p w14:paraId="7CB189E3" w14:textId="77777777" w:rsidR="004034CC" w:rsidRDefault="004034CC" w:rsidP="00190A29">
      <w:pPr>
        <w:spacing w:after="120" w:line="360" w:lineRule="auto"/>
        <w:jc w:val="center"/>
      </w:pPr>
    </w:p>
    <w:p w14:paraId="2753C379" w14:textId="4FE8257C" w:rsidR="009A58A5" w:rsidRDefault="00DD14FD" w:rsidP="009A58A5">
      <w:pPr>
        <w:numPr>
          <w:ilvl w:val="0"/>
          <w:numId w:val="4"/>
        </w:numPr>
        <w:spacing w:before="120" w:after="120" w:line="360" w:lineRule="auto"/>
        <w:jc w:val="both"/>
      </w:pPr>
      <w:r w:rsidRPr="00DD14FD">
        <w:t>Because CT simulator procedures are somewhat more difficult to identify in claims data than LINAC procedures, FTI also estimated need using the approach used by DFCI in its application.</w:t>
      </w:r>
      <w:r>
        <w:rPr>
          <w:rStyle w:val="FootnoteReference"/>
        </w:rPr>
        <w:footnoteReference w:id="130"/>
      </w:r>
      <w:r>
        <w:t xml:space="preserve"> Under this approach, </w:t>
      </w:r>
      <w:r w:rsidRPr="00DD14FD">
        <w:t>CT simulator treatments are estimated by dividing the projected LINAC sessions by the average number of LINAC sessions per patient (with the assumption that each patient will receive one CT simulator treatment at the outset of their sequence of radiation therapy sessions).</w:t>
      </w:r>
      <w:r>
        <w:t xml:space="preserve"> </w:t>
      </w:r>
      <w:r w:rsidRPr="00DD14FD">
        <w:t>DFCI reports two different numbers apparently representing the average number of LINAC sessions per patient</w:t>
      </w:r>
      <w:r>
        <w:t xml:space="preserve">: 11.0 </w:t>
      </w:r>
      <w:r w:rsidR="001A3174">
        <w:t xml:space="preserve">(see </w:t>
      </w:r>
      <w:r>
        <w:t>Application Narrative Table 20</w:t>
      </w:r>
      <w:r w:rsidR="001A3174">
        <w:t>)</w:t>
      </w:r>
      <w:r>
        <w:t xml:space="preserve"> and 21.3 </w:t>
      </w:r>
      <w:r w:rsidR="001A3174">
        <w:t xml:space="preserve">(see </w:t>
      </w:r>
      <w:r>
        <w:t>Application Narrative Appendix Table A-3</w:t>
      </w:r>
      <w:r w:rsidR="001A3174">
        <w:t>)</w:t>
      </w:r>
      <w:r>
        <w:t>.</w:t>
      </w:r>
      <w:r w:rsidR="001A3174">
        <w:rPr>
          <w:rStyle w:val="FootnoteReference"/>
        </w:rPr>
        <w:footnoteReference w:id="131"/>
      </w:r>
      <w:r>
        <w:t xml:space="preserve"> As shown in Table </w:t>
      </w:r>
      <w:r w:rsidR="001204A7">
        <w:t>3</w:t>
      </w:r>
      <w:r w:rsidR="00AC0296">
        <w:t>7</w:t>
      </w:r>
      <w:r>
        <w:t xml:space="preserve">, FTI used both averages to project </w:t>
      </w:r>
      <w:r w:rsidRPr="00DD14FD">
        <w:t xml:space="preserve">CT simulator </w:t>
      </w:r>
      <w:r w:rsidRPr="001A3174">
        <w:t>demand requiring either 1.5 or 2.9 CT simulators (including BWH demand)</w:t>
      </w:r>
      <w:r w:rsidRPr="00DD14FD">
        <w:t xml:space="preserve"> and either 1.1 or 2.0 CT simulators (without BWH demand).</w:t>
      </w:r>
    </w:p>
    <w:p w14:paraId="7B64655A" w14:textId="5114FC67" w:rsidR="00DD14FD" w:rsidRDefault="00DD14FD" w:rsidP="00DB054E">
      <w:pPr>
        <w:pStyle w:val="Caption"/>
        <w:keepNext/>
        <w:jc w:val="center"/>
      </w:pPr>
      <w:bookmarkStart w:id="93" w:name="_Toc187401810"/>
      <w:r>
        <w:t xml:space="preserve">Table </w:t>
      </w:r>
      <w:fldSimple w:instr=" SEQ Table \* ARABIC ">
        <w:r w:rsidR="0085394E">
          <w:rPr>
            <w:noProof/>
          </w:rPr>
          <w:t>37</w:t>
        </w:r>
      </w:fldSimple>
      <w:r>
        <w:t>: Projected CT Simulator Demand Based on Forecasted LINAC Demand, 202</w:t>
      </w:r>
      <w:bookmarkEnd w:id="93"/>
    </w:p>
    <w:tbl>
      <w:tblPr>
        <w:tblW w:w="6980" w:type="dxa"/>
        <w:jc w:val="center"/>
        <w:tblLook w:val="04A0" w:firstRow="1" w:lastRow="0" w:firstColumn="1" w:lastColumn="0" w:noHBand="0" w:noVBand="1"/>
      </w:tblPr>
      <w:tblGrid>
        <w:gridCol w:w="4300"/>
        <w:gridCol w:w="1340"/>
        <w:gridCol w:w="1340"/>
      </w:tblGrid>
      <w:tr w:rsidR="004034CC" w:rsidRPr="004034CC" w14:paraId="2B2355D8" w14:textId="77777777" w:rsidTr="00D83C82">
        <w:trPr>
          <w:cantSplit/>
          <w:trHeight w:val="580"/>
          <w:tblHeader/>
          <w:jc w:val="center"/>
        </w:trPr>
        <w:tc>
          <w:tcPr>
            <w:tcW w:w="43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B68714B"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 </w:t>
            </w:r>
          </w:p>
        </w:tc>
        <w:tc>
          <w:tcPr>
            <w:tcW w:w="1340" w:type="dxa"/>
            <w:tcBorders>
              <w:top w:val="single" w:sz="4" w:space="0" w:color="auto"/>
              <w:left w:val="nil"/>
              <w:bottom w:val="single" w:sz="4" w:space="0" w:color="auto"/>
              <w:right w:val="single" w:sz="4" w:space="0" w:color="auto"/>
            </w:tcBorders>
            <w:shd w:val="clear" w:color="000000" w:fill="002060"/>
            <w:vAlign w:val="bottom"/>
            <w:hideMark/>
          </w:tcPr>
          <w:p w14:paraId="40CEF195"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Table 20 Estimate</w:t>
            </w:r>
          </w:p>
        </w:tc>
        <w:tc>
          <w:tcPr>
            <w:tcW w:w="1340" w:type="dxa"/>
            <w:tcBorders>
              <w:top w:val="single" w:sz="4" w:space="0" w:color="auto"/>
              <w:left w:val="nil"/>
              <w:bottom w:val="single" w:sz="4" w:space="0" w:color="auto"/>
              <w:right w:val="single" w:sz="4" w:space="0" w:color="auto"/>
            </w:tcBorders>
            <w:shd w:val="clear" w:color="000000" w:fill="002060"/>
            <w:vAlign w:val="bottom"/>
            <w:hideMark/>
          </w:tcPr>
          <w:p w14:paraId="5E16C8D4"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Table A-3 Estimate</w:t>
            </w:r>
          </w:p>
        </w:tc>
      </w:tr>
      <w:tr w:rsidR="004034CC" w:rsidRPr="004034CC" w14:paraId="082B864B"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5A0F75F"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Projected LINAC Sessions</w:t>
            </w:r>
          </w:p>
        </w:tc>
        <w:tc>
          <w:tcPr>
            <w:tcW w:w="1340" w:type="dxa"/>
            <w:tcBorders>
              <w:top w:val="nil"/>
              <w:left w:val="nil"/>
              <w:bottom w:val="single" w:sz="4" w:space="0" w:color="auto"/>
              <w:right w:val="single" w:sz="4" w:space="0" w:color="auto"/>
            </w:tcBorders>
            <w:shd w:val="clear" w:color="auto" w:fill="auto"/>
            <w:noWrap/>
            <w:vAlign w:val="bottom"/>
            <w:hideMark/>
          </w:tcPr>
          <w:p w14:paraId="0B3E97F6"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68,716</w:t>
            </w:r>
          </w:p>
        </w:tc>
        <w:tc>
          <w:tcPr>
            <w:tcW w:w="1340" w:type="dxa"/>
            <w:tcBorders>
              <w:top w:val="nil"/>
              <w:left w:val="nil"/>
              <w:bottom w:val="single" w:sz="4" w:space="0" w:color="auto"/>
              <w:right w:val="single" w:sz="4" w:space="0" w:color="auto"/>
            </w:tcBorders>
            <w:shd w:val="clear" w:color="auto" w:fill="auto"/>
            <w:noWrap/>
            <w:vAlign w:val="bottom"/>
            <w:hideMark/>
          </w:tcPr>
          <w:p w14:paraId="7B585E6D"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68,716</w:t>
            </w:r>
          </w:p>
        </w:tc>
      </w:tr>
      <w:tr w:rsidR="004034CC" w:rsidRPr="004034CC" w14:paraId="0605F3ED"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8CBA71E" w14:textId="77777777" w:rsidR="004034CC" w:rsidRPr="004034CC" w:rsidRDefault="004034CC" w:rsidP="004034CC">
            <w:pPr>
              <w:spacing w:after="0" w:line="240" w:lineRule="auto"/>
              <w:rPr>
                <w:rFonts w:ascii="Calibri" w:eastAsia="Times New Roman" w:hAnsi="Calibri" w:cs="Calibri"/>
                <w:color w:val="000000"/>
                <w:kern w:val="0"/>
                <w:lang w:val="fr-FR"/>
                <w14:ligatures w14:val="none"/>
              </w:rPr>
            </w:pPr>
            <w:r w:rsidRPr="004034CC">
              <w:rPr>
                <w:rFonts w:ascii="Calibri" w:eastAsia="Times New Roman" w:hAnsi="Calibri" w:cs="Calibri"/>
                <w:color w:val="000000"/>
                <w:kern w:val="0"/>
                <w:lang w:val="fr-FR"/>
                <w14:ligatures w14:val="none"/>
              </w:rPr>
              <w:t>Average LINAC Sessions per Patient</w:t>
            </w:r>
          </w:p>
        </w:tc>
        <w:tc>
          <w:tcPr>
            <w:tcW w:w="1340" w:type="dxa"/>
            <w:tcBorders>
              <w:top w:val="nil"/>
              <w:left w:val="nil"/>
              <w:bottom w:val="single" w:sz="4" w:space="0" w:color="auto"/>
              <w:right w:val="single" w:sz="4" w:space="0" w:color="auto"/>
            </w:tcBorders>
            <w:shd w:val="clear" w:color="auto" w:fill="auto"/>
            <w:noWrap/>
            <w:vAlign w:val="bottom"/>
            <w:hideMark/>
          </w:tcPr>
          <w:p w14:paraId="07D6E266"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11.0</w:t>
            </w:r>
          </w:p>
        </w:tc>
        <w:tc>
          <w:tcPr>
            <w:tcW w:w="1340" w:type="dxa"/>
            <w:tcBorders>
              <w:top w:val="nil"/>
              <w:left w:val="nil"/>
              <w:bottom w:val="single" w:sz="4" w:space="0" w:color="auto"/>
              <w:right w:val="single" w:sz="4" w:space="0" w:color="auto"/>
            </w:tcBorders>
            <w:shd w:val="clear" w:color="auto" w:fill="auto"/>
            <w:noWrap/>
            <w:vAlign w:val="bottom"/>
            <w:hideMark/>
          </w:tcPr>
          <w:p w14:paraId="59B814E1"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21.3</w:t>
            </w:r>
          </w:p>
        </w:tc>
      </w:tr>
      <w:tr w:rsidR="004034CC" w:rsidRPr="004034CC" w14:paraId="3CFAF0F8"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D6B8C10"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Projected CT Simulator Treatments</w:t>
            </w:r>
          </w:p>
        </w:tc>
        <w:tc>
          <w:tcPr>
            <w:tcW w:w="1340" w:type="dxa"/>
            <w:tcBorders>
              <w:top w:val="nil"/>
              <w:left w:val="nil"/>
              <w:bottom w:val="single" w:sz="4" w:space="0" w:color="auto"/>
              <w:right w:val="single" w:sz="4" w:space="0" w:color="auto"/>
            </w:tcBorders>
            <w:shd w:val="clear" w:color="auto" w:fill="auto"/>
            <w:noWrap/>
            <w:vAlign w:val="bottom"/>
            <w:hideMark/>
          </w:tcPr>
          <w:p w14:paraId="11E907CC"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6,247</w:t>
            </w:r>
          </w:p>
        </w:tc>
        <w:tc>
          <w:tcPr>
            <w:tcW w:w="1340" w:type="dxa"/>
            <w:tcBorders>
              <w:top w:val="nil"/>
              <w:left w:val="nil"/>
              <w:bottom w:val="single" w:sz="4" w:space="0" w:color="auto"/>
              <w:right w:val="single" w:sz="4" w:space="0" w:color="auto"/>
            </w:tcBorders>
            <w:shd w:val="clear" w:color="auto" w:fill="auto"/>
            <w:noWrap/>
            <w:vAlign w:val="bottom"/>
            <w:hideMark/>
          </w:tcPr>
          <w:p w14:paraId="33DCE99D"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3,226</w:t>
            </w:r>
          </w:p>
        </w:tc>
      </w:tr>
      <w:tr w:rsidR="004034CC" w:rsidRPr="004034CC" w14:paraId="5B5699A0"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1FB3822" w14:textId="77777777" w:rsidR="004034CC" w:rsidRPr="004034CC" w:rsidRDefault="004034CC" w:rsidP="004034CC">
            <w:pPr>
              <w:spacing w:after="0" w:line="240" w:lineRule="auto"/>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Throughput</w:t>
            </w:r>
          </w:p>
        </w:tc>
        <w:tc>
          <w:tcPr>
            <w:tcW w:w="1340" w:type="dxa"/>
            <w:tcBorders>
              <w:top w:val="nil"/>
              <w:left w:val="nil"/>
              <w:bottom w:val="single" w:sz="4" w:space="0" w:color="auto"/>
              <w:right w:val="single" w:sz="4" w:space="0" w:color="auto"/>
            </w:tcBorders>
            <w:shd w:val="clear" w:color="auto" w:fill="auto"/>
            <w:noWrap/>
            <w:vAlign w:val="bottom"/>
            <w:hideMark/>
          </w:tcPr>
          <w:p w14:paraId="1DA52242"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2,125</w:t>
            </w:r>
          </w:p>
        </w:tc>
        <w:tc>
          <w:tcPr>
            <w:tcW w:w="1340" w:type="dxa"/>
            <w:tcBorders>
              <w:top w:val="nil"/>
              <w:left w:val="nil"/>
              <w:bottom w:val="single" w:sz="4" w:space="0" w:color="auto"/>
              <w:right w:val="single" w:sz="4" w:space="0" w:color="auto"/>
            </w:tcBorders>
            <w:shd w:val="clear" w:color="auto" w:fill="auto"/>
            <w:noWrap/>
            <w:vAlign w:val="bottom"/>
            <w:hideMark/>
          </w:tcPr>
          <w:p w14:paraId="631FF067" w14:textId="77777777" w:rsidR="004034CC" w:rsidRPr="004034CC" w:rsidRDefault="004034CC" w:rsidP="004034CC">
            <w:pPr>
              <w:spacing w:after="0" w:line="240" w:lineRule="auto"/>
              <w:jc w:val="center"/>
              <w:rPr>
                <w:rFonts w:ascii="Calibri" w:eastAsia="Times New Roman" w:hAnsi="Calibri" w:cs="Calibri"/>
                <w:color w:val="000000"/>
                <w:kern w:val="0"/>
                <w14:ligatures w14:val="none"/>
              </w:rPr>
            </w:pPr>
            <w:r w:rsidRPr="004034CC">
              <w:rPr>
                <w:rFonts w:ascii="Calibri" w:eastAsia="Times New Roman" w:hAnsi="Calibri" w:cs="Calibri"/>
                <w:color w:val="000000"/>
                <w:kern w:val="0"/>
                <w14:ligatures w14:val="none"/>
              </w:rPr>
              <w:t>2,125</w:t>
            </w:r>
          </w:p>
        </w:tc>
      </w:tr>
      <w:tr w:rsidR="004034CC" w:rsidRPr="004034CC" w14:paraId="25624AFD"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45072C8"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CT Simulator Need</w:t>
            </w:r>
          </w:p>
        </w:tc>
        <w:tc>
          <w:tcPr>
            <w:tcW w:w="1340" w:type="dxa"/>
            <w:tcBorders>
              <w:top w:val="nil"/>
              <w:left w:val="nil"/>
              <w:bottom w:val="single" w:sz="4" w:space="0" w:color="auto"/>
              <w:right w:val="single" w:sz="4" w:space="0" w:color="auto"/>
            </w:tcBorders>
            <w:shd w:val="clear" w:color="auto" w:fill="auto"/>
            <w:noWrap/>
            <w:vAlign w:val="bottom"/>
            <w:hideMark/>
          </w:tcPr>
          <w:p w14:paraId="3D502C76"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2.9</w:t>
            </w:r>
          </w:p>
        </w:tc>
        <w:tc>
          <w:tcPr>
            <w:tcW w:w="1340" w:type="dxa"/>
            <w:tcBorders>
              <w:top w:val="nil"/>
              <w:left w:val="nil"/>
              <w:bottom w:val="single" w:sz="4" w:space="0" w:color="auto"/>
              <w:right w:val="single" w:sz="4" w:space="0" w:color="auto"/>
            </w:tcBorders>
            <w:shd w:val="clear" w:color="auto" w:fill="auto"/>
            <w:noWrap/>
            <w:vAlign w:val="bottom"/>
            <w:hideMark/>
          </w:tcPr>
          <w:p w14:paraId="47C6817C"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1.5</w:t>
            </w:r>
          </w:p>
        </w:tc>
      </w:tr>
      <w:tr w:rsidR="004034CC" w:rsidRPr="004034CC" w14:paraId="18727F99" w14:textId="77777777" w:rsidTr="00D83C82">
        <w:trPr>
          <w:cantSplit/>
          <w:trHeight w:val="29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6E396B0" w14:textId="77777777" w:rsidR="004034CC" w:rsidRPr="004034CC" w:rsidRDefault="004034CC" w:rsidP="004034CC">
            <w:pPr>
              <w:spacing w:after="0" w:line="240" w:lineRule="auto"/>
              <w:ind w:firstLineChars="100" w:firstLine="221"/>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CT Simulator Need without BWH</w:t>
            </w:r>
          </w:p>
        </w:tc>
        <w:tc>
          <w:tcPr>
            <w:tcW w:w="1340" w:type="dxa"/>
            <w:tcBorders>
              <w:top w:val="nil"/>
              <w:left w:val="nil"/>
              <w:bottom w:val="single" w:sz="4" w:space="0" w:color="auto"/>
              <w:right w:val="single" w:sz="4" w:space="0" w:color="auto"/>
            </w:tcBorders>
            <w:shd w:val="clear" w:color="auto" w:fill="auto"/>
            <w:noWrap/>
            <w:vAlign w:val="bottom"/>
            <w:hideMark/>
          </w:tcPr>
          <w:p w14:paraId="2418C26B"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2.0</w:t>
            </w:r>
          </w:p>
        </w:tc>
        <w:tc>
          <w:tcPr>
            <w:tcW w:w="1340" w:type="dxa"/>
            <w:tcBorders>
              <w:top w:val="nil"/>
              <w:left w:val="nil"/>
              <w:bottom w:val="single" w:sz="4" w:space="0" w:color="auto"/>
              <w:right w:val="single" w:sz="4" w:space="0" w:color="auto"/>
            </w:tcBorders>
            <w:shd w:val="clear" w:color="auto" w:fill="auto"/>
            <w:noWrap/>
            <w:vAlign w:val="bottom"/>
            <w:hideMark/>
          </w:tcPr>
          <w:p w14:paraId="64E74C99" w14:textId="77777777" w:rsidR="004034CC" w:rsidRPr="004034CC" w:rsidRDefault="004034CC" w:rsidP="004034CC">
            <w:pPr>
              <w:spacing w:after="0" w:line="240" w:lineRule="auto"/>
              <w:jc w:val="center"/>
              <w:rPr>
                <w:rFonts w:ascii="Calibri" w:eastAsia="Times New Roman" w:hAnsi="Calibri" w:cs="Calibri"/>
                <w:b/>
                <w:bCs/>
                <w:color w:val="000000"/>
                <w:kern w:val="0"/>
                <w14:ligatures w14:val="none"/>
              </w:rPr>
            </w:pPr>
            <w:r w:rsidRPr="004034CC">
              <w:rPr>
                <w:rFonts w:ascii="Calibri" w:eastAsia="Times New Roman" w:hAnsi="Calibri" w:cs="Calibri"/>
                <w:b/>
                <w:bCs/>
                <w:color w:val="000000"/>
                <w:kern w:val="0"/>
                <w14:ligatures w14:val="none"/>
              </w:rPr>
              <w:t>1.1</w:t>
            </w:r>
          </w:p>
        </w:tc>
      </w:tr>
    </w:tbl>
    <w:p w14:paraId="2F3CA7E1" w14:textId="77777777" w:rsidR="004034CC" w:rsidRDefault="004034CC" w:rsidP="00DD14FD">
      <w:pPr>
        <w:spacing w:before="120" w:after="120" w:line="360" w:lineRule="auto"/>
        <w:jc w:val="center"/>
      </w:pPr>
    </w:p>
    <w:p w14:paraId="753AA679" w14:textId="78CCF080" w:rsidR="00DD14FD" w:rsidRDefault="00DD14FD" w:rsidP="00DD14FD">
      <w:pPr>
        <w:numPr>
          <w:ilvl w:val="0"/>
          <w:numId w:val="4"/>
        </w:numPr>
        <w:spacing w:before="120" w:after="120" w:line="360" w:lineRule="auto"/>
        <w:jc w:val="both"/>
      </w:pPr>
      <w:r w:rsidRPr="00DD14FD">
        <w:t>BIDMC currently has one CT simulator to which DFCI proposes adding two machines.</w:t>
      </w:r>
      <w:r>
        <w:rPr>
          <w:rStyle w:val="FootnoteReference"/>
        </w:rPr>
        <w:footnoteReference w:id="132"/>
      </w:r>
      <w:r>
        <w:t xml:space="preserve"> FTI estimates that total demand estimates, therefore, are consistent with need for between one and two additional LINACs in the Boston area in 2025, with demand increasing in future years.</w:t>
      </w:r>
    </w:p>
    <w:p w14:paraId="5F8599C2" w14:textId="26839D93" w:rsidR="0075072D" w:rsidRDefault="00DD14FD" w:rsidP="0075072D">
      <w:pPr>
        <w:numPr>
          <w:ilvl w:val="0"/>
          <w:numId w:val="4"/>
        </w:numPr>
        <w:spacing w:before="120" w:after="120" w:line="360" w:lineRule="auto"/>
        <w:jc w:val="both"/>
      </w:pPr>
      <w:r>
        <w:lastRenderedPageBreak/>
        <w:t xml:space="preserve">In its </w:t>
      </w:r>
      <w:r w:rsidR="001A3174">
        <w:t>A</w:t>
      </w:r>
      <w:r>
        <w:t xml:space="preserve">pplication, DFCI indicated that it aims to consolidate care of its patients into its new facility. </w:t>
      </w:r>
      <w:r w:rsidR="006020D7">
        <w:t>“</w:t>
      </w:r>
      <w:r w:rsidRPr="00DC0C75">
        <w:t>Radiation therapy services are an essential component of a designated cancer hospital and critical to the Applicant’s desire to defragment the delivery of cancer care to cancer patients.</w:t>
      </w:r>
      <w:r w:rsidR="006020D7">
        <w:t>”</w:t>
      </w:r>
      <w:r>
        <w:rPr>
          <w:rStyle w:val="FootnoteReference"/>
        </w:rPr>
        <w:footnoteReference w:id="133"/>
      </w:r>
      <w:r>
        <w:t xml:space="preserve"> Were that consolidation to occur, estimated need for additional LINACs and CT simulators would be at the higher end of the ranges estimated above. However, this shift from existing BWH capacity to the new DFCI facility raises the prospect for potential backfill at BWH discussed above in the context of inpatient cancer care and outpatient diagnostic imaging services. The implications of this potential backfill is discussed further in Section XV.G below. </w:t>
      </w:r>
    </w:p>
    <w:p w14:paraId="186F5679" w14:textId="1120D2ED" w:rsidR="00DF7C05" w:rsidRPr="00DF7C05" w:rsidRDefault="00DF7C05" w:rsidP="008C4EE0">
      <w:pPr>
        <w:pStyle w:val="Heading2"/>
      </w:pPr>
      <w:bookmarkStart w:id="94" w:name="_Toc187401772"/>
      <w:r w:rsidRPr="00DF7C05">
        <w:t xml:space="preserve">Prices for </w:t>
      </w:r>
      <w:r>
        <w:t>Radiation Therapy Services</w:t>
      </w:r>
      <w:bookmarkEnd w:id="94"/>
    </w:p>
    <w:p w14:paraId="2B89E3CA" w14:textId="643A5AC9" w:rsidR="00B17D84" w:rsidRDefault="00B17D84" w:rsidP="00B17D84">
      <w:pPr>
        <w:numPr>
          <w:ilvl w:val="0"/>
          <w:numId w:val="4"/>
        </w:numPr>
        <w:spacing w:before="120" w:after="120" w:line="360" w:lineRule="auto"/>
        <w:jc w:val="both"/>
      </w:pPr>
      <w:r>
        <w:t xml:space="preserve">The ICA </w:t>
      </w:r>
      <w:r w:rsidR="001A3174">
        <w:t>Q</w:t>
      </w:r>
      <w:r>
        <w:t xml:space="preserve">uestions </w:t>
      </w:r>
      <w:r w:rsidR="001A3174">
        <w:t xml:space="preserve">and analysis </w:t>
      </w:r>
      <w:r>
        <w:t xml:space="preserve">involve evaluation of current pricing by service line and potential impact of the Proposed Project on prices and medical spending. This section evaluates estimates of pricing for commercial claims for DFCI and other relevant providers offering radiation therapy services. </w:t>
      </w:r>
    </w:p>
    <w:p w14:paraId="63F47BC5" w14:textId="716815E8" w:rsidR="00B17D84" w:rsidRDefault="00B17D84" w:rsidP="00B17D84">
      <w:pPr>
        <w:numPr>
          <w:ilvl w:val="0"/>
          <w:numId w:val="4"/>
        </w:numPr>
        <w:spacing w:before="120" w:after="120" w:line="360" w:lineRule="auto"/>
        <w:jc w:val="both"/>
      </w:pPr>
      <w:r>
        <w:t xml:space="preserve">The methodology employed for analyzing radiation therapy prices is similar </w:t>
      </w:r>
      <w:r w:rsidR="001A3174">
        <w:t xml:space="preserve">to </w:t>
      </w:r>
      <w:r>
        <w:t>that used for analysis of inpatient prices as outlined in Section XI. Prices were estimated for commercial, Medicare, and Medicaid payor categories.</w:t>
      </w:r>
      <w:r>
        <w:rPr>
          <w:rStyle w:val="FootnoteReference"/>
        </w:rPr>
        <w:footnoteReference w:id="134"/>
      </w:r>
      <w:r>
        <w:t xml:space="preserve"> These prices are used in conjunction with the volume predictions to project total healthcare costs in Section </w:t>
      </w:r>
      <w:r w:rsidR="001204A7">
        <w:t>XV.G</w:t>
      </w:r>
      <w:r>
        <w:t>.</w:t>
      </w:r>
    </w:p>
    <w:p w14:paraId="353D2808" w14:textId="06953C6C" w:rsidR="00B17D84" w:rsidRDefault="00B17D84" w:rsidP="00B17D84">
      <w:pPr>
        <w:numPr>
          <w:ilvl w:val="0"/>
          <w:numId w:val="4"/>
        </w:numPr>
        <w:spacing w:before="120" w:after="120" w:line="360" w:lineRule="auto"/>
        <w:jc w:val="both"/>
      </w:pPr>
      <w:r>
        <w:t>Using 2021 claims data for the radiation therapy service line as defined above, allowed amounts were used to determine the total price of each radiation therapy service. The average allowed amount for all claim lines associated with a given service was then determined for each provider-payor category combination.</w:t>
      </w:r>
      <w:r w:rsidRPr="003C75C2">
        <w:t xml:space="preserve"> </w:t>
      </w:r>
      <w:r>
        <w:t xml:space="preserve">Prices were normalized and reported relative to the average statewide service line price (i.e., the average allowed amount for all claim lines associated with a given service across all Massachusetts </w:t>
      </w:r>
      <w:r w:rsidR="00FC27BC">
        <w:t>providers</w:t>
      </w:r>
      <w:r>
        <w:t xml:space="preserve"> and payors).</w:t>
      </w:r>
    </w:p>
    <w:p w14:paraId="02551E3B" w14:textId="5A8404A5" w:rsidR="00DF7C05" w:rsidRDefault="00B17D84" w:rsidP="00B17D84">
      <w:pPr>
        <w:numPr>
          <w:ilvl w:val="0"/>
          <w:numId w:val="4"/>
        </w:numPr>
        <w:spacing w:before="120" w:after="120" w:line="360" w:lineRule="auto"/>
        <w:ind w:hanging="547"/>
        <w:jc w:val="both"/>
      </w:pPr>
      <w:r>
        <w:t xml:space="preserve">As shown in Table </w:t>
      </w:r>
      <w:r w:rsidR="001204A7">
        <w:t>3</w:t>
      </w:r>
      <w:r w:rsidR="00AC0296">
        <w:t>8</w:t>
      </w:r>
      <w:r>
        <w:t>, DFCI’s relative prices for LINAC in 2021 were 2.34 (commercial), 0.96 (Medicare), and 1.39 (</w:t>
      </w:r>
      <w:r w:rsidR="001A3174">
        <w:t>Medicaid</w:t>
      </w:r>
      <w:r>
        <w:t xml:space="preserve">). DFCI’s relative prices for CT Simulation in 2021 were </w:t>
      </w:r>
      <w:r w:rsidR="00495C95">
        <w:t xml:space="preserve">estimated at </w:t>
      </w:r>
      <w:r>
        <w:t>1.61 (commercial), 1.4</w:t>
      </w:r>
      <w:r w:rsidR="00FC27BC">
        <w:t>0</w:t>
      </w:r>
      <w:r>
        <w:t xml:space="preserve"> (Medicare), and 1.56 (</w:t>
      </w:r>
      <w:r w:rsidR="001A3174">
        <w:t>Medicaid</w:t>
      </w:r>
      <w:r>
        <w:t>).</w:t>
      </w:r>
    </w:p>
    <w:p w14:paraId="25769157" w14:textId="77777777" w:rsidR="006256A8" w:rsidRDefault="006256A8" w:rsidP="006256A8">
      <w:pPr>
        <w:spacing w:before="120" w:after="120" w:line="360" w:lineRule="auto"/>
        <w:jc w:val="both"/>
      </w:pPr>
    </w:p>
    <w:p w14:paraId="67D316D7" w14:textId="77777777" w:rsidR="006256A8" w:rsidRDefault="006256A8" w:rsidP="006256A8">
      <w:pPr>
        <w:spacing w:before="120" w:after="120" w:line="360" w:lineRule="auto"/>
        <w:jc w:val="both"/>
      </w:pPr>
    </w:p>
    <w:p w14:paraId="5BF0B37C" w14:textId="393E9F46" w:rsidR="00FC27BC" w:rsidRDefault="00FC27BC" w:rsidP="00DB054E">
      <w:pPr>
        <w:pStyle w:val="Caption"/>
        <w:keepNext/>
        <w:jc w:val="center"/>
      </w:pPr>
      <w:bookmarkStart w:id="95" w:name="_Toc187401811"/>
      <w:r>
        <w:lastRenderedPageBreak/>
        <w:t xml:space="preserve">Table </w:t>
      </w:r>
      <w:fldSimple w:instr=" SEQ Table \* ARABIC ">
        <w:r w:rsidR="0085394E">
          <w:rPr>
            <w:noProof/>
          </w:rPr>
          <w:t>38</w:t>
        </w:r>
      </w:fldSimple>
      <w:r>
        <w:t>: Estimated Relative LINAC and CT Simulator Prices by Hospital and Payor, 2021</w:t>
      </w:r>
      <w:r>
        <w:rPr>
          <w:rStyle w:val="FootnoteReference"/>
        </w:rPr>
        <w:footnoteReference w:id="135"/>
      </w:r>
      <w:bookmarkEnd w:id="95"/>
    </w:p>
    <w:tbl>
      <w:tblPr>
        <w:tblW w:w="0" w:type="auto"/>
        <w:tblLayout w:type="fixed"/>
        <w:tblLook w:val="04A0" w:firstRow="1" w:lastRow="0" w:firstColumn="1" w:lastColumn="0" w:noHBand="0" w:noVBand="1"/>
      </w:tblPr>
      <w:tblGrid>
        <w:gridCol w:w="1700"/>
        <w:gridCol w:w="3692"/>
        <w:gridCol w:w="1319"/>
        <w:gridCol w:w="1319"/>
        <w:gridCol w:w="1320"/>
      </w:tblGrid>
      <w:tr w:rsidR="00DB054E" w:rsidRPr="004034CC" w14:paraId="22F7568C" w14:textId="77777777" w:rsidTr="00D83C82">
        <w:trPr>
          <w:cantSplit/>
          <w:trHeight w:val="300"/>
          <w:tblHeader/>
        </w:trPr>
        <w:tc>
          <w:tcPr>
            <w:tcW w:w="1700" w:type="dxa"/>
            <w:vMerge w:val="restart"/>
            <w:tcBorders>
              <w:top w:val="single" w:sz="8" w:space="0" w:color="auto"/>
              <w:left w:val="single" w:sz="8" w:space="0" w:color="auto"/>
              <w:bottom w:val="single" w:sz="8" w:space="0" w:color="000000"/>
              <w:right w:val="nil"/>
            </w:tcBorders>
            <w:shd w:val="clear" w:color="000000" w:fill="002060"/>
            <w:vAlign w:val="bottom"/>
            <w:hideMark/>
          </w:tcPr>
          <w:p w14:paraId="61EF3A41"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Modality</w:t>
            </w:r>
          </w:p>
        </w:tc>
        <w:tc>
          <w:tcPr>
            <w:tcW w:w="3692" w:type="dxa"/>
            <w:vMerge w:val="restart"/>
            <w:tcBorders>
              <w:top w:val="single" w:sz="8" w:space="0" w:color="auto"/>
              <w:left w:val="nil"/>
              <w:bottom w:val="single" w:sz="8" w:space="0" w:color="000000"/>
              <w:right w:val="nil"/>
            </w:tcBorders>
            <w:shd w:val="clear" w:color="000000" w:fill="002060"/>
            <w:vAlign w:val="bottom"/>
            <w:hideMark/>
          </w:tcPr>
          <w:p w14:paraId="319AAB1A"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Hospital</w:t>
            </w:r>
          </w:p>
        </w:tc>
        <w:tc>
          <w:tcPr>
            <w:tcW w:w="3958" w:type="dxa"/>
            <w:gridSpan w:val="3"/>
            <w:tcBorders>
              <w:top w:val="single" w:sz="8" w:space="0" w:color="auto"/>
              <w:left w:val="nil"/>
              <w:bottom w:val="nil"/>
              <w:right w:val="nil"/>
            </w:tcBorders>
            <w:shd w:val="clear" w:color="000000" w:fill="002060"/>
            <w:vAlign w:val="bottom"/>
            <w:hideMark/>
          </w:tcPr>
          <w:p w14:paraId="15A2D5F8" w14:textId="77777777" w:rsidR="004034CC" w:rsidRPr="004034CC" w:rsidRDefault="004034CC" w:rsidP="004034CC">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Relative Price</w:t>
            </w:r>
          </w:p>
        </w:tc>
      </w:tr>
      <w:tr w:rsidR="00DB054E" w:rsidRPr="004034CC" w14:paraId="2C98F5EE" w14:textId="77777777" w:rsidTr="00D83C82">
        <w:trPr>
          <w:cantSplit/>
          <w:trHeight w:val="300"/>
          <w:tblHeader/>
        </w:trPr>
        <w:tc>
          <w:tcPr>
            <w:tcW w:w="1700" w:type="dxa"/>
            <w:vMerge/>
            <w:tcBorders>
              <w:top w:val="single" w:sz="8" w:space="0" w:color="auto"/>
              <w:left w:val="single" w:sz="8" w:space="0" w:color="auto"/>
              <w:bottom w:val="single" w:sz="8" w:space="0" w:color="000000"/>
              <w:right w:val="nil"/>
            </w:tcBorders>
            <w:vAlign w:val="bottom"/>
            <w:hideMark/>
          </w:tcPr>
          <w:p w14:paraId="05C00F55" w14:textId="77777777" w:rsidR="004034CC" w:rsidRPr="004034CC" w:rsidRDefault="004034CC" w:rsidP="00A35837">
            <w:pPr>
              <w:spacing w:after="0" w:line="240" w:lineRule="auto"/>
              <w:jc w:val="center"/>
              <w:rPr>
                <w:rFonts w:ascii="Calibri" w:eastAsia="Times New Roman" w:hAnsi="Calibri" w:cs="Calibri"/>
                <w:b/>
                <w:bCs/>
                <w:color w:val="FFFFFF"/>
                <w:kern w:val="0"/>
                <w14:ligatures w14:val="none"/>
              </w:rPr>
            </w:pPr>
          </w:p>
        </w:tc>
        <w:tc>
          <w:tcPr>
            <w:tcW w:w="3692" w:type="dxa"/>
            <w:vMerge/>
            <w:tcBorders>
              <w:top w:val="single" w:sz="8" w:space="0" w:color="auto"/>
              <w:left w:val="nil"/>
              <w:bottom w:val="single" w:sz="8" w:space="0" w:color="000000"/>
              <w:right w:val="nil"/>
            </w:tcBorders>
            <w:vAlign w:val="center"/>
            <w:hideMark/>
          </w:tcPr>
          <w:p w14:paraId="3418D485" w14:textId="77777777" w:rsidR="004034CC" w:rsidRPr="004034CC" w:rsidRDefault="004034CC" w:rsidP="004034CC">
            <w:pPr>
              <w:spacing w:after="0" w:line="240" w:lineRule="auto"/>
              <w:rPr>
                <w:rFonts w:ascii="Calibri" w:eastAsia="Times New Roman" w:hAnsi="Calibri" w:cs="Calibri"/>
                <w:b/>
                <w:bCs/>
                <w:color w:val="FFFFFF"/>
                <w:kern w:val="0"/>
                <w14:ligatures w14:val="none"/>
              </w:rPr>
            </w:pPr>
          </w:p>
        </w:tc>
        <w:tc>
          <w:tcPr>
            <w:tcW w:w="1319" w:type="dxa"/>
            <w:tcBorders>
              <w:top w:val="nil"/>
              <w:left w:val="nil"/>
              <w:bottom w:val="single" w:sz="8" w:space="0" w:color="auto"/>
              <w:right w:val="nil"/>
            </w:tcBorders>
            <w:shd w:val="clear" w:color="000000" w:fill="002060"/>
            <w:vAlign w:val="bottom"/>
            <w:hideMark/>
          </w:tcPr>
          <w:p w14:paraId="379DC556"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Medicare</w:t>
            </w:r>
          </w:p>
        </w:tc>
        <w:tc>
          <w:tcPr>
            <w:tcW w:w="1319" w:type="dxa"/>
            <w:tcBorders>
              <w:top w:val="nil"/>
              <w:left w:val="nil"/>
              <w:bottom w:val="single" w:sz="8" w:space="0" w:color="auto"/>
              <w:right w:val="nil"/>
            </w:tcBorders>
            <w:shd w:val="clear" w:color="000000" w:fill="002060"/>
            <w:vAlign w:val="bottom"/>
            <w:hideMark/>
          </w:tcPr>
          <w:p w14:paraId="3AA857F9" w14:textId="77777777" w:rsidR="004034CC" w:rsidRPr="004034CC" w:rsidRDefault="004034CC" w:rsidP="004034CC">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Commercial</w:t>
            </w:r>
          </w:p>
        </w:tc>
        <w:tc>
          <w:tcPr>
            <w:tcW w:w="1320" w:type="dxa"/>
            <w:tcBorders>
              <w:top w:val="nil"/>
              <w:left w:val="nil"/>
              <w:bottom w:val="single" w:sz="8" w:space="0" w:color="auto"/>
              <w:right w:val="single" w:sz="8" w:space="0" w:color="auto"/>
            </w:tcBorders>
            <w:shd w:val="clear" w:color="000000" w:fill="002060"/>
            <w:vAlign w:val="bottom"/>
            <w:hideMark/>
          </w:tcPr>
          <w:p w14:paraId="6743BC3A" w14:textId="7B7EDAB5" w:rsidR="004034CC" w:rsidRPr="004034CC" w:rsidRDefault="00A35837" w:rsidP="004034CC">
            <w:pPr>
              <w:spacing w:after="0" w:line="240" w:lineRule="auto"/>
              <w:jc w:val="center"/>
              <w:rPr>
                <w:rFonts w:ascii="Calibri" w:eastAsia="Times New Roman" w:hAnsi="Calibri" w:cs="Calibri"/>
                <w:i/>
                <w:iCs/>
                <w:color w:val="FFFFFF"/>
                <w:kern w:val="0"/>
                <w14:ligatures w14:val="none"/>
              </w:rPr>
            </w:pPr>
            <w:r>
              <w:rPr>
                <w:rFonts w:ascii="Calibri" w:eastAsia="Times New Roman" w:hAnsi="Calibri" w:cs="Calibri"/>
                <w:i/>
                <w:iCs/>
                <w:color w:val="FFFFFF"/>
                <w:kern w:val="0"/>
                <w14:ligatures w14:val="none"/>
              </w:rPr>
              <w:t>Medicaid</w:t>
            </w:r>
          </w:p>
        </w:tc>
      </w:tr>
      <w:tr w:rsidR="00DB054E" w:rsidRPr="004034CC" w14:paraId="40B086BC" w14:textId="77777777" w:rsidTr="00D83C82">
        <w:trPr>
          <w:cantSplit/>
          <w:trHeight w:val="290"/>
        </w:trPr>
        <w:tc>
          <w:tcPr>
            <w:tcW w:w="1700" w:type="dxa"/>
            <w:vMerge w:val="restart"/>
            <w:tcBorders>
              <w:top w:val="nil"/>
              <w:left w:val="single" w:sz="8" w:space="0" w:color="auto"/>
              <w:bottom w:val="single" w:sz="8" w:space="0" w:color="000000"/>
              <w:right w:val="nil"/>
            </w:tcBorders>
            <w:shd w:val="clear" w:color="auto" w:fill="auto"/>
            <w:noWrap/>
            <w:vAlign w:val="center"/>
            <w:hideMark/>
          </w:tcPr>
          <w:p w14:paraId="031F84C8"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Linear Accelerator</w:t>
            </w:r>
          </w:p>
        </w:tc>
        <w:tc>
          <w:tcPr>
            <w:tcW w:w="3692" w:type="dxa"/>
            <w:tcBorders>
              <w:top w:val="nil"/>
              <w:left w:val="nil"/>
              <w:bottom w:val="dotted" w:sz="4" w:space="0" w:color="auto"/>
              <w:right w:val="nil"/>
            </w:tcBorders>
            <w:shd w:val="clear" w:color="auto" w:fill="auto"/>
            <w:noWrap/>
            <w:vAlign w:val="bottom"/>
            <w:hideMark/>
          </w:tcPr>
          <w:p w14:paraId="6B358D8C"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Beth Israel Deaconess Medical Center</w:t>
            </w:r>
          </w:p>
        </w:tc>
        <w:tc>
          <w:tcPr>
            <w:tcW w:w="1319" w:type="dxa"/>
            <w:tcBorders>
              <w:top w:val="nil"/>
              <w:left w:val="nil"/>
              <w:bottom w:val="dotted" w:sz="4" w:space="0" w:color="auto"/>
              <w:right w:val="nil"/>
            </w:tcBorders>
            <w:shd w:val="clear" w:color="auto" w:fill="auto"/>
            <w:noWrap/>
            <w:vAlign w:val="bottom"/>
            <w:hideMark/>
          </w:tcPr>
          <w:p w14:paraId="00842A1A"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0.97</w:t>
            </w:r>
          </w:p>
        </w:tc>
        <w:tc>
          <w:tcPr>
            <w:tcW w:w="1319" w:type="dxa"/>
            <w:tcBorders>
              <w:top w:val="nil"/>
              <w:left w:val="nil"/>
              <w:bottom w:val="dotted" w:sz="4" w:space="0" w:color="auto"/>
              <w:right w:val="nil"/>
            </w:tcBorders>
            <w:shd w:val="clear" w:color="auto" w:fill="auto"/>
            <w:noWrap/>
            <w:vAlign w:val="bottom"/>
            <w:hideMark/>
          </w:tcPr>
          <w:p w14:paraId="694FE3C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1.65</w:t>
            </w:r>
          </w:p>
        </w:tc>
        <w:tc>
          <w:tcPr>
            <w:tcW w:w="1320" w:type="dxa"/>
            <w:tcBorders>
              <w:top w:val="nil"/>
              <w:left w:val="nil"/>
              <w:bottom w:val="dotted" w:sz="4" w:space="0" w:color="auto"/>
              <w:right w:val="single" w:sz="8" w:space="0" w:color="auto"/>
            </w:tcBorders>
            <w:shd w:val="clear" w:color="auto" w:fill="auto"/>
            <w:noWrap/>
            <w:vAlign w:val="bottom"/>
            <w:hideMark/>
          </w:tcPr>
          <w:p w14:paraId="38E19226"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0.66</w:t>
            </w:r>
          </w:p>
        </w:tc>
      </w:tr>
      <w:tr w:rsidR="00DB054E" w:rsidRPr="004034CC" w14:paraId="043F56A0" w14:textId="77777777" w:rsidTr="00D83C82">
        <w:trPr>
          <w:cantSplit/>
          <w:trHeight w:val="290"/>
        </w:trPr>
        <w:tc>
          <w:tcPr>
            <w:tcW w:w="1700" w:type="dxa"/>
            <w:vMerge/>
            <w:tcBorders>
              <w:top w:val="nil"/>
              <w:left w:val="single" w:sz="8" w:space="0" w:color="auto"/>
              <w:bottom w:val="single" w:sz="8" w:space="0" w:color="000000"/>
              <w:right w:val="nil"/>
            </w:tcBorders>
            <w:vAlign w:val="center"/>
            <w:hideMark/>
          </w:tcPr>
          <w:p w14:paraId="4F2DA659" w14:textId="77777777" w:rsidR="004034CC" w:rsidRPr="004034CC" w:rsidRDefault="004034CC" w:rsidP="004034CC">
            <w:pPr>
              <w:spacing w:after="0" w:line="240" w:lineRule="auto"/>
              <w:rPr>
                <w:rFonts w:ascii="Calibri" w:eastAsia="Times New Roman" w:hAnsi="Calibri" w:cs="Calibri"/>
                <w:b/>
                <w:bCs/>
                <w:kern w:val="0"/>
                <w14:ligatures w14:val="none"/>
              </w:rPr>
            </w:pPr>
          </w:p>
        </w:tc>
        <w:tc>
          <w:tcPr>
            <w:tcW w:w="3692" w:type="dxa"/>
            <w:tcBorders>
              <w:top w:val="nil"/>
              <w:left w:val="nil"/>
              <w:bottom w:val="dotted" w:sz="4" w:space="0" w:color="auto"/>
              <w:right w:val="nil"/>
            </w:tcBorders>
            <w:shd w:val="clear" w:color="auto" w:fill="auto"/>
            <w:noWrap/>
            <w:vAlign w:val="bottom"/>
            <w:hideMark/>
          </w:tcPr>
          <w:p w14:paraId="25538C2F"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Dana-Farber Cancer Institute</w:t>
            </w:r>
          </w:p>
        </w:tc>
        <w:tc>
          <w:tcPr>
            <w:tcW w:w="1319" w:type="dxa"/>
            <w:tcBorders>
              <w:top w:val="nil"/>
              <w:left w:val="nil"/>
              <w:bottom w:val="dotted" w:sz="4" w:space="0" w:color="auto"/>
              <w:right w:val="nil"/>
            </w:tcBorders>
            <w:shd w:val="clear" w:color="auto" w:fill="auto"/>
            <w:noWrap/>
            <w:vAlign w:val="bottom"/>
            <w:hideMark/>
          </w:tcPr>
          <w:p w14:paraId="1135B77A"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0.96</w:t>
            </w:r>
          </w:p>
        </w:tc>
        <w:tc>
          <w:tcPr>
            <w:tcW w:w="1319" w:type="dxa"/>
            <w:tcBorders>
              <w:top w:val="nil"/>
              <w:left w:val="nil"/>
              <w:bottom w:val="dotted" w:sz="4" w:space="0" w:color="auto"/>
              <w:right w:val="nil"/>
            </w:tcBorders>
            <w:shd w:val="clear" w:color="auto" w:fill="auto"/>
            <w:noWrap/>
            <w:vAlign w:val="bottom"/>
            <w:hideMark/>
          </w:tcPr>
          <w:p w14:paraId="54CC72F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2.34</w:t>
            </w:r>
          </w:p>
        </w:tc>
        <w:tc>
          <w:tcPr>
            <w:tcW w:w="1320" w:type="dxa"/>
            <w:tcBorders>
              <w:top w:val="nil"/>
              <w:left w:val="nil"/>
              <w:bottom w:val="dotted" w:sz="4" w:space="0" w:color="auto"/>
              <w:right w:val="single" w:sz="8" w:space="0" w:color="auto"/>
            </w:tcBorders>
            <w:shd w:val="clear" w:color="auto" w:fill="auto"/>
            <w:noWrap/>
            <w:vAlign w:val="bottom"/>
            <w:hideMark/>
          </w:tcPr>
          <w:p w14:paraId="4263A86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1.39</w:t>
            </w:r>
          </w:p>
        </w:tc>
      </w:tr>
      <w:tr w:rsidR="00DB054E" w:rsidRPr="004034CC" w14:paraId="6D47D308" w14:textId="77777777" w:rsidTr="00D83C82">
        <w:trPr>
          <w:cantSplit/>
          <w:trHeight w:val="300"/>
        </w:trPr>
        <w:tc>
          <w:tcPr>
            <w:tcW w:w="1700" w:type="dxa"/>
            <w:vMerge/>
            <w:tcBorders>
              <w:top w:val="nil"/>
              <w:left w:val="single" w:sz="8" w:space="0" w:color="auto"/>
              <w:bottom w:val="single" w:sz="8" w:space="0" w:color="000000"/>
              <w:right w:val="nil"/>
            </w:tcBorders>
            <w:vAlign w:val="center"/>
            <w:hideMark/>
          </w:tcPr>
          <w:p w14:paraId="0CEAF33F" w14:textId="77777777" w:rsidR="004034CC" w:rsidRPr="004034CC" w:rsidRDefault="004034CC" w:rsidP="004034CC">
            <w:pPr>
              <w:spacing w:after="0" w:line="240" w:lineRule="auto"/>
              <w:rPr>
                <w:rFonts w:ascii="Calibri" w:eastAsia="Times New Roman" w:hAnsi="Calibri" w:cs="Calibri"/>
                <w:b/>
                <w:bCs/>
                <w:kern w:val="0"/>
                <w14:ligatures w14:val="none"/>
              </w:rPr>
            </w:pPr>
          </w:p>
        </w:tc>
        <w:tc>
          <w:tcPr>
            <w:tcW w:w="3692" w:type="dxa"/>
            <w:tcBorders>
              <w:top w:val="nil"/>
              <w:left w:val="nil"/>
              <w:bottom w:val="single" w:sz="8" w:space="0" w:color="auto"/>
              <w:right w:val="nil"/>
            </w:tcBorders>
            <w:shd w:val="clear" w:color="auto" w:fill="auto"/>
            <w:noWrap/>
            <w:vAlign w:val="bottom"/>
            <w:hideMark/>
          </w:tcPr>
          <w:p w14:paraId="2C82776D"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Brigham and Women's Hospital</w:t>
            </w:r>
          </w:p>
        </w:tc>
        <w:tc>
          <w:tcPr>
            <w:tcW w:w="1319" w:type="dxa"/>
            <w:tcBorders>
              <w:top w:val="nil"/>
              <w:left w:val="nil"/>
              <w:bottom w:val="single" w:sz="8" w:space="0" w:color="auto"/>
              <w:right w:val="nil"/>
            </w:tcBorders>
            <w:shd w:val="clear" w:color="auto" w:fill="auto"/>
            <w:noWrap/>
            <w:vAlign w:val="bottom"/>
            <w:hideMark/>
          </w:tcPr>
          <w:p w14:paraId="242C6BA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1.11</w:t>
            </w:r>
          </w:p>
        </w:tc>
        <w:tc>
          <w:tcPr>
            <w:tcW w:w="1319" w:type="dxa"/>
            <w:tcBorders>
              <w:top w:val="nil"/>
              <w:left w:val="nil"/>
              <w:bottom w:val="single" w:sz="8" w:space="0" w:color="auto"/>
              <w:right w:val="nil"/>
            </w:tcBorders>
            <w:shd w:val="clear" w:color="auto" w:fill="auto"/>
            <w:noWrap/>
            <w:vAlign w:val="bottom"/>
            <w:hideMark/>
          </w:tcPr>
          <w:p w14:paraId="572A1A4A"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4.09</w:t>
            </w:r>
          </w:p>
        </w:tc>
        <w:tc>
          <w:tcPr>
            <w:tcW w:w="1320" w:type="dxa"/>
            <w:tcBorders>
              <w:top w:val="nil"/>
              <w:left w:val="nil"/>
              <w:bottom w:val="single" w:sz="8" w:space="0" w:color="auto"/>
              <w:right w:val="single" w:sz="8" w:space="0" w:color="auto"/>
            </w:tcBorders>
            <w:shd w:val="clear" w:color="auto" w:fill="auto"/>
            <w:noWrap/>
            <w:vAlign w:val="bottom"/>
            <w:hideMark/>
          </w:tcPr>
          <w:p w14:paraId="053F6D11"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1.04</w:t>
            </w:r>
          </w:p>
        </w:tc>
      </w:tr>
      <w:tr w:rsidR="00DB054E" w:rsidRPr="004034CC" w14:paraId="557ABC8A" w14:textId="77777777" w:rsidTr="00D83C82">
        <w:trPr>
          <w:cantSplit/>
          <w:trHeight w:val="290"/>
        </w:trPr>
        <w:tc>
          <w:tcPr>
            <w:tcW w:w="1700" w:type="dxa"/>
            <w:vMerge w:val="restart"/>
            <w:tcBorders>
              <w:top w:val="nil"/>
              <w:left w:val="single" w:sz="8" w:space="0" w:color="auto"/>
              <w:bottom w:val="single" w:sz="8" w:space="0" w:color="000000"/>
              <w:right w:val="nil"/>
            </w:tcBorders>
            <w:shd w:val="clear" w:color="auto" w:fill="auto"/>
            <w:noWrap/>
            <w:vAlign w:val="center"/>
            <w:hideMark/>
          </w:tcPr>
          <w:p w14:paraId="7777BA09" w14:textId="77777777" w:rsidR="004034CC" w:rsidRPr="004034CC" w:rsidRDefault="004034CC" w:rsidP="004034CC">
            <w:pPr>
              <w:spacing w:after="0" w:line="240" w:lineRule="auto"/>
              <w:jc w:val="center"/>
              <w:rPr>
                <w:rFonts w:ascii="Calibri" w:eastAsia="Times New Roman" w:hAnsi="Calibri" w:cs="Calibri"/>
                <w:b/>
                <w:bCs/>
                <w:kern w:val="0"/>
                <w14:ligatures w14:val="none"/>
              </w:rPr>
            </w:pPr>
            <w:r w:rsidRPr="004034CC">
              <w:rPr>
                <w:rFonts w:ascii="Calibri" w:eastAsia="Times New Roman" w:hAnsi="Calibri" w:cs="Calibri"/>
                <w:b/>
                <w:bCs/>
                <w:kern w:val="0"/>
                <w14:ligatures w14:val="none"/>
              </w:rPr>
              <w:t>CT Simulator</w:t>
            </w:r>
          </w:p>
        </w:tc>
        <w:tc>
          <w:tcPr>
            <w:tcW w:w="3692" w:type="dxa"/>
            <w:tcBorders>
              <w:top w:val="nil"/>
              <w:left w:val="nil"/>
              <w:bottom w:val="dotted" w:sz="4" w:space="0" w:color="auto"/>
              <w:right w:val="nil"/>
            </w:tcBorders>
            <w:shd w:val="clear" w:color="auto" w:fill="auto"/>
            <w:noWrap/>
            <w:vAlign w:val="bottom"/>
            <w:hideMark/>
          </w:tcPr>
          <w:p w14:paraId="4728ED45"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Beth Israel Deaconess Medical Center</w:t>
            </w:r>
          </w:p>
        </w:tc>
        <w:tc>
          <w:tcPr>
            <w:tcW w:w="1319" w:type="dxa"/>
            <w:tcBorders>
              <w:top w:val="nil"/>
              <w:left w:val="nil"/>
              <w:bottom w:val="dotted" w:sz="4" w:space="0" w:color="auto"/>
              <w:right w:val="nil"/>
            </w:tcBorders>
            <w:shd w:val="clear" w:color="auto" w:fill="auto"/>
            <w:noWrap/>
            <w:vAlign w:val="bottom"/>
            <w:hideMark/>
          </w:tcPr>
          <w:p w14:paraId="08234F9B"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0.67</w:t>
            </w:r>
          </w:p>
        </w:tc>
        <w:tc>
          <w:tcPr>
            <w:tcW w:w="1319" w:type="dxa"/>
            <w:tcBorders>
              <w:top w:val="nil"/>
              <w:left w:val="nil"/>
              <w:bottom w:val="dotted" w:sz="4" w:space="0" w:color="auto"/>
              <w:right w:val="nil"/>
            </w:tcBorders>
            <w:shd w:val="clear" w:color="auto" w:fill="auto"/>
            <w:noWrap/>
            <w:vAlign w:val="bottom"/>
            <w:hideMark/>
          </w:tcPr>
          <w:p w14:paraId="4DB19120"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1.40</w:t>
            </w:r>
          </w:p>
        </w:tc>
        <w:tc>
          <w:tcPr>
            <w:tcW w:w="1320" w:type="dxa"/>
            <w:tcBorders>
              <w:top w:val="nil"/>
              <w:left w:val="nil"/>
              <w:bottom w:val="dotted" w:sz="4" w:space="0" w:color="auto"/>
              <w:right w:val="single" w:sz="8" w:space="0" w:color="auto"/>
            </w:tcBorders>
            <w:shd w:val="clear" w:color="auto" w:fill="auto"/>
            <w:noWrap/>
            <w:vAlign w:val="bottom"/>
            <w:hideMark/>
          </w:tcPr>
          <w:p w14:paraId="30194BB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0.50</w:t>
            </w:r>
          </w:p>
        </w:tc>
      </w:tr>
      <w:tr w:rsidR="00DB054E" w:rsidRPr="004034CC" w14:paraId="71BD28D9" w14:textId="77777777" w:rsidTr="00D83C82">
        <w:trPr>
          <w:cantSplit/>
          <w:trHeight w:val="290"/>
        </w:trPr>
        <w:tc>
          <w:tcPr>
            <w:tcW w:w="1700" w:type="dxa"/>
            <w:vMerge/>
            <w:tcBorders>
              <w:top w:val="nil"/>
              <w:left w:val="single" w:sz="8" w:space="0" w:color="auto"/>
              <w:bottom w:val="single" w:sz="8" w:space="0" w:color="000000"/>
              <w:right w:val="nil"/>
            </w:tcBorders>
            <w:vAlign w:val="center"/>
            <w:hideMark/>
          </w:tcPr>
          <w:p w14:paraId="609FED25" w14:textId="77777777" w:rsidR="004034CC" w:rsidRPr="004034CC" w:rsidRDefault="004034CC" w:rsidP="004034CC">
            <w:pPr>
              <w:spacing w:after="0" w:line="240" w:lineRule="auto"/>
              <w:rPr>
                <w:rFonts w:ascii="Calibri" w:eastAsia="Times New Roman" w:hAnsi="Calibri" w:cs="Calibri"/>
                <w:b/>
                <w:bCs/>
                <w:kern w:val="0"/>
                <w14:ligatures w14:val="none"/>
              </w:rPr>
            </w:pPr>
          </w:p>
        </w:tc>
        <w:tc>
          <w:tcPr>
            <w:tcW w:w="3692" w:type="dxa"/>
            <w:tcBorders>
              <w:top w:val="nil"/>
              <w:left w:val="nil"/>
              <w:bottom w:val="dotted" w:sz="4" w:space="0" w:color="auto"/>
              <w:right w:val="nil"/>
            </w:tcBorders>
            <w:shd w:val="clear" w:color="auto" w:fill="auto"/>
            <w:noWrap/>
            <w:vAlign w:val="bottom"/>
            <w:hideMark/>
          </w:tcPr>
          <w:p w14:paraId="72599DAC"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Dana-Farber Cancer Institute</w:t>
            </w:r>
          </w:p>
        </w:tc>
        <w:tc>
          <w:tcPr>
            <w:tcW w:w="1319" w:type="dxa"/>
            <w:tcBorders>
              <w:top w:val="nil"/>
              <w:left w:val="nil"/>
              <w:bottom w:val="dotted" w:sz="4" w:space="0" w:color="auto"/>
              <w:right w:val="nil"/>
            </w:tcBorders>
            <w:shd w:val="clear" w:color="auto" w:fill="auto"/>
            <w:noWrap/>
            <w:vAlign w:val="bottom"/>
            <w:hideMark/>
          </w:tcPr>
          <w:p w14:paraId="7302CBA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1.40</w:t>
            </w:r>
          </w:p>
        </w:tc>
        <w:tc>
          <w:tcPr>
            <w:tcW w:w="1319" w:type="dxa"/>
            <w:tcBorders>
              <w:top w:val="nil"/>
              <w:left w:val="nil"/>
              <w:bottom w:val="dotted" w:sz="4" w:space="0" w:color="auto"/>
              <w:right w:val="nil"/>
            </w:tcBorders>
            <w:shd w:val="clear" w:color="auto" w:fill="auto"/>
            <w:noWrap/>
            <w:vAlign w:val="bottom"/>
            <w:hideMark/>
          </w:tcPr>
          <w:p w14:paraId="4D4B2BAB"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1.61</w:t>
            </w:r>
          </w:p>
        </w:tc>
        <w:tc>
          <w:tcPr>
            <w:tcW w:w="1320" w:type="dxa"/>
            <w:tcBorders>
              <w:top w:val="nil"/>
              <w:left w:val="nil"/>
              <w:bottom w:val="dotted" w:sz="4" w:space="0" w:color="auto"/>
              <w:right w:val="single" w:sz="8" w:space="0" w:color="auto"/>
            </w:tcBorders>
            <w:shd w:val="clear" w:color="auto" w:fill="auto"/>
            <w:noWrap/>
            <w:vAlign w:val="bottom"/>
            <w:hideMark/>
          </w:tcPr>
          <w:p w14:paraId="57D717E9"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1.56</w:t>
            </w:r>
          </w:p>
        </w:tc>
      </w:tr>
      <w:tr w:rsidR="00DB054E" w:rsidRPr="004034CC" w14:paraId="546213A7" w14:textId="77777777" w:rsidTr="00D83C82">
        <w:trPr>
          <w:cantSplit/>
          <w:trHeight w:val="300"/>
        </w:trPr>
        <w:tc>
          <w:tcPr>
            <w:tcW w:w="1700" w:type="dxa"/>
            <w:vMerge/>
            <w:tcBorders>
              <w:top w:val="nil"/>
              <w:left w:val="single" w:sz="8" w:space="0" w:color="auto"/>
              <w:bottom w:val="single" w:sz="8" w:space="0" w:color="000000"/>
              <w:right w:val="nil"/>
            </w:tcBorders>
            <w:vAlign w:val="center"/>
            <w:hideMark/>
          </w:tcPr>
          <w:p w14:paraId="00D4F98F" w14:textId="77777777" w:rsidR="004034CC" w:rsidRPr="004034CC" w:rsidRDefault="004034CC" w:rsidP="004034CC">
            <w:pPr>
              <w:spacing w:after="0" w:line="240" w:lineRule="auto"/>
              <w:rPr>
                <w:rFonts w:ascii="Calibri" w:eastAsia="Times New Roman" w:hAnsi="Calibri" w:cs="Calibri"/>
                <w:b/>
                <w:bCs/>
                <w:kern w:val="0"/>
                <w14:ligatures w14:val="none"/>
              </w:rPr>
            </w:pPr>
          </w:p>
        </w:tc>
        <w:tc>
          <w:tcPr>
            <w:tcW w:w="3692" w:type="dxa"/>
            <w:tcBorders>
              <w:top w:val="nil"/>
              <w:left w:val="nil"/>
              <w:bottom w:val="single" w:sz="8" w:space="0" w:color="auto"/>
              <w:right w:val="nil"/>
            </w:tcBorders>
            <w:shd w:val="clear" w:color="auto" w:fill="auto"/>
            <w:noWrap/>
            <w:vAlign w:val="bottom"/>
            <w:hideMark/>
          </w:tcPr>
          <w:p w14:paraId="057685A5" w14:textId="77777777" w:rsidR="004034CC" w:rsidRPr="004034CC" w:rsidRDefault="004034CC" w:rsidP="004034CC">
            <w:pPr>
              <w:spacing w:after="0" w:line="240" w:lineRule="auto"/>
              <w:rPr>
                <w:rFonts w:ascii="Calibri" w:eastAsia="Times New Roman" w:hAnsi="Calibri" w:cs="Calibri"/>
                <w:kern w:val="0"/>
                <w14:ligatures w14:val="none"/>
              </w:rPr>
            </w:pPr>
            <w:r w:rsidRPr="004034CC">
              <w:rPr>
                <w:rFonts w:ascii="Calibri" w:eastAsia="Times New Roman" w:hAnsi="Calibri" w:cs="Calibri"/>
                <w:kern w:val="0"/>
                <w14:ligatures w14:val="none"/>
              </w:rPr>
              <w:t>Brigham and Women's Hospital</w:t>
            </w:r>
          </w:p>
        </w:tc>
        <w:tc>
          <w:tcPr>
            <w:tcW w:w="1319" w:type="dxa"/>
            <w:tcBorders>
              <w:top w:val="nil"/>
              <w:left w:val="nil"/>
              <w:bottom w:val="single" w:sz="8" w:space="0" w:color="auto"/>
              <w:right w:val="nil"/>
            </w:tcBorders>
            <w:shd w:val="clear" w:color="auto" w:fill="auto"/>
            <w:noWrap/>
            <w:vAlign w:val="bottom"/>
            <w:hideMark/>
          </w:tcPr>
          <w:p w14:paraId="2EF1C23E"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N/A</w:t>
            </w:r>
          </w:p>
        </w:tc>
        <w:tc>
          <w:tcPr>
            <w:tcW w:w="1319" w:type="dxa"/>
            <w:tcBorders>
              <w:top w:val="nil"/>
              <w:left w:val="nil"/>
              <w:bottom w:val="single" w:sz="8" w:space="0" w:color="auto"/>
              <w:right w:val="nil"/>
            </w:tcBorders>
            <w:shd w:val="clear" w:color="auto" w:fill="auto"/>
            <w:noWrap/>
            <w:vAlign w:val="bottom"/>
            <w:hideMark/>
          </w:tcPr>
          <w:p w14:paraId="0BB58573"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3.39</w:t>
            </w:r>
          </w:p>
        </w:tc>
        <w:tc>
          <w:tcPr>
            <w:tcW w:w="1320" w:type="dxa"/>
            <w:tcBorders>
              <w:top w:val="nil"/>
              <w:left w:val="nil"/>
              <w:bottom w:val="single" w:sz="8" w:space="0" w:color="auto"/>
              <w:right w:val="single" w:sz="8" w:space="0" w:color="auto"/>
            </w:tcBorders>
            <w:shd w:val="clear" w:color="auto" w:fill="auto"/>
            <w:noWrap/>
            <w:vAlign w:val="bottom"/>
            <w:hideMark/>
          </w:tcPr>
          <w:p w14:paraId="4DCD3474" w14:textId="77777777" w:rsidR="004034CC" w:rsidRPr="004034CC" w:rsidRDefault="004034CC" w:rsidP="004034CC">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2.02</w:t>
            </w:r>
          </w:p>
        </w:tc>
      </w:tr>
    </w:tbl>
    <w:p w14:paraId="1A14E204" w14:textId="77777777" w:rsidR="004034CC" w:rsidRDefault="004034CC" w:rsidP="006256A8">
      <w:pPr>
        <w:spacing w:after="120" w:line="360" w:lineRule="auto"/>
        <w:ind w:left="-7"/>
        <w:jc w:val="center"/>
      </w:pPr>
    </w:p>
    <w:p w14:paraId="14E9FF76" w14:textId="22A93F63" w:rsidR="009502AD" w:rsidRDefault="00FC27BC" w:rsidP="009502AD">
      <w:pPr>
        <w:numPr>
          <w:ilvl w:val="0"/>
          <w:numId w:val="4"/>
        </w:numPr>
        <w:spacing w:before="120" w:after="120" w:line="360" w:lineRule="auto"/>
        <w:ind w:hanging="547"/>
        <w:jc w:val="both"/>
      </w:pPr>
      <w:r w:rsidRPr="00FC27BC">
        <w:t xml:space="preserve">Because the Proposed Project is predicted to shift utilization of radiation therapy from BWH to DFCI, the relative prices between these entities is relevant for estimating changes in total healthcare expenditures. DFCI’s commercial prices are estimated to be lower </w:t>
      </w:r>
      <w:r w:rsidR="001A3174" w:rsidRPr="00FC27BC">
        <w:t xml:space="preserve">on average </w:t>
      </w:r>
      <w:r w:rsidRPr="00FC27BC">
        <w:t xml:space="preserve">than BWH for radiation therapy (except for </w:t>
      </w:r>
      <w:r w:rsidR="001A3174">
        <w:t>Medicaid</w:t>
      </w:r>
      <w:r w:rsidR="001A3174" w:rsidRPr="00FC27BC">
        <w:t xml:space="preserve"> </w:t>
      </w:r>
      <w:r w:rsidRPr="00FC27BC">
        <w:t xml:space="preserve">reimbursement of LINAC treatment). Because of capitated and global payment reimbursement arrangements used in the outpatient setting, especially by DFCI, these relative prices may be subject to bias. However, the ICA analysis uses these as a benchmark. </w:t>
      </w:r>
    </w:p>
    <w:p w14:paraId="32731E32" w14:textId="0E324EFA" w:rsidR="00DF7C05" w:rsidRDefault="00DF7C05" w:rsidP="008C4EE0">
      <w:pPr>
        <w:pStyle w:val="Heading2"/>
      </w:pPr>
      <w:bookmarkStart w:id="96" w:name="_Toc187401773"/>
      <w:r>
        <w:t xml:space="preserve">Forecasted Impacts of </w:t>
      </w:r>
      <w:r w:rsidR="001A3174">
        <w:t xml:space="preserve">the </w:t>
      </w:r>
      <w:r>
        <w:t xml:space="preserve">Proposed Project on Radiation Therapy </w:t>
      </w:r>
      <w:r w:rsidR="00E93320">
        <w:t xml:space="preserve">Services </w:t>
      </w:r>
      <w:r>
        <w:t>Shares, Prices, and Spending</w:t>
      </w:r>
      <w:bookmarkEnd w:id="96"/>
    </w:p>
    <w:p w14:paraId="45B04681" w14:textId="12244775" w:rsidR="00BE2A58" w:rsidRDefault="00BE2A58" w:rsidP="00017609">
      <w:pPr>
        <w:numPr>
          <w:ilvl w:val="0"/>
          <w:numId w:val="4"/>
        </w:numPr>
        <w:spacing w:before="120" w:after="120" w:line="360" w:lineRule="auto"/>
        <w:ind w:hanging="547"/>
        <w:jc w:val="both"/>
      </w:pPr>
      <w:r w:rsidRPr="00D13083">
        <w:t xml:space="preserve">The Proposed Project will not meaningfully impact shares, competition, or prices for </w:t>
      </w:r>
      <w:r w:rsidR="001A3174">
        <w:t>radiation therapy services</w:t>
      </w:r>
      <w:r w:rsidRPr="00D13083">
        <w:t>.</w:t>
      </w:r>
      <w:r>
        <w:t xml:space="preserve"> </w:t>
      </w:r>
      <w:r w:rsidRPr="00BE2A58">
        <w:t xml:space="preserve">DFCI reports that its patients </w:t>
      </w:r>
      <w:r w:rsidR="006020D7">
        <w:t>“</w:t>
      </w:r>
      <w:r w:rsidRPr="00BE2A58">
        <w:t>receiving LINAC therapy on the Longwood Medical Campus do so at facilities operated by [DFCI] or facilities operated by BWH, depending on the particular patient’s disease center.</w:t>
      </w:r>
      <w:r w:rsidR="006020D7">
        <w:t>”</w:t>
      </w:r>
      <w:r>
        <w:rPr>
          <w:rStyle w:val="FootnoteReference"/>
        </w:rPr>
        <w:footnoteReference w:id="136"/>
      </w:r>
      <w:r w:rsidRPr="00BE2A58">
        <w:t xml:space="preserve"> The Proposed Project, therefore, is projected to shift share away from BWH (and the MGB system) to DFCI.</w:t>
      </w:r>
      <w:r>
        <w:t xml:space="preserve"> Based upon the estimated unmet outpatient demand estimates above, the projected shifts away from MGB to DFCI are 12.4% of total LINAC procedures and 13.6% of CT simulator procedures in the Boston area. </w:t>
      </w:r>
      <w:r w:rsidRPr="00BE2A58">
        <w:t>These shifts have a downward, but not economically meaningful, influence on market concentration (i.e., less concentration) in the relevant geography as measured by HHI.</w:t>
      </w:r>
    </w:p>
    <w:p w14:paraId="168D8D6B" w14:textId="3880143C" w:rsidR="00BE2A58" w:rsidRDefault="00BE2A58" w:rsidP="00BE2A58">
      <w:pPr>
        <w:numPr>
          <w:ilvl w:val="0"/>
          <w:numId w:val="4"/>
        </w:numPr>
        <w:spacing w:before="120" w:after="120" w:line="360" w:lineRule="auto"/>
        <w:ind w:hanging="547"/>
        <w:jc w:val="both"/>
      </w:pPr>
      <w:r w:rsidRPr="00D13083">
        <w:t xml:space="preserve">Given DFCI’s existing presence in </w:t>
      </w:r>
      <w:r w:rsidR="007F0031">
        <w:t xml:space="preserve">radiation therapy services </w:t>
      </w:r>
      <w:r w:rsidRPr="00D13083">
        <w:t>and the lack of meaningful change in market concentration, facility-level prices are not projected to change.</w:t>
      </w:r>
      <w:r>
        <w:t xml:space="preserve"> The dynamic described above for inpatient cancer care prices whereby DFCI </w:t>
      </w:r>
      <w:r w:rsidR="007F0031">
        <w:t xml:space="preserve">could </w:t>
      </w:r>
      <w:r>
        <w:t xml:space="preserve">gain bargaining leverage by virtue of its expanding capacity is not applicable to DFCI’s </w:t>
      </w:r>
      <w:r w:rsidR="007F0031">
        <w:t xml:space="preserve">radiation therapy services </w:t>
      </w:r>
      <w:r>
        <w:t xml:space="preserve">prices. Unlike in the inpatient cancer care facility setting, DFCI is already established with significant capacity in the </w:t>
      </w:r>
      <w:r>
        <w:lastRenderedPageBreak/>
        <w:t>relevant service lines. Therefore, its bargaining position will not materially change from the incremental increases in equipment availability envisioned in the Proposed Project.</w:t>
      </w:r>
    </w:p>
    <w:p w14:paraId="4F771172" w14:textId="4CC98486" w:rsidR="00BE2A58" w:rsidRDefault="00BE2A58" w:rsidP="00BE2A58">
      <w:pPr>
        <w:numPr>
          <w:ilvl w:val="0"/>
          <w:numId w:val="4"/>
        </w:numPr>
        <w:spacing w:before="120" w:after="120" w:line="360" w:lineRule="auto"/>
        <w:ind w:hanging="547"/>
        <w:jc w:val="both"/>
      </w:pPr>
      <w:r>
        <w:t>FTI’s e</w:t>
      </w:r>
      <w:r w:rsidRPr="00C47D2E">
        <w:t xml:space="preserve">stimated changes in total medical spending for </w:t>
      </w:r>
      <w:r w:rsidR="0050791F">
        <w:t xml:space="preserve">radiation therapy services </w:t>
      </w:r>
      <w:r>
        <w:t xml:space="preserve">was </w:t>
      </w:r>
      <w:r w:rsidRPr="00C47D2E">
        <w:t>derived by combining</w:t>
      </w:r>
      <w:r>
        <w:t xml:space="preserve"> </w:t>
      </w:r>
      <w:r w:rsidRPr="00C47D2E">
        <w:t>forecasted changes in overall demand, utilization by provider, prices, and shares.</w:t>
      </w:r>
      <w:r>
        <w:t xml:space="preserve"> Table </w:t>
      </w:r>
      <w:r w:rsidR="001204A7">
        <w:t>3</w:t>
      </w:r>
      <w:r w:rsidR="00AC0296">
        <w:t>9</w:t>
      </w:r>
      <w:r>
        <w:t xml:space="preserve"> presents estimated </w:t>
      </w:r>
      <w:r w:rsidR="007F0031">
        <w:t xml:space="preserve">radiation therapy </w:t>
      </w:r>
      <w:r>
        <w:t xml:space="preserve">cost impacts for each modality. </w:t>
      </w:r>
      <w:r w:rsidR="007F0031" w:rsidRPr="007F0031">
        <w:t xml:space="preserve">The projected shifts in utilization between BWH and DFCI/BIDMC are </w:t>
      </w:r>
      <w:r w:rsidR="007F0031" w:rsidRPr="001A3174">
        <w:t>estimated to decrease total medical spending in the Boston area for LINAC procedures by 2.4%</w:t>
      </w:r>
      <w:r w:rsidR="008F5C6C">
        <w:t xml:space="preserve"> ($0.7 million)</w:t>
      </w:r>
      <w:r w:rsidR="007F0031" w:rsidRPr="001A3174">
        <w:t xml:space="preserve"> in 2025, with similar but diminishing cost decreases in the following years</w:t>
      </w:r>
      <w:r w:rsidRPr="001A3174">
        <w:t xml:space="preserve">, and </w:t>
      </w:r>
      <w:r w:rsidR="007F0031" w:rsidRPr="001A3174">
        <w:t xml:space="preserve">to decrease total medical spending in the Boston area for CT simulator procedures by 7.3% </w:t>
      </w:r>
      <w:r w:rsidR="008F5C6C">
        <w:t xml:space="preserve">($0.1 million) </w:t>
      </w:r>
      <w:r w:rsidR="007F0031" w:rsidRPr="001A3174">
        <w:t xml:space="preserve">in 2025, with cost decreases of more than </w:t>
      </w:r>
      <w:r w:rsidR="00BD200A">
        <w:t>7</w:t>
      </w:r>
      <w:r w:rsidR="007F0031" w:rsidRPr="001A3174">
        <w:t>.0</w:t>
      </w:r>
      <w:r w:rsidR="007F0031" w:rsidRPr="007F0031">
        <w:t>%</w:t>
      </w:r>
      <w:r w:rsidR="00AE2307">
        <w:t xml:space="preserve"> ($0.1 million)</w:t>
      </w:r>
      <w:r w:rsidR="007F0031" w:rsidRPr="007F0031">
        <w:t xml:space="preserve"> through 2040.</w:t>
      </w:r>
      <w:r>
        <w:t xml:space="preserve"> These cost impacts are driven by </w:t>
      </w:r>
      <w:r w:rsidRPr="00D13083">
        <w:t>patients mov</w:t>
      </w:r>
      <w:r>
        <w:t>ing</w:t>
      </w:r>
      <w:r w:rsidRPr="00D13083">
        <w:t xml:space="preserve"> to a relatively </w:t>
      </w:r>
      <w:r w:rsidR="007F0031">
        <w:t xml:space="preserve">lower </w:t>
      </w:r>
      <w:r w:rsidRPr="00D13083">
        <w:t>priced DFCI.</w:t>
      </w:r>
      <w:r>
        <w:t xml:space="preserve"> </w:t>
      </w:r>
      <w:r w:rsidRPr="00D13083">
        <w:t>The projections show little to no scope for shifts between freestanding outpatient to hospital-based outpatient settings.</w:t>
      </w:r>
    </w:p>
    <w:p w14:paraId="60EA01C0" w14:textId="4A04330F" w:rsidR="00BE2A58" w:rsidRDefault="00BE2A58" w:rsidP="00DB054E">
      <w:pPr>
        <w:pStyle w:val="Caption"/>
        <w:keepNext/>
        <w:jc w:val="center"/>
      </w:pPr>
      <w:bookmarkStart w:id="97" w:name="_Toc187401812"/>
      <w:r>
        <w:t xml:space="preserve">Table </w:t>
      </w:r>
      <w:fldSimple w:instr=" SEQ Table \* ARABIC ">
        <w:r w:rsidR="0085394E">
          <w:rPr>
            <w:noProof/>
          </w:rPr>
          <w:t>39</w:t>
        </w:r>
      </w:fldSimple>
      <w:r>
        <w:t xml:space="preserve">: Estimated Changes in </w:t>
      </w:r>
      <w:r w:rsidR="0050791F">
        <w:t xml:space="preserve">Radiation Therapy Services </w:t>
      </w:r>
      <w:r>
        <w:t>Costs, 2025-2040</w:t>
      </w:r>
      <w:bookmarkEnd w:id="97"/>
    </w:p>
    <w:tbl>
      <w:tblPr>
        <w:tblW w:w="8810" w:type="dxa"/>
        <w:jc w:val="center"/>
        <w:tblLayout w:type="fixed"/>
        <w:tblLook w:val="04A0" w:firstRow="1" w:lastRow="0" w:firstColumn="1" w:lastColumn="0" w:noHBand="0" w:noVBand="1"/>
      </w:tblPr>
      <w:tblGrid>
        <w:gridCol w:w="1070"/>
        <w:gridCol w:w="1868"/>
        <w:gridCol w:w="22"/>
        <w:gridCol w:w="1890"/>
        <w:gridCol w:w="18"/>
        <w:gridCol w:w="1930"/>
        <w:gridCol w:w="32"/>
        <w:gridCol w:w="1980"/>
      </w:tblGrid>
      <w:tr w:rsidR="0022024B" w:rsidRPr="004034CC" w14:paraId="3AB5641A" w14:textId="77777777" w:rsidTr="0022024B">
        <w:trPr>
          <w:cantSplit/>
          <w:trHeight w:val="290"/>
          <w:tblHeader/>
          <w:jc w:val="center"/>
        </w:trPr>
        <w:tc>
          <w:tcPr>
            <w:tcW w:w="1070" w:type="dxa"/>
            <w:tcBorders>
              <w:top w:val="single" w:sz="8" w:space="0" w:color="auto"/>
              <w:left w:val="single" w:sz="8" w:space="0" w:color="auto"/>
              <w:bottom w:val="nil"/>
              <w:right w:val="nil"/>
            </w:tcBorders>
            <w:shd w:val="clear" w:color="000000" w:fill="002060"/>
            <w:noWrap/>
            <w:vAlign w:val="bottom"/>
            <w:hideMark/>
          </w:tcPr>
          <w:p w14:paraId="03BE7296" w14:textId="77777777"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 </w:t>
            </w:r>
          </w:p>
        </w:tc>
        <w:tc>
          <w:tcPr>
            <w:tcW w:w="1890" w:type="dxa"/>
            <w:gridSpan w:val="2"/>
            <w:tcBorders>
              <w:top w:val="single" w:sz="8" w:space="0" w:color="auto"/>
              <w:left w:val="single" w:sz="4" w:space="0" w:color="auto"/>
              <w:bottom w:val="nil"/>
              <w:right w:val="single" w:sz="4" w:space="0" w:color="000000"/>
            </w:tcBorders>
            <w:shd w:val="clear" w:color="000000" w:fill="002060"/>
            <w:noWrap/>
            <w:vAlign w:val="bottom"/>
            <w:hideMark/>
          </w:tcPr>
          <w:p w14:paraId="2366822D" w14:textId="77777777"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LINAC</w:t>
            </w:r>
          </w:p>
        </w:tc>
        <w:tc>
          <w:tcPr>
            <w:tcW w:w="1890" w:type="dxa"/>
            <w:tcBorders>
              <w:top w:val="single" w:sz="8" w:space="0" w:color="auto"/>
              <w:left w:val="single" w:sz="4" w:space="0" w:color="auto"/>
              <w:bottom w:val="nil"/>
              <w:right w:val="single" w:sz="4" w:space="0" w:color="000000"/>
            </w:tcBorders>
            <w:shd w:val="clear" w:color="000000" w:fill="002060"/>
            <w:vAlign w:val="bottom"/>
          </w:tcPr>
          <w:p w14:paraId="3C3E9A84" w14:textId="2246118A"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LINAC</w:t>
            </w:r>
          </w:p>
        </w:tc>
        <w:tc>
          <w:tcPr>
            <w:tcW w:w="1980" w:type="dxa"/>
            <w:gridSpan w:val="3"/>
            <w:tcBorders>
              <w:top w:val="single" w:sz="8" w:space="0" w:color="auto"/>
              <w:left w:val="nil"/>
              <w:bottom w:val="nil"/>
              <w:right w:val="single" w:sz="4" w:space="0" w:color="000000"/>
            </w:tcBorders>
            <w:shd w:val="clear" w:color="000000" w:fill="002060"/>
            <w:noWrap/>
            <w:vAlign w:val="bottom"/>
            <w:hideMark/>
          </w:tcPr>
          <w:p w14:paraId="56FDF4A3" w14:textId="77777777"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CT Simulator</w:t>
            </w:r>
          </w:p>
        </w:tc>
        <w:tc>
          <w:tcPr>
            <w:tcW w:w="1980" w:type="dxa"/>
            <w:tcBorders>
              <w:top w:val="single" w:sz="8" w:space="0" w:color="auto"/>
              <w:left w:val="nil"/>
              <w:bottom w:val="nil"/>
              <w:right w:val="single" w:sz="4" w:space="0" w:color="000000"/>
            </w:tcBorders>
            <w:shd w:val="clear" w:color="000000" w:fill="002060"/>
            <w:vAlign w:val="bottom"/>
          </w:tcPr>
          <w:p w14:paraId="48BAA0BE" w14:textId="54C01AFF"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CT Simulator</w:t>
            </w:r>
          </w:p>
        </w:tc>
      </w:tr>
      <w:tr w:rsidR="0022024B" w:rsidRPr="004034CC" w14:paraId="66B7F179" w14:textId="77777777" w:rsidTr="0022024B">
        <w:trPr>
          <w:cantSplit/>
          <w:trHeight w:val="580"/>
          <w:tblHeader/>
          <w:jc w:val="center"/>
        </w:trPr>
        <w:tc>
          <w:tcPr>
            <w:tcW w:w="1070" w:type="dxa"/>
            <w:tcBorders>
              <w:top w:val="nil"/>
              <w:left w:val="single" w:sz="8" w:space="0" w:color="auto"/>
              <w:bottom w:val="single" w:sz="4" w:space="0" w:color="auto"/>
              <w:right w:val="nil"/>
            </w:tcBorders>
            <w:shd w:val="clear" w:color="000000" w:fill="002060"/>
            <w:noWrap/>
            <w:vAlign w:val="bottom"/>
            <w:hideMark/>
          </w:tcPr>
          <w:p w14:paraId="5BCE136F" w14:textId="77777777" w:rsidR="0022024B" w:rsidRPr="004034CC" w:rsidRDefault="0022024B" w:rsidP="0022024B">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Year</w:t>
            </w:r>
          </w:p>
        </w:tc>
        <w:tc>
          <w:tcPr>
            <w:tcW w:w="1868" w:type="dxa"/>
            <w:tcBorders>
              <w:top w:val="nil"/>
              <w:left w:val="single" w:sz="4" w:space="0" w:color="auto"/>
              <w:bottom w:val="single" w:sz="4" w:space="0" w:color="auto"/>
              <w:right w:val="nil"/>
            </w:tcBorders>
            <w:shd w:val="clear" w:color="000000" w:fill="002060"/>
            <w:vAlign w:val="bottom"/>
            <w:hideMark/>
          </w:tcPr>
          <w:p w14:paraId="0BCC68F0" w14:textId="77777777" w:rsidR="0022024B" w:rsidRPr="004034CC" w:rsidRDefault="0022024B" w:rsidP="0022024B">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Baseline Projection</w:t>
            </w:r>
          </w:p>
        </w:tc>
        <w:tc>
          <w:tcPr>
            <w:tcW w:w="1930" w:type="dxa"/>
            <w:gridSpan w:val="3"/>
            <w:tcBorders>
              <w:top w:val="nil"/>
              <w:left w:val="nil"/>
              <w:bottom w:val="single" w:sz="4" w:space="0" w:color="auto"/>
              <w:right w:val="single" w:sz="4" w:space="0" w:color="auto"/>
            </w:tcBorders>
            <w:shd w:val="clear" w:color="000000" w:fill="002060"/>
            <w:vAlign w:val="bottom"/>
            <w:hideMark/>
          </w:tcPr>
          <w:p w14:paraId="3BE269F9" w14:textId="77777777" w:rsidR="0022024B" w:rsidRPr="004034CC" w:rsidRDefault="0022024B" w:rsidP="0022024B">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With Reallocation to BWH</w:t>
            </w:r>
          </w:p>
        </w:tc>
        <w:tc>
          <w:tcPr>
            <w:tcW w:w="1930" w:type="dxa"/>
            <w:tcBorders>
              <w:top w:val="nil"/>
              <w:left w:val="nil"/>
              <w:bottom w:val="single" w:sz="4" w:space="0" w:color="auto"/>
              <w:right w:val="nil"/>
            </w:tcBorders>
            <w:shd w:val="clear" w:color="000000" w:fill="002060"/>
            <w:vAlign w:val="bottom"/>
            <w:hideMark/>
          </w:tcPr>
          <w:p w14:paraId="7808446E" w14:textId="77777777" w:rsidR="0022024B" w:rsidRPr="004034CC" w:rsidRDefault="0022024B" w:rsidP="0022024B">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Baseline Projection</w:t>
            </w:r>
          </w:p>
        </w:tc>
        <w:tc>
          <w:tcPr>
            <w:tcW w:w="2012" w:type="dxa"/>
            <w:gridSpan w:val="2"/>
            <w:tcBorders>
              <w:top w:val="nil"/>
              <w:left w:val="nil"/>
              <w:bottom w:val="single" w:sz="4" w:space="0" w:color="auto"/>
              <w:right w:val="nil"/>
            </w:tcBorders>
            <w:shd w:val="clear" w:color="000000" w:fill="002060"/>
            <w:vAlign w:val="bottom"/>
            <w:hideMark/>
          </w:tcPr>
          <w:p w14:paraId="70361B08" w14:textId="77777777" w:rsidR="0022024B" w:rsidRPr="004034CC" w:rsidRDefault="0022024B" w:rsidP="0022024B">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With Reallocation to BWH</w:t>
            </w:r>
          </w:p>
        </w:tc>
      </w:tr>
      <w:tr w:rsidR="0022024B" w:rsidRPr="004034CC" w14:paraId="2A759D99" w14:textId="77777777" w:rsidTr="00D83C82">
        <w:trPr>
          <w:cantSplit/>
          <w:trHeight w:val="290"/>
          <w:jc w:val="center"/>
        </w:trPr>
        <w:tc>
          <w:tcPr>
            <w:tcW w:w="1070" w:type="dxa"/>
            <w:tcBorders>
              <w:top w:val="nil"/>
              <w:left w:val="single" w:sz="8" w:space="0" w:color="auto"/>
              <w:bottom w:val="single" w:sz="4" w:space="0" w:color="auto"/>
              <w:right w:val="nil"/>
            </w:tcBorders>
            <w:shd w:val="clear" w:color="auto" w:fill="auto"/>
            <w:noWrap/>
            <w:vAlign w:val="bottom"/>
            <w:hideMark/>
          </w:tcPr>
          <w:p w14:paraId="39B79AA1"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2025</w:t>
            </w:r>
          </w:p>
        </w:tc>
        <w:tc>
          <w:tcPr>
            <w:tcW w:w="1868" w:type="dxa"/>
            <w:tcBorders>
              <w:top w:val="nil"/>
              <w:left w:val="single" w:sz="4" w:space="0" w:color="auto"/>
              <w:bottom w:val="single" w:sz="4" w:space="0" w:color="auto"/>
              <w:right w:val="nil"/>
            </w:tcBorders>
            <w:shd w:val="clear" w:color="auto" w:fill="auto"/>
            <w:noWrap/>
            <w:vAlign w:val="bottom"/>
            <w:hideMark/>
          </w:tcPr>
          <w:p w14:paraId="53B3ED00"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-2.4%</w:t>
            </w:r>
          </w:p>
        </w:tc>
        <w:tc>
          <w:tcPr>
            <w:tcW w:w="1930" w:type="dxa"/>
            <w:gridSpan w:val="3"/>
            <w:tcBorders>
              <w:top w:val="nil"/>
              <w:left w:val="nil"/>
              <w:bottom w:val="single" w:sz="4" w:space="0" w:color="auto"/>
              <w:right w:val="single" w:sz="4" w:space="0" w:color="auto"/>
            </w:tcBorders>
            <w:shd w:val="clear" w:color="auto" w:fill="auto"/>
            <w:noWrap/>
            <w:vAlign w:val="bottom"/>
            <w:hideMark/>
          </w:tcPr>
          <w:p w14:paraId="38980306"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4.9%</w:t>
            </w:r>
          </w:p>
        </w:tc>
        <w:tc>
          <w:tcPr>
            <w:tcW w:w="1930" w:type="dxa"/>
            <w:tcBorders>
              <w:top w:val="nil"/>
              <w:left w:val="nil"/>
              <w:bottom w:val="single" w:sz="4" w:space="0" w:color="auto"/>
              <w:right w:val="nil"/>
            </w:tcBorders>
            <w:shd w:val="clear" w:color="auto" w:fill="auto"/>
            <w:noWrap/>
            <w:vAlign w:val="bottom"/>
            <w:hideMark/>
          </w:tcPr>
          <w:p w14:paraId="3AB8D7D8"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-7.3%</w:t>
            </w:r>
          </w:p>
        </w:tc>
        <w:tc>
          <w:tcPr>
            <w:tcW w:w="2012" w:type="dxa"/>
            <w:gridSpan w:val="2"/>
            <w:tcBorders>
              <w:top w:val="nil"/>
              <w:left w:val="nil"/>
              <w:bottom w:val="single" w:sz="4" w:space="0" w:color="auto"/>
              <w:right w:val="single" w:sz="4" w:space="0" w:color="auto"/>
            </w:tcBorders>
            <w:shd w:val="clear" w:color="auto" w:fill="auto"/>
            <w:noWrap/>
            <w:vAlign w:val="bottom"/>
            <w:hideMark/>
          </w:tcPr>
          <w:p w14:paraId="603D4B10"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5.9%</w:t>
            </w:r>
          </w:p>
        </w:tc>
      </w:tr>
      <w:tr w:rsidR="0022024B" w:rsidRPr="004034CC" w14:paraId="400F767E" w14:textId="77777777" w:rsidTr="00D83C82">
        <w:trPr>
          <w:cantSplit/>
          <w:trHeight w:val="290"/>
          <w:jc w:val="center"/>
        </w:trPr>
        <w:tc>
          <w:tcPr>
            <w:tcW w:w="1070" w:type="dxa"/>
            <w:tcBorders>
              <w:top w:val="nil"/>
              <w:left w:val="single" w:sz="8" w:space="0" w:color="auto"/>
              <w:bottom w:val="single" w:sz="4" w:space="0" w:color="auto"/>
              <w:right w:val="nil"/>
            </w:tcBorders>
            <w:shd w:val="clear" w:color="auto" w:fill="auto"/>
            <w:noWrap/>
            <w:vAlign w:val="bottom"/>
            <w:hideMark/>
          </w:tcPr>
          <w:p w14:paraId="7D2BC8ED"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2030</w:t>
            </w:r>
          </w:p>
        </w:tc>
        <w:tc>
          <w:tcPr>
            <w:tcW w:w="1868" w:type="dxa"/>
            <w:tcBorders>
              <w:top w:val="nil"/>
              <w:left w:val="single" w:sz="4" w:space="0" w:color="auto"/>
              <w:bottom w:val="single" w:sz="4" w:space="0" w:color="auto"/>
              <w:right w:val="nil"/>
            </w:tcBorders>
            <w:shd w:val="clear" w:color="auto" w:fill="auto"/>
            <w:noWrap/>
            <w:vAlign w:val="bottom"/>
            <w:hideMark/>
          </w:tcPr>
          <w:p w14:paraId="13C81DD8"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w:t>
            </w:r>
          </w:p>
        </w:tc>
        <w:tc>
          <w:tcPr>
            <w:tcW w:w="1930" w:type="dxa"/>
            <w:gridSpan w:val="3"/>
            <w:tcBorders>
              <w:top w:val="nil"/>
              <w:left w:val="nil"/>
              <w:bottom w:val="single" w:sz="4" w:space="0" w:color="auto"/>
              <w:right w:val="single" w:sz="4" w:space="0" w:color="auto"/>
            </w:tcBorders>
            <w:shd w:val="clear" w:color="auto" w:fill="auto"/>
            <w:noWrap/>
            <w:vAlign w:val="bottom"/>
            <w:hideMark/>
          </w:tcPr>
          <w:p w14:paraId="7F2D90C0"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4.7%</w:t>
            </w:r>
          </w:p>
        </w:tc>
        <w:tc>
          <w:tcPr>
            <w:tcW w:w="1930" w:type="dxa"/>
            <w:tcBorders>
              <w:top w:val="nil"/>
              <w:left w:val="nil"/>
              <w:bottom w:val="single" w:sz="4" w:space="0" w:color="auto"/>
              <w:right w:val="nil"/>
            </w:tcBorders>
            <w:shd w:val="clear" w:color="auto" w:fill="auto"/>
            <w:noWrap/>
            <w:vAlign w:val="bottom"/>
            <w:hideMark/>
          </w:tcPr>
          <w:p w14:paraId="1217192D"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-7.3%</w:t>
            </w:r>
          </w:p>
        </w:tc>
        <w:tc>
          <w:tcPr>
            <w:tcW w:w="2012" w:type="dxa"/>
            <w:gridSpan w:val="2"/>
            <w:tcBorders>
              <w:top w:val="nil"/>
              <w:left w:val="nil"/>
              <w:bottom w:val="single" w:sz="4" w:space="0" w:color="auto"/>
              <w:right w:val="single" w:sz="4" w:space="0" w:color="auto"/>
            </w:tcBorders>
            <w:shd w:val="clear" w:color="auto" w:fill="auto"/>
            <w:noWrap/>
            <w:vAlign w:val="bottom"/>
            <w:hideMark/>
          </w:tcPr>
          <w:p w14:paraId="1B2D9DE7"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6.0%</w:t>
            </w:r>
          </w:p>
        </w:tc>
      </w:tr>
      <w:tr w:rsidR="0022024B" w:rsidRPr="004034CC" w14:paraId="12E9CFED" w14:textId="77777777" w:rsidTr="00D83C82">
        <w:trPr>
          <w:cantSplit/>
          <w:trHeight w:val="290"/>
          <w:jc w:val="center"/>
        </w:trPr>
        <w:tc>
          <w:tcPr>
            <w:tcW w:w="1070" w:type="dxa"/>
            <w:tcBorders>
              <w:top w:val="nil"/>
              <w:left w:val="single" w:sz="8" w:space="0" w:color="auto"/>
              <w:bottom w:val="single" w:sz="4" w:space="0" w:color="auto"/>
              <w:right w:val="nil"/>
            </w:tcBorders>
            <w:shd w:val="clear" w:color="auto" w:fill="auto"/>
            <w:noWrap/>
            <w:vAlign w:val="bottom"/>
            <w:hideMark/>
          </w:tcPr>
          <w:p w14:paraId="2C4195DE"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2035</w:t>
            </w:r>
          </w:p>
        </w:tc>
        <w:tc>
          <w:tcPr>
            <w:tcW w:w="1868" w:type="dxa"/>
            <w:tcBorders>
              <w:top w:val="nil"/>
              <w:left w:val="single" w:sz="4" w:space="0" w:color="auto"/>
              <w:bottom w:val="single" w:sz="4" w:space="0" w:color="auto"/>
              <w:right w:val="nil"/>
            </w:tcBorders>
            <w:shd w:val="clear" w:color="auto" w:fill="auto"/>
            <w:noWrap/>
            <w:vAlign w:val="bottom"/>
            <w:hideMark/>
          </w:tcPr>
          <w:p w14:paraId="6B1F342C"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-2.3%</w:t>
            </w:r>
          </w:p>
        </w:tc>
        <w:tc>
          <w:tcPr>
            <w:tcW w:w="1930" w:type="dxa"/>
            <w:gridSpan w:val="3"/>
            <w:tcBorders>
              <w:top w:val="nil"/>
              <w:left w:val="nil"/>
              <w:bottom w:val="single" w:sz="4" w:space="0" w:color="auto"/>
              <w:right w:val="single" w:sz="4" w:space="0" w:color="auto"/>
            </w:tcBorders>
            <w:shd w:val="clear" w:color="auto" w:fill="auto"/>
            <w:noWrap/>
            <w:vAlign w:val="bottom"/>
            <w:hideMark/>
          </w:tcPr>
          <w:p w14:paraId="2721639D"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4.5%</w:t>
            </w:r>
          </w:p>
        </w:tc>
        <w:tc>
          <w:tcPr>
            <w:tcW w:w="1930" w:type="dxa"/>
            <w:tcBorders>
              <w:top w:val="nil"/>
              <w:left w:val="nil"/>
              <w:bottom w:val="single" w:sz="4" w:space="0" w:color="auto"/>
              <w:right w:val="nil"/>
            </w:tcBorders>
            <w:shd w:val="clear" w:color="auto" w:fill="auto"/>
            <w:noWrap/>
            <w:vAlign w:val="bottom"/>
            <w:hideMark/>
          </w:tcPr>
          <w:p w14:paraId="46F7399A"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-7.2%</w:t>
            </w:r>
          </w:p>
        </w:tc>
        <w:tc>
          <w:tcPr>
            <w:tcW w:w="2012" w:type="dxa"/>
            <w:gridSpan w:val="2"/>
            <w:tcBorders>
              <w:top w:val="nil"/>
              <w:left w:val="nil"/>
              <w:bottom w:val="single" w:sz="4" w:space="0" w:color="auto"/>
              <w:right w:val="single" w:sz="4" w:space="0" w:color="auto"/>
            </w:tcBorders>
            <w:shd w:val="clear" w:color="auto" w:fill="auto"/>
            <w:noWrap/>
            <w:vAlign w:val="bottom"/>
            <w:hideMark/>
          </w:tcPr>
          <w:p w14:paraId="1569B24C"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6.0%</w:t>
            </w:r>
          </w:p>
        </w:tc>
      </w:tr>
      <w:tr w:rsidR="0022024B" w:rsidRPr="004034CC" w14:paraId="7C0361F9" w14:textId="77777777" w:rsidTr="00D83C82">
        <w:trPr>
          <w:cantSplit/>
          <w:trHeight w:val="300"/>
          <w:jc w:val="center"/>
        </w:trPr>
        <w:tc>
          <w:tcPr>
            <w:tcW w:w="1070" w:type="dxa"/>
            <w:tcBorders>
              <w:top w:val="nil"/>
              <w:left w:val="single" w:sz="8" w:space="0" w:color="auto"/>
              <w:bottom w:val="single" w:sz="8" w:space="0" w:color="auto"/>
              <w:right w:val="nil"/>
            </w:tcBorders>
            <w:shd w:val="clear" w:color="auto" w:fill="auto"/>
            <w:noWrap/>
            <w:vAlign w:val="bottom"/>
            <w:hideMark/>
          </w:tcPr>
          <w:p w14:paraId="2EDA610F"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2040</w:t>
            </w:r>
          </w:p>
        </w:tc>
        <w:tc>
          <w:tcPr>
            <w:tcW w:w="1868" w:type="dxa"/>
            <w:tcBorders>
              <w:top w:val="nil"/>
              <w:left w:val="single" w:sz="4" w:space="0" w:color="auto"/>
              <w:bottom w:val="single" w:sz="8" w:space="0" w:color="auto"/>
              <w:right w:val="nil"/>
            </w:tcBorders>
            <w:shd w:val="clear" w:color="auto" w:fill="auto"/>
            <w:noWrap/>
            <w:vAlign w:val="bottom"/>
            <w:hideMark/>
          </w:tcPr>
          <w:p w14:paraId="0ACA4B81"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-2.2%</w:t>
            </w:r>
          </w:p>
        </w:tc>
        <w:tc>
          <w:tcPr>
            <w:tcW w:w="1930" w:type="dxa"/>
            <w:gridSpan w:val="3"/>
            <w:tcBorders>
              <w:top w:val="nil"/>
              <w:left w:val="nil"/>
              <w:bottom w:val="single" w:sz="8" w:space="0" w:color="auto"/>
              <w:right w:val="single" w:sz="4" w:space="0" w:color="auto"/>
            </w:tcBorders>
            <w:shd w:val="clear" w:color="auto" w:fill="auto"/>
            <w:noWrap/>
            <w:vAlign w:val="bottom"/>
            <w:hideMark/>
          </w:tcPr>
          <w:p w14:paraId="0DBF392E"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4.5%</w:t>
            </w:r>
          </w:p>
        </w:tc>
        <w:tc>
          <w:tcPr>
            <w:tcW w:w="1930" w:type="dxa"/>
            <w:tcBorders>
              <w:top w:val="nil"/>
              <w:left w:val="nil"/>
              <w:bottom w:val="single" w:sz="8" w:space="0" w:color="auto"/>
              <w:right w:val="nil"/>
            </w:tcBorders>
            <w:shd w:val="clear" w:color="auto" w:fill="auto"/>
            <w:noWrap/>
            <w:vAlign w:val="bottom"/>
            <w:hideMark/>
          </w:tcPr>
          <w:p w14:paraId="7C015EB7"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-7.1%</w:t>
            </w:r>
          </w:p>
        </w:tc>
        <w:tc>
          <w:tcPr>
            <w:tcW w:w="2012" w:type="dxa"/>
            <w:gridSpan w:val="2"/>
            <w:tcBorders>
              <w:top w:val="nil"/>
              <w:left w:val="nil"/>
              <w:bottom w:val="single" w:sz="8" w:space="0" w:color="auto"/>
              <w:right w:val="single" w:sz="4" w:space="0" w:color="auto"/>
            </w:tcBorders>
            <w:shd w:val="clear" w:color="auto" w:fill="auto"/>
            <w:noWrap/>
            <w:vAlign w:val="bottom"/>
            <w:hideMark/>
          </w:tcPr>
          <w:p w14:paraId="5B9B9DD9" w14:textId="77777777" w:rsidR="0022024B" w:rsidRPr="004034CC" w:rsidRDefault="0022024B" w:rsidP="0022024B">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5.9%</w:t>
            </w:r>
          </w:p>
        </w:tc>
      </w:tr>
    </w:tbl>
    <w:p w14:paraId="14015A69" w14:textId="62CB429E" w:rsidR="00903576" w:rsidRDefault="00903576" w:rsidP="0085394E">
      <w:pPr>
        <w:spacing w:after="0" w:line="240" w:lineRule="auto"/>
      </w:pPr>
    </w:p>
    <w:tbl>
      <w:tblPr>
        <w:tblW w:w="8815" w:type="dxa"/>
        <w:jc w:val="center"/>
        <w:tblLook w:val="04A0" w:firstRow="1" w:lastRow="0" w:firstColumn="1" w:lastColumn="0" w:noHBand="0" w:noVBand="1"/>
      </w:tblPr>
      <w:tblGrid>
        <w:gridCol w:w="1075"/>
        <w:gridCol w:w="1863"/>
        <w:gridCol w:w="33"/>
        <w:gridCol w:w="1897"/>
        <w:gridCol w:w="1930"/>
        <w:gridCol w:w="43"/>
        <w:gridCol w:w="1974"/>
      </w:tblGrid>
      <w:tr w:rsidR="00C93C1E" w:rsidRPr="004034CC" w14:paraId="5BFA2023" w14:textId="77777777" w:rsidTr="00C93C1E">
        <w:trPr>
          <w:cantSplit/>
          <w:trHeight w:val="290"/>
          <w:tblHeader/>
          <w:jc w:val="center"/>
        </w:trPr>
        <w:tc>
          <w:tcPr>
            <w:tcW w:w="1075" w:type="dxa"/>
            <w:tcBorders>
              <w:top w:val="single" w:sz="8" w:space="0" w:color="auto"/>
              <w:left w:val="single" w:sz="4" w:space="0" w:color="auto"/>
              <w:bottom w:val="nil"/>
              <w:right w:val="single" w:sz="4" w:space="0" w:color="000000"/>
            </w:tcBorders>
            <w:shd w:val="clear" w:color="000000" w:fill="002060"/>
          </w:tcPr>
          <w:p w14:paraId="584EE7DE" w14:textId="77777777" w:rsidR="00C93C1E" w:rsidRPr="004034CC" w:rsidRDefault="00C93C1E" w:rsidP="00C93C1E">
            <w:pPr>
              <w:spacing w:after="0" w:line="240" w:lineRule="auto"/>
              <w:jc w:val="center"/>
              <w:rPr>
                <w:rFonts w:ascii="Calibri" w:eastAsia="Times New Roman" w:hAnsi="Calibri" w:cs="Calibri"/>
                <w:b/>
                <w:bCs/>
                <w:color w:val="FFFFFF"/>
                <w:kern w:val="0"/>
                <w14:ligatures w14:val="none"/>
              </w:rPr>
            </w:pPr>
          </w:p>
        </w:tc>
        <w:tc>
          <w:tcPr>
            <w:tcW w:w="1896" w:type="dxa"/>
            <w:gridSpan w:val="2"/>
            <w:tcBorders>
              <w:top w:val="single" w:sz="8" w:space="0" w:color="auto"/>
              <w:left w:val="single" w:sz="4" w:space="0" w:color="auto"/>
              <w:bottom w:val="nil"/>
              <w:right w:val="single" w:sz="4" w:space="0" w:color="000000"/>
            </w:tcBorders>
            <w:shd w:val="clear" w:color="000000" w:fill="002060"/>
            <w:noWrap/>
            <w:vAlign w:val="bottom"/>
            <w:hideMark/>
          </w:tcPr>
          <w:p w14:paraId="6B0DAD01" w14:textId="77777777" w:rsidR="00C93C1E" w:rsidRPr="004034CC" w:rsidRDefault="00C93C1E" w:rsidP="00C93C1E">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LINAC</w:t>
            </w:r>
          </w:p>
        </w:tc>
        <w:tc>
          <w:tcPr>
            <w:tcW w:w="1897" w:type="dxa"/>
            <w:tcBorders>
              <w:top w:val="single" w:sz="8" w:space="0" w:color="auto"/>
              <w:left w:val="single" w:sz="4" w:space="0" w:color="auto"/>
              <w:bottom w:val="nil"/>
              <w:right w:val="single" w:sz="4" w:space="0" w:color="000000"/>
            </w:tcBorders>
            <w:shd w:val="clear" w:color="000000" w:fill="002060"/>
            <w:vAlign w:val="bottom"/>
          </w:tcPr>
          <w:p w14:paraId="70434C84" w14:textId="176D3389" w:rsidR="00C93C1E" w:rsidRPr="004034CC" w:rsidRDefault="00C93C1E" w:rsidP="00C93C1E">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LINAC</w:t>
            </w:r>
          </w:p>
        </w:tc>
        <w:tc>
          <w:tcPr>
            <w:tcW w:w="1973" w:type="dxa"/>
            <w:gridSpan w:val="2"/>
            <w:tcBorders>
              <w:top w:val="single" w:sz="8" w:space="0" w:color="auto"/>
              <w:left w:val="nil"/>
              <w:bottom w:val="nil"/>
              <w:right w:val="single" w:sz="8" w:space="0" w:color="000000"/>
            </w:tcBorders>
            <w:shd w:val="clear" w:color="000000" w:fill="002060"/>
            <w:noWrap/>
            <w:vAlign w:val="bottom"/>
            <w:hideMark/>
          </w:tcPr>
          <w:p w14:paraId="11349BA1" w14:textId="77777777" w:rsidR="00C93C1E" w:rsidRPr="004034CC" w:rsidRDefault="00C93C1E" w:rsidP="00C93C1E">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CT Simulator</w:t>
            </w:r>
          </w:p>
        </w:tc>
        <w:tc>
          <w:tcPr>
            <w:tcW w:w="1974" w:type="dxa"/>
            <w:tcBorders>
              <w:top w:val="single" w:sz="8" w:space="0" w:color="auto"/>
              <w:left w:val="nil"/>
              <w:bottom w:val="nil"/>
              <w:right w:val="single" w:sz="8" w:space="0" w:color="000000"/>
            </w:tcBorders>
            <w:shd w:val="clear" w:color="000000" w:fill="002060"/>
            <w:vAlign w:val="bottom"/>
          </w:tcPr>
          <w:p w14:paraId="60DB668D" w14:textId="1F1A1351" w:rsidR="00C93C1E" w:rsidRPr="004034CC" w:rsidRDefault="00C93C1E" w:rsidP="00C93C1E">
            <w:pPr>
              <w:spacing w:after="0" w:line="240" w:lineRule="auto"/>
              <w:jc w:val="center"/>
              <w:rPr>
                <w:rFonts w:ascii="Calibri" w:eastAsia="Times New Roman" w:hAnsi="Calibri" w:cs="Calibri"/>
                <w:b/>
                <w:bCs/>
                <w:color w:val="FFFFFF"/>
                <w:kern w:val="0"/>
                <w14:ligatures w14:val="none"/>
              </w:rPr>
            </w:pPr>
            <w:r w:rsidRPr="004034CC">
              <w:rPr>
                <w:rFonts w:ascii="Calibri" w:eastAsia="Times New Roman" w:hAnsi="Calibri" w:cs="Calibri"/>
                <w:b/>
                <w:bCs/>
                <w:color w:val="FFFFFF"/>
                <w:kern w:val="0"/>
                <w14:ligatures w14:val="none"/>
              </w:rPr>
              <w:t>CT Simulator</w:t>
            </w:r>
          </w:p>
        </w:tc>
      </w:tr>
      <w:tr w:rsidR="00C93C1E" w:rsidRPr="004034CC" w14:paraId="766697FF" w14:textId="77777777" w:rsidTr="00C93C1E">
        <w:trPr>
          <w:cantSplit/>
          <w:trHeight w:val="580"/>
          <w:tblHeader/>
          <w:jc w:val="center"/>
        </w:trPr>
        <w:tc>
          <w:tcPr>
            <w:tcW w:w="1075" w:type="dxa"/>
            <w:tcBorders>
              <w:top w:val="nil"/>
              <w:left w:val="single" w:sz="4" w:space="0" w:color="auto"/>
              <w:bottom w:val="single" w:sz="4" w:space="0" w:color="auto"/>
              <w:right w:val="nil"/>
            </w:tcBorders>
            <w:shd w:val="clear" w:color="000000" w:fill="002060"/>
            <w:vAlign w:val="bottom"/>
          </w:tcPr>
          <w:p w14:paraId="41C1BE5E" w14:textId="1CE12FA2" w:rsidR="00C93C1E" w:rsidRPr="004034CC" w:rsidRDefault="00C93C1E" w:rsidP="00C93C1E">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b/>
                <w:bCs/>
                <w:color w:val="FFFFFF"/>
                <w:kern w:val="0"/>
                <w14:ligatures w14:val="none"/>
              </w:rPr>
              <w:t>Year</w:t>
            </w:r>
          </w:p>
        </w:tc>
        <w:tc>
          <w:tcPr>
            <w:tcW w:w="1863" w:type="dxa"/>
            <w:tcBorders>
              <w:top w:val="nil"/>
              <w:left w:val="single" w:sz="4" w:space="0" w:color="auto"/>
              <w:bottom w:val="single" w:sz="4" w:space="0" w:color="auto"/>
              <w:right w:val="nil"/>
            </w:tcBorders>
            <w:shd w:val="clear" w:color="000000" w:fill="002060"/>
            <w:vAlign w:val="bottom"/>
            <w:hideMark/>
          </w:tcPr>
          <w:p w14:paraId="25AFD4A7" w14:textId="6622025E" w:rsidR="00C93C1E" w:rsidRPr="004034CC" w:rsidRDefault="00C93C1E" w:rsidP="00C93C1E">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Baseline Projection</w:t>
            </w:r>
          </w:p>
        </w:tc>
        <w:tc>
          <w:tcPr>
            <w:tcW w:w="1930" w:type="dxa"/>
            <w:gridSpan w:val="2"/>
            <w:tcBorders>
              <w:top w:val="nil"/>
              <w:left w:val="nil"/>
              <w:bottom w:val="single" w:sz="4" w:space="0" w:color="auto"/>
              <w:right w:val="single" w:sz="4" w:space="0" w:color="auto"/>
            </w:tcBorders>
            <w:shd w:val="clear" w:color="000000" w:fill="002060"/>
            <w:vAlign w:val="bottom"/>
            <w:hideMark/>
          </w:tcPr>
          <w:p w14:paraId="657DE0C2" w14:textId="77777777" w:rsidR="00C93C1E" w:rsidRPr="004034CC" w:rsidRDefault="00C93C1E" w:rsidP="00C93C1E">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With Reallocation to BWH</w:t>
            </w:r>
          </w:p>
        </w:tc>
        <w:tc>
          <w:tcPr>
            <w:tcW w:w="1930" w:type="dxa"/>
            <w:tcBorders>
              <w:top w:val="nil"/>
              <w:left w:val="nil"/>
              <w:bottom w:val="single" w:sz="4" w:space="0" w:color="auto"/>
              <w:right w:val="nil"/>
            </w:tcBorders>
            <w:shd w:val="clear" w:color="000000" w:fill="002060"/>
            <w:vAlign w:val="bottom"/>
            <w:hideMark/>
          </w:tcPr>
          <w:p w14:paraId="2924675E" w14:textId="77777777" w:rsidR="00C93C1E" w:rsidRPr="004034CC" w:rsidRDefault="00C93C1E" w:rsidP="00C93C1E">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Baseline Projection</w:t>
            </w:r>
          </w:p>
        </w:tc>
        <w:tc>
          <w:tcPr>
            <w:tcW w:w="2017" w:type="dxa"/>
            <w:gridSpan w:val="2"/>
            <w:tcBorders>
              <w:top w:val="nil"/>
              <w:left w:val="nil"/>
              <w:bottom w:val="single" w:sz="4" w:space="0" w:color="auto"/>
              <w:right w:val="single" w:sz="8" w:space="0" w:color="auto"/>
            </w:tcBorders>
            <w:shd w:val="clear" w:color="000000" w:fill="002060"/>
            <w:vAlign w:val="bottom"/>
            <w:hideMark/>
          </w:tcPr>
          <w:p w14:paraId="749E4268" w14:textId="77777777" w:rsidR="00C93C1E" w:rsidRPr="004034CC" w:rsidRDefault="00C93C1E" w:rsidP="00C93C1E">
            <w:pPr>
              <w:spacing w:after="0" w:line="240" w:lineRule="auto"/>
              <w:jc w:val="center"/>
              <w:rPr>
                <w:rFonts w:ascii="Calibri" w:eastAsia="Times New Roman" w:hAnsi="Calibri" w:cs="Calibri"/>
                <w:i/>
                <w:iCs/>
                <w:color w:val="FFFFFF"/>
                <w:kern w:val="0"/>
                <w14:ligatures w14:val="none"/>
              </w:rPr>
            </w:pPr>
            <w:r w:rsidRPr="004034CC">
              <w:rPr>
                <w:rFonts w:ascii="Calibri" w:eastAsia="Times New Roman" w:hAnsi="Calibri" w:cs="Calibri"/>
                <w:i/>
                <w:iCs/>
                <w:color w:val="FFFFFF"/>
                <w:kern w:val="0"/>
                <w14:ligatures w14:val="none"/>
              </w:rPr>
              <w:t>With Reallocation to BWH</w:t>
            </w:r>
          </w:p>
        </w:tc>
      </w:tr>
      <w:tr w:rsidR="00C93C1E" w:rsidRPr="004034CC" w14:paraId="78A606F9" w14:textId="77777777" w:rsidTr="00C93C1E">
        <w:trPr>
          <w:cantSplit/>
          <w:trHeight w:val="290"/>
          <w:jc w:val="center"/>
        </w:trPr>
        <w:tc>
          <w:tcPr>
            <w:tcW w:w="1075" w:type="dxa"/>
            <w:tcBorders>
              <w:top w:val="nil"/>
              <w:left w:val="single" w:sz="4" w:space="0" w:color="auto"/>
              <w:bottom w:val="single" w:sz="4" w:space="0" w:color="auto"/>
              <w:right w:val="nil"/>
            </w:tcBorders>
            <w:vAlign w:val="bottom"/>
          </w:tcPr>
          <w:p w14:paraId="60F64FC7" w14:textId="05ED16FF"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2025</w:t>
            </w:r>
          </w:p>
        </w:tc>
        <w:tc>
          <w:tcPr>
            <w:tcW w:w="1863" w:type="dxa"/>
            <w:tcBorders>
              <w:top w:val="nil"/>
              <w:left w:val="single" w:sz="4" w:space="0" w:color="auto"/>
              <w:bottom w:val="single" w:sz="4" w:space="0" w:color="auto"/>
              <w:right w:val="nil"/>
            </w:tcBorders>
            <w:shd w:val="clear" w:color="auto" w:fill="auto"/>
            <w:noWrap/>
            <w:vAlign w:val="bottom"/>
            <w:hideMark/>
          </w:tcPr>
          <w:p w14:paraId="58E21A88" w14:textId="40B0FD68"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-$679,606</w:t>
            </w:r>
          </w:p>
        </w:tc>
        <w:tc>
          <w:tcPr>
            <w:tcW w:w="1930" w:type="dxa"/>
            <w:gridSpan w:val="2"/>
            <w:tcBorders>
              <w:top w:val="nil"/>
              <w:left w:val="nil"/>
              <w:bottom w:val="single" w:sz="4" w:space="0" w:color="auto"/>
              <w:right w:val="single" w:sz="4" w:space="0" w:color="auto"/>
            </w:tcBorders>
            <w:shd w:val="clear" w:color="auto" w:fill="auto"/>
            <w:noWrap/>
            <w:vAlign w:val="bottom"/>
            <w:hideMark/>
          </w:tcPr>
          <w:p w14:paraId="7520A7D9"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$1,372,402</w:t>
            </w:r>
          </w:p>
        </w:tc>
        <w:tc>
          <w:tcPr>
            <w:tcW w:w="1930" w:type="dxa"/>
            <w:tcBorders>
              <w:top w:val="nil"/>
              <w:left w:val="nil"/>
              <w:bottom w:val="single" w:sz="4" w:space="0" w:color="auto"/>
              <w:right w:val="nil"/>
            </w:tcBorders>
            <w:shd w:val="clear" w:color="auto" w:fill="auto"/>
            <w:noWrap/>
            <w:vAlign w:val="bottom"/>
            <w:hideMark/>
          </w:tcPr>
          <w:p w14:paraId="00D424E0"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-$124,498</w:t>
            </w:r>
          </w:p>
        </w:tc>
        <w:tc>
          <w:tcPr>
            <w:tcW w:w="2017" w:type="dxa"/>
            <w:gridSpan w:val="2"/>
            <w:tcBorders>
              <w:top w:val="nil"/>
              <w:left w:val="nil"/>
              <w:bottom w:val="single" w:sz="4" w:space="0" w:color="auto"/>
              <w:right w:val="single" w:sz="8" w:space="0" w:color="auto"/>
            </w:tcBorders>
            <w:shd w:val="clear" w:color="auto" w:fill="auto"/>
            <w:noWrap/>
            <w:vAlign w:val="bottom"/>
            <w:hideMark/>
          </w:tcPr>
          <w:p w14:paraId="65974E5C"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$100,636</w:t>
            </w:r>
          </w:p>
        </w:tc>
      </w:tr>
      <w:tr w:rsidR="00C93C1E" w:rsidRPr="004034CC" w14:paraId="1E6E17C6" w14:textId="77777777" w:rsidTr="00C93C1E">
        <w:trPr>
          <w:cantSplit/>
          <w:trHeight w:val="290"/>
          <w:jc w:val="center"/>
        </w:trPr>
        <w:tc>
          <w:tcPr>
            <w:tcW w:w="1075" w:type="dxa"/>
            <w:tcBorders>
              <w:top w:val="nil"/>
              <w:left w:val="single" w:sz="4" w:space="0" w:color="auto"/>
              <w:bottom w:val="single" w:sz="4" w:space="0" w:color="auto"/>
              <w:right w:val="nil"/>
            </w:tcBorders>
            <w:vAlign w:val="bottom"/>
          </w:tcPr>
          <w:p w14:paraId="3BD9B59E" w14:textId="7397F080"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2030</w:t>
            </w:r>
          </w:p>
        </w:tc>
        <w:tc>
          <w:tcPr>
            <w:tcW w:w="1863" w:type="dxa"/>
            <w:tcBorders>
              <w:top w:val="nil"/>
              <w:left w:val="single" w:sz="4" w:space="0" w:color="auto"/>
              <w:bottom w:val="single" w:sz="4" w:space="0" w:color="auto"/>
              <w:right w:val="nil"/>
            </w:tcBorders>
            <w:shd w:val="clear" w:color="auto" w:fill="auto"/>
            <w:noWrap/>
            <w:vAlign w:val="bottom"/>
            <w:hideMark/>
          </w:tcPr>
          <w:p w14:paraId="146664D0" w14:textId="645F6CB1"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-$707,496</w:t>
            </w:r>
          </w:p>
        </w:tc>
        <w:tc>
          <w:tcPr>
            <w:tcW w:w="1930" w:type="dxa"/>
            <w:gridSpan w:val="2"/>
            <w:tcBorders>
              <w:top w:val="nil"/>
              <w:left w:val="nil"/>
              <w:bottom w:val="single" w:sz="4" w:space="0" w:color="auto"/>
              <w:right w:val="single" w:sz="4" w:space="0" w:color="auto"/>
            </w:tcBorders>
            <w:shd w:val="clear" w:color="auto" w:fill="auto"/>
            <w:noWrap/>
            <w:vAlign w:val="bottom"/>
            <w:hideMark/>
          </w:tcPr>
          <w:p w14:paraId="373637D6"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$1,412,691</w:t>
            </w:r>
          </w:p>
        </w:tc>
        <w:tc>
          <w:tcPr>
            <w:tcW w:w="1930" w:type="dxa"/>
            <w:tcBorders>
              <w:top w:val="nil"/>
              <w:left w:val="nil"/>
              <w:bottom w:val="single" w:sz="4" w:space="0" w:color="auto"/>
              <w:right w:val="nil"/>
            </w:tcBorders>
            <w:shd w:val="clear" w:color="auto" w:fill="auto"/>
            <w:noWrap/>
            <w:vAlign w:val="bottom"/>
            <w:hideMark/>
          </w:tcPr>
          <w:p w14:paraId="3608D007"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-$132,266</w:t>
            </w:r>
          </w:p>
        </w:tc>
        <w:tc>
          <w:tcPr>
            <w:tcW w:w="2017" w:type="dxa"/>
            <w:gridSpan w:val="2"/>
            <w:tcBorders>
              <w:top w:val="nil"/>
              <w:left w:val="nil"/>
              <w:bottom w:val="single" w:sz="4" w:space="0" w:color="auto"/>
              <w:right w:val="single" w:sz="8" w:space="0" w:color="auto"/>
            </w:tcBorders>
            <w:shd w:val="clear" w:color="auto" w:fill="auto"/>
            <w:noWrap/>
            <w:vAlign w:val="bottom"/>
            <w:hideMark/>
          </w:tcPr>
          <w:p w14:paraId="0B217ABB"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$109,605</w:t>
            </w:r>
          </w:p>
        </w:tc>
      </w:tr>
      <w:tr w:rsidR="00C93C1E" w:rsidRPr="004034CC" w14:paraId="6F9DFCE2" w14:textId="77777777" w:rsidTr="00C93C1E">
        <w:trPr>
          <w:cantSplit/>
          <w:trHeight w:val="290"/>
          <w:jc w:val="center"/>
        </w:trPr>
        <w:tc>
          <w:tcPr>
            <w:tcW w:w="1075" w:type="dxa"/>
            <w:tcBorders>
              <w:top w:val="nil"/>
              <w:left w:val="single" w:sz="4" w:space="0" w:color="auto"/>
              <w:bottom w:val="single" w:sz="4" w:space="0" w:color="auto"/>
              <w:right w:val="nil"/>
            </w:tcBorders>
            <w:vAlign w:val="bottom"/>
          </w:tcPr>
          <w:p w14:paraId="24575BF8" w14:textId="26F263B9"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2035</w:t>
            </w:r>
          </w:p>
        </w:tc>
        <w:tc>
          <w:tcPr>
            <w:tcW w:w="1863" w:type="dxa"/>
            <w:tcBorders>
              <w:top w:val="nil"/>
              <w:left w:val="single" w:sz="4" w:space="0" w:color="auto"/>
              <w:bottom w:val="single" w:sz="4" w:space="0" w:color="auto"/>
              <w:right w:val="nil"/>
            </w:tcBorders>
            <w:shd w:val="clear" w:color="auto" w:fill="auto"/>
            <w:noWrap/>
            <w:vAlign w:val="bottom"/>
            <w:hideMark/>
          </w:tcPr>
          <w:p w14:paraId="0092D77B" w14:textId="2A1936C8"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-$714,997</w:t>
            </w:r>
          </w:p>
        </w:tc>
        <w:tc>
          <w:tcPr>
            <w:tcW w:w="1930" w:type="dxa"/>
            <w:gridSpan w:val="2"/>
            <w:tcBorders>
              <w:top w:val="nil"/>
              <w:left w:val="nil"/>
              <w:bottom w:val="single" w:sz="4" w:space="0" w:color="auto"/>
              <w:right w:val="single" w:sz="4" w:space="0" w:color="auto"/>
            </w:tcBorders>
            <w:shd w:val="clear" w:color="auto" w:fill="auto"/>
            <w:noWrap/>
            <w:vAlign w:val="bottom"/>
            <w:hideMark/>
          </w:tcPr>
          <w:p w14:paraId="1C614747"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$1,428,216</w:t>
            </w:r>
          </w:p>
        </w:tc>
        <w:tc>
          <w:tcPr>
            <w:tcW w:w="1930" w:type="dxa"/>
            <w:tcBorders>
              <w:top w:val="nil"/>
              <w:left w:val="nil"/>
              <w:bottom w:val="single" w:sz="4" w:space="0" w:color="auto"/>
              <w:right w:val="nil"/>
            </w:tcBorders>
            <w:shd w:val="clear" w:color="auto" w:fill="auto"/>
            <w:noWrap/>
            <w:vAlign w:val="bottom"/>
            <w:hideMark/>
          </w:tcPr>
          <w:p w14:paraId="5AF82E1B"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-$135,450</w:t>
            </w:r>
          </w:p>
        </w:tc>
        <w:tc>
          <w:tcPr>
            <w:tcW w:w="2017" w:type="dxa"/>
            <w:gridSpan w:val="2"/>
            <w:tcBorders>
              <w:top w:val="nil"/>
              <w:left w:val="nil"/>
              <w:bottom w:val="single" w:sz="4" w:space="0" w:color="auto"/>
              <w:right w:val="single" w:sz="8" w:space="0" w:color="auto"/>
            </w:tcBorders>
            <w:shd w:val="clear" w:color="auto" w:fill="auto"/>
            <w:noWrap/>
            <w:vAlign w:val="bottom"/>
            <w:hideMark/>
          </w:tcPr>
          <w:p w14:paraId="7E0DB9CE"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$113,321</w:t>
            </w:r>
          </w:p>
        </w:tc>
      </w:tr>
      <w:tr w:rsidR="00C93C1E" w:rsidRPr="004034CC" w14:paraId="1F57171E" w14:textId="77777777" w:rsidTr="00C93C1E">
        <w:trPr>
          <w:cantSplit/>
          <w:trHeight w:val="300"/>
          <w:jc w:val="center"/>
        </w:trPr>
        <w:tc>
          <w:tcPr>
            <w:tcW w:w="1075" w:type="dxa"/>
            <w:tcBorders>
              <w:top w:val="nil"/>
              <w:left w:val="single" w:sz="4" w:space="0" w:color="auto"/>
              <w:bottom w:val="single" w:sz="8" w:space="0" w:color="auto"/>
              <w:right w:val="nil"/>
            </w:tcBorders>
            <w:vAlign w:val="bottom"/>
          </w:tcPr>
          <w:p w14:paraId="4EED4D8C" w14:textId="3BE8888C"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2040</w:t>
            </w:r>
          </w:p>
        </w:tc>
        <w:tc>
          <w:tcPr>
            <w:tcW w:w="1863" w:type="dxa"/>
            <w:tcBorders>
              <w:top w:val="nil"/>
              <w:left w:val="single" w:sz="4" w:space="0" w:color="auto"/>
              <w:bottom w:val="single" w:sz="8" w:space="0" w:color="auto"/>
              <w:right w:val="nil"/>
            </w:tcBorders>
            <w:shd w:val="clear" w:color="auto" w:fill="auto"/>
            <w:noWrap/>
            <w:vAlign w:val="bottom"/>
            <w:hideMark/>
          </w:tcPr>
          <w:p w14:paraId="1AFB5D6B" w14:textId="466FED3E"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-$716,374</w:t>
            </w:r>
          </w:p>
        </w:tc>
        <w:tc>
          <w:tcPr>
            <w:tcW w:w="1930" w:type="dxa"/>
            <w:gridSpan w:val="2"/>
            <w:tcBorders>
              <w:top w:val="nil"/>
              <w:left w:val="nil"/>
              <w:bottom w:val="single" w:sz="8" w:space="0" w:color="auto"/>
              <w:right w:val="single" w:sz="4" w:space="0" w:color="auto"/>
            </w:tcBorders>
            <w:shd w:val="clear" w:color="auto" w:fill="auto"/>
            <w:noWrap/>
            <w:vAlign w:val="bottom"/>
            <w:hideMark/>
          </w:tcPr>
          <w:p w14:paraId="383B9A54"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$1,430,130</w:t>
            </w:r>
          </w:p>
        </w:tc>
        <w:tc>
          <w:tcPr>
            <w:tcW w:w="1930" w:type="dxa"/>
            <w:tcBorders>
              <w:top w:val="nil"/>
              <w:left w:val="nil"/>
              <w:bottom w:val="single" w:sz="8" w:space="0" w:color="auto"/>
              <w:right w:val="nil"/>
            </w:tcBorders>
            <w:shd w:val="clear" w:color="auto" w:fill="auto"/>
            <w:noWrap/>
            <w:vAlign w:val="bottom"/>
            <w:hideMark/>
          </w:tcPr>
          <w:p w14:paraId="619C54CA"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-$135,171</w:t>
            </w:r>
          </w:p>
        </w:tc>
        <w:tc>
          <w:tcPr>
            <w:tcW w:w="2017" w:type="dxa"/>
            <w:gridSpan w:val="2"/>
            <w:tcBorders>
              <w:top w:val="nil"/>
              <w:left w:val="nil"/>
              <w:bottom w:val="single" w:sz="8" w:space="0" w:color="auto"/>
              <w:right w:val="single" w:sz="8" w:space="0" w:color="auto"/>
            </w:tcBorders>
            <w:shd w:val="clear" w:color="auto" w:fill="auto"/>
            <w:noWrap/>
            <w:vAlign w:val="bottom"/>
            <w:hideMark/>
          </w:tcPr>
          <w:p w14:paraId="456DC623" w14:textId="77777777" w:rsidR="00C93C1E" w:rsidRPr="004034CC" w:rsidRDefault="00C93C1E" w:rsidP="00C93C1E">
            <w:pPr>
              <w:spacing w:after="0" w:line="240" w:lineRule="auto"/>
              <w:jc w:val="center"/>
              <w:rPr>
                <w:rFonts w:ascii="Calibri" w:eastAsia="Times New Roman" w:hAnsi="Calibri" w:cs="Calibri"/>
                <w:kern w:val="0"/>
                <w14:ligatures w14:val="none"/>
              </w:rPr>
            </w:pPr>
            <w:r w:rsidRPr="004034CC">
              <w:rPr>
                <w:rFonts w:ascii="Calibri" w:eastAsia="Times New Roman" w:hAnsi="Calibri" w:cs="Calibri"/>
                <w:kern w:val="0"/>
                <w14:ligatures w14:val="none"/>
              </w:rPr>
              <w:t>$113,358</w:t>
            </w:r>
          </w:p>
        </w:tc>
      </w:tr>
    </w:tbl>
    <w:p w14:paraId="3C8A2E0F" w14:textId="77777777" w:rsidR="004034CC" w:rsidRDefault="004034CC" w:rsidP="00190A29">
      <w:pPr>
        <w:spacing w:after="120" w:line="360" w:lineRule="auto"/>
        <w:ind w:left="-7"/>
        <w:jc w:val="center"/>
      </w:pPr>
    </w:p>
    <w:p w14:paraId="7C16A54D" w14:textId="3AD64F32" w:rsidR="00AB4D0F" w:rsidRPr="00AB4D0F" w:rsidRDefault="007F0031" w:rsidP="00AB4D0F">
      <w:pPr>
        <w:numPr>
          <w:ilvl w:val="0"/>
          <w:numId w:val="4"/>
        </w:numPr>
        <w:spacing w:before="120" w:after="120" w:line="360" w:lineRule="auto"/>
        <w:ind w:hanging="547"/>
        <w:jc w:val="both"/>
      </w:pPr>
      <w:r w:rsidRPr="007F0031">
        <w:t xml:space="preserve">Due to the nature of radiation therapy, FTI </w:t>
      </w:r>
      <w:r w:rsidR="001A3174">
        <w:t>found</w:t>
      </w:r>
      <w:r w:rsidRPr="007F0031">
        <w:t xml:space="preserve"> limited scope for supply-</w:t>
      </w:r>
      <w:r w:rsidR="001A3174">
        <w:t>induced</w:t>
      </w:r>
      <w:r w:rsidRPr="007F0031">
        <w:t xml:space="preserve"> demand to increase the total number of patients receiving radiation therapy.</w:t>
      </w:r>
      <w:r>
        <w:t xml:space="preserve"> </w:t>
      </w:r>
      <w:r w:rsidRPr="007F0031">
        <w:t xml:space="preserve">However, there may be </w:t>
      </w:r>
      <w:r>
        <w:t xml:space="preserve">offsets to projected cost </w:t>
      </w:r>
      <w:r w:rsidRPr="007F0031">
        <w:t xml:space="preserve">savings </w:t>
      </w:r>
      <w:r>
        <w:t xml:space="preserve">were </w:t>
      </w:r>
      <w:r w:rsidRPr="007F0031">
        <w:t xml:space="preserve">BWH </w:t>
      </w:r>
      <w:r>
        <w:t xml:space="preserve">to </w:t>
      </w:r>
      <w:r w:rsidRPr="007F0031">
        <w:t>compete for patients with DFCI and other radiation therapy providers.</w:t>
      </w:r>
      <w:r>
        <w:t xml:space="preserve"> </w:t>
      </w:r>
      <w:r w:rsidRPr="007F0031">
        <w:t xml:space="preserve">To model the maximum impact of this potential economic dynamic, FTI estimated the impact of BWH replacing </w:t>
      </w:r>
      <w:r w:rsidRPr="001A3174">
        <w:t>all</w:t>
      </w:r>
      <w:r w:rsidRPr="007F0031">
        <w:rPr>
          <w:i/>
          <w:iCs/>
        </w:rPr>
        <w:t xml:space="preserve"> </w:t>
      </w:r>
      <w:r w:rsidRPr="007F0031">
        <w:t>of its lost patients with other patients in the Boston area.</w:t>
      </w:r>
      <w:r>
        <w:t xml:space="preserve"> </w:t>
      </w:r>
      <w:r w:rsidRPr="007F0031">
        <w:t>This approach reduces cost savings from shifts to DFCI as patients are drawn into BWH from lower-priced surrounding providers.</w:t>
      </w:r>
      <w:r>
        <w:t xml:space="preserve"> As shown in Table </w:t>
      </w:r>
      <w:r w:rsidR="00344C5A">
        <w:t>3</w:t>
      </w:r>
      <w:r w:rsidR="00AC0296">
        <w:t>9</w:t>
      </w:r>
      <w:r>
        <w:t>, t</w:t>
      </w:r>
      <w:r w:rsidRPr="007F0031">
        <w:t xml:space="preserve">he maximum cost increase under these scenarios is between </w:t>
      </w:r>
      <w:r w:rsidR="00BD200A">
        <w:t>4.5</w:t>
      </w:r>
      <w:r w:rsidRPr="007F0031">
        <w:t xml:space="preserve">%-4.9% </w:t>
      </w:r>
      <w:r w:rsidR="00AE2307">
        <w:lastRenderedPageBreak/>
        <w:t>($1.</w:t>
      </w:r>
      <w:r w:rsidR="00BD200A">
        <w:t>3</w:t>
      </w:r>
      <w:r w:rsidR="00AE2307">
        <w:t xml:space="preserve">M-$1.4M) </w:t>
      </w:r>
      <w:r w:rsidRPr="007F0031">
        <w:t>for LINAC procedures and 5.</w:t>
      </w:r>
      <w:r w:rsidR="00BD200A">
        <w:t>9</w:t>
      </w:r>
      <w:r w:rsidRPr="007F0031">
        <w:t>%-</w:t>
      </w:r>
      <w:r w:rsidR="00BD200A">
        <w:t>6.0</w:t>
      </w:r>
      <w:r w:rsidRPr="007F0031">
        <w:t xml:space="preserve">% </w:t>
      </w:r>
      <w:r w:rsidR="00AE2307">
        <w:t>($</w:t>
      </w:r>
      <w:r w:rsidR="00BD200A">
        <w:t>100,636</w:t>
      </w:r>
      <w:r w:rsidR="00AE2307">
        <w:t>-$1</w:t>
      </w:r>
      <w:r w:rsidR="00BD200A">
        <w:t>13</w:t>
      </w:r>
      <w:r w:rsidR="00AE2307">
        <w:t>,</w:t>
      </w:r>
      <w:r w:rsidR="00BD200A">
        <w:t>358</w:t>
      </w:r>
      <w:r w:rsidR="00AE2307">
        <w:t xml:space="preserve">) </w:t>
      </w:r>
      <w:r w:rsidRPr="007F0031">
        <w:t>for CT simulator procedures</w:t>
      </w:r>
      <w:r w:rsidR="001A3174">
        <w:t>, with the cost increases decreasing over time</w:t>
      </w:r>
      <w:r w:rsidRPr="007F0031">
        <w:t>.</w:t>
      </w:r>
    </w:p>
    <w:sectPr w:rsidR="00AB4D0F" w:rsidRPr="00AB4D0F" w:rsidSect="00AB4D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882F8" w14:textId="77777777" w:rsidR="000C6E3E" w:rsidRDefault="000C6E3E" w:rsidP="00E60BED">
      <w:pPr>
        <w:spacing w:after="0" w:line="240" w:lineRule="auto"/>
      </w:pPr>
      <w:r>
        <w:separator/>
      </w:r>
    </w:p>
  </w:endnote>
  <w:endnote w:type="continuationSeparator" w:id="0">
    <w:p w14:paraId="478EBC0D" w14:textId="77777777" w:rsidR="000C6E3E" w:rsidRDefault="000C6E3E" w:rsidP="00E6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684357"/>
      <w:docPartObj>
        <w:docPartGallery w:val="Page Numbers (Bottom of Page)"/>
        <w:docPartUnique/>
      </w:docPartObj>
    </w:sdtPr>
    <w:sdtEndPr>
      <w:rPr>
        <w:noProof/>
      </w:rPr>
    </w:sdtEndPr>
    <w:sdtContent>
      <w:p w14:paraId="232008AA" w14:textId="13118A18" w:rsidR="00E60BED" w:rsidRDefault="00E60B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8E70FC" w14:textId="77777777" w:rsidR="00E60BED" w:rsidRDefault="00E60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B929C" w14:textId="77777777" w:rsidR="000C6E3E" w:rsidRDefault="000C6E3E" w:rsidP="00E60BED">
      <w:pPr>
        <w:spacing w:after="0" w:line="240" w:lineRule="auto"/>
      </w:pPr>
      <w:r>
        <w:separator/>
      </w:r>
    </w:p>
  </w:footnote>
  <w:footnote w:type="continuationSeparator" w:id="0">
    <w:p w14:paraId="6C00E8F5" w14:textId="77777777" w:rsidR="000C6E3E" w:rsidRDefault="000C6E3E" w:rsidP="00E60BED">
      <w:pPr>
        <w:spacing w:after="0" w:line="240" w:lineRule="auto"/>
      </w:pPr>
      <w:r>
        <w:continuationSeparator/>
      </w:r>
    </w:p>
  </w:footnote>
  <w:footnote w:id="1">
    <w:p w14:paraId="117DE9F5" w14:textId="220F1617" w:rsidR="009F32CC" w:rsidRPr="00031C8B" w:rsidRDefault="009F32CC">
      <w:pPr>
        <w:pStyle w:val="FootnoteText"/>
      </w:pPr>
      <w:r w:rsidRPr="00031C8B">
        <w:rPr>
          <w:rStyle w:val="FootnoteReference"/>
        </w:rPr>
        <w:footnoteRef/>
      </w:r>
      <w:r w:rsidRPr="00031C8B">
        <w:t xml:space="preserve"> </w:t>
      </w:r>
      <w:r w:rsidR="006020D7">
        <w:t>“</w:t>
      </w:r>
      <w:hyperlink r:id="rId1" w:history="1">
        <w:r w:rsidR="001F7944" w:rsidRPr="008A1B5D">
          <w:rPr>
            <w:rStyle w:val="Hyperlink"/>
            <w:color w:val="auto"/>
            <w:u w:val="none"/>
          </w:rPr>
          <w:t>Dana-Farber Cancer Institute, Inc. – Hospital/Clinic Substantial Capital Expenditure: Determination of Need application material received by the Department of Public Health for Dana-Farber Cancer Institute, Inc. – Hospital/Clinic Substantial Capital Expenditure</w:t>
        </w:r>
      </w:hyperlink>
      <w:r w:rsidR="001F7944" w:rsidRPr="008A1B5D">
        <w:t>.</w:t>
      </w:r>
      <w:r w:rsidR="006020D7" w:rsidRPr="008A1B5D">
        <w:t>”</w:t>
      </w:r>
      <w:r w:rsidR="001F7944" w:rsidRPr="008A1B5D">
        <w:t xml:space="preserve"> </w:t>
      </w:r>
      <w:hyperlink r:id="rId2" w:history="1">
        <w:r w:rsidR="008A1B5D" w:rsidRPr="008A1B5D">
          <w:rPr>
            <w:rStyle w:val="Hyperlink"/>
            <w:color w:val="auto"/>
            <w:u w:val="none"/>
          </w:rPr>
          <w:t>https://www.mass.gov/info-details/dana-farber-cancer-institute-inc-hospitalclinic-substantial-capital-expenditure</w:t>
        </w:r>
      </w:hyperlink>
      <w:r w:rsidR="008A1B5D" w:rsidRPr="008A1B5D">
        <w:t xml:space="preserve"> </w:t>
      </w:r>
      <w:r w:rsidR="001F7944" w:rsidRPr="008A1B5D">
        <w:t>.</w:t>
      </w:r>
    </w:p>
  </w:footnote>
  <w:footnote w:id="2">
    <w:p w14:paraId="7F271EC8" w14:textId="48EF55E0" w:rsidR="009F32CC" w:rsidRPr="00031C8B" w:rsidRDefault="009F32CC">
      <w:pPr>
        <w:pStyle w:val="FootnoteText"/>
      </w:pPr>
      <w:r w:rsidRPr="00031C8B">
        <w:rPr>
          <w:rStyle w:val="FootnoteReference"/>
        </w:rPr>
        <w:footnoteRef/>
      </w:r>
      <w:r w:rsidRPr="00031C8B">
        <w:t xml:space="preserve"> See Section </w:t>
      </w:r>
      <w:r w:rsidR="001F7944">
        <w:t>II.A</w:t>
      </w:r>
      <w:r w:rsidRPr="00031C8B">
        <w:t xml:space="preserve"> below for a detailed summary of the Proposed Project. </w:t>
      </w:r>
    </w:p>
  </w:footnote>
  <w:footnote w:id="3">
    <w:p w14:paraId="029089AE" w14:textId="021EB9D3" w:rsidR="009F32CC" w:rsidRPr="00031C8B" w:rsidRDefault="009F32CC">
      <w:pPr>
        <w:pStyle w:val="FootnoteText"/>
      </w:pPr>
      <w:r w:rsidRPr="00031C8B">
        <w:rPr>
          <w:rStyle w:val="FootnoteReference"/>
        </w:rPr>
        <w:footnoteRef/>
      </w:r>
      <w:r w:rsidRPr="00031C8B">
        <w:t xml:space="preserve"> See, </w:t>
      </w:r>
      <w:hyperlink r:id="rId3" w:history="1">
        <w:r w:rsidRPr="008A1B5D">
          <w:rPr>
            <w:rStyle w:val="Hyperlink"/>
            <w:color w:val="auto"/>
            <w:u w:val="none"/>
          </w:rPr>
          <w:t>Letter from Dennis Renaud to Benjamin A. Wilson</w:t>
        </w:r>
      </w:hyperlink>
      <w:r w:rsidRPr="008A1B5D">
        <w:t>, dated February 2, 2024 (</w:t>
      </w:r>
      <w:hyperlink r:id="rId4" w:history="1">
        <w:r w:rsidR="008A1B5D" w:rsidRPr="008A1B5D">
          <w:rPr>
            <w:rStyle w:val="Hyperlink"/>
            <w:color w:val="auto"/>
            <w:u w:val="none"/>
          </w:rPr>
          <w:t>https://www.mass.gov/doc/independent-cost-analysis-letter-pdf-dana-farber-cancer-institute-inc-hospitalclinic/download</w:t>
        </w:r>
      </w:hyperlink>
      <w:r w:rsidR="008A1B5D" w:rsidRPr="008A1B5D">
        <w:t xml:space="preserve"> </w:t>
      </w:r>
      <w:r w:rsidRPr="008A1B5D">
        <w:t>).</w:t>
      </w:r>
    </w:p>
  </w:footnote>
  <w:footnote w:id="4">
    <w:p w14:paraId="6117B70B" w14:textId="50D97E78" w:rsidR="009F32CC" w:rsidRPr="00031C8B" w:rsidRDefault="009F32CC">
      <w:pPr>
        <w:pStyle w:val="FootnoteText"/>
      </w:pPr>
      <w:r w:rsidRPr="00031C8B">
        <w:rPr>
          <w:rStyle w:val="FootnoteReference"/>
        </w:rPr>
        <w:footnoteRef/>
      </w:r>
      <w:r w:rsidRPr="00031C8B">
        <w:t xml:space="preserve"> Specifically, </w:t>
      </w:r>
      <w:r w:rsidR="009B2094" w:rsidRPr="00031C8B">
        <w:t xml:space="preserve">DFCI has filed a DoN Application for which an ICA is being required to assess whether the Proposed Project will be consistent with the healthcare </w:t>
      </w:r>
      <w:r w:rsidR="001F7944">
        <w:t>cost-</w:t>
      </w:r>
      <w:r w:rsidR="009B2094" w:rsidRPr="00031C8B">
        <w:t xml:space="preserve">containment goals of Massachusetts. </w:t>
      </w:r>
    </w:p>
  </w:footnote>
  <w:footnote w:id="5">
    <w:p w14:paraId="56886837" w14:textId="30403BE7" w:rsidR="009B2094" w:rsidRPr="00031C8B" w:rsidRDefault="009B2094">
      <w:pPr>
        <w:pStyle w:val="FootnoteText"/>
      </w:pPr>
      <w:r w:rsidRPr="00031C8B">
        <w:rPr>
          <w:rStyle w:val="FootnoteReference"/>
        </w:rPr>
        <w:footnoteRef/>
      </w:r>
      <w:r w:rsidRPr="00031C8B">
        <w:t xml:space="preserve"> In conducting our review of the DFCI Application, we considered the documents and information provided by DFCI and others to the DPH as part of the DoN application process, including publicly available information. Th</w:t>
      </w:r>
      <w:r w:rsidR="001F7944">
        <w:t>is</w:t>
      </w:r>
      <w:r w:rsidRPr="00031C8B">
        <w:t xml:space="preserve"> </w:t>
      </w:r>
      <w:r w:rsidR="001F7944">
        <w:t>r</w:t>
      </w:r>
      <w:r w:rsidRPr="00031C8B">
        <w:t xml:space="preserve">eport and </w:t>
      </w:r>
      <w:r w:rsidR="001F7944">
        <w:t>accompanying a</w:t>
      </w:r>
      <w:r w:rsidRPr="00031C8B">
        <w:t xml:space="preserve">ppendix provide a complete listing of all source data and information used in this </w:t>
      </w:r>
      <w:r w:rsidR="001F7944">
        <w:t>r</w:t>
      </w:r>
      <w:r w:rsidRPr="00031C8B">
        <w:t>eport. Among the materials considered were several submissions by DFCI to the DPH</w:t>
      </w:r>
      <w:r w:rsidR="001F7944">
        <w:t>.</w:t>
      </w:r>
    </w:p>
  </w:footnote>
  <w:footnote w:id="6">
    <w:p w14:paraId="1E3E4061" w14:textId="77777777" w:rsidR="00B871B0" w:rsidRDefault="00B871B0" w:rsidP="00B871B0">
      <w:pPr>
        <w:pStyle w:val="FootnoteText"/>
      </w:pPr>
      <w:r>
        <w:rPr>
          <w:rStyle w:val="FootnoteReference"/>
        </w:rPr>
        <w:footnoteRef/>
      </w:r>
      <w:r>
        <w:t xml:space="preserve"> </w:t>
      </w:r>
      <w:r w:rsidRPr="00031C8B">
        <w:t xml:space="preserve">Letter from Dennis Renaud to </w:t>
      </w:r>
      <w:r>
        <w:t>Lisa O’Connor</w:t>
      </w:r>
      <w:r w:rsidRPr="00031C8B">
        <w:t xml:space="preserve">, </w:t>
      </w:r>
      <w:r>
        <w:t>May 14, 2024.</w:t>
      </w:r>
    </w:p>
  </w:footnote>
  <w:footnote w:id="7">
    <w:p w14:paraId="4B53CD8D" w14:textId="39395DC9" w:rsidR="00A27A52" w:rsidRPr="00031C8B" w:rsidRDefault="00A27A52" w:rsidP="00A27A52">
      <w:pPr>
        <w:pStyle w:val="FootnoteText"/>
      </w:pPr>
      <w:r w:rsidRPr="00031C8B">
        <w:rPr>
          <w:rStyle w:val="FootnoteReference"/>
        </w:rPr>
        <w:footnoteRef/>
      </w:r>
      <w:r w:rsidRPr="00031C8B">
        <w:t xml:space="preserve"> </w:t>
      </w:r>
      <w:hyperlink r:id="rId5" w:history="1">
        <w:r w:rsidR="001F7944" w:rsidRPr="008A1B5D">
          <w:rPr>
            <w:rStyle w:val="Hyperlink"/>
            <w:color w:val="auto"/>
            <w:u w:val="none"/>
          </w:rPr>
          <w:t>DFCI DoN Application #: DFCI-23040915-HE Project Description and Narrative</w:t>
        </w:r>
      </w:hyperlink>
      <w:r w:rsidR="001F7944" w:rsidRPr="008A1B5D">
        <w:t xml:space="preserve">. </w:t>
      </w:r>
      <w:hyperlink r:id="rId6" w:history="1">
        <w:r w:rsidR="008A1B5D" w:rsidRPr="008A1B5D">
          <w:rPr>
            <w:rStyle w:val="Hyperlink"/>
            <w:color w:val="auto"/>
            <w:u w:val="none"/>
          </w:rPr>
          <w:t>https://www.mass.gov/doc/project-description-narrative-pdf-dana-farber-cancer-institute-inc-expenditure/download</w:t>
        </w:r>
      </w:hyperlink>
      <w:r w:rsidR="008A1B5D" w:rsidRPr="008A1B5D">
        <w:t xml:space="preserve"> </w:t>
      </w:r>
      <w:r w:rsidR="001F7944" w:rsidRPr="008A1B5D">
        <w:t xml:space="preserve"> </w:t>
      </w:r>
      <w:r w:rsidR="001F7944">
        <w:t xml:space="preserve">(hereafter, </w:t>
      </w:r>
      <w:r w:rsidR="006020D7">
        <w:t>“</w:t>
      </w:r>
      <w:r w:rsidR="001F7944">
        <w:t>Application Narrative</w:t>
      </w:r>
      <w:r w:rsidR="006020D7">
        <w:t>”</w:t>
      </w:r>
      <w:r w:rsidR="001F7944">
        <w:t>)</w:t>
      </w:r>
      <w:r w:rsidR="001F7944" w:rsidRPr="00031C8B">
        <w:t xml:space="preserve">, p. </w:t>
      </w:r>
      <w:r w:rsidR="001F7944">
        <w:t>2</w:t>
      </w:r>
      <w:r w:rsidR="001F7944" w:rsidRPr="00031C8B">
        <w:t>.</w:t>
      </w:r>
    </w:p>
  </w:footnote>
  <w:footnote w:id="8">
    <w:p w14:paraId="5EE07DCA" w14:textId="54CE8C20" w:rsidR="00A27A52" w:rsidRPr="00031C8B" w:rsidRDefault="00A27A52">
      <w:pPr>
        <w:pStyle w:val="FootnoteText"/>
      </w:pPr>
      <w:r w:rsidRPr="00031C8B">
        <w:rPr>
          <w:rStyle w:val="FootnoteReference"/>
        </w:rPr>
        <w:footnoteRef/>
      </w:r>
      <w:r w:rsidRPr="00031C8B">
        <w:t xml:space="preserve"> </w:t>
      </w:r>
      <w:r w:rsidR="001F7944">
        <w:t xml:space="preserve">See DFCI’s announcement of the collaboration with BIDMC. </w:t>
      </w:r>
      <w:r w:rsidR="006020D7">
        <w:t>“</w:t>
      </w:r>
      <w:hyperlink r:id="rId7" w:history="1">
        <w:r w:rsidR="001F7944" w:rsidRPr="008A1B5D">
          <w:rPr>
            <w:rStyle w:val="Hyperlink"/>
            <w:color w:val="auto"/>
            <w:u w:val="none"/>
          </w:rPr>
          <w:t xml:space="preserve">Dana-Farber Beth </w:t>
        </w:r>
        <w:r w:rsidR="00942C12" w:rsidRPr="008A1B5D">
          <w:rPr>
            <w:rStyle w:val="Hyperlink"/>
            <w:color w:val="auto"/>
            <w:u w:val="none"/>
          </w:rPr>
          <w:t>Israel</w:t>
        </w:r>
        <w:r w:rsidR="001F7944" w:rsidRPr="008A1B5D">
          <w:rPr>
            <w:rStyle w:val="Hyperlink"/>
            <w:color w:val="auto"/>
            <w:u w:val="none"/>
          </w:rPr>
          <w:t xml:space="preserve"> Deaconess Cancer Collaboration</w:t>
        </w:r>
      </w:hyperlink>
      <w:r w:rsidR="00DE0232" w:rsidRPr="008A1B5D">
        <w:t>,</w:t>
      </w:r>
      <w:r w:rsidR="006020D7" w:rsidRPr="008A1B5D">
        <w:t>”</w:t>
      </w:r>
      <w:r w:rsidR="00AD08A8" w:rsidRPr="008A1B5D">
        <w:t xml:space="preserve"> </w:t>
      </w:r>
      <w:hyperlink r:id="rId8" w:history="1">
        <w:r w:rsidR="008A1B5D" w:rsidRPr="008A1B5D">
          <w:rPr>
            <w:rStyle w:val="Hyperlink"/>
            <w:color w:val="auto"/>
            <w:u w:val="none"/>
          </w:rPr>
          <w:t>https://www.dana-farber.org/about/dana-farber-beth-israel-deaconess-cancer-collaboration</w:t>
        </w:r>
      </w:hyperlink>
      <w:r w:rsidR="008A1B5D" w:rsidRPr="008A1B5D">
        <w:t xml:space="preserve"> </w:t>
      </w:r>
      <w:r w:rsidR="001F7944" w:rsidRPr="008A1B5D">
        <w:t xml:space="preserve">. </w:t>
      </w:r>
    </w:p>
  </w:footnote>
  <w:footnote w:id="9">
    <w:p w14:paraId="77652A75" w14:textId="5E1313B2" w:rsidR="00AF6DE8" w:rsidRPr="00031C8B" w:rsidRDefault="00AF6DE8">
      <w:pPr>
        <w:pStyle w:val="FootnoteText"/>
      </w:pPr>
      <w:r w:rsidRPr="00031C8B">
        <w:rPr>
          <w:rStyle w:val="FootnoteReference"/>
        </w:rPr>
        <w:footnoteRef/>
      </w:r>
      <w:r w:rsidRPr="00031C8B">
        <w:t xml:space="preserve"> Application Narrative</w:t>
      </w:r>
      <w:r w:rsidR="00DE0232">
        <w:t>,</w:t>
      </w:r>
      <w:r w:rsidRPr="00031C8B">
        <w:t xml:space="preserve"> p. 28.</w:t>
      </w:r>
    </w:p>
  </w:footnote>
  <w:footnote w:id="10">
    <w:p w14:paraId="4889BA4F" w14:textId="76CAEF3D" w:rsidR="00BF5F54" w:rsidRPr="00C85D47" w:rsidRDefault="00BF5F54">
      <w:pPr>
        <w:pStyle w:val="FootnoteText"/>
        <w:rPr>
          <w:lang w:val="fr-FR"/>
        </w:rPr>
      </w:pPr>
      <w:r w:rsidRPr="00031C8B">
        <w:rPr>
          <w:rStyle w:val="FootnoteReference"/>
        </w:rPr>
        <w:footnoteRef/>
      </w:r>
      <w:r w:rsidRPr="00031C8B">
        <w:t xml:space="preserve"> Majka ES, Trueger NS. Emergency Department Visits Among Patients </w:t>
      </w:r>
      <w:r w:rsidRPr="00031C8B">
        <w:t xml:space="preserve">With Cancer in the US. </w:t>
      </w:r>
      <w:r w:rsidRPr="00C85D47">
        <w:rPr>
          <w:lang w:val="fr-FR"/>
        </w:rPr>
        <w:t>JAMA Netw Open. 2023;6(1):e2253797. doi:10.1001/jamanetworkopen.2022.53797</w:t>
      </w:r>
      <w:r w:rsidR="00DE0232" w:rsidRPr="00C85D47">
        <w:rPr>
          <w:lang w:val="fr-FR"/>
        </w:rPr>
        <w:t xml:space="preserve">. </w:t>
      </w:r>
    </w:p>
  </w:footnote>
  <w:footnote w:id="11">
    <w:p w14:paraId="415DB86F" w14:textId="6248E261" w:rsidR="000A3E80" w:rsidRPr="00C85D47" w:rsidRDefault="000A3E80">
      <w:pPr>
        <w:pStyle w:val="FootnoteText"/>
        <w:rPr>
          <w:lang w:val="fr-FR"/>
        </w:rPr>
      </w:pPr>
      <w:r w:rsidRPr="00031C8B">
        <w:rPr>
          <w:rStyle w:val="FootnoteReference"/>
        </w:rPr>
        <w:footnoteRef/>
      </w:r>
      <w:r w:rsidRPr="00C85D47">
        <w:rPr>
          <w:lang w:val="fr-FR"/>
        </w:rPr>
        <w:t xml:space="preserve"> Application Narrative</w:t>
      </w:r>
      <w:r w:rsidR="00DE0232" w:rsidRPr="00C85D47">
        <w:rPr>
          <w:lang w:val="fr-FR"/>
        </w:rPr>
        <w:t>,</w:t>
      </w:r>
      <w:r w:rsidRPr="00C85D47">
        <w:rPr>
          <w:lang w:val="fr-FR"/>
        </w:rPr>
        <w:t xml:space="preserve"> p. 2.</w:t>
      </w:r>
    </w:p>
  </w:footnote>
  <w:footnote w:id="12">
    <w:p w14:paraId="1F363E1D" w14:textId="56F3D7FC" w:rsidR="00014576" w:rsidRPr="00C85D47" w:rsidRDefault="00014576">
      <w:pPr>
        <w:pStyle w:val="FootnoteText"/>
        <w:rPr>
          <w:lang w:val="fr-FR"/>
        </w:rPr>
      </w:pPr>
      <w:r>
        <w:rPr>
          <w:rStyle w:val="FootnoteReference"/>
        </w:rPr>
        <w:footnoteRef/>
      </w:r>
      <w:r w:rsidRPr="00C85D47">
        <w:rPr>
          <w:lang w:val="fr-FR"/>
        </w:rPr>
        <w:t xml:space="preserve"> </w:t>
      </w:r>
      <w:r w:rsidR="00DE0232" w:rsidRPr="00C85D47">
        <w:rPr>
          <w:lang w:val="fr-FR"/>
        </w:rPr>
        <w:t>Application Narrative, p. 7.</w:t>
      </w:r>
    </w:p>
  </w:footnote>
  <w:footnote w:id="13">
    <w:p w14:paraId="1422DE42" w14:textId="140FAFC9" w:rsidR="00D6223C" w:rsidRPr="00031C8B" w:rsidRDefault="00D6223C">
      <w:pPr>
        <w:pStyle w:val="FootnoteText"/>
      </w:pPr>
      <w:r w:rsidRPr="00031C8B">
        <w:rPr>
          <w:rStyle w:val="FootnoteReference"/>
        </w:rPr>
        <w:footnoteRef/>
      </w:r>
      <w:r w:rsidRPr="00031C8B">
        <w:t xml:space="preserve"> The Application notes that some of this increase in outpatient imaging utilization is attributable to opening a new site in Chestnut Hill in 2021</w:t>
      </w:r>
      <w:r w:rsidR="00DE0232">
        <w:t xml:space="preserve"> (</w:t>
      </w:r>
      <w:r w:rsidR="00DE0232" w:rsidRPr="00031C8B">
        <w:t xml:space="preserve">Application Narrative, p. </w:t>
      </w:r>
      <w:r w:rsidR="00DE0232">
        <w:t>7).</w:t>
      </w:r>
    </w:p>
  </w:footnote>
  <w:footnote w:id="14">
    <w:p w14:paraId="1B0C7099" w14:textId="44824EE1" w:rsidR="00D6223C" w:rsidRPr="00C85D47" w:rsidRDefault="00D6223C">
      <w:pPr>
        <w:pStyle w:val="FootnoteText"/>
        <w:rPr>
          <w:lang w:val="fr-FR"/>
        </w:rPr>
      </w:pPr>
      <w:r w:rsidRPr="00031C8B">
        <w:rPr>
          <w:rStyle w:val="FootnoteReference"/>
        </w:rPr>
        <w:footnoteRef/>
      </w:r>
      <w:r w:rsidRPr="00C85D47">
        <w:rPr>
          <w:lang w:val="fr-FR"/>
        </w:rPr>
        <w:t xml:space="preserve"> Application Narrative, p. 25.</w:t>
      </w:r>
    </w:p>
  </w:footnote>
  <w:footnote w:id="15">
    <w:p w14:paraId="6406039F" w14:textId="1938BE1F" w:rsidR="00CD0E2C" w:rsidRPr="00C85D47" w:rsidRDefault="00CD0E2C">
      <w:pPr>
        <w:pStyle w:val="FootnoteText"/>
        <w:rPr>
          <w:lang w:val="fr-FR"/>
        </w:rPr>
      </w:pPr>
      <w:r w:rsidRPr="00031C8B">
        <w:rPr>
          <w:rStyle w:val="FootnoteReference"/>
        </w:rPr>
        <w:footnoteRef/>
      </w:r>
      <w:r w:rsidRPr="00C85D47">
        <w:rPr>
          <w:lang w:val="fr-FR"/>
        </w:rPr>
        <w:t xml:space="preserve"> Application Narrative, pp. 26-27.</w:t>
      </w:r>
    </w:p>
  </w:footnote>
  <w:footnote w:id="16">
    <w:p w14:paraId="3637CCC9" w14:textId="553CCE96" w:rsidR="00CD0E2C" w:rsidRPr="00031C8B" w:rsidRDefault="00CD0E2C">
      <w:pPr>
        <w:pStyle w:val="FootnoteText"/>
      </w:pPr>
      <w:r w:rsidRPr="00031C8B">
        <w:rPr>
          <w:rStyle w:val="FootnoteReference"/>
        </w:rPr>
        <w:footnoteRef/>
      </w:r>
      <w:r w:rsidRPr="00031C8B">
        <w:t xml:space="preserve"> </w:t>
      </w:r>
      <w:r w:rsidR="00AB7BF4" w:rsidRPr="00031C8B">
        <w:t xml:space="preserve">The Application notes that this collection of nine LINACs is short of </w:t>
      </w:r>
      <w:r w:rsidR="00DE0232">
        <w:t>DFCI’s</w:t>
      </w:r>
      <w:r w:rsidR="00AB7BF4" w:rsidRPr="00031C8B">
        <w:t xml:space="preserve"> projected need for ten (Application Narrative</w:t>
      </w:r>
      <w:r w:rsidR="00DE0232">
        <w:t>,</w:t>
      </w:r>
      <w:r w:rsidR="00AB7BF4" w:rsidRPr="00031C8B">
        <w:t xml:space="preserve"> p. 26)</w:t>
      </w:r>
      <w:r w:rsidR="00DE0232">
        <w:t>.</w:t>
      </w:r>
    </w:p>
  </w:footnote>
  <w:footnote w:id="17">
    <w:p w14:paraId="15D0A5F9" w14:textId="30AB2FFA" w:rsidR="00122E54" w:rsidRPr="008A1B5D" w:rsidRDefault="00122E54" w:rsidP="00122E54">
      <w:pPr>
        <w:pStyle w:val="FootnoteText"/>
      </w:pPr>
      <w:r w:rsidRPr="00031C8B">
        <w:rPr>
          <w:rStyle w:val="FootnoteReference"/>
        </w:rPr>
        <w:footnoteRef/>
      </w:r>
      <w:r w:rsidRPr="00031C8B">
        <w:t xml:space="preserve"> </w:t>
      </w:r>
      <w:hyperlink r:id="rId9" w:history="1">
        <w:r w:rsidRPr="008A1B5D">
          <w:rPr>
            <w:rStyle w:val="Hyperlink"/>
            <w:color w:val="auto"/>
            <w:u w:val="none"/>
          </w:rPr>
          <w:t xml:space="preserve">Letter from </w:t>
        </w:r>
        <w:r w:rsidR="007439F6" w:rsidRPr="008A1B5D">
          <w:rPr>
            <w:rStyle w:val="Hyperlink"/>
            <w:color w:val="auto"/>
            <w:u w:val="none"/>
          </w:rPr>
          <w:t xml:space="preserve">Dennis Renaud </w:t>
        </w:r>
        <w:r w:rsidRPr="008A1B5D">
          <w:rPr>
            <w:rStyle w:val="Hyperlink"/>
            <w:color w:val="auto"/>
            <w:u w:val="none"/>
          </w:rPr>
          <w:t xml:space="preserve">to </w:t>
        </w:r>
        <w:r w:rsidR="007439F6" w:rsidRPr="008A1B5D">
          <w:rPr>
            <w:rStyle w:val="Hyperlink"/>
            <w:color w:val="auto"/>
            <w:u w:val="none"/>
          </w:rPr>
          <w:t>Benjamin A. Wilson</w:t>
        </w:r>
        <w:r w:rsidRPr="008A1B5D">
          <w:rPr>
            <w:rStyle w:val="Hyperlink"/>
            <w:color w:val="auto"/>
            <w:u w:val="none"/>
          </w:rPr>
          <w:t xml:space="preserve">, </w:t>
        </w:r>
        <w:r w:rsidR="007439F6" w:rsidRPr="008A1B5D">
          <w:rPr>
            <w:rStyle w:val="Hyperlink"/>
            <w:color w:val="auto"/>
            <w:u w:val="none"/>
          </w:rPr>
          <w:t>February 2, 2024</w:t>
        </w:r>
      </w:hyperlink>
      <w:r w:rsidR="007439F6" w:rsidRPr="008A1B5D">
        <w:t xml:space="preserve"> (</w:t>
      </w:r>
      <w:hyperlink r:id="rId10" w:history="1">
        <w:r w:rsidR="008A1B5D" w:rsidRPr="008A1B5D">
          <w:rPr>
            <w:rStyle w:val="Hyperlink"/>
            <w:color w:val="auto"/>
            <w:u w:val="none"/>
          </w:rPr>
          <w:t>https://www.mass.gov/doc/independent-cost-analysis-letter-pdf-dana-farber-cancer-institute-inc-hospitalclinic/download</w:t>
        </w:r>
      </w:hyperlink>
      <w:r w:rsidR="008A1B5D" w:rsidRPr="008A1B5D">
        <w:t xml:space="preserve"> </w:t>
      </w:r>
      <w:r w:rsidR="007439F6" w:rsidRPr="008A1B5D">
        <w:t xml:space="preserve">). </w:t>
      </w:r>
    </w:p>
  </w:footnote>
  <w:footnote w:id="18">
    <w:p w14:paraId="292B8D2B" w14:textId="5C9C18C7" w:rsidR="00FA457D" w:rsidRPr="00031C8B" w:rsidRDefault="00FA457D">
      <w:pPr>
        <w:pStyle w:val="FootnoteText"/>
      </w:pPr>
      <w:r w:rsidRPr="008A1B5D">
        <w:rPr>
          <w:rStyle w:val="FootnoteReference"/>
        </w:rPr>
        <w:footnoteRef/>
      </w:r>
      <w:r w:rsidRPr="008A1B5D">
        <w:t xml:space="preserve"> Mass. Gen. Laws ch. 111, </w:t>
      </w:r>
      <w:r w:rsidRPr="008A1B5D">
        <w:rPr>
          <w:shd w:val="clear" w:color="auto" w:fill="FFFFFF"/>
        </w:rPr>
        <w:t>§</w:t>
      </w:r>
      <w:r w:rsidRPr="008A1B5D">
        <w:t xml:space="preserve"> 25C(h).</w:t>
      </w:r>
    </w:p>
  </w:footnote>
  <w:footnote w:id="19">
    <w:p w14:paraId="5219F79B" w14:textId="40B76332" w:rsidR="003D3FF9" w:rsidRPr="00031C8B" w:rsidRDefault="003D3FF9">
      <w:pPr>
        <w:pStyle w:val="FootnoteText"/>
      </w:pPr>
      <w:r w:rsidRPr="00031C8B">
        <w:rPr>
          <w:rStyle w:val="FootnoteReference"/>
        </w:rPr>
        <w:footnoteRef/>
      </w:r>
      <w:r w:rsidRPr="00031C8B">
        <w:t xml:space="preserve"> </w:t>
      </w:r>
      <w:r w:rsidR="00DE0232">
        <w:t>Application</w:t>
      </w:r>
      <w:r w:rsidR="00D90F1A" w:rsidRPr="00031C8B">
        <w:t xml:space="preserve"> Narrative, p. </w:t>
      </w:r>
      <w:r w:rsidR="002B2D03">
        <w:t>3</w:t>
      </w:r>
      <w:r w:rsidR="00D90F1A" w:rsidRPr="00031C8B">
        <w:t>.</w:t>
      </w:r>
    </w:p>
  </w:footnote>
  <w:footnote w:id="20">
    <w:p w14:paraId="00039C66" w14:textId="3AF128E8" w:rsidR="007F4AEC" w:rsidRPr="00031C8B" w:rsidRDefault="007F4AEC">
      <w:pPr>
        <w:pStyle w:val="FootnoteText"/>
      </w:pPr>
      <w:r w:rsidRPr="00031C8B">
        <w:rPr>
          <w:rStyle w:val="FootnoteReference"/>
        </w:rPr>
        <w:footnoteRef/>
      </w:r>
      <w:r w:rsidRPr="00031C8B">
        <w:t xml:space="preserve"> </w:t>
      </w:r>
      <w:hyperlink r:id="rId11" w:history="1">
        <w:r w:rsidRPr="008A1B5D">
          <w:rPr>
            <w:rStyle w:val="Hyperlink"/>
            <w:color w:val="auto"/>
            <w:u w:val="none"/>
          </w:rPr>
          <w:t>Massachusetts Health Policy Commission. 2023 Cost Trends Report</w:t>
        </w:r>
      </w:hyperlink>
      <w:r w:rsidRPr="008A1B5D">
        <w:t xml:space="preserve">. Sept. 2023. </w:t>
      </w:r>
      <w:hyperlink r:id="rId12" w:history="1">
        <w:r w:rsidR="008A1B5D" w:rsidRPr="008A1B5D">
          <w:rPr>
            <w:rStyle w:val="Hyperlink"/>
            <w:color w:val="auto"/>
            <w:u w:val="none"/>
          </w:rPr>
          <w:t>https://www.mass.gov/doc/2023-health-care-cost-trends-report/download</w:t>
        </w:r>
      </w:hyperlink>
      <w:r w:rsidR="008A1B5D" w:rsidRPr="008A1B5D">
        <w:t xml:space="preserve"> </w:t>
      </w:r>
      <w:r w:rsidR="00DE0232" w:rsidRPr="008A1B5D">
        <w:t>, p. 5.</w:t>
      </w:r>
      <w:r w:rsidR="002765FB" w:rsidRPr="008A1B5D">
        <w:t xml:space="preserve"> </w:t>
      </w:r>
    </w:p>
  </w:footnote>
  <w:footnote w:id="21">
    <w:p w14:paraId="086654B9" w14:textId="4782F548" w:rsidR="00A520D0" w:rsidRDefault="00A520D0">
      <w:pPr>
        <w:pStyle w:val="FootnoteText"/>
      </w:pPr>
      <w:r>
        <w:rPr>
          <w:rStyle w:val="FootnoteReference"/>
        </w:rPr>
        <w:footnoteRef/>
      </w:r>
      <w:r>
        <w:t xml:space="preserve"> </w:t>
      </w:r>
      <w:r w:rsidRPr="00A520D0">
        <w:t xml:space="preserve">For purposes of this report, FTI took the </w:t>
      </w:r>
      <w:r w:rsidRPr="00A520D0">
        <w:t>HPC  report(s), findings, methodologies</w:t>
      </w:r>
      <w:r>
        <w:t>,</w:t>
      </w:r>
      <w:r w:rsidRPr="00A520D0">
        <w:t xml:space="preserve"> and assessments as given and did not undertake further assessment</w:t>
      </w:r>
      <w:r>
        <w:t>.</w:t>
      </w:r>
    </w:p>
  </w:footnote>
  <w:footnote w:id="22">
    <w:p w14:paraId="6E6F2552" w14:textId="08CC8AF2" w:rsidR="00661250" w:rsidRPr="00C85D47" w:rsidRDefault="00661250" w:rsidP="00661250">
      <w:pPr>
        <w:pStyle w:val="FootnoteText"/>
        <w:rPr>
          <w:lang w:val="fr-FR"/>
        </w:rPr>
      </w:pPr>
      <w:r w:rsidRPr="00031C8B">
        <w:rPr>
          <w:rStyle w:val="FootnoteReference"/>
        </w:rPr>
        <w:footnoteRef/>
      </w:r>
      <w:r w:rsidRPr="00031C8B">
        <w:t xml:space="preserve"> </w:t>
      </w:r>
      <w:hyperlink r:id="rId13" w:history="1">
        <w:r w:rsidRPr="008A1B5D">
          <w:rPr>
            <w:rStyle w:val="Hyperlink"/>
            <w:color w:val="auto"/>
            <w:u w:val="none"/>
          </w:rPr>
          <w:t>Massachusetts Health Policy Commission. 2023 Cost Trends Report</w:t>
        </w:r>
      </w:hyperlink>
      <w:r w:rsidRPr="008A1B5D">
        <w:t xml:space="preserve">. </w:t>
      </w:r>
      <w:r w:rsidRPr="008A1B5D">
        <w:rPr>
          <w:lang w:val="fr-FR"/>
        </w:rPr>
        <w:t xml:space="preserve">Sept. 2023. </w:t>
      </w:r>
      <w:hyperlink r:id="rId14" w:history="1">
        <w:r w:rsidR="008A1B5D" w:rsidRPr="008A1B5D">
          <w:rPr>
            <w:rStyle w:val="Hyperlink"/>
            <w:color w:val="auto"/>
            <w:u w:val="none"/>
            <w:lang w:val="fr-FR"/>
          </w:rPr>
          <w:t>https://www.mass.gov/doc/2023-health-care-cost-trends-report/download</w:t>
        </w:r>
      </w:hyperlink>
      <w:r w:rsidR="008A1B5D" w:rsidRPr="008A1B5D">
        <w:rPr>
          <w:lang w:val="fr-FR"/>
        </w:rPr>
        <w:t xml:space="preserve"> </w:t>
      </w:r>
      <w:r w:rsidR="00DE0232" w:rsidRPr="008A1B5D">
        <w:rPr>
          <w:lang w:val="fr-FR"/>
        </w:rPr>
        <w:t>, p. 3.</w:t>
      </w:r>
    </w:p>
  </w:footnote>
  <w:footnote w:id="23">
    <w:p w14:paraId="1640866E" w14:textId="67A75CBC" w:rsidR="00014576" w:rsidRPr="008A1B5D" w:rsidRDefault="00014576">
      <w:pPr>
        <w:pStyle w:val="FootnoteText"/>
        <w:rPr>
          <w:lang w:val="fr-FR"/>
        </w:rPr>
      </w:pPr>
      <w:r>
        <w:rPr>
          <w:rStyle w:val="FootnoteReference"/>
        </w:rPr>
        <w:footnoteRef/>
      </w:r>
      <w:r>
        <w:t xml:space="preserve"> </w:t>
      </w:r>
      <w:hyperlink r:id="rId15" w:history="1">
        <w:r w:rsidR="00DE0232" w:rsidRPr="008A1B5D">
          <w:rPr>
            <w:rStyle w:val="Hyperlink"/>
            <w:color w:val="auto"/>
            <w:u w:val="none"/>
          </w:rPr>
          <w:t>Massachusetts Health Policy Commission. 2023 Cost Trends Report</w:t>
        </w:r>
      </w:hyperlink>
      <w:r w:rsidR="00DE0232" w:rsidRPr="008A1B5D">
        <w:t xml:space="preserve">. </w:t>
      </w:r>
      <w:r w:rsidR="00DE0232" w:rsidRPr="008A1B5D">
        <w:rPr>
          <w:lang w:val="fr-FR"/>
        </w:rPr>
        <w:t xml:space="preserve">Sept. 2023. </w:t>
      </w:r>
      <w:hyperlink r:id="rId16" w:history="1">
        <w:r w:rsidR="008A1B5D" w:rsidRPr="008A1B5D">
          <w:rPr>
            <w:rStyle w:val="Hyperlink"/>
            <w:color w:val="auto"/>
            <w:u w:val="none"/>
            <w:lang w:val="fr-FR"/>
          </w:rPr>
          <w:t>https://www.mass.gov/doc/2023-health-care-cost-trends-report/download</w:t>
        </w:r>
      </w:hyperlink>
      <w:r w:rsidR="008A1B5D" w:rsidRPr="008A1B5D">
        <w:rPr>
          <w:lang w:val="fr-FR"/>
        </w:rPr>
        <w:t xml:space="preserve"> </w:t>
      </w:r>
      <w:r w:rsidR="00DE0232" w:rsidRPr="008A1B5D">
        <w:rPr>
          <w:lang w:val="fr-FR"/>
        </w:rPr>
        <w:t>, p. 5.</w:t>
      </w:r>
    </w:p>
  </w:footnote>
  <w:footnote w:id="24">
    <w:p w14:paraId="51DF74E6" w14:textId="06851DB1" w:rsidR="00C21E5E" w:rsidRPr="00C85D47" w:rsidRDefault="00C21E5E">
      <w:pPr>
        <w:pStyle w:val="FootnoteText"/>
        <w:rPr>
          <w:lang w:val="fr-FR"/>
        </w:rPr>
      </w:pPr>
      <w:r w:rsidRPr="008A1B5D">
        <w:rPr>
          <w:rStyle w:val="FootnoteReference"/>
        </w:rPr>
        <w:footnoteRef/>
      </w:r>
      <w:r w:rsidRPr="008A1B5D">
        <w:t xml:space="preserve"> </w:t>
      </w:r>
      <w:hyperlink r:id="rId17" w:history="1">
        <w:r w:rsidRPr="008A1B5D">
          <w:rPr>
            <w:rStyle w:val="Hyperlink"/>
            <w:color w:val="auto"/>
            <w:u w:val="none"/>
          </w:rPr>
          <w:t>Massachusetts Health Policy Commission. 2023 Cost Trends Report</w:t>
        </w:r>
      </w:hyperlink>
      <w:r w:rsidRPr="008A1B5D">
        <w:t xml:space="preserve">. </w:t>
      </w:r>
      <w:r w:rsidRPr="008A1B5D">
        <w:rPr>
          <w:lang w:val="fr-FR"/>
        </w:rPr>
        <w:t xml:space="preserve">Sept. 2023. </w:t>
      </w:r>
      <w:hyperlink r:id="rId18" w:history="1">
        <w:r w:rsidR="008A1B5D" w:rsidRPr="008A1B5D">
          <w:rPr>
            <w:rStyle w:val="Hyperlink"/>
            <w:color w:val="auto"/>
            <w:u w:val="none"/>
            <w:lang w:val="fr-FR"/>
          </w:rPr>
          <w:t>https://www.mass.gov/doc/2023-health-care-cost-trends-report/download</w:t>
        </w:r>
      </w:hyperlink>
      <w:r w:rsidR="008A1B5D" w:rsidRPr="008A1B5D">
        <w:rPr>
          <w:lang w:val="fr-FR"/>
        </w:rPr>
        <w:t xml:space="preserve"> </w:t>
      </w:r>
      <w:r w:rsidRPr="008A1B5D">
        <w:rPr>
          <w:lang w:val="fr-FR"/>
        </w:rPr>
        <w:t>, p. 18.</w:t>
      </w:r>
    </w:p>
  </w:footnote>
  <w:footnote w:id="25">
    <w:p w14:paraId="0DC4A493" w14:textId="2EE5EEDC" w:rsidR="001E2E8E" w:rsidRPr="002260EE" w:rsidRDefault="001E2E8E" w:rsidP="001E2E8E">
      <w:pPr>
        <w:pStyle w:val="FootnoteText"/>
        <w:contextualSpacing/>
      </w:pPr>
      <w:r w:rsidRPr="002260EE">
        <w:rPr>
          <w:rStyle w:val="FootnoteReference"/>
        </w:rPr>
        <w:footnoteRef/>
      </w:r>
      <w:r w:rsidRPr="002260EE">
        <w:t xml:space="preserve"> Moreover, predicting future prices and volumes are complicated by factors such as changes in supply as well as changes in demand</w:t>
      </w:r>
      <w:r w:rsidR="00DE0232">
        <w:t>, both of which are projected to occur in this setting.</w:t>
      </w:r>
    </w:p>
  </w:footnote>
  <w:footnote w:id="26">
    <w:p w14:paraId="56DF9B47" w14:textId="01F01D6D" w:rsidR="0076134A" w:rsidRPr="00031C8B" w:rsidRDefault="0076134A">
      <w:pPr>
        <w:pStyle w:val="FootnoteText"/>
      </w:pPr>
      <w:r w:rsidRPr="00031C8B">
        <w:rPr>
          <w:rStyle w:val="FootnoteReference"/>
        </w:rPr>
        <w:footnoteRef/>
      </w:r>
      <w:r w:rsidRPr="00031C8B">
        <w:t xml:space="preserve"> </w:t>
      </w:r>
      <w:r w:rsidR="00CB03FE" w:rsidRPr="00031C8B">
        <w:t xml:space="preserve">Letter from </w:t>
      </w:r>
      <w:r w:rsidR="00CB03FE">
        <w:t>Caroline Powers</w:t>
      </w:r>
      <w:r w:rsidR="00CB03FE" w:rsidRPr="00031C8B">
        <w:t xml:space="preserve"> to </w:t>
      </w:r>
      <w:r w:rsidR="00CB03FE">
        <w:t>Lisa O’Connor</w:t>
      </w:r>
      <w:r w:rsidR="00CB03FE" w:rsidRPr="00031C8B">
        <w:t xml:space="preserve">, dated </w:t>
      </w:r>
      <w:r w:rsidR="00CB03FE">
        <w:t>June 26</w:t>
      </w:r>
      <w:r w:rsidR="00CB03FE" w:rsidRPr="00031C8B">
        <w:t>, 2024</w:t>
      </w:r>
      <w:r w:rsidR="00CB03FE">
        <w:t xml:space="preserve">. </w:t>
      </w:r>
      <w:r w:rsidRPr="00031C8B">
        <w:t xml:space="preserve">The roster </w:t>
      </w:r>
      <w:r w:rsidR="006020D7">
        <w:t>“</w:t>
      </w:r>
      <w:r w:rsidRPr="00031C8B">
        <w:t>includes physicians with privileges at Dana-Farber, defined as active staff who see patients.</w:t>
      </w:r>
      <w:r w:rsidR="006020D7">
        <w:t>”</w:t>
      </w:r>
      <w:r w:rsidRPr="00031C8B">
        <w:t xml:space="preserve"> The dataset</w:t>
      </w:r>
      <w:r w:rsidR="00377EA4" w:rsidRPr="00031C8B">
        <w:t xml:space="preserve"> excludes active staff with no privileges and </w:t>
      </w:r>
      <w:r w:rsidR="006020D7">
        <w:t>“</w:t>
      </w:r>
      <w:r w:rsidR="00377EA4" w:rsidRPr="00031C8B">
        <w:t>Distinguished Staff.</w:t>
      </w:r>
      <w:r w:rsidR="006020D7">
        <w:t>”</w:t>
      </w:r>
      <w:r w:rsidR="00377EA4" w:rsidRPr="00031C8B">
        <w:t xml:space="preserve"> It contains</w:t>
      </w:r>
      <w:r w:rsidRPr="00031C8B">
        <w:t xml:space="preserve"> </w:t>
      </w:r>
      <w:r w:rsidR="00377EA4" w:rsidRPr="00031C8B">
        <w:t xml:space="preserve">the </w:t>
      </w:r>
      <w:r w:rsidRPr="00031C8B">
        <w:t>first and last name of each physician</w:t>
      </w:r>
      <w:r w:rsidR="00377EA4" w:rsidRPr="00031C8B">
        <w:t xml:space="preserve"> and their Massachusetts license number.</w:t>
      </w:r>
    </w:p>
  </w:footnote>
  <w:footnote w:id="27">
    <w:p w14:paraId="0B3D9588" w14:textId="70E51964" w:rsidR="00BF35CD" w:rsidRDefault="00BF35CD">
      <w:pPr>
        <w:pStyle w:val="FootnoteText"/>
      </w:pPr>
      <w:r>
        <w:rPr>
          <w:rStyle w:val="FootnoteReference"/>
        </w:rPr>
        <w:footnoteRef/>
      </w:r>
      <w:r>
        <w:t xml:space="preserve"> See Appendix Section I.A for a detailed description of the</w:t>
      </w:r>
      <w:r w:rsidR="009502AD">
        <w:t>se data.</w:t>
      </w:r>
    </w:p>
  </w:footnote>
  <w:footnote w:id="28">
    <w:p w14:paraId="70676A7A" w14:textId="3D02553C" w:rsidR="00377EA4" w:rsidRPr="00031C8B" w:rsidRDefault="00377EA4">
      <w:pPr>
        <w:pStyle w:val="FootnoteText"/>
      </w:pPr>
      <w:r w:rsidRPr="00031C8B">
        <w:rPr>
          <w:rStyle w:val="FootnoteReference"/>
        </w:rPr>
        <w:footnoteRef/>
      </w:r>
      <w:r w:rsidRPr="00031C8B">
        <w:t xml:space="preserve"> Expanding the set of hospitals where DFCI physicians may have treated patients to all hospitals in Massachusetts identified very few additional physicians meeting the criteria. This implies that DFCI physicians perform nearly </w:t>
      </w:r>
      <w:r w:rsidRPr="00031C8B">
        <w:t>all of their inpatient care in DFCI or BWH licensed beds.</w:t>
      </w:r>
    </w:p>
  </w:footnote>
  <w:footnote w:id="29">
    <w:p w14:paraId="04827D9C" w14:textId="58C0B80E" w:rsidR="00377EA4" w:rsidRPr="00031C8B" w:rsidRDefault="00377EA4">
      <w:pPr>
        <w:pStyle w:val="FootnoteText"/>
      </w:pPr>
      <w:r w:rsidRPr="00031C8B">
        <w:rPr>
          <w:rStyle w:val="FootnoteReference"/>
        </w:rPr>
        <w:footnoteRef/>
      </w:r>
      <w:r w:rsidRPr="00031C8B">
        <w:t xml:space="preserve"> See Section </w:t>
      </w:r>
      <w:r w:rsidR="00CB03FE">
        <w:t>VI</w:t>
      </w:r>
      <w:r w:rsidRPr="00031C8B">
        <w:t xml:space="preserve"> below for the methodology used to identify patients with a neoplasm. </w:t>
      </w:r>
    </w:p>
  </w:footnote>
  <w:footnote w:id="30">
    <w:p w14:paraId="2D9EF958" w14:textId="673C9437" w:rsidR="00AA7973" w:rsidRPr="00031C8B" w:rsidRDefault="00AA7973">
      <w:pPr>
        <w:pStyle w:val="FootnoteText"/>
      </w:pPr>
      <w:r w:rsidRPr="00031C8B">
        <w:rPr>
          <w:rStyle w:val="FootnoteReference"/>
        </w:rPr>
        <w:footnoteRef/>
      </w:r>
      <w:r w:rsidRPr="00031C8B">
        <w:t xml:space="preserve"> The restriction to these physicians and to exclusively using attending physicians (rather than, for example, including operating physicians) may lead the estimated number of DFCI patients to be understated.</w:t>
      </w:r>
    </w:p>
  </w:footnote>
  <w:footnote w:id="31">
    <w:p w14:paraId="4B022351" w14:textId="79B2F789" w:rsidR="000147B3" w:rsidRPr="00031C8B" w:rsidRDefault="000147B3">
      <w:pPr>
        <w:pStyle w:val="FootnoteText"/>
      </w:pPr>
      <w:r w:rsidRPr="00031C8B">
        <w:rPr>
          <w:rStyle w:val="FootnoteReference"/>
        </w:rPr>
        <w:footnoteRef/>
      </w:r>
      <w:r w:rsidRPr="00031C8B">
        <w:t xml:space="preserve"> </w:t>
      </w:r>
      <w:r w:rsidR="00B45981">
        <w:t>See Section X below for a summary of this research.</w:t>
      </w:r>
    </w:p>
  </w:footnote>
  <w:footnote w:id="32">
    <w:p w14:paraId="5A0393B0" w14:textId="792693A0" w:rsidR="00264389" w:rsidRPr="00031C8B" w:rsidRDefault="00264389">
      <w:pPr>
        <w:pStyle w:val="FootnoteText"/>
      </w:pPr>
      <w:r w:rsidRPr="00031C8B">
        <w:rPr>
          <w:rStyle w:val="FootnoteReference"/>
        </w:rPr>
        <w:footnoteRef/>
      </w:r>
      <w:r w:rsidRPr="00031C8B">
        <w:t xml:space="preserve"> Sensitivity of the ICA results to this pattern is explored through various alternative scenarios below.</w:t>
      </w:r>
    </w:p>
  </w:footnote>
  <w:footnote w:id="33">
    <w:p w14:paraId="54730681" w14:textId="18B3CF8E" w:rsidR="00B65DD7" w:rsidRPr="00031C8B" w:rsidRDefault="00B65DD7">
      <w:pPr>
        <w:pStyle w:val="FootnoteText"/>
      </w:pPr>
      <w:r w:rsidRPr="00031C8B">
        <w:rPr>
          <w:rStyle w:val="FootnoteReference"/>
        </w:rPr>
        <w:footnoteRef/>
      </w:r>
      <w:r w:rsidRPr="00031C8B">
        <w:t xml:space="preserve"> </w:t>
      </w:r>
      <w:r w:rsidR="00CB03FE">
        <w:t xml:space="preserve">Application </w:t>
      </w:r>
      <w:r w:rsidRPr="00031C8B">
        <w:t>Narrative</w:t>
      </w:r>
      <w:r w:rsidR="00CB03FE">
        <w:t>,</w:t>
      </w:r>
      <w:r w:rsidRPr="00031C8B">
        <w:t xml:space="preserve"> p. </w:t>
      </w:r>
      <w:r w:rsidR="00D86009" w:rsidRPr="00031C8B">
        <w:t>19</w:t>
      </w:r>
      <w:r w:rsidR="00CB03FE">
        <w:t>.</w:t>
      </w:r>
    </w:p>
  </w:footnote>
  <w:footnote w:id="34">
    <w:p w14:paraId="31ACE1BF" w14:textId="21A13803" w:rsidR="00281F49" w:rsidRDefault="00281F49">
      <w:pPr>
        <w:pStyle w:val="FootnoteText"/>
      </w:pPr>
      <w:r>
        <w:rPr>
          <w:rStyle w:val="FootnoteReference"/>
        </w:rPr>
        <w:footnoteRef/>
      </w:r>
      <w:r>
        <w:t xml:space="preserve"> Source: </w:t>
      </w:r>
      <w:hyperlink r:id="rId19" w:history="1">
        <w:r w:rsidRPr="008A1B5D">
          <w:rPr>
            <w:rStyle w:val="Hyperlink"/>
            <w:color w:val="auto"/>
            <w:u w:val="none"/>
          </w:rPr>
          <w:t>Centers for Medicare &amp; Medicaid Services. ICD-10-CM Tabular List of Diseases and Injuries.</w:t>
        </w:r>
      </w:hyperlink>
      <w:r w:rsidRPr="008A1B5D">
        <w:t xml:space="preserve"> (February 2024). </w:t>
      </w:r>
      <w:hyperlink r:id="rId20" w:history="1">
        <w:r w:rsidR="008A1B5D" w:rsidRPr="008A1B5D">
          <w:rPr>
            <w:rStyle w:val="Hyperlink"/>
            <w:color w:val="auto"/>
            <w:u w:val="none"/>
          </w:rPr>
          <w:t>https://www.cms.gov/medicare/coding-billing/icd-10-codes</w:t>
        </w:r>
      </w:hyperlink>
      <w:r w:rsidR="008A1B5D" w:rsidRPr="008A1B5D">
        <w:t xml:space="preserve"> </w:t>
      </w:r>
      <w:r w:rsidRPr="008A1B5D">
        <w:t xml:space="preserve">. </w:t>
      </w:r>
    </w:p>
  </w:footnote>
  <w:footnote w:id="35">
    <w:p w14:paraId="206EB4F9" w14:textId="70B80E79" w:rsidR="00C40BE3" w:rsidRPr="00031C8B" w:rsidRDefault="00C40BE3">
      <w:pPr>
        <w:pStyle w:val="FootnoteText"/>
      </w:pPr>
      <w:r w:rsidRPr="00031C8B">
        <w:rPr>
          <w:rStyle w:val="FootnoteReference"/>
        </w:rPr>
        <w:footnoteRef/>
      </w:r>
      <w:r w:rsidRPr="00031C8B">
        <w:t xml:space="preserve"> FTI identified these surgical procedures by </w:t>
      </w:r>
      <w:r w:rsidR="00F263FE" w:rsidRPr="00031C8B">
        <w:t xml:space="preserve">reviewing </w:t>
      </w:r>
      <w:r w:rsidR="00617AFD" w:rsidRPr="00031C8B">
        <w:t>ICD</w:t>
      </w:r>
      <w:r w:rsidR="000C701A">
        <w:t>-</w:t>
      </w:r>
      <w:r w:rsidR="00617AFD" w:rsidRPr="00031C8B">
        <w:t>10 procedure codes used in claims in the inpatient cancer care service line</w:t>
      </w:r>
      <w:r w:rsidRPr="00031C8B">
        <w:t xml:space="preserve">. A full list of </w:t>
      </w:r>
      <w:r w:rsidR="00617AFD" w:rsidRPr="00031C8B">
        <w:t xml:space="preserve">the </w:t>
      </w:r>
      <w:r w:rsidRPr="00031C8B">
        <w:t>procedure codes</w:t>
      </w:r>
      <w:r w:rsidR="00617AFD" w:rsidRPr="00031C8B">
        <w:t xml:space="preserve"> identified as surgical </w:t>
      </w:r>
      <w:r w:rsidRPr="00031C8B">
        <w:t xml:space="preserve">can be found in the Appendix. </w:t>
      </w:r>
    </w:p>
  </w:footnote>
  <w:footnote w:id="36">
    <w:p w14:paraId="132F4A87" w14:textId="6FCCFD04" w:rsidR="003C7113" w:rsidRPr="00C85D47" w:rsidRDefault="003C7113">
      <w:pPr>
        <w:pStyle w:val="FootnoteText"/>
        <w:rPr>
          <w:lang w:val="fr-FR"/>
        </w:rPr>
      </w:pPr>
      <w:r w:rsidRPr="00031C8B">
        <w:rPr>
          <w:rStyle w:val="FootnoteReference"/>
        </w:rPr>
        <w:footnoteRef/>
      </w:r>
      <w:r w:rsidRPr="00C85D47">
        <w:rPr>
          <w:lang w:val="fr-FR"/>
        </w:rPr>
        <w:t xml:space="preserve"> </w:t>
      </w:r>
      <w:r w:rsidR="00CB03FE" w:rsidRPr="00C85D47">
        <w:rPr>
          <w:lang w:val="fr-FR"/>
        </w:rPr>
        <w:t xml:space="preserve">Application </w:t>
      </w:r>
      <w:r w:rsidRPr="00C85D47">
        <w:rPr>
          <w:lang w:val="fr-FR"/>
        </w:rPr>
        <w:t>Narrative</w:t>
      </w:r>
      <w:r w:rsidR="00CB03FE" w:rsidRPr="00C85D47">
        <w:rPr>
          <w:lang w:val="fr-FR"/>
        </w:rPr>
        <w:t>,</w:t>
      </w:r>
      <w:r w:rsidRPr="00C85D47">
        <w:rPr>
          <w:lang w:val="fr-FR"/>
        </w:rPr>
        <w:t xml:space="preserve"> p. 19.</w:t>
      </w:r>
    </w:p>
  </w:footnote>
  <w:footnote w:id="37">
    <w:p w14:paraId="62C0CE29" w14:textId="37505768" w:rsidR="00617AFD" w:rsidRPr="00C85D47" w:rsidRDefault="00617AFD">
      <w:pPr>
        <w:pStyle w:val="FootnoteText"/>
        <w:rPr>
          <w:lang w:val="fr-FR"/>
        </w:rPr>
      </w:pPr>
      <w:r w:rsidRPr="00031C8B">
        <w:rPr>
          <w:rStyle w:val="FootnoteReference"/>
        </w:rPr>
        <w:footnoteRef/>
      </w:r>
      <w:r w:rsidRPr="00C85D47">
        <w:rPr>
          <w:lang w:val="fr-FR"/>
        </w:rPr>
        <w:t xml:space="preserve"> </w:t>
      </w:r>
      <w:r w:rsidR="00CB03FE" w:rsidRPr="00C85D47">
        <w:rPr>
          <w:lang w:val="fr-FR"/>
        </w:rPr>
        <w:t xml:space="preserve">Application </w:t>
      </w:r>
      <w:r w:rsidRPr="00C85D47">
        <w:rPr>
          <w:lang w:val="fr-FR"/>
        </w:rPr>
        <w:t>Narrative</w:t>
      </w:r>
      <w:r w:rsidR="00CB03FE" w:rsidRPr="00C85D47">
        <w:rPr>
          <w:lang w:val="fr-FR"/>
        </w:rPr>
        <w:t>,</w:t>
      </w:r>
      <w:r w:rsidRPr="00C85D47">
        <w:rPr>
          <w:lang w:val="fr-FR"/>
        </w:rPr>
        <w:t xml:space="preserve"> p. 21.</w:t>
      </w:r>
    </w:p>
  </w:footnote>
  <w:footnote w:id="38">
    <w:p w14:paraId="2B91B496" w14:textId="326F1DDA" w:rsidR="00E435EA" w:rsidRPr="00031C8B" w:rsidRDefault="00E435EA">
      <w:pPr>
        <w:pStyle w:val="FootnoteText"/>
      </w:pPr>
      <w:r w:rsidRPr="00031C8B">
        <w:rPr>
          <w:rStyle w:val="FootnoteReference"/>
        </w:rPr>
        <w:footnoteRef/>
      </w:r>
      <w:r w:rsidRPr="00031C8B">
        <w:t xml:space="preserve"> In some </w:t>
      </w:r>
      <w:r w:rsidRPr="00031C8B">
        <w:t xml:space="preserve">instances in the claims data, patients’ geographic origin is unknown. In these cases, </w:t>
      </w:r>
      <w:r w:rsidR="00344C5A">
        <w:t>FTI</w:t>
      </w:r>
      <w:r w:rsidRPr="00031C8B">
        <w:t xml:space="preserve"> conservatively include</w:t>
      </w:r>
      <w:r w:rsidR="00344C5A">
        <w:t>d</w:t>
      </w:r>
      <w:r w:rsidRPr="00031C8B">
        <w:t xml:space="preserve"> these patients in analyses of Massachusetts residents.</w:t>
      </w:r>
    </w:p>
  </w:footnote>
  <w:footnote w:id="39">
    <w:p w14:paraId="64FE2E3C" w14:textId="462E4B8F" w:rsidR="000A14A9" w:rsidRPr="00932048" w:rsidRDefault="000A14A9">
      <w:pPr>
        <w:pStyle w:val="FootnoteText"/>
      </w:pPr>
      <w:r w:rsidRPr="00031C8B">
        <w:rPr>
          <w:rStyle w:val="FootnoteReference"/>
        </w:rPr>
        <w:footnoteRef/>
      </w:r>
      <w:r w:rsidRPr="00031C8B">
        <w:t xml:space="preserve"> </w:t>
      </w:r>
      <w:r w:rsidR="00D44895" w:rsidRPr="00031C8B">
        <w:t xml:space="preserve">For example, some agency screening methods for healthcare and hospital transactions involve construction of PSAs for each of the parties to a transaction using discharge or visit data. While specific methodologies for constructing PSAs vary, the general approach includes defining the scope of the PSA based on the patient population of the entity (using ZIP codes and counts of patients). PSAs are used for screening purposes and do not necessarily define antitrust markets. </w:t>
      </w:r>
      <w:r w:rsidR="00932048">
        <w:t xml:space="preserve">See, Garmon, C. (2017) “The accuracy of hospital merger screening methods.” </w:t>
      </w:r>
      <w:r w:rsidR="00932048">
        <w:rPr>
          <w:i/>
          <w:iCs/>
        </w:rPr>
        <w:t>The RAND Journal of Economics</w:t>
      </w:r>
      <w:r w:rsidR="00932048">
        <w:t xml:space="preserve"> 48(4):1068-1102.</w:t>
      </w:r>
    </w:p>
  </w:footnote>
  <w:footnote w:id="40">
    <w:p w14:paraId="590DD442" w14:textId="1B4FBB10" w:rsidR="00303737" w:rsidRPr="00031C8B" w:rsidRDefault="00303737">
      <w:pPr>
        <w:pStyle w:val="FootnoteText"/>
      </w:pPr>
      <w:r w:rsidRPr="00031C8B">
        <w:rPr>
          <w:rStyle w:val="FootnoteReference"/>
        </w:rPr>
        <w:footnoteRef/>
      </w:r>
      <w:r w:rsidRPr="00031C8B">
        <w:t xml:space="preserve"> </w:t>
      </w:r>
      <w:r w:rsidR="00CB03FE">
        <w:t xml:space="preserve">Massachusetts Executive Office of Technology Services and Security. </w:t>
      </w:r>
      <w:r w:rsidR="006020D7">
        <w:t>“</w:t>
      </w:r>
      <w:hyperlink r:id="rId21" w:history="1">
        <w:r w:rsidR="00CB03FE" w:rsidRPr="008A1B5D">
          <w:rPr>
            <w:rStyle w:val="Hyperlink"/>
            <w:color w:val="auto"/>
            <w:u w:val="none"/>
          </w:rPr>
          <w:t>MassGIS Data: MA Executive Office of Health &amp; Human Services Regions</w:t>
        </w:r>
      </w:hyperlink>
      <w:r w:rsidR="006020D7" w:rsidRPr="008A1B5D">
        <w:t>”</w:t>
      </w:r>
      <w:r w:rsidR="00CB03FE" w:rsidRPr="008A1B5D">
        <w:t xml:space="preserve"> (April 2022), </w:t>
      </w:r>
      <w:hyperlink r:id="rId22" w:history="1">
        <w:r w:rsidR="008A1B5D" w:rsidRPr="008A1B5D">
          <w:rPr>
            <w:rStyle w:val="Hyperlink"/>
            <w:color w:val="auto"/>
            <w:u w:val="none"/>
          </w:rPr>
          <w:t>https://www.mass.gov/info-details/massgis-data-ma-executive-office-of-health-human-services-regions</w:t>
        </w:r>
      </w:hyperlink>
      <w:r w:rsidR="008A1B5D" w:rsidRPr="008A1B5D">
        <w:t xml:space="preserve"> </w:t>
      </w:r>
      <w:r w:rsidR="00CB03FE" w:rsidRPr="008A1B5D">
        <w:t xml:space="preserve">. </w:t>
      </w:r>
    </w:p>
  </w:footnote>
  <w:footnote w:id="41">
    <w:p w14:paraId="11C0B393" w14:textId="0147F1A0" w:rsidR="00197D78" w:rsidRPr="00031C8B" w:rsidRDefault="00197D78">
      <w:pPr>
        <w:pStyle w:val="FootnoteText"/>
      </w:pPr>
      <w:r w:rsidRPr="00031C8B">
        <w:rPr>
          <w:rStyle w:val="FootnoteReference"/>
        </w:rPr>
        <w:footnoteRef/>
      </w:r>
      <w:r w:rsidRPr="00031C8B">
        <w:t xml:space="preserve"> Market share analyses below include all such facilities. See, for example, </w:t>
      </w:r>
      <w:r w:rsidRPr="00031C8B">
        <w:rPr>
          <w:lang w:val="en-IE"/>
        </w:rPr>
        <w:t xml:space="preserve">American Bar Association, Section of Antitrust Law, </w:t>
      </w:r>
      <w:r w:rsidR="006020D7">
        <w:rPr>
          <w:lang w:val="en-IE"/>
        </w:rPr>
        <w:t>“</w:t>
      </w:r>
      <w:r w:rsidRPr="00031C8B">
        <w:rPr>
          <w:lang w:val="en-IE"/>
        </w:rPr>
        <w:t>Health Care Mergers and Acquisitions Handbook, Second Edition,</w:t>
      </w:r>
      <w:r w:rsidR="006020D7">
        <w:rPr>
          <w:lang w:val="en-IE"/>
        </w:rPr>
        <w:t>”</w:t>
      </w:r>
      <w:r w:rsidRPr="00031C8B">
        <w:rPr>
          <w:lang w:val="en-IE"/>
        </w:rPr>
        <w:t xml:space="preserve"> </w:t>
      </w:r>
      <w:r w:rsidRPr="00031C8B">
        <w:rPr>
          <w:i/>
          <w:iCs/>
          <w:lang w:val="en-IE"/>
        </w:rPr>
        <w:t>American Bar Association</w:t>
      </w:r>
      <w:r w:rsidRPr="00031C8B">
        <w:rPr>
          <w:lang w:val="en-IE"/>
        </w:rPr>
        <w:t xml:space="preserve"> (2018) for </w:t>
      </w:r>
      <w:r w:rsidRPr="00031C8B">
        <w:t>approaches including provider locations when defining relevant geographic aspects in market definition.</w:t>
      </w:r>
    </w:p>
  </w:footnote>
  <w:footnote w:id="42">
    <w:p w14:paraId="43944E7D" w14:textId="62713D00" w:rsidR="003731E4" w:rsidRPr="00031C8B" w:rsidRDefault="003731E4">
      <w:pPr>
        <w:pStyle w:val="FootnoteText"/>
      </w:pPr>
      <w:r w:rsidRPr="00031C8B">
        <w:rPr>
          <w:rStyle w:val="FootnoteReference"/>
        </w:rPr>
        <w:footnoteRef/>
      </w:r>
      <w:r w:rsidRPr="00031C8B">
        <w:t xml:space="preserve"> Hospitals excluded from the map </w:t>
      </w:r>
      <w:r w:rsidR="00CB03FE">
        <w:t xml:space="preserve">each </w:t>
      </w:r>
      <w:r w:rsidRPr="00031C8B">
        <w:t>provide less than 1% of inpatient cancer care in the state, however, there are forty</w:t>
      </w:r>
      <w:r w:rsidR="004E52C1" w:rsidRPr="00031C8B">
        <w:t>-one</w:t>
      </w:r>
      <w:r w:rsidRPr="00031C8B">
        <w:t xml:space="preserve"> such locations collectively providing 1</w:t>
      </w:r>
      <w:r w:rsidR="004E52C1" w:rsidRPr="00031C8B">
        <w:t>6</w:t>
      </w:r>
      <w:r w:rsidRPr="00031C8B">
        <w:t xml:space="preserve">% of the inpatient cancer care services. </w:t>
      </w:r>
    </w:p>
  </w:footnote>
  <w:footnote w:id="43">
    <w:p w14:paraId="167705CC" w14:textId="143B4806" w:rsidR="00E52D6C" w:rsidRDefault="00E52D6C">
      <w:pPr>
        <w:pStyle w:val="FootnoteText"/>
      </w:pPr>
      <w:r>
        <w:rPr>
          <w:rStyle w:val="FootnoteReference"/>
        </w:rPr>
        <w:footnoteRef/>
      </w:r>
      <w:r>
        <w:t xml:space="preserve"> Steward Health Care System also had </w:t>
      </w:r>
      <w:r w:rsidR="00657878">
        <w:t>three</w:t>
      </w:r>
      <w:r>
        <w:t xml:space="preserve"> locations as of this 2022 data</w:t>
      </w:r>
      <w:r w:rsidR="00657878">
        <w:t>, but these facilities have since become affiliated with other systems.</w:t>
      </w:r>
    </w:p>
  </w:footnote>
  <w:footnote w:id="44">
    <w:p w14:paraId="481089A2" w14:textId="057C8044" w:rsidR="000C701A" w:rsidRDefault="000C701A">
      <w:pPr>
        <w:pStyle w:val="FootnoteText"/>
      </w:pPr>
      <w:r>
        <w:rPr>
          <w:rStyle w:val="FootnoteReference"/>
        </w:rPr>
        <w:footnoteRef/>
      </w:r>
      <w:r>
        <w:t xml:space="preserve"> </w:t>
      </w:r>
      <w:r w:rsidR="002B2D03">
        <w:t>Source: 2022 CHIA Case Mix Data.</w:t>
      </w:r>
    </w:p>
  </w:footnote>
  <w:footnote w:id="45">
    <w:p w14:paraId="71C6E33C" w14:textId="59DC78C0" w:rsidR="000C701A" w:rsidRDefault="000C701A">
      <w:pPr>
        <w:pStyle w:val="FootnoteText"/>
      </w:pPr>
      <w:r>
        <w:rPr>
          <w:rStyle w:val="FootnoteReference"/>
        </w:rPr>
        <w:footnoteRef/>
      </w:r>
      <w:r>
        <w:t xml:space="preserve"> </w:t>
      </w:r>
      <w:r w:rsidR="002B2D03">
        <w:t>Source: 2022 CHIA Case Mix Data.</w:t>
      </w:r>
    </w:p>
  </w:footnote>
  <w:footnote w:id="46">
    <w:p w14:paraId="6C1B6C92" w14:textId="3D734D18" w:rsidR="000C701A" w:rsidRDefault="000C701A">
      <w:pPr>
        <w:pStyle w:val="FootnoteText"/>
      </w:pPr>
      <w:r>
        <w:rPr>
          <w:rStyle w:val="FootnoteReference"/>
        </w:rPr>
        <w:footnoteRef/>
      </w:r>
      <w:r>
        <w:t xml:space="preserve"> Throughout this report, Medicaid refers to and includes MassHealth </w:t>
      </w:r>
      <w:r w:rsidR="00336E5A">
        <w:t xml:space="preserve">insurance </w:t>
      </w:r>
      <w:r>
        <w:t>coverage.</w:t>
      </w:r>
    </w:p>
  </w:footnote>
  <w:footnote w:id="47">
    <w:p w14:paraId="376B4174" w14:textId="718A94EE" w:rsidR="00D33C53" w:rsidRPr="00031C8B" w:rsidRDefault="00D33C53">
      <w:pPr>
        <w:pStyle w:val="FootnoteText"/>
      </w:pPr>
      <w:r w:rsidRPr="00031C8B">
        <w:rPr>
          <w:rStyle w:val="FootnoteReference"/>
        </w:rPr>
        <w:footnoteRef/>
      </w:r>
      <w:r w:rsidRPr="00031C8B">
        <w:t xml:space="preserve"> </w:t>
      </w:r>
      <w:r w:rsidRPr="002B2D03">
        <w:t xml:space="preserve">Source: 2022 CHIA </w:t>
      </w:r>
      <w:r w:rsidR="002B2D03" w:rsidRPr="002B2D03">
        <w:t>Case Mix D</w:t>
      </w:r>
      <w:r w:rsidRPr="002B2D03">
        <w:t>ata.</w:t>
      </w:r>
      <w:r w:rsidR="00961791" w:rsidRPr="00031C8B">
        <w:t xml:space="preserve"> Throughout this report, patients are determined to be Massachusetts residents if their address is in Massachusetts or if their address is unknown, unless otherwise designated.</w:t>
      </w:r>
    </w:p>
  </w:footnote>
  <w:footnote w:id="48">
    <w:p w14:paraId="09CE5A58" w14:textId="76045900" w:rsidR="00681BC7" w:rsidRPr="00031C8B" w:rsidRDefault="00681BC7">
      <w:pPr>
        <w:pStyle w:val="FootnoteText"/>
      </w:pPr>
      <w:r w:rsidRPr="00031C8B">
        <w:rPr>
          <w:rStyle w:val="FootnoteReference"/>
        </w:rPr>
        <w:footnoteRef/>
      </w:r>
      <w:r w:rsidRPr="00031C8B">
        <w:t xml:space="preserve"> </w:t>
      </w:r>
      <w:r w:rsidR="002B2D03">
        <w:t xml:space="preserve">Source: </w:t>
      </w:r>
      <w:r w:rsidR="002B2D03" w:rsidRPr="002B2D03">
        <w:t>2022 CHIA Case Mix Data.</w:t>
      </w:r>
      <w:r w:rsidR="008A099B">
        <w:t xml:space="preserve"> A * indicates the number of discharges is less than 11 and has been redacted to comply with data confidentiality requirements.</w:t>
      </w:r>
    </w:p>
  </w:footnote>
  <w:footnote w:id="49">
    <w:p w14:paraId="1AD51177" w14:textId="77777777" w:rsidR="0085394E" w:rsidRPr="00031C8B" w:rsidRDefault="0085394E" w:rsidP="0085394E">
      <w:pPr>
        <w:pStyle w:val="FootnoteText"/>
      </w:pPr>
      <w:r w:rsidRPr="00031C8B">
        <w:rPr>
          <w:rStyle w:val="FootnoteReference"/>
        </w:rPr>
        <w:footnoteRef/>
      </w:r>
      <w:r w:rsidRPr="00031C8B">
        <w:t xml:space="preserve"> A material amount of DFCI’s discharges (5.1%) do not have patient origin information. DFCI estimated its share of unique inpatient patients in 2022 coming from outside of Massachusetts to be 27%, raising the possibility that a substantial amount of the patients with unknown origin are from outside of Massachusetts. See Application Narrative, p. 9, Table 2.</w:t>
      </w:r>
    </w:p>
  </w:footnote>
  <w:footnote w:id="50">
    <w:p w14:paraId="30EC2A46" w14:textId="76CA04EE" w:rsidR="002F61A6" w:rsidRPr="00031C8B" w:rsidRDefault="002F61A6">
      <w:pPr>
        <w:pStyle w:val="FootnoteText"/>
      </w:pPr>
      <w:r w:rsidRPr="00031C8B">
        <w:rPr>
          <w:rStyle w:val="FootnoteReference"/>
        </w:rPr>
        <w:footnoteRef/>
      </w:r>
      <w:r w:rsidRPr="00031C8B">
        <w:t xml:space="preserve"> </w:t>
      </w:r>
      <w:r w:rsidR="002B2D03">
        <w:t xml:space="preserve">Source: </w:t>
      </w:r>
      <w:r w:rsidR="002B2D03" w:rsidRPr="002B2D03">
        <w:t>2022 CHIA Case Mix Data.</w:t>
      </w:r>
      <w:r w:rsidR="002B2D03">
        <w:t xml:space="preserve"> </w:t>
      </w:r>
      <w:r w:rsidR="00336E5A" w:rsidRPr="00031C8B">
        <w:t xml:space="preserve">Hospitals with less than 2% share of total discharges are not included in the table, but their discharges are included in system totals. Health systems with less than 2% share are grouped into an </w:t>
      </w:r>
      <w:r w:rsidR="006020D7">
        <w:t>“</w:t>
      </w:r>
      <w:r w:rsidR="00336E5A" w:rsidRPr="00031C8B">
        <w:t>Other Health Systems</w:t>
      </w:r>
      <w:r w:rsidR="006020D7">
        <w:t>”</w:t>
      </w:r>
      <w:r w:rsidR="00336E5A" w:rsidRPr="00031C8B">
        <w:t xml:space="preserve"> category.</w:t>
      </w:r>
    </w:p>
  </w:footnote>
  <w:footnote w:id="51">
    <w:p w14:paraId="0B71A564" w14:textId="64889F14" w:rsidR="00AB290B" w:rsidRDefault="00AB290B">
      <w:pPr>
        <w:pStyle w:val="FootnoteText"/>
      </w:pPr>
      <w:r>
        <w:rPr>
          <w:rStyle w:val="FootnoteReference"/>
        </w:rPr>
        <w:footnoteRef/>
      </w:r>
      <w:r>
        <w:t xml:space="preserve"> Source: </w:t>
      </w:r>
      <w:r w:rsidRPr="002B2D03">
        <w:t>2022 CHIA Case Mix Data.</w:t>
      </w:r>
    </w:p>
  </w:footnote>
  <w:footnote w:id="52">
    <w:p w14:paraId="781DD199" w14:textId="160E67BD" w:rsidR="002F61A6" w:rsidRPr="00031C8B" w:rsidRDefault="002F61A6">
      <w:pPr>
        <w:pStyle w:val="FootnoteText"/>
      </w:pPr>
      <w:r w:rsidRPr="00031C8B">
        <w:rPr>
          <w:rStyle w:val="FootnoteReference"/>
        </w:rPr>
        <w:footnoteRef/>
      </w:r>
      <w:r w:rsidRPr="00031C8B">
        <w:t xml:space="preserve"> </w:t>
      </w:r>
      <w:r w:rsidR="002B2D03">
        <w:t xml:space="preserve">Source: </w:t>
      </w:r>
      <w:r w:rsidR="002B2D03" w:rsidRPr="002B2D03">
        <w:t>2022 CHIA Case Mix Data.</w:t>
      </w:r>
      <w:r w:rsidR="008A099B">
        <w:t xml:space="preserve"> A * indicates the number of discharges is less than 11 and has been redacted to comply with data confidentiality requirements.</w:t>
      </w:r>
    </w:p>
  </w:footnote>
  <w:footnote w:id="53">
    <w:p w14:paraId="4A633655" w14:textId="0201E224" w:rsidR="00FD37A2" w:rsidRPr="00031C8B" w:rsidRDefault="00FD37A2">
      <w:pPr>
        <w:pStyle w:val="FootnoteText"/>
      </w:pPr>
      <w:r w:rsidRPr="00031C8B">
        <w:rPr>
          <w:rStyle w:val="FootnoteReference"/>
        </w:rPr>
        <w:footnoteRef/>
      </w:r>
      <w:r w:rsidRPr="00031C8B">
        <w:t xml:space="preserve"> </w:t>
      </w:r>
      <w:r w:rsidR="00EE4A31">
        <w:t xml:space="preserve">Source: </w:t>
      </w:r>
      <w:r w:rsidR="00EE4A31" w:rsidRPr="002B2D03">
        <w:t>2022 CHIA Case Mix Data.</w:t>
      </w:r>
    </w:p>
  </w:footnote>
  <w:footnote w:id="54">
    <w:p w14:paraId="5E913B1D" w14:textId="2F167FE2" w:rsidR="00EA363D" w:rsidRPr="006E0C1B" w:rsidRDefault="00EA363D">
      <w:pPr>
        <w:pStyle w:val="FootnoteText"/>
        <w:rPr>
          <w:sz w:val="20"/>
          <w:szCs w:val="20"/>
        </w:rPr>
      </w:pPr>
      <w:r w:rsidRPr="00031C8B">
        <w:rPr>
          <w:rStyle w:val="FootnoteReference"/>
        </w:rPr>
        <w:footnoteRef/>
      </w:r>
      <w:r w:rsidRPr="00031C8B">
        <w:t xml:space="preserve"> </w:t>
      </w:r>
      <w:r w:rsidR="00EE4A31">
        <w:t xml:space="preserve">Source: </w:t>
      </w:r>
      <w:r w:rsidR="00EE4A31" w:rsidRPr="002B2D03">
        <w:t>2022 CHIA Case Mix Data.</w:t>
      </w:r>
    </w:p>
  </w:footnote>
  <w:footnote w:id="55">
    <w:p w14:paraId="5FFB26E0" w14:textId="147AED09" w:rsidR="00982566" w:rsidRPr="00031C8B" w:rsidRDefault="00982566" w:rsidP="00982566">
      <w:pPr>
        <w:pStyle w:val="FootnoteText"/>
        <w:contextualSpacing/>
      </w:pPr>
      <w:r w:rsidRPr="00031C8B">
        <w:rPr>
          <w:rStyle w:val="FootnoteReference"/>
        </w:rPr>
        <w:footnoteRef/>
      </w:r>
      <w:r w:rsidRPr="00031C8B">
        <w:t xml:space="preserve"> Utilization was limited to Massachusetts residents </w:t>
      </w:r>
      <w:r w:rsidR="00336E5A">
        <w:t xml:space="preserve">to the degree </w:t>
      </w:r>
      <w:r w:rsidRPr="00031C8B">
        <w:t>possible, except in measuring capacity constraints.</w:t>
      </w:r>
    </w:p>
  </w:footnote>
  <w:footnote w:id="56">
    <w:p w14:paraId="487D9722" w14:textId="2D0F1040" w:rsidR="009036DE" w:rsidRPr="00031C8B" w:rsidRDefault="009036DE">
      <w:pPr>
        <w:pStyle w:val="FootnoteText"/>
      </w:pPr>
      <w:r w:rsidRPr="00031C8B">
        <w:rPr>
          <w:rStyle w:val="FootnoteReference"/>
        </w:rPr>
        <w:footnoteRef/>
      </w:r>
      <w:r w:rsidRPr="00031C8B">
        <w:t xml:space="preserve"> </w:t>
      </w:r>
      <w:r w:rsidR="00EE4A31">
        <w:t>Source: UMass Donahue Institute Massachusetts Population Estimates Program.</w:t>
      </w:r>
    </w:p>
  </w:footnote>
  <w:footnote w:id="57">
    <w:p w14:paraId="11659C2E" w14:textId="7016BDA8" w:rsidR="009036DE" w:rsidRPr="00031C8B" w:rsidRDefault="009036DE">
      <w:pPr>
        <w:pStyle w:val="FootnoteText"/>
      </w:pPr>
      <w:r w:rsidRPr="00031C8B">
        <w:rPr>
          <w:rStyle w:val="FootnoteReference"/>
        </w:rPr>
        <w:footnoteRef/>
      </w:r>
      <w:r w:rsidRPr="00031C8B">
        <w:t xml:space="preserve"> </w:t>
      </w:r>
      <w:r w:rsidR="00D72465" w:rsidRPr="00031C8B">
        <w:t>Using the growth rate based on 2019 and 2022 utilization allows for abstraction away from COVID-19 pandemic-related dips or bounce backs in utilization unrelated to underlying disease trends.</w:t>
      </w:r>
    </w:p>
  </w:footnote>
  <w:footnote w:id="58">
    <w:p w14:paraId="3C7DE969" w14:textId="2A01659D" w:rsidR="00D72465" w:rsidRPr="00031C8B" w:rsidRDefault="00D72465">
      <w:pPr>
        <w:pStyle w:val="FootnoteText"/>
      </w:pPr>
      <w:r w:rsidRPr="00031C8B">
        <w:rPr>
          <w:rStyle w:val="FootnoteReference"/>
        </w:rPr>
        <w:footnoteRef/>
      </w:r>
      <w:r w:rsidRPr="00031C8B">
        <w:t xml:space="preserve"> The methodology </w:t>
      </w:r>
      <w:r w:rsidR="00336E5A">
        <w:t xml:space="preserve">and results </w:t>
      </w:r>
      <w:r w:rsidRPr="00031C8B">
        <w:t>for estimating changes in total medical health expenditures is not sensitive to the exact date on which the Proposed Project begins operations.</w:t>
      </w:r>
      <w:r w:rsidR="00AD08A8">
        <w:t xml:space="preserve"> </w:t>
      </w:r>
    </w:p>
  </w:footnote>
  <w:footnote w:id="59">
    <w:p w14:paraId="78F27077" w14:textId="279DD02F" w:rsidR="00D155D1" w:rsidRPr="00031C8B" w:rsidRDefault="00D155D1">
      <w:pPr>
        <w:pStyle w:val="FootnoteText"/>
      </w:pPr>
      <w:r w:rsidRPr="00031C8B">
        <w:rPr>
          <w:rStyle w:val="FootnoteReference"/>
        </w:rPr>
        <w:footnoteRef/>
      </w:r>
      <w:r w:rsidRPr="00031C8B">
        <w:t xml:space="preserve"> This demand projection methodology differs from the one employed by DFCI in its application that used expected growth rates in services by cancer bed type. Lacking data on bed types, FTI was unable to directly assess this methodology. The overall growth rate between 2022 and 2032 calculated by DFCI was 17.9%. </w:t>
      </w:r>
      <w:r w:rsidR="00174287">
        <w:t xml:space="preserve">This is </w:t>
      </w:r>
      <w:r w:rsidR="00174287">
        <w:t>similar to forecasted overall market growth of 19.7</w:t>
      </w:r>
      <w:r w:rsidRPr="00031C8B">
        <w:t>% between 2025 and 2035 estimated by FTI.</w:t>
      </w:r>
    </w:p>
  </w:footnote>
  <w:footnote w:id="60">
    <w:p w14:paraId="0589BFCF" w14:textId="059E7255" w:rsidR="003C0737" w:rsidRPr="00031C8B" w:rsidRDefault="003C0737" w:rsidP="003C0737">
      <w:pPr>
        <w:pStyle w:val="FootnoteText"/>
        <w:contextualSpacing/>
      </w:pPr>
      <w:r w:rsidRPr="00031C8B">
        <w:rPr>
          <w:rStyle w:val="FootnoteReference"/>
        </w:rPr>
        <w:footnoteRef/>
      </w:r>
      <w:r w:rsidRPr="00031C8B">
        <w:t xml:space="preserve"> </w:t>
      </w:r>
      <w:r w:rsidR="00174287">
        <w:t>In its Application, DFCI notes that novel cancer treatments such as CAR T-cell therapy and bi-specific antibody therapy currently require inpatient admission (Application Narrative, pp. 15-16). Because these therapies are new with limited available information in claims data, this methodology does not account for potential increased demand from these therapies. See Section XIII for a more detailed discussion of these issues.</w:t>
      </w:r>
    </w:p>
  </w:footnote>
  <w:footnote w:id="61">
    <w:p w14:paraId="66F0A6F3" w14:textId="527A2616" w:rsidR="0029440F" w:rsidRPr="00031C8B" w:rsidRDefault="0029440F">
      <w:pPr>
        <w:pStyle w:val="FootnoteText"/>
      </w:pPr>
      <w:r w:rsidRPr="00031C8B">
        <w:rPr>
          <w:rStyle w:val="FootnoteReference"/>
        </w:rPr>
        <w:footnoteRef/>
      </w:r>
      <w:r w:rsidRPr="00031C8B">
        <w:t xml:space="preserve"> The demand projections presented here do not include any changes in demand due to the Proposed Project increasing the amount of demand overall. This possibility is explored below in discussing the potential for the Proposed Project to lead to supply-induced demand.</w:t>
      </w:r>
    </w:p>
  </w:footnote>
  <w:footnote w:id="62">
    <w:p w14:paraId="310EAFBF" w14:textId="7E992B31" w:rsidR="003813F3" w:rsidRPr="00031C8B" w:rsidRDefault="003813F3" w:rsidP="003813F3">
      <w:pPr>
        <w:pStyle w:val="FootnoteText"/>
      </w:pPr>
      <w:r w:rsidRPr="00031C8B">
        <w:rPr>
          <w:rStyle w:val="FootnoteReference"/>
        </w:rPr>
        <w:footnoteRef/>
      </w:r>
      <w:r w:rsidRPr="00031C8B">
        <w:t xml:space="preserve"> Application Narrative</w:t>
      </w:r>
      <w:r w:rsidR="00336E5A">
        <w:t>,</w:t>
      </w:r>
      <w:r w:rsidRPr="00031C8B">
        <w:t xml:space="preserve"> p. 28.</w:t>
      </w:r>
    </w:p>
  </w:footnote>
  <w:footnote w:id="63">
    <w:p w14:paraId="3959C4C5" w14:textId="75240309" w:rsidR="00DC2ADA" w:rsidRDefault="00DC2ADA">
      <w:pPr>
        <w:pStyle w:val="FootnoteText"/>
      </w:pPr>
      <w:r>
        <w:rPr>
          <w:rStyle w:val="FootnoteReference"/>
        </w:rPr>
        <w:footnoteRef/>
      </w:r>
      <w:r>
        <w:t xml:space="preserve"> </w:t>
      </w:r>
      <w:r w:rsidR="00B45981">
        <w:t xml:space="preserve">One study found that factors such as clinician communication and rapport, perception of clinician expertise, </w:t>
      </w:r>
      <w:r w:rsidR="007420D7">
        <w:t xml:space="preserve">referral by physician, and continuity of care were important factors for patients in choosing hospitals for cancer care. Other factors, such as distance to the hospital and insurance considerations are unlikely to be differentiators between BWH and DFCI. </w:t>
      </w:r>
      <w:r w:rsidR="007420D7" w:rsidRPr="007420D7">
        <w:t>Fong, Z. V., Lim, P. W., Hendrix, R., Castillo, C. F. D., Nipp, R. D., Lindberg, J. M., ... &amp; Traeger, L. N. (2021). Patient and caregiver considerations and priorities when selecting hospitals for complex cancer care. </w:t>
      </w:r>
      <w:r w:rsidR="007420D7" w:rsidRPr="007420D7">
        <w:rPr>
          <w:i/>
          <w:iCs/>
        </w:rPr>
        <w:t>Annals of surgical oncology</w:t>
      </w:r>
      <w:r w:rsidR="007420D7" w:rsidRPr="007420D7">
        <w:t>, </w:t>
      </w:r>
      <w:r w:rsidR="007420D7" w:rsidRPr="007420D7">
        <w:rPr>
          <w:i/>
          <w:iCs/>
        </w:rPr>
        <w:t>28</w:t>
      </w:r>
      <w:r w:rsidR="007420D7" w:rsidRPr="007420D7">
        <w:t>, 4183-4192.</w:t>
      </w:r>
      <w:r w:rsidR="007420D7">
        <w:t xml:space="preserve"> See also, </w:t>
      </w:r>
      <w:r w:rsidR="007420D7" w:rsidRPr="007420D7">
        <w:t xml:space="preserve">Schulman-Green, Dena, Emily Cherlin, Renee Capasso, Sarah S. Mougalian, Shiyi Wang, Cary P. Gross, Preeti S. Bajaj et al. </w:t>
      </w:r>
      <w:r w:rsidR="006020D7">
        <w:t>“</w:t>
      </w:r>
      <w:r w:rsidR="007420D7" w:rsidRPr="007420D7">
        <w:t>Patient and family caregiver considerations when selecting early breast cancer treatment: implications for clinical pathway development.</w:t>
      </w:r>
      <w:r w:rsidR="006020D7">
        <w:t>”</w:t>
      </w:r>
      <w:r w:rsidR="007420D7" w:rsidRPr="007420D7">
        <w:t> </w:t>
      </w:r>
      <w:r w:rsidR="007420D7" w:rsidRPr="007420D7">
        <w:rPr>
          <w:i/>
          <w:iCs/>
        </w:rPr>
        <w:t>The Patient-Patient-Centered Outcomes Research</w:t>
      </w:r>
      <w:r w:rsidR="007420D7" w:rsidRPr="007420D7">
        <w:t> 13 (2020): 683-697</w:t>
      </w:r>
      <w:r w:rsidR="007420D7">
        <w:t xml:space="preserve">; </w:t>
      </w:r>
      <w:r w:rsidR="007420D7" w:rsidRPr="007420D7">
        <w:t xml:space="preserve">Del Vecchio, Natalie J., Natoshia M. Askelson, Knute D. Carter, Elizabeth Chrischilles, Charles F. Lynch, and Mary E. Charlton. </w:t>
      </w:r>
      <w:r w:rsidR="006020D7">
        <w:t>“</w:t>
      </w:r>
      <w:r w:rsidR="007420D7" w:rsidRPr="007420D7">
        <w:t>Patterns and characteristics of patients’ selection of cancer surgeons.</w:t>
      </w:r>
      <w:r w:rsidR="006020D7">
        <w:t>”</w:t>
      </w:r>
      <w:r w:rsidR="007420D7" w:rsidRPr="007420D7">
        <w:t> </w:t>
      </w:r>
      <w:r w:rsidR="007420D7" w:rsidRPr="007420D7">
        <w:rPr>
          <w:i/>
          <w:iCs/>
        </w:rPr>
        <w:t>The American journal of surgery</w:t>
      </w:r>
      <w:r w:rsidR="007420D7" w:rsidRPr="007420D7">
        <w:t> 221, no. 5 (2021): 1033-1041.</w:t>
      </w:r>
    </w:p>
  </w:footnote>
  <w:footnote w:id="64">
    <w:p w14:paraId="47F43C69" w14:textId="5DC9C84A" w:rsidR="009B0E30" w:rsidRDefault="009B0E30">
      <w:pPr>
        <w:pStyle w:val="FootnoteText"/>
      </w:pPr>
      <w:r>
        <w:rPr>
          <w:rStyle w:val="FootnoteReference"/>
        </w:rPr>
        <w:footnoteRef/>
      </w:r>
      <w:r>
        <w:t xml:space="preserve"> For ease of exposition, the ICA analyses assume that the Proposed Project will be operational in 2025. Results of the ICA analysis would not materially change if a different year of initial operation was used and are therefore not sensitive to this assumption.</w:t>
      </w:r>
    </w:p>
  </w:footnote>
  <w:footnote w:id="65">
    <w:p w14:paraId="46347DC6" w14:textId="17A38F2A" w:rsidR="003C40C7" w:rsidRDefault="003C40C7">
      <w:pPr>
        <w:pStyle w:val="FootnoteText"/>
      </w:pPr>
      <w:r>
        <w:rPr>
          <w:rStyle w:val="FootnoteReference"/>
        </w:rPr>
        <w:footnoteRef/>
      </w:r>
      <w:r>
        <w:t xml:space="preserve"> FTI modeled an alternative scenario under which </w:t>
      </w:r>
      <w:r w:rsidR="00DE3FDE">
        <w:t xml:space="preserve">all </w:t>
      </w:r>
      <w:r>
        <w:t xml:space="preserve">BIDMC medical cancer care patients were </w:t>
      </w:r>
      <w:r>
        <w:t xml:space="preserve">transferred and the remaining available beds were then filled with discharges from DFCI patients currently in BWH beds. </w:t>
      </w:r>
      <w:r w:rsidR="004743E1">
        <w:t xml:space="preserve">The results of this alternative approach differed </w:t>
      </w:r>
      <w:r w:rsidR="00DE3FDE">
        <w:t xml:space="preserve">only marginally </w:t>
      </w:r>
      <w:r w:rsidR="004743E1">
        <w:t xml:space="preserve">from the baseline scenario presented </w:t>
      </w:r>
      <w:r w:rsidR="00DE3FDE">
        <w:t>in this report</w:t>
      </w:r>
      <w:r w:rsidR="004743E1">
        <w:t>.</w:t>
      </w:r>
    </w:p>
  </w:footnote>
  <w:footnote w:id="66">
    <w:p w14:paraId="6CE6DA15" w14:textId="184698E0" w:rsidR="00FF5FB0" w:rsidRDefault="00FF5FB0">
      <w:pPr>
        <w:pStyle w:val="FootnoteText"/>
      </w:pPr>
      <w:r>
        <w:rPr>
          <w:rStyle w:val="FootnoteReference"/>
        </w:rPr>
        <w:footnoteRef/>
      </w:r>
      <w:r>
        <w:t xml:space="preserve"> For this scenario, FTI assumed that the transferring BIDMC </w:t>
      </w:r>
      <w:r w:rsidR="00336E5A">
        <w:t xml:space="preserve">patients </w:t>
      </w:r>
      <w:r>
        <w:t xml:space="preserve">were similar in acuity, length of stay, and payor mix to those </w:t>
      </w:r>
      <w:r w:rsidR="00336E5A">
        <w:t xml:space="preserve">that </w:t>
      </w:r>
      <w:r>
        <w:t>remained at BIDMC.</w:t>
      </w:r>
    </w:p>
  </w:footnote>
  <w:footnote w:id="67">
    <w:p w14:paraId="6E8EFC50" w14:textId="1D5A7FF0" w:rsidR="004743E1" w:rsidRDefault="004743E1">
      <w:pPr>
        <w:pStyle w:val="FootnoteText"/>
      </w:pPr>
      <w:r>
        <w:rPr>
          <w:rStyle w:val="FootnoteReference"/>
        </w:rPr>
        <w:footnoteRef/>
      </w:r>
      <w:r>
        <w:t xml:space="preserve"> </w:t>
      </w:r>
      <w:r w:rsidR="008660B7">
        <w:t>Though DFCI currently draws its patients from across Massachusetts</w:t>
      </w:r>
      <w:r w:rsidR="00DE3FDE">
        <w:t xml:space="preserve">, including through referrals from </w:t>
      </w:r>
      <w:r w:rsidR="008660B7">
        <w:t>other providers</w:t>
      </w:r>
      <w:r w:rsidR="00DE3FDE">
        <w:t>,</w:t>
      </w:r>
      <w:r w:rsidR="008660B7">
        <w:t xml:space="preserve"> and is projected to continue to do so, the capacity constraint of the new DFCI facility is projected to limit any increase in this diversion from other facilities to DFCI.</w:t>
      </w:r>
    </w:p>
  </w:footnote>
  <w:footnote w:id="68">
    <w:p w14:paraId="6AEE1045" w14:textId="5D329ED6" w:rsidR="00DE6FEA" w:rsidRDefault="00DE6FEA">
      <w:pPr>
        <w:pStyle w:val="FootnoteText"/>
      </w:pPr>
      <w:r>
        <w:rPr>
          <w:rStyle w:val="FootnoteReference"/>
        </w:rPr>
        <w:footnoteRef/>
      </w:r>
      <w:r>
        <w:t xml:space="preserve"> Application Narrative, p. 20.</w:t>
      </w:r>
    </w:p>
  </w:footnote>
  <w:footnote w:id="69">
    <w:p w14:paraId="339E7B4D" w14:textId="4A53C470" w:rsidR="00DE6FEA" w:rsidRDefault="00DE6FEA">
      <w:pPr>
        <w:pStyle w:val="FootnoteText"/>
      </w:pPr>
      <w:r>
        <w:rPr>
          <w:rStyle w:val="FootnoteReference"/>
        </w:rPr>
        <w:footnoteRef/>
      </w:r>
      <w:r>
        <w:t xml:space="preserve"> See Application Narrative, p. 21. DFCI estimates an ICU ADC of 18.0</w:t>
      </w:r>
      <w:r w:rsidR="00336E5A">
        <w:t>,</w:t>
      </w:r>
      <w:r>
        <w:t xml:space="preserve"> 5.6% of </w:t>
      </w:r>
      <w:r w:rsidR="00336E5A">
        <w:t xml:space="preserve">its </w:t>
      </w:r>
      <w:r>
        <w:t>total ADC projection of 321.6 in 2032.</w:t>
      </w:r>
    </w:p>
  </w:footnote>
  <w:footnote w:id="70">
    <w:p w14:paraId="73B19E97" w14:textId="2920A4C0" w:rsidR="000225BE" w:rsidRDefault="00BC48FC">
      <w:pPr>
        <w:pStyle w:val="FootnoteText"/>
      </w:pPr>
      <w:r>
        <w:rPr>
          <w:rStyle w:val="FootnoteReference"/>
        </w:rPr>
        <w:footnoteRef/>
      </w:r>
      <w:r w:rsidRPr="00C85D47">
        <w:rPr>
          <w:lang w:val="nl-NL"/>
        </w:rPr>
        <w:t xml:space="preserve"> </w:t>
      </w:r>
      <w:r w:rsidR="00296E7A" w:rsidRPr="00C85D47">
        <w:rPr>
          <w:lang w:val="nl-NL"/>
        </w:rPr>
        <w:t xml:space="preserve">See, for example, Van Dijk, Christel E., Bernard Van Den Berg, Robert A. Verheij, Peter Spreeuwenberg, Peter P. Groenewegen, and Dinny H. De Bakker. </w:t>
      </w:r>
      <w:r w:rsidR="006020D7">
        <w:t>“</w:t>
      </w:r>
      <w:r w:rsidR="00296E7A" w:rsidRPr="00296E7A">
        <w:t>Moral hazard and supplier‐induced demand: Empirical evidence in general practice.</w:t>
      </w:r>
      <w:r w:rsidR="006020D7">
        <w:t>”</w:t>
      </w:r>
      <w:r w:rsidR="00296E7A" w:rsidRPr="00296E7A">
        <w:t> </w:t>
      </w:r>
      <w:r w:rsidR="00296E7A" w:rsidRPr="00296E7A">
        <w:rPr>
          <w:i/>
          <w:iCs/>
        </w:rPr>
        <w:t>Health Economics</w:t>
      </w:r>
      <w:r w:rsidR="00296E7A" w:rsidRPr="00296E7A">
        <w:t> 22, no. 3 (2013): 340-352.</w:t>
      </w:r>
      <w:r w:rsidR="00296E7A">
        <w:t xml:space="preserve">; </w:t>
      </w:r>
      <w:r w:rsidR="00296E7A" w:rsidRPr="00296E7A">
        <w:t xml:space="preserve">McGuire, T.G. (2000) </w:t>
      </w:r>
      <w:r w:rsidR="006020D7">
        <w:t>“</w:t>
      </w:r>
      <w:r w:rsidR="00296E7A" w:rsidRPr="00296E7A">
        <w:t>Physician Agency,</w:t>
      </w:r>
      <w:r w:rsidR="006020D7">
        <w:t>”</w:t>
      </w:r>
      <w:r w:rsidR="00296E7A" w:rsidRPr="00296E7A">
        <w:t xml:space="preserve"> Chapter 9 in Handbook of Health Economics, Eds. A.J. Culyer and J.P. Newhouse, Amsterdam: North-Holland</w:t>
      </w:r>
      <w:r w:rsidR="00296E7A">
        <w:t xml:space="preserve">; </w:t>
      </w:r>
      <w:r w:rsidR="00296E7A" w:rsidRPr="00296E7A">
        <w:t xml:space="preserve">Gruber, Jonathan, and Maria Owings. </w:t>
      </w:r>
      <w:r w:rsidR="006020D7">
        <w:t>“</w:t>
      </w:r>
      <w:r w:rsidR="00296E7A" w:rsidRPr="00296E7A">
        <w:t>Physician financial incentives and cesarean section delivery.</w:t>
      </w:r>
      <w:r w:rsidR="006020D7">
        <w:t>”</w:t>
      </w:r>
      <w:r w:rsidR="00296E7A" w:rsidRPr="00296E7A">
        <w:t xml:space="preserve"> (1994)</w:t>
      </w:r>
      <w:r w:rsidR="00296E7A">
        <w:t xml:space="preserve">; </w:t>
      </w:r>
      <w:r w:rsidR="00296E7A" w:rsidRPr="00296E7A">
        <w:t xml:space="preserve">J. Sørensen, Rune, and Jostein Grytten. </w:t>
      </w:r>
      <w:r w:rsidR="006020D7">
        <w:t>“</w:t>
      </w:r>
      <w:r w:rsidR="00296E7A" w:rsidRPr="00296E7A">
        <w:t>Competition and supplier‐induced demand in a health care system with fixed fees.</w:t>
      </w:r>
      <w:r w:rsidR="006020D7">
        <w:t>”</w:t>
      </w:r>
      <w:r w:rsidR="00296E7A" w:rsidRPr="00296E7A">
        <w:t> </w:t>
      </w:r>
      <w:r w:rsidR="00296E7A" w:rsidRPr="00296E7A">
        <w:rPr>
          <w:i/>
          <w:iCs/>
        </w:rPr>
        <w:t>Health Economics</w:t>
      </w:r>
      <w:r w:rsidR="00296E7A" w:rsidRPr="00296E7A">
        <w:t> 8, no. 6 (1999): 497-508</w:t>
      </w:r>
      <w:r w:rsidR="00296E7A">
        <w:t xml:space="preserve">; </w:t>
      </w:r>
      <w:r w:rsidR="00296E7A" w:rsidRPr="00296E7A">
        <w:t xml:space="preserve">Auster, Richard D., and Ronald L. Oaxaca. </w:t>
      </w:r>
      <w:r w:rsidR="006020D7">
        <w:t>“</w:t>
      </w:r>
      <w:r w:rsidR="00296E7A" w:rsidRPr="00296E7A">
        <w:t>Identification of supplier induced demand in the health care sector.</w:t>
      </w:r>
      <w:r w:rsidR="006020D7">
        <w:t>”</w:t>
      </w:r>
      <w:r w:rsidR="00296E7A" w:rsidRPr="00296E7A">
        <w:t> </w:t>
      </w:r>
      <w:r w:rsidR="00296E7A" w:rsidRPr="00296E7A">
        <w:rPr>
          <w:i/>
          <w:iCs/>
        </w:rPr>
        <w:t>Journal of Human Resources</w:t>
      </w:r>
      <w:r w:rsidR="00296E7A" w:rsidRPr="00296E7A">
        <w:t> (1981): 327-342</w:t>
      </w:r>
      <w:r w:rsidR="002C4E0C">
        <w:t xml:space="preserve">; and </w:t>
      </w:r>
      <w:r w:rsidR="002C4E0C" w:rsidRPr="002C4E0C">
        <w:t xml:space="preserve">Conrad, Douglas A., Anne Sales, Su‐Ying Liang, Anoshua Chaudhuri, Charles Maynard, Lisa Pieper, Laurel Weinstein, David Gans, and Neill Piland. </w:t>
      </w:r>
      <w:r w:rsidR="006020D7">
        <w:t>“</w:t>
      </w:r>
      <w:r w:rsidR="002C4E0C" w:rsidRPr="002C4E0C">
        <w:t>The impact of financial incentives on physician productivity in medical groups.</w:t>
      </w:r>
      <w:r w:rsidR="006020D7">
        <w:t>”</w:t>
      </w:r>
      <w:r w:rsidR="002C4E0C" w:rsidRPr="002C4E0C">
        <w:t> </w:t>
      </w:r>
      <w:r w:rsidR="002C4E0C" w:rsidRPr="002C4E0C">
        <w:rPr>
          <w:i/>
          <w:iCs/>
        </w:rPr>
        <w:t>Health Services Research</w:t>
      </w:r>
      <w:r w:rsidR="002C4E0C" w:rsidRPr="002C4E0C">
        <w:t> 37, no. 4 (2002): 885-906.</w:t>
      </w:r>
    </w:p>
  </w:footnote>
  <w:footnote w:id="71">
    <w:p w14:paraId="2A730F5B" w14:textId="3622239A" w:rsidR="005B39DB" w:rsidRDefault="005B39DB" w:rsidP="005B39DB">
      <w:pPr>
        <w:pStyle w:val="FootnoteText"/>
      </w:pPr>
      <w:r>
        <w:rPr>
          <w:rStyle w:val="FootnoteReference"/>
        </w:rPr>
        <w:footnoteRef/>
      </w:r>
      <w:r>
        <w:t xml:space="preserve"> The scenario wherein only inpatient cancer care </w:t>
      </w:r>
      <w:r>
        <w:t>were to be induced by the two hospitals is economically equivalent to DFCI inducing a full hospital’s worth of new cancer patients from the Massachusetts population (10% more cancer patients than the status quo). As shown below, the differences in cost impacts between the cancer-only induced demand and general inpatient care alternatives are minimal.</w:t>
      </w:r>
    </w:p>
  </w:footnote>
  <w:footnote w:id="72">
    <w:p w14:paraId="3ADBE412" w14:textId="28B15BD1" w:rsidR="003003FA" w:rsidRDefault="003003FA">
      <w:pPr>
        <w:pStyle w:val="FootnoteText"/>
      </w:pPr>
      <w:r>
        <w:rPr>
          <w:rStyle w:val="FootnoteReference"/>
        </w:rPr>
        <w:footnoteRef/>
      </w:r>
      <w:r>
        <w:t xml:space="preserve"> The cost impacts of these scenarios are also overstated because they do not incorporate any cost decreases from care being diverted from other settings (e.g., outpatient care). </w:t>
      </w:r>
    </w:p>
  </w:footnote>
  <w:footnote w:id="73">
    <w:p w14:paraId="32CC19D5" w14:textId="03F54818" w:rsidR="000E7074" w:rsidRPr="00031C8B" w:rsidRDefault="000E7074">
      <w:pPr>
        <w:pStyle w:val="FootnoteText"/>
      </w:pPr>
      <w:r w:rsidRPr="00031C8B">
        <w:rPr>
          <w:rStyle w:val="FootnoteReference"/>
        </w:rPr>
        <w:footnoteRef/>
      </w:r>
      <w:r w:rsidRPr="00031C8B">
        <w:t xml:space="preserve"> See Appendix </w:t>
      </w:r>
      <w:r w:rsidR="006020D7">
        <w:t>Section II.C</w:t>
      </w:r>
      <w:r w:rsidRPr="00031C8B">
        <w:t xml:space="preserve"> for a listing of insurance product codes used to identify each payor type.</w:t>
      </w:r>
    </w:p>
  </w:footnote>
  <w:footnote w:id="74">
    <w:p w14:paraId="24B7F86A" w14:textId="029A7174" w:rsidR="000E7074" w:rsidRPr="00031C8B" w:rsidRDefault="000E7074" w:rsidP="000E7074">
      <w:pPr>
        <w:pStyle w:val="FootnoteText"/>
        <w:jc w:val="left"/>
      </w:pPr>
      <w:r w:rsidRPr="00031C8B">
        <w:rPr>
          <w:rStyle w:val="FootnoteReference"/>
        </w:rPr>
        <w:footnoteRef/>
      </w:r>
      <w:r w:rsidRPr="00031C8B">
        <w:t xml:space="preserve"> </w:t>
      </w:r>
      <w:r w:rsidR="00336E5A">
        <w:t xml:space="preserve">Application </w:t>
      </w:r>
      <w:r w:rsidRPr="00031C8B">
        <w:t>Narrative</w:t>
      </w:r>
      <w:r w:rsidR="00336E5A">
        <w:t>,</w:t>
      </w:r>
      <w:r w:rsidRPr="00031C8B">
        <w:t xml:space="preserve"> p. 19</w:t>
      </w:r>
      <w:r w:rsidR="00336E5A">
        <w:t>.</w:t>
      </w:r>
    </w:p>
  </w:footnote>
  <w:footnote w:id="75">
    <w:p w14:paraId="3CC8C2AD" w14:textId="5BE2547C" w:rsidR="000F07A5" w:rsidRPr="00031C8B" w:rsidRDefault="000F07A5">
      <w:pPr>
        <w:pStyle w:val="FootnoteText"/>
        <w:rPr>
          <w:i/>
          <w:iCs/>
        </w:rPr>
      </w:pPr>
      <w:r w:rsidRPr="00031C8B">
        <w:rPr>
          <w:rStyle w:val="FootnoteReference"/>
        </w:rPr>
        <w:footnoteRef/>
      </w:r>
      <w:r w:rsidRPr="00031C8B">
        <w:t xml:space="preserve"> See Center </w:t>
      </w:r>
      <w:r w:rsidRPr="00024125">
        <w:t xml:space="preserve">for Health Information and Analysis. </w:t>
      </w:r>
      <w:r w:rsidR="006020D7" w:rsidRPr="00024125">
        <w:t>“</w:t>
      </w:r>
      <w:hyperlink r:id="rId23" w:history="1">
        <w:r w:rsidRPr="00024125">
          <w:rPr>
            <w:rStyle w:val="Hyperlink"/>
            <w:color w:val="auto"/>
            <w:u w:val="none"/>
          </w:rPr>
          <w:t>Relative Price and Provider Price Variation in the Massachusetts Commercial Market: Methodology Report.</w:t>
        </w:r>
        <w:r w:rsidR="006020D7" w:rsidRPr="00024125">
          <w:rPr>
            <w:rStyle w:val="Hyperlink"/>
            <w:color w:val="auto"/>
            <w:u w:val="none"/>
          </w:rPr>
          <w:t>”</w:t>
        </w:r>
      </w:hyperlink>
      <w:r w:rsidRPr="00024125">
        <w:t xml:space="preserve"> (July 2024). </w:t>
      </w:r>
      <w:hyperlink r:id="rId24" w:history="1">
        <w:r w:rsidR="00024125" w:rsidRPr="00024125">
          <w:rPr>
            <w:rStyle w:val="Hyperlink"/>
            <w:color w:val="auto"/>
            <w:u w:val="none"/>
          </w:rPr>
          <w:t>https://www.chiamass.gov/assets/docs/r/pubs/2024/Relative-Price-Methodology-2022.pdf</w:t>
        </w:r>
      </w:hyperlink>
      <w:r w:rsidR="00024125" w:rsidRPr="00024125">
        <w:t xml:space="preserve"> </w:t>
      </w:r>
      <w:r w:rsidR="00336E5A" w:rsidRPr="00024125">
        <w:t xml:space="preserve">. </w:t>
      </w:r>
    </w:p>
  </w:footnote>
  <w:footnote w:id="76">
    <w:p w14:paraId="0485BC89" w14:textId="43DFFE29" w:rsidR="003A6DDE" w:rsidRPr="00031C8B" w:rsidRDefault="003A6DDE">
      <w:pPr>
        <w:pStyle w:val="FootnoteText"/>
      </w:pPr>
      <w:r w:rsidRPr="00031C8B">
        <w:rPr>
          <w:rStyle w:val="FootnoteReference"/>
        </w:rPr>
        <w:footnoteRef/>
      </w:r>
      <w:r w:rsidRPr="00031C8B">
        <w:t xml:space="preserve"> Weighting by case mix index, a measure of patient acuity, controls for variation in patient mix across providers, allowing for appropriate comparisons between hospitals and health systems.</w:t>
      </w:r>
    </w:p>
  </w:footnote>
  <w:footnote w:id="77">
    <w:p w14:paraId="5A601C9D" w14:textId="6EADF9A9" w:rsidR="00B96761" w:rsidRPr="00031C8B" w:rsidRDefault="00B96761">
      <w:pPr>
        <w:pStyle w:val="FootnoteText"/>
      </w:pPr>
      <w:r w:rsidRPr="00031C8B">
        <w:rPr>
          <w:rStyle w:val="FootnoteReference"/>
        </w:rPr>
        <w:footnoteRef/>
      </w:r>
      <w:r w:rsidRPr="00031C8B">
        <w:t xml:space="preserve"> </w:t>
      </w:r>
      <w:r w:rsidRPr="00EE4A31">
        <w:t xml:space="preserve">Source: </w:t>
      </w:r>
      <w:r w:rsidR="00EE4A31" w:rsidRPr="00EE4A31">
        <w:t xml:space="preserve">2021 </w:t>
      </w:r>
      <w:r w:rsidRPr="00EE4A31">
        <w:t xml:space="preserve">CHIA Massachusetts </w:t>
      </w:r>
      <w:r w:rsidR="00EE4A31" w:rsidRPr="00EE4A31">
        <w:t xml:space="preserve">APCD </w:t>
      </w:r>
      <w:r w:rsidRPr="00EE4A31">
        <w:t xml:space="preserve">and </w:t>
      </w:r>
      <w:r w:rsidR="00EE4A31" w:rsidRPr="00EE4A31">
        <w:t xml:space="preserve">2021 </w:t>
      </w:r>
      <w:r w:rsidRPr="00EE4A31">
        <w:t>Medicare Inpatient</w:t>
      </w:r>
      <w:r w:rsidR="00EE4A31" w:rsidRPr="00EE4A31">
        <w:t xml:space="preserve"> Claims Data</w:t>
      </w:r>
      <w:r w:rsidR="00EE4A31">
        <w:t>.</w:t>
      </w:r>
    </w:p>
  </w:footnote>
  <w:footnote w:id="78">
    <w:p w14:paraId="041386CB" w14:textId="58B0074A" w:rsidR="002F5B27" w:rsidRPr="004D5899" w:rsidRDefault="002F5B27">
      <w:pPr>
        <w:pStyle w:val="FootnoteText"/>
      </w:pPr>
      <w:r>
        <w:rPr>
          <w:rStyle w:val="FootnoteReference"/>
        </w:rPr>
        <w:footnoteRef/>
      </w:r>
      <w:r>
        <w:t xml:space="preserve"> Centers for Medicare &amp; Medicaid Services. </w:t>
      </w:r>
      <w:hyperlink r:id="rId25" w:history="1">
        <w:r w:rsidR="006020D7" w:rsidRPr="004D5899">
          <w:rPr>
            <w:rStyle w:val="Hyperlink"/>
            <w:color w:val="auto"/>
            <w:u w:val="none"/>
          </w:rPr>
          <w:t>“</w:t>
        </w:r>
        <w:r w:rsidRPr="004D5899">
          <w:rPr>
            <w:rStyle w:val="Hyperlink"/>
            <w:color w:val="auto"/>
            <w:u w:val="none"/>
          </w:rPr>
          <w:t>PPS-Exempt Cancer Hospitals (PCHs),</w:t>
        </w:r>
        <w:r w:rsidR="006020D7" w:rsidRPr="004D5899">
          <w:rPr>
            <w:rStyle w:val="Hyperlink"/>
            <w:color w:val="auto"/>
            <w:u w:val="none"/>
          </w:rPr>
          <w:t>”</w:t>
        </w:r>
      </w:hyperlink>
      <w:r w:rsidRPr="004D5899">
        <w:t xml:space="preserve"> accessed October 23, 2024. </w:t>
      </w:r>
      <w:hyperlink r:id="rId26" w:history="1">
        <w:r w:rsidR="00024125" w:rsidRPr="004D5899">
          <w:rPr>
            <w:rStyle w:val="Hyperlink"/>
            <w:color w:val="auto"/>
            <w:u w:val="none"/>
          </w:rPr>
          <w:t>https://www.cms.gov/medicare/payment/prospective-payment-systems/acute-inpatient-pps/pps-exempt-cancer-hospitals-pchs</w:t>
        </w:r>
      </w:hyperlink>
      <w:r w:rsidR="00024125" w:rsidRPr="004D5899">
        <w:t xml:space="preserve"> </w:t>
      </w:r>
      <w:r w:rsidRPr="004D5899">
        <w:t xml:space="preserve">. </w:t>
      </w:r>
    </w:p>
  </w:footnote>
  <w:footnote w:id="79">
    <w:p w14:paraId="7BE699A1" w14:textId="3E7A29DC" w:rsidR="002F5B27" w:rsidRPr="004D5899" w:rsidRDefault="002F5B27">
      <w:pPr>
        <w:pStyle w:val="FootnoteText"/>
      </w:pPr>
      <w:r w:rsidRPr="004D5899">
        <w:rPr>
          <w:rStyle w:val="FootnoteReference"/>
        </w:rPr>
        <w:footnoteRef/>
      </w:r>
      <w:r w:rsidRPr="004D5899">
        <w:t xml:space="preserve"> </w:t>
      </w:r>
      <w:r w:rsidR="001D3925" w:rsidRPr="004D5899">
        <w:t xml:space="preserve">United States Government Accountability Office. </w:t>
      </w:r>
      <w:r w:rsidR="006020D7" w:rsidRPr="004D5899">
        <w:t>“</w:t>
      </w:r>
      <w:hyperlink r:id="rId27" w:history="1">
        <w:r w:rsidR="001D3925" w:rsidRPr="004D5899">
          <w:rPr>
            <w:rStyle w:val="Hyperlink"/>
            <w:color w:val="auto"/>
            <w:u w:val="none"/>
          </w:rPr>
          <w:t>Medicare: Payment Methods for Certain Cancer Hospitals Should Be Revised to Promote Efficiency</w:t>
        </w:r>
      </w:hyperlink>
      <w:r w:rsidR="001D3925" w:rsidRPr="004D5899">
        <w:t>.</w:t>
      </w:r>
      <w:r w:rsidR="006020D7" w:rsidRPr="004D5899">
        <w:t>”</w:t>
      </w:r>
      <w:r w:rsidR="001D3925" w:rsidRPr="004D5899">
        <w:t xml:space="preserve"> (February 2015). </w:t>
      </w:r>
      <w:hyperlink r:id="rId28" w:history="1">
        <w:r w:rsidR="00024125" w:rsidRPr="004D5899">
          <w:rPr>
            <w:rStyle w:val="Hyperlink"/>
            <w:color w:val="auto"/>
            <w:u w:val="none"/>
          </w:rPr>
          <w:t>https://www.gao.gov/assets/gao-15-199.pdf</w:t>
        </w:r>
      </w:hyperlink>
      <w:r w:rsidR="00024125" w:rsidRPr="004D5899">
        <w:t xml:space="preserve"> </w:t>
      </w:r>
      <w:r w:rsidR="001D3925" w:rsidRPr="004D5899">
        <w:t>.</w:t>
      </w:r>
      <w:r w:rsidR="00AD08A8" w:rsidRPr="004D5899">
        <w:t xml:space="preserve"> </w:t>
      </w:r>
    </w:p>
  </w:footnote>
  <w:footnote w:id="80">
    <w:p w14:paraId="33470B4D" w14:textId="7D1FE24F" w:rsidR="001D3925" w:rsidRDefault="001D3925">
      <w:pPr>
        <w:pStyle w:val="FootnoteText"/>
      </w:pPr>
      <w:r w:rsidRPr="004D5899">
        <w:rPr>
          <w:rStyle w:val="FootnoteReference"/>
        </w:rPr>
        <w:footnoteRef/>
      </w:r>
      <w:r w:rsidRPr="004D5899">
        <w:t xml:space="preserve"> United States Government Accountability Office. </w:t>
      </w:r>
      <w:r w:rsidR="006020D7" w:rsidRPr="004D5899">
        <w:t>“</w:t>
      </w:r>
      <w:hyperlink r:id="rId29" w:history="1">
        <w:r w:rsidRPr="004D5899">
          <w:rPr>
            <w:rStyle w:val="Hyperlink"/>
            <w:color w:val="auto"/>
            <w:u w:val="none"/>
          </w:rPr>
          <w:t>Medicare: Payment Methods for Certain Cancer Hospitals Should Be Revised to Promote Efficiency</w:t>
        </w:r>
      </w:hyperlink>
      <w:r w:rsidRPr="004D5899">
        <w:t>.</w:t>
      </w:r>
      <w:r w:rsidR="006020D7" w:rsidRPr="004D5899">
        <w:t>”</w:t>
      </w:r>
      <w:r w:rsidRPr="004D5899">
        <w:t xml:space="preserve"> (February 2015). </w:t>
      </w:r>
      <w:hyperlink r:id="rId30" w:history="1">
        <w:r w:rsidR="004D5899" w:rsidRPr="004D5899">
          <w:rPr>
            <w:rStyle w:val="Hyperlink"/>
            <w:color w:val="auto"/>
            <w:u w:val="none"/>
          </w:rPr>
          <w:t>https://www.gao.gov/assets/gao-15-199.pdf</w:t>
        </w:r>
      </w:hyperlink>
      <w:r w:rsidR="004D5899" w:rsidRPr="004D5899">
        <w:t xml:space="preserve"> </w:t>
      </w:r>
      <w:r w:rsidRPr="004D5899">
        <w:t>, p. 21.</w:t>
      </w:r>
    </w:p>
  </w:footnote>
  <w:footnote w:id="81">
    <w:p w14:paraId="58CD6D0C" w14:textId="4557B651" w:rsidR="0007120E" w:rsidRDefault="0007120E">
      <w:pPr>
        <w:pStyle w:val="FootnoteText"/>
      </w:pPr>
      <w:r>
        <w:rPr>
          <w:rStyle w:val="FootnoteReference"/>
        </w:rPr>
        <w:footnoteRef/>
      </w:r>
      <w:r>
        <w:t xml:space="preserve"> See Appendix Table A5 for a full listing of projected 2025 commercial shares by hospital. See also Appendix Table A4 for 2025 all-payor shares by hospital.</w:t>
      </w:r>
    </w:p>
  </w:footnote>
  <w:footnote w:id="82">
    <w:p w14:paraId="6004BD2B" w14:textId="0A6FE131" w:rsidR="00445C21" w:rsidRDefault="00445C21">
      <w:pPr>
        <w:pStyle w:val="FootnoteText"/>
      </w:pPr>
      <w:r>
        <w:rPr>
          <w:rStyle w:val="FootnoteReference"/>
        </w:rPr>
        <w:footnoteRef/>
      </w:r>
      <w:r>
        <w:t xml:space="preserve"> </w:t>
      </w:r>
      <w:r w:rsidR="00DE3FDE">
        <w:t>A Government Accountability Office report estimated t</w:t>
      </w:r>
      <w:r w:rsidR="00967F13">
        <w:t>he median Medicare reimbursement for PCH’s (not including DFCI) above the otherwise applicable IPPS reimbursement was estimated to be 20.05%</w:t>
      </w:r>
      <w:r w:rsidR="00DE3FDE">
        <w:t>, while</w:t>
      </w:r>
      <w:r w:rsidR="00967F13">
        <w:t xml:space="preserve"> DFCI was estimated to receive reimbursements 7.8% above the IPPS</w:t>
      </w:r>
      <w:r w:rsidR="00DE3FDE">
        <w:t>.</w:t>
      </w:r>
      <w:r w:rsidR="00967F13">
        <w:t xml:space="preserve"> </w:t>
      </w:r>
      <w:r w:rsidR="00DE3FDE">
        <w:t>Medicare reimbursement in p</w:t>
      </w:r>
      <w:r w:rsidR="00967F13">
        <w:t xml:space="preserve">ricing scenario (4) </w:t>
      </w:r>
      <w:r w:rsidR="00DE3FDE">
        <w:t xml:space="preserve">was determined by increasing DFCI’s </w:t>
      </w:r>
      <w:r w:rsidR="00967F13">
        <w:t xml:space="preserve">Medicare reimbursement by a factor of 1.113 (1.2005/1.078) from a baseline relative price of 1.01 to 1.124. </w:t>
      </w:r>
      <w:r w:rsidR="00967F13" w:rsidRPr="00445C21">
        <w:t xml:space="preserve">See </w:t>
      </w:r>
      <w:r w:rsidR="00967F13" w:rsidRPr="00445C21">
        <w:rPr>
          <w:rStyle w:val="ui-provider"/>
        </w:rPr>
        <w:t>United States Government Accountability Office. “</w:t>
      </w:r>
      <w:hyperlink r:id="rId31" w:history="1">
        <w:r w:rsidR="00967F13" w:rsidRPr="00403016">
          <w:rPr>
            <w:rStyle w:val="Hyperlink"/>
            <w:color w:val="auto"/>
            <w:u w:val="none"/>
          </w:rPr>
          <w:t>Medicare: Payment Methods for Certain Cancer Hospitals Should Be Revised to Promote Efficiency</w:t>
        </w:r>
      </w:hyperlink>
      <w:r w:rsidR="00967F13" w:rsidRPr="00403016">
        <w:rPr>
          <w:rStyle w:val="ui-provider"/>
        </w:rPr>
        <w:t xml:space="preserve">.” (February 2015). </w:t>
      </w:r>
      <w:hyperlink r:id="rId32" w:history="1">
        <w:r w:rsidR="00403016" w:rsidRPr="00403016">
          <w:rPr>
            <w:rStyle w:val="Hyperlink"/>
            <w:color w:val="auto"/>
            <w:u w:val="none"/>
          </w:rPr>
          <w:t>https://www.gao.gov/assets/gao-15-199.pdf</w:t>
        </w:r>
      </w:hyperlink>
      <w:r w:rsidR="00403016" w:rsidRPr="00403016">
        <w:rPr>
          <w:rStyle w:val="ui-provider"/>
        </w:rPr>
        <w:t xml:space="preserve"> </w:t>
      </w:r>
      <w:r w:rsidR="00967F13" w:rsidRPr="00403016">
        <w:rPr>
          <w:rStyle w:val="ui-provider"/>
        </w:rPr>
        <w:t xml:space="preserve">, </w:t>
      </w:r>
      <w:r w:rsidR="00967F13" w:rsidRPr="00445C21">
        <w:rPr>
          <w:rStyle w:val="ui-provider"/>
        </w:rPr>
        <w:t>p. 21 and Application Narrative p. 1.</w:t>
      </w:r>
    </w:p>
  </w:footnote>
  <w:footnote w:id="83">
    <w:p w14:paraId="44223CB2" w14:textId="4FBE1B13" w:rsidR="00664A4B" w:rsidRPr="00031C8B" w:rsidRDefault="00664A4B">
      <w:pPr>
        <w:pStyle w:val="FootnoteText"/>
      </w:pPr>
      <w:r w:rsidRPr="00031C8B">
        <w:rPr>
          <w:rStyle w:val="FootnoteReference"/>
        </w:rPr>
        <w:footnoteRef/>
      </w:r>
      <w:r w:rsidRPr="00031C8B">
        <w:t xml:space="preserve"> There are many caveats to this literature, including about estimating effects from concentration and share measures, and about inferences to be drawn regarding bargaining power or price effects from changes in structural measures for the services subject to negotiation. See, for example, Garmon, Christopher. </w:t>
      </w:r>
      <w:r w:rsidR="006020D7">
        <w:t>“</w:t>
      </w:r>
      <w:r w:rsidRPr="00031C8B">
        <w:t>The accuracy of hospital merger screening methods.</w:t>
      </w:r>
      <w:r w:rsidR="006020D7">
        <w:t>”</w:t>
      </w:r>
      <w:r w:rsidRPr="00031C8B">
        <w:t xml:space="preserve"> </w:t>
      </w:r>
      <w:r w:rsidRPr="00031C8B">
        <w:rPr>
          <w:i/>
          <w:iCs/>
        </w:rPr>
        <w:t xml:space="preserve">The RAND Journal of Economics </w:t>
      </w:r>
      <w:r w:rsidRPr="00031C8B">
        <w:t>48, no. 4 (2017): 1068-1102.</w:t>
      </w:r>
      <w:bookmarkStart w:id="50" w:name="_Hlk106627704"/>
      <w:r w:rsidRPr="00031C8B">
        <w:t xml:space="preserve"> Healthcare also is characterized by differentiated products, where many factors make price comparisons complex. As noted by Haas-Wilson and Garmon</w:t>
      </w:r>
      <w:r w:rsidR="00336E5A">
        <w:t>,</w:t>
      </w:r>
      <w:r w:rsidRPr="00031C8B">
        <w:t xml:space="preserve"> </w:t>
      </w:r>
      <w:r w:rsidR="006020D7">
        <w:t>“</w:t>
      </w:r>
      <w:r w:rsidRPr="00031C8B">
        <w:t>In a market with differentiated products, different price levels are neither necessary, nor sufficient, to demonstrate the exercise of market power.</w:t>
      </w:r>
      <w:r w:rsidR="006020D7">
        <w:t>”</w:t>
      </w:r>
      <w:r w:rsidRPr="00031C8B">
        <w:rPr>
          <w:i/>
          <w:iCs/>
        </w:rPr>
        <w:t xml:space="preserve"> </w:t>
      </w:r>
      <w:r w:rsidRPr="00031C8B">
        <w:t xml:space="preserve">See Deborah Haas-Wilson and Christopher Garmon, </w:t>
      </w:r>
      <w:r w:rsidR="006020D7">
        <w:t>“</w:t>
      </w:r>
      <w:r w:rsidRPr="00031C8B">
        <w:t>Hospital Mergers and Competitive Effects: Two Retrospective Analyses,</w:t>
      </w:r>
      <w:r w:rsidR="006020D7">
        <w:t>”</w:t>
      </w:r>
      <w:r w:rsidRPr="00031C8B">
        <w:t xml:space="preserve"> </w:t>
      </w:r>
      <w:r w:rsidRPr="00031C8B">
        <w:rPr>
          <w:i/>
          <w:iCs/>
        </w:rPr>
        <w:t xml:space="preserve">International Journal of the Economics of Business </w:t>
      </w:r>
      <w:r w:rsidRPr="00031C8B">
        <w:t>18, no. 1 (2011): 17-32.</w:t>
      </w:r>
      <w:bookmarkEnd w:id="50"/>
      <w:r w:rsidRPr="00031C8B">
        <w:t xml:space="preserve"> Additional discussion of competitive effects modeling in healthcare provided at Guerin-Calvert, Margaret E. </w:t>
      </w:r>
      <w:r w:rsidR="006020D7">
        <w:t>“</w:t>
      </w:r>
      <w:r w:rsidRPr="00031C8B">
        <w:t>Competitive effects analyses of hospital mergers: Are we keeping pace with dynamic healthcare markets?</w:t>
      </w:r>
      <w:r w:rsidR="006020D7">
        <w:t>”</w:t>
      </w:r>
      <w:r w:rsidRPr="00031C8B">
        <w:t xml:space="preserve"> </w:t>
      </w:r>
      <w:r w:rsidRPr="00031C8B">
        <w:rPr>
          <w:i/>
          <w:iCs/>
        </w:rPr>
        <w:t>The Antitrust Bulletin</w:t>
      </w:r>
      <w:r w:rsidRPr="00031C8B">
        <w:t xml:space="preserve"> 59, no. 3 (2014): 505-513; Capps, Cory S. </w:t>
      </w:r>
      <w:r w:rsidR="006020D7">
        <w:t>“</w:t>
      </w:r>
      <w:r w:rsidRPr="00031C8B">
        <w:t>From Rockford to Joplin and back again: The impact of economics on hospital merger enforcement.</w:t>
      </w:r>
      <w:r w:rsidR="006020D7">
        <w:t>”</w:t>
      </w:r>
      <w:r w:rsidRPr="00031C8B">
        <w:t xml:space="preserve"> </w:t>
      </w:r>
      <w:r w:rsidRPr="00031C8B">
        <w:rPr>
          <w:i/>
          <w:iCs/>
        </w:rPr>
        <w:t>The Antitrust Bulletin</w:t>
      </w:r>
      <w:r w:rsidRPr="00031C8B">
        <w:t xml:space="preserve"> 59, no. 3 (2014): 443-478; and May, Sean, and Monica Noether. </w:t>
      </w:r>
      <w:r w:rsidR="006020D7">
        <w:t>“</w:t>
      </w:r>
      <w:r w:rsidRPr="00031C8B">
        <w:t>Unresolved questions relating to market definition in hospital mergers.</w:t>
      </w:r>
      <w:r w:rsidR="006020D7">
        <w:t>”</w:t>
      </w:r>
      <w:r w:rsidRPr="00031C8B">
        <w:t xml:space="preserve"> </w:t>
      </w:r>
      <w:r w:rsidRPr="00031C8B">
        <w:rPr>
          <w:i/>
          <w:iCs/>
        </w:rPr>
        <w:t>The Antitrust Bulletin</w:t>
      </w:r>
      <w:r w:rsidRPr="00031C8B">
        <w:t xml:space="preserve"> 59, no. 3 (2014): 479-503.</w:t>
      </w:r>
    </w:p>
  </w:footnote>
  <w:footnote w:id="84">
    <w:p w14:paraId="5D8552D9" w14:textId="7FB23D16" w:rsidR="007B3608" w:rsidRDefault="007B3608">
      <w:pPr>
        <w:pStyle w:val="FootnoteText"/>
      </w:pPr>
      <w:r>
        <w:rPr>
          <w:rStyle w:val="FootnoteReference"/>
        </w:rPr>
        <w:footnoteRef/>
      </w:r>
      <w:r>
        <w:t xml:space="preserve"> Based on available information regarding the agreement between DFCI and BIDMC, the ICA analysis was conducted under the assumption that DFCI and BIDMC will not jointly negotiate reimbursement rates for physicians or facilities with payors.</w:t>
      </w:r>
    </w:p>
  </w:footnote>
  <w:footnote w:id="85">
    <w:p w14:paraId="44C0A0F3" w14:textId="7A0952F3" w:rsidR="004B0AE3" w:rsidRDefault="004B0AE3">
      <w:pPr>
        <w:pStyle w:val="FootnoteText"/>
      </w:pPr>
      <w:r>
        <w:rPr>
          <w:rStyle w:val="FootnoteReference"/>
        </w:rPr>
        <w:footnoteRef/>
      </w:r>
      <w:r>
        <w:t xml:space="preserve"> </w:t>
      </w:r>
      <w:r w:rsidR="001644F5">
        <w:t xml:space="preserve">Depending on the exact nature of the hypothetical backfill (e.g., diseases, medical versus surgical, acuity, etc.), the cost and market impacts could be different. Determination and projection of the exact patients that could backfill available capacity at BWH and BIDMC is beyond the scope of this report. </w:t>
      </w:r>
    </w:p>
  </w:footnote>
  <w:footnote w:id="86">
    <w:p w14:paraId="10209E9F" w14:textId="790482E5" w:rsidR="009E3D2B" w:rsidRDefault="009E3D2B">
      <w:pPr>
        <w:pStyle w:val="FootnoteText"/>
      </w:pPr>
      <w:r>
        <w:rPr>
          <w:rStyle w:val="FootnoteReference"/>
        </w:rPr>
        <w:footnoteRef/>
      </w:r>
      <w:r>
        <w:t xml:space="preserve"> The average daily census of inpatient cancer care in Massachusetts is projected to grow by 249 by 2030, </w:t>
      </w:r>
      <w:r w:rsidR="00550EAF">
        <w:t xml:space="preserve">nearly by the full 255 average daily census capacity of the proposed new DFCI facility. This growth in demand that will occur regardless of the Proposed Project </w:t>
      </w:r>
      <w:r>
        <w:t xml:space="preserve">all but </w:t>
      </w:r>
      <w:r w:rsidR="00550EAF">
        <w:t xml:space="preserve">eliminates the </w:t>
      </w:r>
      <w:r>
        <w:t xml:space="preserve">scope for supply-induced demand by that </w:t>
      </w:r>
      <w:r w:rsidR="00550EAF">
        <w:t>2030</w:t>
      </w:r>
      <w:r>
        <w:t>.</w:t>
      </w:r>
    </w:p>
  </w:footnote>
  <w:footnote w:id="87">
    <w:p w14:paraId="5135F3E4" w14:textId="468CA9BD" w:rsidR="00522378" w:rsidRDefault="00522378">
      <w:pPr>
        <w:pStyle w:val="FootnoteText"/>
      </w:pPr>
      <w:r>
        <w:rPr>
          <w:rStyle w:val="FootnoteReference"/>
        </w:rPr>
        <w:footnoteRef/>
      </w:r>
      <w:r>
        <w:t xml:space="preserve"> </w:t>
      </w:r>
      <w:r w:rsidR="00336E5A">
        <w:t>See, for example,</w:t>
      </w:r>
      <w:r w:rsidRPr="00522378">
        <w:t xml:space="preserve"> the </w:t>
      </w:r>
      <w:r w:rsidR="007E2B5D">
        <w:t xml:space="preserve">2024 </w:t>
      </w:r>
      <w:r w:rsidRPr="00522378">
        <w:t xml:space="preserve">Kaiser Family Foundation annual health benefits survey, </w:t>
      </w:r>
      <w:hyperlink r:id="rId33" w:history="1">
        <w:r w:rsidR="006020D7" w:rsidRPr="00BF417F">
          <w:rPr>
            <w:rStyle w:val="Hyperlink"/>
            <w:color w:val="auto"/>
            <w:u w:val="none"/>
          </w:rPr>
          <w:t>“</w:t>
        </w:r>
        <w:r w:rsidR="007E2B5D" w:rsidRPr="00BF417F">
          <w:rPr>
            <w:rStyle w:val="Hyperlink"/>
            <w:color w:val="auto"/>
            <w:u w:val="none"/>
          </w:rPr>
          <w:t xml:space="preserve">2024 </w:t>
        </w:r>
        <w:r w:rsidRPr="00BF417F">
          <w:rPr>
            <w:rStyle w:val="Hyperlink"/>
            <w:color w:val="auto"/>
            <w:u w:val="none"/>
          </w:rPr>
          <w:t>Employer Health Benefits Survey.</w:t>
        </w:r>
        <w:r w:rsidR="006020D7" w:rsidRPr="00BF417F">
          <w:rPr>
            <w:rStyle w:val="Hyperlink"/>
            <w:color w:val="auto"/>
            <w:u w:val="none"/>
          </w:rPr>
          <w:t>”</w:t>
        </w:r>
        <w:r w:rsidRPr="00BF417F">
          <w:rPr>
            <w:rStyle w:val="Hyperlink"/>
            <w:color w:val="auto"/>
            <w:u w:val="none"/>
          </w:rPr>
          <w:t xml:space="preserve"> Kaiser Family Foundation</w:t>
        </w:r>
      </w:hyperlink>
      <w:r w:rsidRPr="00BF417F">
        <w:t xml:space="preserve"> (</w:t>
      </w:r>
      <w:r w:rsidR="007E2B5D" w:rsidRPr="00BF417F">
        <w:t>October 2024</w:t>
      </w:r>
      <w:r w:rsidRPr="00BF417F">
        <w:t>).</w:t>
      </w:r>
      <w:r w:rsidR="007E2B5D" w:rsidRPr="00BF417F">
        <w:t xml:space="preserve"> </w:t>
      </w:r>
      <w:hyperlink r:id="rId34" w:history="1">
        <w:r w:rsidR="00722DD3" w:rsidRPr="00BF417F">
          <w:rPr>
            <w:rStyle w:val="Hyperlink"/>
            <w:color w:val="auto"/>
            <w:u w:val="none"/>
          </w:rPr>
          <w:t>https://www.kff.org/report-section/ehbs-2024-summary-of-findings/</w:t>
        </w:r>
      </w:hyperlink>
      <w:r w:rsidR="00722DD3" w:rsidRPr="00BF417F">
        <w:t xml:space="preserve"> </w:t>
      </w:r>
      <w:r w:rsidR="007E2B5D" w:rsidRPr="00BF417F">
        <w:t xml:space="preserve">. </w:t>
      </w:r>
    </w:p>
  </w:footnote>
  <w:footnote w:id="88">
    <w:p w14:paraId="5CE612B4" w14:textId="2DE0486F" w:rsidR="00D26D71" w:rsidRPr="008A099B" w:rsidRDefault="00D26D71">
      <w:pPr>
        <w:pStyle w:val="FootnoteText"/>
      </w:pPr>
      <w:r>
        <w:rPr>
          <w:rStyle w:val="FootnoteReference"/>
        </w:rPr>
        <w:footnoteRef/>
      </w:r>
      <w:r w:rsidRPr="00C85D47">
        <w:rPr>
          <w:lang w:val="es-ES"/>
        </w:rPr>
        <w:t xml:space="preserve"> Uscanga-Palomeque AC, Chávez-Escamilla AK, Alvizo-Báez CA, et al. </w:t>
      </w:r>
      <w:r w:rsidRPr="008A099B">
        <w:t xml:space="preserve">CAR-T Cell Therapy: From the Shop to Cancer Therapy. </w:t>
      </w:r>
      <w:r w:rsidRPr="00C85D47">
        <w:rPr>
          <w:lang w:val="fr-FR"/>
        </w:rPr>
        <w:t xml:space="preserve">Int J Mol Sci. </w:t>
      </w:r>
      <w:r w:rsidRPr="00C85D47">
        <w:rPr>
          <w:lang w:val="fr-FR"/>
        </w:rPr>
        <w:t xml:space="preserve">2023;24(21):15688. doi:10.3390/ijms242115688; Sun Y, Yu X, Wang X, et al. </w:t>
      </w:r>
      <w:r w:rsidRPr="008A099B">
        <w:t>Bispecific antibodies in cancer therapy: Target selection and regulatory requirements. Acta Pharm Sin B. 2023;13(9):3583-3597. doi:10.1016/j.apsb.2023.05.023.</w:t>
      </w:r>
    </w:p>
  </w:footnote>
  <w:footnote w:id="89">
    <w:p w14:paraId="59A24CC7" w14:textId="455E3130" w:rsidR="00D26D71" w:rsidRPr="008A099B" w:rsidRDefault="00D26D71">
      <w:pPr>
        <w:pStyle w:val="FootnoteText"/>
      </w:pPr>
      <w:r w:rsidRPr="008A099B">
        <w:rPr>
          <w:rStyle w:val="FootnoteReference"/>
        </w:rPr>
        <w:footnoteRef/>
      </w:r>
      <w:r w:rsidRPr="008A099B">
        <w:t xml:space="preserve"> Moreau P, Garfall AL, Donk NWCJvd, et al. Teclistamab in Relapsed or Refractory Multiple Myeloma. New England Journal of Medicine. 2022;387(6):495-505. doi:10.1056/NEJMoa2203478; Siddiqi T. CARs vs bispecifics: the race is on! Blood. 2024;144(6):592-593. doi:10.1182/blood.2024025130; Budde LE, Sehn LH, Matasar M, et al. Safety and efficacy of mosunetuzumab, a bispecific antibody, in patients with relapsed or refractory follicular lymphoma: a single-arm, multicentre, phase 2 study. Lancet Oncol. 2022;23(8):1055-1065. doi:10.1016/S1470-2045(22)00335-7.</w:t>
      </w:r>
    </w:p>
  </w:footnote>
  <w:footnote w:id="90">
    <w:p w14:paraId="14B27948" w14:textId="42CD0068" w:rsidR="00D26D71" w:rsidRPr="008A099B" w:rsidRDefault="00D26D71">
      <w:pPr>
        <w:pStyle w:val="FootnoteText"/>
      </w:pPr>
      <w:r w:rsidRPr="008A099B">
        <w:rPr>
          <w:rStyle w:val="FootnoteReference"/>
        </w:rPr>
        <w:footnoteRef/>
      </w:r>
      <w:r w:rsidRPr="008A099B">
        <w:t xml:space="preserve"> Anderson LD, Munshi NC, Shah N, et al. Idecabtagene vicleucel (ide-cel, bb2121), a BCMA-directed CAR T cell therapy, in relapsed and refractory multiple myeloma: Updated KarMMa results. JCO. </w:t>
      </w:r>
      <w:r w:rsidRPr="008A099B">
        <w:t xml:space="preserve">2021;39:8016-8016. DOI:10.1200/JCO.2021.39.15_suppl.8016; Berdeja JG, Madduri D, Usmani SZ, et al. Ciltacabtagene autoleucel, a B-cell maturation antigen-directed chimeric antigen receptor T-cell therapy in patients with relapsed or refractory multiple myeloma (CARTITUDE-1): a phase 1b/2 open-label study. Lancet. 2021;398(10297):314-324. doi:10.1016/S0140-6736(21)00933-8; Jacobson C, Hemmer MT, Hu ZH, et al. S223: REAL-WORLD EARLY OUTCOMES OF AXICABTAGENE CILOLEUCEL FOR RELAPSED OR REFRACTORY FOLLICULAR LYMPHOMA. </w:t>
      </w:r>
      <w:r w:rsidRPr="00C85D47">
        <w:rPr>
          <w:lang w:val="fr-FR"/>
        </w:rPr>
        <w:t>Hemasphere. 2023;7(Suppl ):e31464ce. doi:10.1097/01.HS9.0000967804.31464.ce;</w:t>
      </w:r>
      <w:r w:rsidR="00F95C21" w:rsidRPr="00C85D47">
        <w:rPr>
          <w:lang w:val="fr-FR"/>
        </w:rPr>
        <w:t xml:space="preserve"> </w:t>
      </w:r>
      <w:r w:rsidR="00F95C21" w:rsidRPr="00C85D47">
        <w:rPr>
          <w:rFonts w:eastAsia="Times New Roman"/>
          <w:lang w:val="fr-FR"/>
        </w:rPr>
        <w:t xml:space="preserve">Abramson JS, Solomon SR, Arnason J, et al. </w:t>
      </w:r>
      <w:r w:rsidR="00F95C21" w:rsidRPr="008A099B">
        <w:rPr>
          <w:rFonts w:eastAsia="Times New Roman"/>
        </w:rPr>
        <w:t xml:space="preserve">Lisocabtagene maraleucel as second-line therapy for large B-cell lymphoma: primary analysis of the phase 3 TRANSFORM study. Blood. 2023;141(14):1675-1684. doi:10.1182/blood.2022018730. </w:t>
      </w:r>
    </w:p>
  </w:footnote>
  <w:footnote w:id="91">
    <w:p w14:paraId="53F7F7E2" w14:textId="271F6644" w:rsidR="00F116CE" w:rsidRPr="008A099B" w:rsidRDefault="00F116CE">
      <w:pPr>
        <w:pStyle w:val="FootnoteText"/>
      </w:pPr>
      <w:r w:rsidRPr="008A099B">
        <w:rPr>
          <w:rStyle w:val="FootnoteReference"/>
        </w:rPr>
        <w:footnoteRef/>
      </w:r>
      <w:r w:rsidRPr="008A099B">
        <w:t xml:space="preserve"> Wang JY, Wang L. CAR-T cell therapy: Where are we now, and where are we </w:t>
      </w:r>
      <w:r w:rsidRPr="008A099B">
        <w:t xml:space="preserve">heading?. Blood Sci. 2023;5(4):237-248. doi:10.1097/BS9.0000000000000173; Oslund RC, Holland PM, Lesley SA, Fadeyi OO. Therapeutic potential of cis-targeting bispecific antibodies. Cell Chemical Biology. 2024/08/15/ 2024;31(8):1473-1489. </w:t>
      </w:r>
      <w:r w:rsidRPr="008A099B">
        <w:t xml:space="preserve">doi:https://doi.org/10.1016/j.chembiol.2024.07.004. </w:t>
      </w:r>
    </w:p>
  </w:footnote>
  <w:footnote w:id="92">
    <w:p w14:paraId="348AF8AC" w14:textId="5BD3C8EA" w:rsidR="00F116CE" w:rsidRPr="008A099B" w:rsidRDefault="00F116CE">
      <w:pPr>
        <w:pStyle w:val="FootnoteText"/>
      </w:pPr>
      <w:r w:rsidRPr="008A099B">
        <w:rPr>
          <w:rStyle w:val="FootnoteReference"/>
        </w:rPr>
        <w:footnoteRef/>
      </w:r>
      <w:r w:rsidRPr="008A099B">
        <w:t xml:space="preserve"> Precedence Research. </w:t>
      </w:r>
      <w:hyperlink r:id="rId35" w:history="1">
        <w:r w:rsidRPr="000815DA">
          <w:rPr>
            <w:rStyle w:val="Hyperlink"/>
            <w:color w:val="auto"/>
            <w:u w:val="none"/>
          </w:rPr>
          <w:t>CAR T-Cell Therapy Market Size, Share, and Trends 2024 to 2033</w:t>
        </w:r>
      </w:hyperlink>
      <w:r w:rsidRPr="000815DA">
        <w:t xml:space="preserve">. 2023. </w:t>
      </w:r>
      <w:hyperlink r:id="rId36" w:history="1">
        <w:r w:rsidR="000815DA" w:rsidRPr="000815DA">
          <w:rPr>
            <w:rStyle w:val="Hyperlink"/>
            <w:color w:val="auto"/>
            <w:u w:val="none"/>
          </w:rPr>
          <w:t>https://www.precedenceresearch.com/car-t-cell-therapy-market</w:t>
        </w:r>
      </w:hyperlink>
      <w:r w:rsidR="000815DA" w:rsidRPr="000815DA">
        <w:t xml:space="preserve"> </w:t>
      </w:r>
      <w:r w:rsidRPr="000815DA">
        <w:t xml:space="preserve">; Nova One Advisor. </w:t>
      </w:r>
      <w:hyperlink r:id="rId37" w:history="1">
        <w:r w:rsidRPr="000815DA">
          <w:rPr>
            <w:rStyle w:val="Hyperlink"/>
            <w:color w:val="auto"/>
            <w:u w:val="none"/>
          </w:rPr>
          <w:t>CAR T-Cell Therapy Market</w:t>
        </w:r>
      </w:hyperlink>
      <w:r w:rsidRPr="000815DA">
        <w:t xml:space="preserve"> (By Drug Type: Axicabtagene Ciloleucel, Tisagenlecleucel, Brexucabtagene Autoleucel, Others; By Indication: Lymphoma, Acute Lymphocytic Leukemia, Chronic Lymphocytic Leukemia (CLL), Multiple Myeloma (MM), Others; By End User: Hospitals, Cancer Treatment Centers))- Global Industry Analysis, Size, Share, Growth, Trends, Regional Outlook, and Forecast 2024-2033. 2024. </w:t>
      </w:r>
      <w:hyperlink r:id="rId38" w:history="1">
        <w:r w:rsidR="008355FE" w:rsidRPr="000815DA">
          <w:rPr>
            <w:rStyle w:val="Hyperlink"/>
            <w:color w:val="auto"/>
            <w:u w:val="none"/>
          </w:rPr>
          <w:t>https://www.novaoneadvisor.com/report/car-t-cell-therapy-market</w:t>
        </w:r>
      </w:hyperlink>
      <w:r w:rsidR="008355FE" w:rsidRPr="000815DA">
        <w:t xml:space="preserve"> </w:t>
      </w:r>
      <w:r w:rsidRPr="000815DA">
        <w:t xml:space="preserve">. </w:t>
      </w:r>
    </w:p>
  </w:footnote>
  <w:footnote w:id="93">
    <w:p w14:paraId="2D160881" w14:textId="2D7E72BA" w:rsidR="00F116CE" w:rsidRPr="008A099B" w:rsidRDefault="00F116CE">
      <w:pPr>
        <w:pStyle w:val="FootnoteText"/>
      </w:pPr>
      <w:r w:rsidRPr="008A099B">
        <w:rPr>
          <w:rStyle w:val="FootnoteReference"/>
        </w:rPr>
        <w:footnoteRef/>
      </w:r>
      <w:r w:rsidRPr="008A099B">
        <w:t xml:space="preserve"> Precedence Research. </w:t>
      </w:r>
      <w:hyperlink r:id="rId39" w:history="1">
        <w:r w:rsidRPr="005023DF">
          <w:rPr>
            <w:rStyle w:val="Hyperlink"/>
            <w:color w:val="auto"/>
            <w:u w:val="none"/>
          </w:rPr>
          <w:t>Bispecific Antibodies Market</w:t>
        </w:r>
      </w:hyperlink>
      <w:r w:rsidRPr="005023DF">
        <w:t xml:space="preserve"> (By Indication: Cancer, Inflammatory &amp; Autoimmune Disorder, Others; By Distribution Channel: Hospital Pharmacies, Retail Pharmacies, Drugstores, Online Pharmacies) - Global Industry Analysis, Size, Share, Growth, Trends, Regional Outlook, and Forecast 2024-2034. 2024. </w:t>
      </w:r>
      <w:hyperlink r:id="rId40" w:history="1">
        <w:r w:rsidR="009F7980" w:rsidRPr="005023DF">
          <w:rPr>
            <w:rStyle w:val="Hyperlink"/>
            <w:color w:val="auto"/>
            <w:u w:val="none"/>
          </w:rPr>
          <w:t>https://www.precedenceresearch.com/bispecific-antibodies-market</w:t>
        </w:r>
      </w:hyperlink>
      <w:r w:rsidR="009F7980" w:rsidRPr="005023DF">
        <w:t xml:space="preserve"> </w:t>
      </w:r>
      <w:r w:rsidRPr="005023DF">
        <w:t xml:space="preserve">; </w:t>
      </w:r>
      <w:hyperlink r:id="rId41" w:anchor=":~:text=Bispecific%20Antibodies%20Market%20Size%20%26%20Trends,44.0%25%20from%202023%20to%202030" w:history="1">
        <w:r w:rsidRPr="005023DF">
          <w:rPr>
            <w:rStyle w:val="Hyperlink"/>
            <w:color w:val="auto"/>
            <w:u w:val="none"/>
          </w:rPr>
          <w:t>Grand View Research. Bispecific Antibodies Market Size, Share &amp; Trends Analysis Report By Indication</w:t>
        </w:r>
      </w:hyperlink>
      <w:r w:rsidRPr="005023DF">
        <w:t xml:space="preserve"> (Cancer, Inflammatory &amp; Autoimmune disorders), By Region (North America, Europe, Asia Pacific), And Segment Forecasts, 2023 – 2030. </w:t>
      </w:r>
      <w:hyperlink r:id="rId42" w:anchor=":~:text=Bispecific%20Antibodies%20Market%20Size%20%26%20Trends,44.0%25%20from%202023%20to%202030" w:history="1">
        <w:r w:rsidR="009F7980" w:rsidRPr="005023DF">
          <w:rPr>
            <w:rStyle w:val="Hyperlink"/>
            <w:color w:val="auto"/>
            <w:u w:val="none"/>
          </w:rPr>
          <w:t>https://www.grandviewresearch.com/industry-analysis/bispecific-antibodies-market-report#:~:text=Bispecific%20Antibodies%20Market%20Size%20%26%20Trends,44.0%25%20from%202023%20to%202030</w:t>
        </w:r>
      </w:hyperlink>
      <w:r w:rsidR="009F7980" w:rsidRPr="005023DF">
        <w:t xml:space="preserve"> </w:t>
      </w:r>
      <w:r w:rsidRPr="008A099B">
        <w:t xml:space="preserve">. </w:t>
      </w:r>
    </w:p>
  </w:footnote>
  <w:footnote w:id="94">
    <w:p w14:paraId="4079C1A6" w14:textId="70183C1C" w:rsidR="00F116CE" w:rsidRPr="008A099B" w:rsidRDefault="00F116CE">
      <w:pPr>
        <w:pStyle w:val="FootnoteText"/>
      </w:pPr>
      <w:r w:rsidRPr="008A099B">
        <w:rPr>
          <w:rStyle w:val="FootnoteReference"/>
        </w:rPr>
        <w:footnoteRef/>
      </w:r>
      <w:r w:rsidRPr="00C85D47">
        <w:rPr>
          <w:lang w:val="fr-FR"/>
        </w:rPr>
        <w:t xml:space="preserve"> Dagar G, Gupta A, Masoodi T, et al. </w:t>
      </w:r>
      <w:hyperlink r:id="rId43" w:history="1">
        <w:r w:rsidRPr="005023DF">
          <w:rPr>
            <w:rStyle w:val="Hyperlink"/>
            <w:color w:val="auto"/>
            <w:u w:val="none"/>
          </w:rPr>
          <w:t>Harnessing the potential of CAR-T cell therapy: progress, challenges, and future directions in hematological and solid tumor treatments</w:t>
        </w:r>
      </w:hyperlink>
      <w:r w:rsidRPr="005023DF">
        <w:t xml:space="preserve">. J Transl Med. 2023; 21(1):449. </w:t>
      </w:r>
      <w:hyperlink r:id="rId44" w:history="1">
        <w:r w:rsidR="005023DF" w:rsidRPr="005023DF">
          <w:rPr>
            <w:rStyle w:val="Hyperlink"/>
            <w:color w:val="auto"/>
            <w:u w:val="none"/>
          </w:rPr>
          <w:t>https://doi.org/10.1186/s12967-023-04292-3</w:t>
        </w:r>
      </w:hyperlink>
      <w:r w:rsidR="005023DF" w:rsidRPr="005023DF">
        <w:t xml:space="preserve"> </w:t>
      </w:r>
      <w:r w:rsidRPr="005023DF">
        <w:t xml:space="preserve">. </w:t>
      </w:r>
    </w:p>
  </w:footnote>
  <w:footnote w:id="95">
    <w:p w14:paraId="0CBDBECE" w14:textId="0E627BDF" w:rsidR="00F116CE" w:rsidRPr="00BB75F8" w:rsidRDefault="00F116CE">
      <w:pPr>
        <w:pStyle w:val="FootnoteText"/>
      </w:pPr>
      <w:r w:rsidRPr="008A099B">
        <w:rPr>
          <w:rStyle w:val="FootnoteReference"/>
        </w:rPr>
        <w:footnoteRef/>
      </w:r>
      <w:r w:rsidRPr="008A099B">
        <w:t xml:space="preserve"> Gera, N</w:t>
      </w:r>
      <w:r w:rsidRPr="00BB75F8">
        <w:t xml:space="preserve">. </w:t>
      </w:r>
      <w:hyperlink r:id="rId45" w:history="1">
        <w:r w:rsidRPr="00BB75F8">
          <w:rPr>
            <w:rStyle w:val="Hyperlink"/>
            <w:color w:val="auto"/>
            <w:u w:val="none"/>
          </w:rPr>
          <w:t>The evolution of bispecific antibodies</w:t>
        </w:r>
      </w:hyperlink>
      <w:r w:rsidRPr="00BB75F8">
        <w:t xml:space="preserve">. Expert Opinion on Biological Therapy. 2022; 22(8), 945–949. </w:t>
      </w:r>
      <w:hyperlink r:id="rId46" w:history="1">
        <w:r w:rsidR="00414855" w:rsidRPr="00BB75F8">
          <w:rPr>
            <w:rStyle w:val="Hyperlink"/>
            <w:color w:val="auto"/>
            <w:u w:val="none"/>
          </w:rPr>
          <w:t>https://doi.org/10.1080/14712598.2022.2040987</w:t>
        </w:r>
      </w:hyperlink>
      <w:r w:rsidR="00414855" w:rsidRPr="00BB75F8">
        <w:t xml:space="preserve"> </w:t>
      </w:r>
      <w:r w:rsidRPr="00BB75F8">
        <w:t xml:space="preserve">; Goebeler ME, Stuhler G, Bargou R. Bispecific and multispecific antibodies in oncology: opportunities and challenges. Nat Rev Clin Oncol. </w:t>
      </w:r>
      <w:r w:rsidRPr="00BB75F8">
        <w:t xml:space="preserve">2024;21:539–560. https://doi.org/10.1038/s41571-024-00905-y. </w:t>
      </w:r>
    </w:p>
  </w:footnote>
  <w:footnote w:id="96">
    <w:p w14:paraId="11841165" w14:textId="2D42E222" w:rsidR="00F116CE" w:rsidRPr="00BB75F8" w:rsidRDefault="00F116CE">
      <w:pPr>
        <w:pStyle w:val="FootnoteText"/>
      </w:pPr>
      <w:r w:rsidRPr="00BB75F8">
        <w:rPr>
          <w:rStyle w:val="FootnoteReference"/>
        </w:rPr>
        <w:footnoteRef/>
      </w:r>
      <w:r w:rsidRPr="00BB75F8">
        <w:t xml:space="preserve"> Association of Community Care Centers. </w:t>
      </w:r>
      <w:hyperlink r:id="rId47" w:history="1">
        <w:r w:rsidRPr="00BB75F8">
          <w:rPr>
            <w:rStyle w:val="Hyperlink"/>
            <w:color w:val="auto"/>
            <w:u w:val="none"/>
          </w:rPr>
          <w:t>Bringing CAR T-Cell Therapies to Community Oncology</w:t>
        </w:r>
      </w:hyperlink>
      <w:r w:rsidRPr="00BB75F8">
        <w:t xml:space="preserve">. </w:t>
      </w:r>
      <w:r w:rsidRPr="00BB75F8">
        <w:rPr>
          <w:lang w:val="fr-FR"/>
        </w:rPr>
        <w:t xml:space="preserve">2022. </w:t>
      </w:r>
      <w:hyperlink r:id="rId48" w:history="1">
        <w:r w:rsidR="004D4CB9" w:rsidRPr="00BB75F8">
          <w:rPr>
            <w:rStyle w:val="Hyperlink"/>
            <w:color w:val="auto"/>
            <w:u w:val="none"/>
            <w:lang w:val="fr-FR"/>
          </w:rPr>
          <w:t>https://www.accc-cancer.org/docs/projects/bringing-car-t-cell-therapies-to-co/bringing-car-t-cell-therapies-to-co.pdf?sfvrsn=304cf153_0</w:t>
        </w:r>
      </w:hyperlink>
      <w:r w:rsidR="004D4CB9" w:rsidRPr="00BB75F8">
        <w:rPr>
          <w:lang w:val="fr-FR"/>
        </w:rPr>
        <w:t xml:space="preserve"> </w:t>
      </w:r>
      <w:r w:rsidRPr="00BB75F8">
        <w:rPr>
          <w:lang w:val="fr-FR"/>
        </w:rPr>
        <w:t xml:space="preserve">; Lei M, Li, Q, O’Day K, et al. </w:t>
      </w:r>
      <w:hyperlink r:id="rId49" w:history="1">
        <w:r w:rsidRPr="00BB75F8">
          <w:rPr>
            <w:rStyle w:val="Hyperlink"/>
            <w:color w:val="auto"/>
            <w:u w:val="none"/>
          </w:rPr>
          <w:t>Practice efficiency and total cost of care with bispecifics and CAR-T in relapsed/refractory diffuse large B-cell lymphoma: an institutional perspective</w:t>
        </w:r>
      </w:hyperlink>
      <w:r w:rsidRPr="00BB75F8">
        <w:t xml:space="preserve">. Future Oncology, 2024; 1–13. </w:t>
      </w:r>
      <w:hyperlink r:id="rId50" w:history="1">
        <w:r w:rsidR="00D15554" w:rsidRPr="00BB75F8">
          <w:rPr>
            <w:rStyle w:val="Hyperlink"/>
            <w:color w:val="auto"/>
            <w:u w:val="none"/>
          </w:rPr>
          <w:t>https://doi.org/10.1080/14796694.2024.2354157</w:t>
        </w:r>
      </w:hyperlink>
      <w:r w:rsidR="00D15554" w:rsidRPr="00BB75F8">
        <w:t xml:space="preserve"> </w:t>
      </w:r>
      <w:r w:rsidRPr="00BB75F8">
        <w:t xml:space="preserve">. </w:t>
      </w:r>
    </w:p>
  </w:footnote>
  <w:footnote w:id="97">
    <w:p w14:paraId="62312900" w14:textId="4424CEB0" w:rsidR="00F116CE" w:rsidRPr="008A099B" w:rsidRDefault="00F116CE">
      <w:pPr>
        <w:pStyle w:val="FootnoteText"/>
      </w:pPr>
      <w:r w:rsidRPr="00BB75F8">
        <w:rPr>
          <w:rStyle w:val="FootnoteReference"/>
        </w:rPr>
        <w:footnoteRef/>
      </w:r>
      <w:r w:rsidRPr="00BB75F8">
        <w:t xml:space="preserve"> Killmurray C. </w:t>
      </w:r>
      <w:hyperlink r:id="rId51" w:history="1">
        <w:r w:rsidRPr="00BB75F8">
          <w:rPr>
            <w:rStyle w:val="Hyperlink"/>
            <w:color w:val="auto"/>
            <w:u w:val="none"/>
          </w:rPr>
          <w:t>Utilization Challenges Hold Back the Adoption of Bispec</w:t>
        </w:r>
        <w:r w:rsidR="0071557D" w:rsidRPr="00BB75F8">
          <w:rPr>
            <w:rStyle w:val="Hyperlink"/>
            <w:color w:val="auto"/>
            <w:u w:val="none"/>
          </w:rPr>
          <w:t>i</w:t>
        </w:r>
        <w:r w:rsidRPr="00BB75F8">
          <w:rPr>
            <w:rStyle w:val="Hyperlink"/>
            <w:color w:val="auto"/>
            <w:u w:val="none"/>
          </w:rPr>
          <w:t>fic Therapies</w:t>
        </w:r>
      </w:hyperlink>
      <w:r w:rsidRPr="00BB75F8">
        <w:t xml:space="preserve">. Targeted Oncology; 2024;2(3). February 23. Accessed October 16, 2024. </w:t>
      </w:r>
      <w:hyperlink r:id="rId52" w:history="1">
        <w:r w:rsidR="003E4D84" w:rsidRPr="00BB75F8">
          <w:rPr>
            <w:rStyle w:val="Hyperlink"/>
            <w:color w:val="auto"/>
            <w:u w:val="none"/>
          </w:rPr>
          <w:t>https://www.targetedonc.com/view/utilization-challenges-hold-back-the-adoption-of-bispecific-therapies</w:t>
        </w:r>
      </w:hyperlink>
      <w:r w:rsidR="003E4D84" w:rsidRPr="00BB75F8">
        <w:t xml:space="preserve"> </w:t>
      </w:r>
      <w:r w:rsidRPr="00BB75F8">
        <w:t xml:space="preserve">; Association of Community Care Centers. </w:t>
      </w:r>
      <w:hyperlink r:id="rId53" w:history="1">
        <w:r w:rsidRPr="00BB75F8">
          <w:rPr>
            <w:rStyle w:val="Hyperlink"/>
            <w:color w:val="auto"/>
            <w:u w:val="none"/>
          </w:rPr>
          <w:t>Best practices in expanding access to bispecific antibodies and adverse event management</w:t>
        </w:r>
      </w:hyperlink>
      <w:r w:rsidRPr="00BB75F8">
        <w:t xml:space="preserve">. 2022. </w:t>
      </w:r>
      <w:hyperlink r:id="rId54" w:history="1">
        <w:r w:rsidR="003E4D84" w:rsidRPr="00BB75F8">
          <w:rPr>
            <w:rStyle w:val="Hyperlink"/>
            <w:color w:val="auto"/>
            <w:u w:val="none"/>
          </w:rPr>
          <w:t>https://www.accc-cancer.org/docs/projects/bispecific-antibodies/bispecific-antibodies-brief.pdf</w:t>
        </w:r>
      </w:hyperlink>
      <w:r w:rsidR="003E4D84" w:rsidRPr="00BB75F8">
        <w:t xml:space="preserve"> </w:t>
      </w:r>
      <w:r w:rsidRPr="00BB75F8">
        <w:t xml:space="preserve">. </w:t>
      </w:r>
    </w:p>
  </w:footnote>
  <w:footnote w:id="98">
    <w:p w14:paraId="7E59E4F1" w14:textId="368F7A8D" w:rsidR="003A5B44" w:rsidRPr="008A099B" w:rsidRDefault="003A5B44">
      <w:pPr>
        <w:pStyle w:val="FootnoteText"/>
      </w:pPr>
      <w:r w:rsidRPr="008A099B">
        <w:rPr>
          <w:rStyle w:val="FootnoteReference"/>
        </w:rPr>
        <w:footnoteRef/>
      </w:r>
      <w:r w:rsidRPr="008A099B">
        <w:t xml:space="preserve"> Source: Foundation for the Accreditation of Cellular Therapy, 2024.</w:t>
      </w:r>
    </w:p>
  </w:footnote>
  <w:footnote w:id="99">
    <w:p w14:paraId="518CE61A" w14:textId="55F2C486" w:rsidR="003A5B44" w:rsidRDefault="003A5B44">
      <w:pPr>
        <w:pStyle w:val="FootnoteText"/>
      </w:pPr>
      <w:r w:rsidRPr="008A099B">
        <w:rPr>
          <w:rStyle w:val="FootnoteReference"/>
        </w:rPr>
        <w:footnoteRef/>
      </w:r>
      <w:r w:rsidRPr="008A099B">
        <w:t xml:space="preserve"> </w:t>
      </w:r>
      <w:r w:rsidR="006020D7" w:rsidRPr="008A099B">
        <w:t>“</w:t>
      </w:r>
      <w:hyperlink r:id="rId55" w:history="1">
        <w:r w:rsidRPr="000D63E1">
          <w:rPr>
            <w:rStyle w:val="Hyperlink"/>
            <w:color w:val="auto"/>
            <w:u w:val="none"/>
          </w:rPr>
          <w:t>Bispecific Antibodies: An Area of Research and Clinical Applications</w:t>
        </w:r>
      </w:hyperlink>
      <w:r w:rsidRPr="000D63E1">
        <w:t>.</w:t>
      </w:r>
      <w:r w:rsidR="006020D7" w:rsidRPr="000D63E1">
        <w:t>”</w:t>
      </w:r>
      <w:r w:rsidRPr="000D63E1">
        <w:t xml:space="preserve"> U.S. Food &amp; Drug Administration, Updated February 14, 2024, 2024, accessed October 15, 2024, </w:t>
      </w:r>
      <w:hyperlink r:id="rId56" w:history="1">
        <w:r w:rsidR="000D63E1" w:rsidRPr="000D63E1">
          <w:rPr>
            <w:rStyle w:val="Hyperlink"/>
            <w:color w:val="auto"/>
            <w:u w:val="none"/>
          </w:rPr>
          <w:t>https://www.fda.gov/drugs/spotlight-cder-science/bispecific-antibodies-area-research-and-clinical-applications</w:t>
        </w:r>
      </w:hyperlink>
      <w:r w:rsidR="000D63E1" w:rsidRPr="000D63E1">
        <w:t xml:space="preserve"> </w:t>
      </w:r>
      <w:r w:rsidRPr="000D63E1">
        <w:t>.</w:t>
      </w:r>
    </w:p>
  </w:footnote>
  <w:footnote w:id="100">
    <w:p w14:paraId="1C59D0E2" w14:textId="36C6DD0B" w:rsidR="007D1AFB" w:rsidRDefault="007D1AFB">
      <w:pPr>
        <w:pStyle w:val="FootnoteText"/>
      </w:pPr>
      <w:r>
        <w:rPr>
          <w:rStyle w:val="FootnoteReference"/>
        </w:rPr>
        <w:footnoteRef/>
      </w:r>
      <w:r>
        <w:t xml:space="preserve"> </w:t>
      </w:r>
      <w:r w:rsidR="002B6BCB">
        <w:t>In its Application, DFCI indicated that it anticipates using the entirety of the new MRI machines to service inpatients (Application Narrative, pp. 23-24).</w:t>
      </w:r>
    </w:p>
  </w:footnote>
  <w:footnote w:id="101">
    <w:p w14:paraId="41B5041D" w14:textId="4395CA63" w:rsidR="00783DB5" w:rsidRDefault="00783DB5">
      <w:pPr>
        <w:pStyle w:val="FootnoteText"/>
      </w:pPr>
      <w:r>
        <w:rPr>
          <w:rStyle w:val="FootnoteReference"/>
        </w:rPr>
        <w:footnoteRef/>
      </w:r>
      <w:r>
        <w:t xml:space="preserve"> The CHIA </w:t>
      </w:r>
      <w:r w:rsidR="0071557D">
        <w:t xml:space="preserve">Massachusetts APCD </w:t>
      </w:r>
      <w:r>
        <w:t>outpatient data do not contain race or ethnic patient information, self-pay patients, or out-of-state patients.</w:t>
      </w:r>
    </w:p>
  </w:footnote>
  <w:footnote w:id="102">
    <w:p w14:paraId="3DA8936F" w14:textId="1A01599F" w:rsidR="00F2193A" w:rsidRDefault="00F2193A">
      <w:pPr>
        <w:pStyle w:val="FootnoteText"/>
      </w:pPr>
      <w:r>
        <w:rPr>
          <w:rStyle w:val="FootnoteReference"/>
        </w:rPr>
        <w:footnoteRef/>
      </w:r>
      <w:r>
        <w:t xml:space="preserve"> The codes used to identify these service lines are provided in Appendix </w:t>
      </w:r>
      <w:r w:rsidR="006020D7">
        <w:t>Section II.B</w:t>
      </w:r>
      <w:r>
        <w:t>.</w:t>
      </w:r>
    </w:p>
  </w:footnote>
  <w:footnote w:id="103">
    <w:p w14:paraId="6A060762" w14:textId="6AD2DE06" w:rsidR="00EF4F3E" w:rsidRPr="00031C8B" w:rsidRDefault="00EF4F3E">
      <w:pPr>
        <w:pStyle w:val="FootnoteText"/>
      </w:pPr>
      <w:r w:rsidRPr="00031C8B">
        <w:rPr>
          <w:rStyle w:val="FootnoteReference"/>
        </w:rPr>
        <w:footnoteRef/>
      </w:r>
      <w:r w:rsidRPr="00031C8B">
        <w:t xml:space="preserve"> Evaluation of need calculations and forecasted impacts of the Proposed Project on total spending are presented separately for each modality.</w:t>
      </w:r>
    </w:p>
  </w:footnote>
  <w:footnote w:id="104">
    <w:p w14:paraId="1EA128EC" w14:textId="294289AE" w:rsidR="00EF4F3E" w:rsidRPr="00031C8B" w:rsidRDefault="00EF4F3E" w:rsidP="00EF4F3E">
      <w:pPr>
        <w:pStyle w:val="FootnoteText"/>
      </w:pPr>
      <w:r w:rsidRPr="00031C8B">
        <w:rPr>
          <w:rStyle w:val="FootnoteReference"/>
        </w:rPr>
        <w:footnoteRef/>
      </w:r>
      <w:r w:rsidRPr="00031C8B">
        <w:t xml:space="preserve"> 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05">
    <w:p w14:paraId="28B3E801" w14:textId="29A818DF" w:rsidR="006C3127" w:rsidRPr="00031C8B" w:rsidRDefault="006C3127" w:rsidP="006C3127">
      <w:pPr>
        <w:pStyle w:val="FootnoteText"/>
      </w:pPr>
      <w:r w:rsidRPr="00031C8B">
        <w:rPr>
          <w:rStyle w:val="FootnoteReference"/>
        </w:rPr>
        <w:footnoteRef/>
      </w:r>
      <w:r w:rsidRPr="00031C8B">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06">
    <w:p w14:paraId="3EE9DB71" w14:textId="1BE8F36C" w:rsidR="00350F45" w:rsidRPr="00031C8B" w:rsidRDefault="00350F45">
      <w:pPr>
        <w:pStyle w:val="FootnoteText"/>
      </w:pPr>
      <w:r w:rsidRPr="00031C8B">
        <w:rPr>
          <w:rStyle w:val="FootnoteReference"/>
        </w:rPr>
        <w:footnoteRef/>
      </w:r>
      <w:r w:rsidRPr="00031C8B">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r w:rsidR="008A099B">
        <w:t xml:space="preserve"> A * indicates the number of discharges is less than 11 and has been redacted to comply with data confidentiality requirements.</w:t>
      </w:r>
    </w:p>
  </w:footnote>
  <w:footnote w:id="107">
    <w:p w14:paraId="11025DC5" w14:textId="5D3186D6" w:rsidR="006D79BC" w:rsidRDefault="006D79BC">
      <w:pPr>
        <w:pStyle w:val="FootnoteText"/>
      </w:pPr>
      <w:r>
        <w:rPr>
          <w:rStyle w:val="FootnoteReference"/>
        </w:rPr>
        <w:footnoteRef/>
      </w:r>
      <w:r>
        <w:t xml:space="preserve"> </w:t>
      </w:r>
      <w:r w:rsidRPr="00031C8B">
        <w:t>Application Narrative, p. 25.</w:t>
      </w:r>
    </w:p>
  </w:footnote>
  <w:footnote w:id="108">
    <w:p w14:paraId="5ACDE725" w14:textId="50AEBE77" w:rsidR="00B14F20" w:rsidRDefault="00B14F20">
      <w:pPr>
        <w:pStyle w:val="FootnoteText"/>
      </w:pPr>
      <w:r>
        <w:rPr>
          <w:rStyle w:val="FootnoteReference"/>
        </w:rPr>
        <w:footnoteRef/>
      </w:r>
      <w:r>
        <w:t xml:space="preserve"> </w:t>
      </w:r>
      <w:r w:rsidR="002B6BCB" w:rsidRPr="00031C8B">
        <w:t xml:space="preserve">Letter from </w:t>
      </w:r>
      <w:r w:rsidR="002B6BCB">
        <w:t>Caroline Powers</w:t>
      </w:r>
      <w:r w:rsidR="002B6BCB" w:rsidRPr="00031C8B">
        <w:t xml:space="preserve"> to </w:t>
      </w:r>
      <w:r w:rsidR="002B6BCB">
        <w:t>Lisa O’Connor</w:t>
      </w:r>
      <w:r w:rsidR="002B6BCB" w:rsidRPr="00031C8B">
        <w:t xml:space="preserve">, dated </w:t>
      </w:r>
      <w:r w:rsidR="005A1EB5">
        <w:t>August 14</w:t>
      </w:r>
      <w:r w:rsidR="002B6BCB" w:rsidRPr="00031C8B">
        <w:t>, 2024</w:t>
      </w:r>
      <w:r w:rsidR="002B6BCB">
        <w:t xml:space="preserve">. </w:t>
      </w:r>
    </w:p>
  </w:footnote>
  <w:footnote w:id="109">
    <w:p w14:paraId="26ED9B14" w14:textId="39C6715C" w:rsidR="00B14F20" w:rsidRDefault="00B14F20">
      <w:pPr>
        <w:pStyle w:val="FootnoteText"/>
      </w:pPr>
      <w:r>
        <w:rPr>
          <w:rStyle w:val="FootnoteReference"/>
        </w:rPr>
        <w:footnoteRef/>
      </w:r>
      <w:r>
        <w:t xml:space="preserve"> </w:t>
      </w:r>
      <w:r w:rsidR="005A1EB5" w:rsidRPr="00031C8B">
        <w:t xml:space="preserve">Letter from </w:t>
      </w:r>
      <w:r w:rsidR="005A1EB5">
        <w:t>Caroline Powers</w:t>
      </w:r>
      <w:r w:rsidR="005A1EB5" w:rsidRPr="00031C8B">
        <w:t xml:space="preserve"> to </w:t>
      </w:r>
      <w:r w:rsidR="005A1EB5">
        <w:t>Lisa O’Connor</w:t>
      </w:r>
      <w:r w:rsidR="005A1EB5" w:rsidRPr="00031C8B">
        <w:t xml:space="preserve">, dated </w:t>
      </w:r>
      <w:r w:rsidR="005A1EB5">
        <w:t>August 14</w:t>
      </w:r>
      <w:r w:rsidR="005A1EB5" w:rsidRPr="00031C8B">
        <w:t>, 2024</w:t>
      </w:r>
      <w:r w:rsidR="005A1EB5">
        <w:t>.</w:t>
      </w:r>
    </w:p>
  </w:footnote>
  <w:footnote w:id="110">
    <w:p w14:paraId="39E1C431" w14:textId="54DCF359" w:rsidR="004E3B61" w:rsidRDefault="004E3B61">
      <w:pPr>
        <w:pStyle w:val="FootnoteText"/>
      </w:pPr>
      <w:r>
        <w:rPr>
          <w:rStyle w:val="FootnoteReference"/>
        </w:rPr>
        <w:footnoteRef/>
      </w:r>
      <w:r>
        <w:t xml:space="preserve"> </w:t>
      </w:r>
      <w:r w:rsidR="005A1EB5">
        <w:t>Application Narrative, p. 25 (see Tables 14-16).</w:t>
      </w:r>
    </w:p>
  </w:footnote>
  <w:footnote w:id="111">
    <w:p w14:paraId="3EF2B18A" w14:textId="05B2B4B8" w:rsidR="004E3B61" w:rsidRDefault="004E3B61">
      <w:pPr>
        <w:pStyle w:val="FootnoteText"/>
      </w:pPr>
      <w:r>
        <w:rPr>
          <w:rStyle w:val="FootnoteReference"/>
        </w:rPr>
        <w:footnoteRef/>
      </w:r>
      <w:r>
        <w:t xml:space="preserve"> </w:t>
      </w:r>
      <w:r w:rsidR="00174287">
        <w:t xml:space="preserve">See, for example, </w:t>
      </w:r>
      <w:r w:rsidR="00174287" w:rsidRPr="00174287">
        <w:t xml:space="preserve">Sun YC, Wu HM, Guo WY, Ou YY, Yao MJ, Lee LH. Simulation and evaluation of increased imaging service capacity at the </w:t>
      </w:r>
      <w:r w:rsidR="00174287" w:rsidRPr="00B27F1C">
        <w:t>MRI department using reduced coil-setting times. PLoS One. 2023 Jul 27;18(7</w:t>
      </w:r>
      <w:r w:rsidR="00174287" w:rsidRPr="00B27F1C">
        <w:t xml:space="preserve">):e0288546. doi: 10.1371/journal.pone.0288546. PMID: 37498942; PMCID: PMC10374078; Michigan Department of Health and Human Services. </w:t>
      </w:r>
      <w:hyperlink r:id="rId57" w:history="1">
        <w:r w:rsidR="006020D7" w:rsidRPr="00B27F1C">
          <w:rPr>
            <w:rStyle w:val="Hyperlink"/>
            <w:color w:val="auto"/>
            <w:u w:val="none"/>
          </w:rPr>
          <w:t>“</w:t>
        </w:r>
        <w:r w:rsidR="00174287" w:rsidRPr="00B27F1C">
          <w:rPr>
            <w:rStyle w:val="Hyperlink"/>
            <w:color w:val="auto"/>
            <w:u w:val="none"/>
          </w:rPr>
          <w:t>Certificate of Need (CON) Review Standards for Computed Tomography (CT) Scanner Services.</w:t>
        </w:r>
        <w:r w:rsidR="006020D7" w:rsidRPr="00B27F1C">
          <w:rPr>
            <w:rStyle w:val="Hyperlink"/>
            <w:color w:val="auto"/>
            <w:u w:val="none"/>
          </w:rPr>
          <w:t>”</w:t>
        </w:r>
      </w:hyperlink>
      <w:r w:rsidR="004D589C" w:rsidRPr="00B27F1C">
        <w:t xml:space="preserve"> (December 2023) </w:t>
      </w:r>
      <w:hyperlink r:id="rId58" w:history="1">
        <w:r w:rsidR="00161100" w:rsidRPr="00B27F1C">
          <w:rPr>
            <w:rStyle w:val="Hyperlink"/>
            <w:color w:val="auto"/>
            <w:u w:val="none"/>
          </w:rPr>
          <w:t>https://www.michigan.gov/-/media/Project/Websites/mdhhs/Doing-Business-with-MDHHS/Health-Care-Providers/Certificate-of-Need/CON-Review-Standards/CT_Standards.pdf</w:t>
        </w:r>
      </w:hyperlink>
      <w:r w:rsidR="00161100" w:rsidRPr="00B27F1C">
        <w:t xml:space="preserve"> </w:t>
      </w:r>
      <w:r w:rsidR="004D589C" w:rsidRPr="00B27F1C">
        <w:t xml:space="preserve">; Michigan Department of Health and Human Services. </w:t>
      </w:r>
      <w:r w:rsidR="006020D7" w:rsidRPr="00B27F1C">
        <w:t>“</w:t>
      </w:r>
      <w:hyperlink r:id="rId59" w:history="1">
        <w:r w:rsidR="004D589C" w:rsidRPr="00B27F1C">
          <w:rPr>
            <w:rStyle w:val="Hyperlink"/>
            <w:color w:val="auto"/>
            <w:u w:val="none"/>
          </w:rPr>
          <w:t>Certificate of Need (CON) Review Standards for Magnetic Resonance Imaging (MRI) Services.</w:t>
        </w:r>
        <w:r w:rsidR="006020D7" w:rsidRPr="00B27F1C">
          <w:rPr>
            <w:rStyle w:val="Hyperlink"/>
            <w:color w:val="auto"/>
            <w:u w:val="none"/>
          </w:rPr>
          <w:t>”</w:t>
        </w:r>
      </w:hyperlink>
      <w:r w:rsidR="004D589C" w:rsidRPr="00B27F1C">
        <w:t xml:space="preserve"> (September 2023) </w:t>
      </w:r>
      <w:hyperlink r:id="rId60" w:history="1">
        <w:r w:rsidR="00161100" w:rsidRPr="00B27F1C">
          <w:rPr>
            <w:rStyle w:val="Hyperlink"/>
            <w:color w:val="auto"/>
            <w:u w:val="none"/>
          </w:rPr>
          <w:t>https://www.michigan.gov/mdhhs/-/media/Project/Websites/mdhhs/Doing-Business-with-MDHHS/Health-Care-Providers/Certificate-of-Need/CON-Review-Standards/MRI_Standards.pdf</w:t>
        </w:r>
      </w:hyperlink>
      <w:r w:rsidR="00161100" w:rsidRPr="00B27F1C">
        <w:t xml:space="preserve"> </w:t>
      </w:r>
      <w:r w:rsidR="004D589C" w:rsidRPr="00B27F1C">
        <w:t xml:space="preserve">; Michigan Department of Health and Human Services. </w:t>
      </w:r>
      <w:hyperlink r:id="rId61" w:history="1">
        <w:r w:rsidR="006020D7" w:rsidRPr="00B27F1C">
          <w:rPr>
            <w:rStyle w:val="Hyperlink"/>
            <w:color w:val="auto"/>
            <w:u w:val="none"/>
          </w:rPr>
          <w:t>“</w:t>
        </w:r>
        <w:r w:rsidR="004D589C" w:rsidRPr="00B27F1C">
          <w:rPr>
            <w:rStyle w:val="Hyperlink"/>
            <w:color w:val="auto"/>
            <w:u w:val="none"/>
          </w:rPr>
          <w:t>Certificate of Need (CON) Review Standards for Positron Emission Tomography (PET) Scanner Services.</w:t>
        </w:r>
        <w:r w:rsidR="006020D7" w:rsidRPr="00B27F1C">
          <w:rPr>
            <w:rStyle w:val="Hyperlink"/>
            <w:color w:val="auto"/>
            <w:u w:val="none"/>
          </w:rPr>
          <w:t>”</w:t>
        </w:r>
      </w:hyperlink>
      <w:r w:rsidR="004D589C" w:rsidRPr="00B27F1C">
        <w:t xml:space="preserve"> (September 2023) </w:t>
      </w:r>
      <w:hyperlink r:id="rId62" w:history="1">
        <w:r w:rsidR="00161100" w:rsidRPr="00B27F1C">
          <w:rPr>
            <w:rStyle w:val="Hyperlink"/>
            <w:color w:val="auto"/>
            <w:u w:val="none"/>
          </w:rPr>
          <w:t>https://www.michigan.gov/mdhhs/-/media/Project/Websites/mdhhs/Doing-Business-with-MDHHS/Health-Care-Providers/Certificate-of-Need/CON-Review-Standards/PET_Standards.pdf</w:t>
        </w:r>
      </w:hyperlink>
      <w:r w:rsidR="00161100" w:rsidRPr="00B27F1C">
        <w:t xml:space="preserve"> </w:t>
      </w:r>
      <w:r w:rsidR="004D589C" w:rsidRPr="00B27F1C">
        <w:t xml:space="preserve">; North Carolina Department of Health and Human Services Division of Health Service Regulation. </w:t>
      </w:r>
      <w:hyperlink r:id="rId63" w:history="1">
        <w:r w:rsidR="006020D7" w:rsidRPr="00B27F1C">
          <w:rPr>
            <w:rStyle w:val="Hyperlink"/>
            <w:color w:val="auto"/>
            <w:u w:val="none"/>
          </w:rPr>
          <w:t>“</w:t>
        </w:r>
        <w:r w:rsidR="004D589C" w:rsidRPr="00B27F1C">
          <w:rPr>
            <w:rStyle w:val="Hyperlink"/>
            <w:color w:val="auto"/>
            <w:u w:val="none"/>
          </w:rPr>
          <w:t>2024 State Medical Facilities Plan</w:t>
        </w:r>
        <w:r w:rsidR="006020D7" w:rsidRPr="00B27F1C">
          <w:rPr>
            <w:rStyle w:val="Hyperlink"/>
            <w:color w:val="auto"/>
            <w:u w:val="none"/>
          </w:rPr>
          <w:t>”</w:t>
        </w:r>
      </w:hyperlink>
      <w:r w:rsidR="004D589C" w:rsidRPr="00B27F1C">
        <w:t xml:space="preserve"> (January 2024), pp. 335-366 </w:t>
      </w:r>
      <w:hyperlink r:id="rId64" w:history="1">
        <w:r w:rsidR="00B27F1C" w:rsidRPr="00B27F1C">
          <w:rPr>
            <w:rStyle w:val="Hyperlink"/>
            <w:color w:val="auto"/>
            <w:u w:val="none"/>
          </w:rPr>
          <w:t>https://info.ncdhhs.gov/dhsr/ncsmfp/2024/01%202024_SMFP_amendment_complete_v2_final.pdf</w:t>
        </w:r>
      </w:hyperlink>
      <w:r w:rsidR="00B27F1C" w:rsidRPr="00B27F1C">
        <w:t xml:space="preserve"> </w:t>
      </w:r>
      <w:r w:rsidR="004D589C" w:rsidRPr="00B27F1C">
        <w:t>.</w:t>
      </w:r>
    </w:p>
  </w:footnote>
  <w:footnote w:id="112">
    <w:p w14:paraId="4EC02547" w14:textId="2ADA9142" w:rsidR="00DF4A0E" w:rsidRPr="00C85D47" w:rsidRDefault="00DF4A0E">
      <w:pPr>
        <w:pStyle w:val="FootnoteText"/>
        <w:rPr>
          <w:lang w:val="fr-FR"/>
        </w:rPr>
      </w:pPr>
      <w:r>
        <w:rPr>
          <w:rStyle w:val="FootnoteReference"/>
        </w:rPr>
        <w:footnoteRef/>
      </w:r>
      <w:r w:rsidRPr="00C85D47">
        <w:rPr>
          <w:lang w:val="fr-FR"/>
        </w:rPr>
        <w:t xml:space="preserve"> Application Narrative, p. 25.</w:t>
      </w:r>
    </w:p>
  </w:footnote>
  <w:footnote w:id="113">
    <w:p w14:paraId="2F4D25E1" w14:textId="26577A6D" w:rsidR="00DF4A0E" w:rsidRPr="00C85D47" w:rsidRDefault="00DF4A0E">
      <w:pPr>
        <w:pStyle w:val="FootnoteText"/>
        <w:rPr>
          <w:lang w:val="fr-FR"/>
        </w:rPr>
      </w:pPr>
      <w:r>
        <w:rPr>
          <w:rStyle w:val="FootnoteReference"/>
        </w:rPr>
        <w:footnoteRef/>
      </w:r>
      <w:r w:rsidRPr="00C85D47">
        <w:rPr>
          <w:lang w:val="fr-FR"/>
        </w:rPr>
        <w:t xml:space="preserve"> Application Narrative, pp. 23-24.</w:t>
      </w:r>
    </w:p>
  </w:footnote>
  <w:footnote w:id="114">
    <w:p w14:paraId="39D1B192" w14:textId="52933199" w:rsidR="00DF4A0E" w:rsidRDefault="00DF4A0E" w:rsidP="00DF4A0E">
      <w:pPr>
        <w:pStyle w:val="FootnoteText"/>
      </w:pPr>
      <w:r>
        <w:rPr>
          <w:rStyle w:val="FootnoteReference"/>
        </w:rPr>
        <w:footnoteRef/>
      </w:r>
      <w:r>
        <w:t xml:space="preserve"> Application Narrative, p. 25.</w:t>
      </w:r>
      <w:r w:rsidR="00373513">
        <w:t xml:space="preserve"> In a communication to FTI, DFCI indicated that it had subsequently estimated that it will have 9,199 unmet outpatient MRI scans as of 2032. To be conservative in estimating need, FTI did not incorporate this demand into its projections.</w:t>
      </w:r>
      <w:r w:rsidR="005A1EB5">
        <w:t xml:space="preserve"> </w:t>
      </w:r>
      <w:r w:rsidR="005A1EB5" w:rsidRPr="00031C8B">
        <w:t xml:space="preserve">Letter from </w:t>
      </w:r>
      <w:r w:rsidR="005A1EB5">
        <w:t>Caroline Powers</w:t>
      </w:r>
      <w:r w:rsidR="005A1EB5" w:rsidRPr="00031C8B">
        <w:t xml:space="preserve"> to </w:t>
      </w:r>
      <w:r w:rsidR="005A1EB5">
        <w:t>Lisa O’Connor</w:t>
      </w:r>
      <w:r w:rsidR="005A1EB5" w:rsidRPr="00031C8B">
        <w:t xml:space="preserve">, dated </w:t>
      </w:r>
      <w:r w:rsidR="005A1EB5">
        <w:t>August 14</w:t>
      </w:r>
      <w:r w:rsidR="005A1EB5" w:rsidRPr="00031C8B">
        <w:t>, 2024</w:t>
      </w:r>
      <w:r w:rsidR="005A1EB5">
        <w:t>.</w:t>
      </w:r>
    </w:p>
  </w:footnote>
  <w:footnote w:id="115">
    <w:p w14:paraId="6B4861A0" w14:textId="77777777" w:rsidR="00373513" w:rsidRDefault="00373513" w:rsidP="00373513">
      <w:pPr>
        <w:pStyle w:val="FootnoteText"/>
      </w:pPr>
      <w:r>
        <w:rPr>
          <w:rStyle w:val="FootnoteReference"/>
        </w:rPr>
        <w:footnoteRef/>
      </w:r>
      <w:r>
        <w:t xml:space="preserve"> Application Narrative, p. 25.</w:t>
      </w:r>
    </w:p>
  </w:footnote>
  <w:footnote w:id="116">
    <w:p w14:paraId="40D29DD9" w14:textId="65222E61" w:rsidR="003C75C2" w:rsidRDefault="003C75C2">
      <w:pPr>
        <w:pStyle w:val="FootnoteText"/>
      </w:pPr>
      <w:r>
        <w:rPr>
          <w:rStyle w:val="FootnoteReference"/>
        </w:rPr>
        <w:footnoteRef/>
      </w:r>
      <w:r>
        <w:t xml:space="preserve"> </w:t>
      </w:r>
      <w:r w:rsidRPr="00031C8B">
        <w:t xml:space="preserve">See Appendix </w:t>
      </w:r>
      <w:r w:rsidR="006020D7">
        <w:t>Section II.C</w:t>
      </w:r>
      <w:r w:rsidRPr="00031C8B">
        <w:t xml:space="preserve"> for a listing of insurance product codes used to identify each payor type.</w:t>
      </w:r>
    </w:p>
  </w:footnote>
  <w:footnote w:id="117">
    <w:p w14:paraId="5E0604E2" w14:textId="564526D7" w:rsidR="00522DC4" w:rsidRDefault="00522DC4">
      <w:pPr>
        <w:pStyle w:val="FootnoteText"/>
      </w:pPr>
      <w:r>
        <w:rPr>
          <w:rStyle w:val="FootnoteReference"/>
        </w:rPr>
        <w:footnoteRef/>
      </w:r>
      <w:r>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18">
    <w:p w14:paraId="7514C8F4" w14:textId="7298A582" w:rsidR="00523010" w:rsidRDefault="00523010">
      <w:pPr>
        <w:pStyle w:val="FootnoteText"/>
      </w:pPr>
      <w:r>
        <w:rPr>
          <w:rStyle w:val="FootnoteReference"/>
        </w:rPr>
        <w:footnoteRef/>
      </w:r>
      <w:r>
        <w:t xml:space="preserve"> Because DFCI is a PCH, its relative Medicare price for CT imaging is higher than BWH and BIDMC. The impacts of this relative price difference </w:t>
      </w:r>
      <w:r w:rsidR="0071557D">
        <w:t>are</w:t>
      </w:r>
      <w:r>
        <w:t xml:space="preserve"> incorporated into the cost estimates below.</w:t>
      </w:r>
    </w:p>
  </w:footnote>
  <w:footnote w:id="119">
    <w:p w14:paraId="0E913404" w14:textId="35502805" w:rsidR="00B17D84" w:rsidRDefault="00B17D84" w:rsidP="00B17D84">
      <w:pPr>
        <w:pStyle w:val="FootnoteText"/>
      </w:pPr>
      <w:r>
        <w:rPr>
          <w:rStyle w:val="FootnoteReference"/>
        </w:rPr>
        <w:footnoteRef/>
      </w:r>
      <w:r>
        <w:t xml:space="preserve"> </w:t>
      </w:r>
      <w:r w:rsidR="0071557D">
        <w:t>The CHIA Massachusetts APCD outpatient data do not contain race or ethnic patient information, self-pay patients, or out-of-state patients.</w:t>
      </w:r>
    </w:p>
  </w:footnote>
  <w:footnote w:id="120">
    <w:p w14:paraId="73852636" w14:textId="35597A8B" w:rsidR="00B17D84" w:rsidRDefault="00B17D84" w:rsidP="00B17D84">
      <w:pPr>
        <w:pStyle w:val="FootnoteText"/>
      </w:pPr>
      <w:r>
        <w:rPr>
          <w:rStyle w:val="FootnoteReference"/>
        </w:rPr>
        <w:footnoteRef/>
      </w:r>
      <w:r>
        <w:t xml:space="preserve"> The codes used to identify these service lines are provided in Appendix </w:t>
      </w:r>
      <w:r w:rsidR="006020D7">
        <w:t>Section II.B</w:t>
      </w:r>
      <w:r>
        <w:t>.</w:t>
      </w:r>
    </w:p>
  </w:footnote>
  <w:footnote w:id="121">
    <w:p w14:paraId="09679C8C" w14:textId="77777777" w:rsidR="00CC41F7" w:rsidRPr="00031C8B" w:rsidRDefault="00CC41F7" w:rsidP="00CC41F7">
      <w:pPr>
        <w:pStyle w:val="FootnoteText"/>
      </w:pPr>
      <w:r w:rsidRPr="00031C8B">
        <w:rPr>
          <w:rStyle w:val="FootnoteReference"/>
        </w:rPr>
        <w:footnoteRef/>
      </w:r>
      <w:r w:rsidRPr="00031C8B">
        <w:t xml:space="preserve"> Evaluation of need calculations and forecasted impacts of the Proposed Project on total spending are presented separately for each modality.</w:t>
      </w:r>
    </w:p>
  </w:footnote>
  <w:footnote w:id="122">
    <w:p w14:paraId="66ED577C" w14:textId="60BE8DF6" w:rsidR="00CC41F7" w:rsidRPr="00031C8B" w:rsidRDefault="00CC41F7" w:rsidP="00CC41F7">
      <w:pPr>
        <w:pStyle w:val="FootnoteText"/>
      </w:pPr>
      <w:r w:rsidRPr="00031C8B">
        <w:rPr>
          <w:rStyle w:val="FootnoteReference"/>
        </w:rPr>
        <w:footnoteRef/>
      </w:r>
      <w:r w:rsidRPr="00031C8B">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23">
    <w:p w14:paraId="6A8871B7" w14:textId="389B9E08" w:rsidR="006C3127" w:rsidRPr="00031C8B" w:rsidRDefault="006C3127">
      <w:pPr>
        <w:pStyle w:val="FootnoteText"/>
      </w:pPr>
      <w:r w:rsidRPr="00031C8B">
        <w:rPr>
          <w:rStyle w:val="FootnoteReference"/>
        </w:rPr>
        <w:footnoteRef/>
      </w:r>
      <w:r w:rsidRPr="00031C8B">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24">
    <w:p w14:paraId="0DABF711" w14:textId="3D2E7791" w:rsidR="006C3127" w:rsidRPr="00031C8B" w:rsidRDefault="006C3127">
      <w:pPr>
        <w:pStyle w:val="FootnoteText"/>
      </w:pPr>
      <w:r w:rsidRPr="00031C8B">
        <w:rPr>
          <w:rStyle w:val="FootnoteReference"/>
        </w:rPr>
        <w:footnoteRef/>
      </w:r>
      <w:r w:rsidRPr="00031C8B">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p>
  </w:footnote>
  <w:footnote w:id="125">
    <w:p w14:paraId="54DBC8B9" w14:textId="0843FD04" w:rsidR="000A3C59" w:rsidRDefault="000A3C59" w:rsidP="000A3C59">
      <w:pPr>
        <w:pStyle w:val="FootnoteText"/>
      </w:pPr>
      <w:r>
        <w:rPr>
          <w:rStyle w:val="FootnoteReference"/>
        </w:rPr>
        <w:footnoteRef/>
      </w:r>
      <w:r>
        <w:t xml:space="preserve"> </w:t>
      </w:r>
      <w:r w:rsidRPr="00031C8B">
        <w:t>Application Narrative, p</w:t>
      </w:r>
      <w:r>
        <w:t>p</w:t>
      </w:r>
      <w:r w:rsidRPr="00031C8B">
        <w:t>. 2</w:t>
      </w:r>
      <w:r>
        <w:t>6-27</w:t>
      </w:r>
      <w:r w:rsidRPr="00031C8B">
        <w:t>.</w:t>
      </w:r>
    </w:p>
  </w:footnote>
  <w:footnote w:id="126">
    <w:p w14:paraId="6FBF4A2A" w14:textId="50F9B319" w:rsidR="00C86EA2" w:rsidRDefault="00C86EA2" w:rsidP="00C86EA2">
      <w:pPr>
        <w:pStyle w:val="FootnoteText"/>
      </w:pPr>
      <w:r>
        <w:rPr>
          <w:rStyle w:val="FootnoteReference"/>
        </w:rPr>
        <w:footnoteRef/>
      </w:r>
      <w:r>
        <w:t xml:space="preserve"> </w:t>
      </w:r>
      <w:r w:rsidR="004D589C">
        <w:t xml:space="preserve">See, for example, M. Washington, W. Chin, V. Patel, K.A. Higgins, C. Gartin, L. Jackson, N. Stafford, P. Chambers, E. Ebrahimdoost, </w:t>
      </w:r>
      <w:r w:rsidR="004D589C" w:rsidRPr="00D83C82">
        <w:t xml:space="preserve">L. Gill, </w:t>
      </w:r>
      <w:hyperlink r:id="rId65" w:history="1">
        <w:r w:rsidR="004D589C" w:rsidRPr="00D83C82">
          <w:rPr>
            <w:rStyle w:val="Hyperlink"/>
            <w:color w:val="auto"/>
            <w:u w:val="none"/>
          </w:rPr>
          <w:t>Understanding Process Breakdowns During CT-Simulation Encounters</w:t>
        </w:r>
      </w:hyperlink>
      <w:r w:rsidR="004D589C" w:rsidRPr="00D83C82">
        <w:t xml:space="preserve">, International Journal of Radiation Oncology*Biology*Physics, Volume 111, Issue 3, (Supplement, 2021) </w:t>
      </w:r>
      <w:hyperlink r:id="rId66" w:history="1">
        <w:r w:rsidR="0049613E" w:rsidRPr="00D83C82">
          <w:rPr>
            <w:rStyle w:val="Hyperlink"/>
            <w:color w:val="auto"/>
            <w:u w:val="none"/>
          </w:rPr>
          <w:t>https://doi.org/10.1016/j.ijrobp.2021.07.1384</w:t>
        </w:r>
      </w:hyperlink>
      <w:r w:rsidR="0049613E" w:rsidRPr="00D83C82">
        <w:t xml:space="preserve"> </w:t>
      </w:r>
      <w:r w:rsidR="004D589C" w:rsidRPr="00D83C82">
        <w:t xml:space="preserve">; Michigan Department of Health and Human Services. </w:t>
      </w:r>
      <w:r w:rsidR="006020D7" w:rsidRPr="00D83C82">
        <w:t>“</w:t>
      </w:r>
      <w:hyperlink r:id="rId67" w:history="1">
        <w:r w:rsidR="004D589C" w:rsidRPr="00D83C82">
          <w:rPr>
            <w:rStyle w:val="Hyperlink"/>
            <w:color w:val="auto"/>
            <w:u w:val="none"/>
          </w:rPr>
          <w:t>Certificate of Need (CON) Review Standards for Megavoltage Radiation Therapy (MRT) Services/Units.</w:t>
        </w:r>
        <w:r w:rsidR="006020D7" w:rsidRPr="00D83C82">
          <w:rPr>
            <w:rStyle w:val="Hyperlink"/>
            <w:color w:val="auto"/>
            <w:u w:val="none"/>
          </w:rPr>
          <w:t>”</w:t>
        </w:r>
      </w:hyperlink>
      <w:r w:rsidR="004D589C" w:rsidRPr="00D83C82">
        <w:t xml:space="preserve"> (June 2024)</w:t>
      </w:r>
      <w:r w:rsidR="00AE05F4" w:rsidRPr="00D83C82">
        <w:t xml:space="preserve"> </w:t>
      </w:r>
      <w:hyperlink r:id="rId68" w:history="1">
        <w:r w:rsidR="0049613E" w:rsidRPr="00D83C82">
          <w:rPr>
            <w:rStyle w:val="Hyperlink"/>
            <w:color w:val="auto"/>
            <w:u w:val="none"/>
          </w:rPr>
          <w:t>https://www.michigan.gov/mdhhs/-/media/Project/Websites/mdhhs/Doing-Business-with-MDHHS/Health-Care-Providers/Certificate-of-Need/CON-Review-Standards/MRT_Standards.pdf</w:t>
        </w:r>
      </w:hyperlink>
      <w:r w:rsidR="0049613E" w:rsidRPr="00D83C82">
        <w:t xml:space="preserve"> </w:t>
      </w:r>
      <w:r w:rsidR="00AE05F4" w:rsidRPr="00D83C82">
        <w:t xml:space="preserve">; </w:t>
      </w:r>
      <w:r w:rsidR="004D589C" w:rsidRPr="00D83C82">
        <w:t xml:space="preserve">North Carolina Department of Health and Human Services Division of Health Service Regulation. </w:t>
      </w:r>
      <w:r w:rsidR="006020D7" w:rsidRPr="00D83C82">
        <w:t>“</w:t>
      </w:r>
      <w:hyperlink r:id="rId69" w:history="1">
        <w:r w:rsidR="004D589C" w:rsidRPr="00D83C82">
          <w:rPr>
            <w:rStyle w:val="Hyperlink"/>
            <w:color w:val="auto"/>
            <w:u w:val="none"/>
          </w:rPr>
          <w:t>2024 State Medical Facilities Plan</w:t>
        </w:r>
      </w:hyperlink>
      <w:r w:rsidR="006020D7" w:rsidRPr="00D83C82">
        <w:t>”</w:t>
      </w:r>
      <w:r w:rsidR="004D589C" w:rsidRPr="00D83C82">
        <w:t xml:space="preserve"> (January 2024), pp. 315-327 </w:t>
      </w:r>
      <w:hyperlink r:id="rId70" w:history="1">
        <w:r w:rsidR="00D83C82" w:rsidRPr="00D83C82">
          <w:rPr>
            <w:rStyle w:val="Hyperlink"/>
            <w:color w:val="auto"/>
            <w:u w:val="none"/>
          </w:rPr>
          <w:t>https://info.ncdhhs.gov/dhsr/ncsmfp/2024/01%202024_SMFP_amendment_complete_v2_final.pdf</w:t>
        </w:r>
      </w:hyperlink>
      <w:r w:rsidR="00D83C82" w:rsidRPr="00D83C82">
        <w:t xml:space="preserve"> </w:t>
      </w:r>
      <w:r w:rsidR="004D589C" w:rsidRPr="00D83C82">
        <w:t>.</w:t>
      </w:r>
    </w:p>
  </w:footnote>
  <w:footnote w:id="127">
    <w:p w14:paraId="4DDFDF14" w14:textId="337EB112" w:rsidR="000A3C59" w:rsidRPr="00C85D47" w:rsidRDefault="000A3C59">
      <w:pPr>
        <w:pStyle w:val="FootnoteText"/>
        <w:rPr>
          <w:lang w:val="fr-FR"/>
        </w:rPr>
      </w:pPr>
      <w:r>
        <w:rPr>
          <w:rStyle w:val="FootnoteReference"/>
        </w:rPr>
        <w:footnoteRef/>
      </w:r>
      <w:r w:rsidRPr="00C85D47">
        <w:rPr>
          <w:lang w:val="fr-FR"/>
        </w:rPr>
        <w:t xml:space="preserve"> </w:t>
      </w:r>
      <w:r w:rsidR="0050791F" w:rsidRPr="00C85D47">
        <w:rPr>
          <w:lang w:val="fr-FR"/>
        </w:rPr>
        <w:t>Application Narrative, p</w:t>
      </w:r>
      <w:r w:rsidR="0071557D" w:rsidRPr="00C85D47">
        <w:rPr>
          <w:lang w:val="fr-FR"/>
        </w:rPr>
        <w:t>p</w:t>
      </w:r>
      <w:r w:rsidR="0050791F" w:rsidRPr="00C85D47">
        <w:rPr>
          <w:lang w:val="fr-FR"/>
        </w:rPr>
        <w:t xml:space="preserve">. </w:t>
      </w:r>
      <w:r w:rsidR="0071557D" w:rsidRPr="00C85D47">
        <w:rPr>
          <w:lang w:val="fr-FR"/>
        </w:rPr>
        <w:t xml:space="preserve">14, </w:t>
      </w:r>
      <w:r w:rsidR="0050791F" w:rsidRPr="00C85D47">
        <w:rPr>
          <w:lang w:val="fr-FR"/>
        </w:rPr>
        <w:t>26.</w:t>
      </w:r>
    </w:p>
  </w:footnote>
  <w:footnote w:id="128">
    <w:p w14:paraId="573246A5" w14:textId="164E91CE" w:rsidR="000A3C59" w:rsidRPr="00C85D47" w:rsidRDefault="000A3C59">
      <w:pPr>
        <w:pStyle w:val="FootnoteText"/>
        <w:rPr>
          <w:lang w:val="fr-FR"/>
        </w:rPr>
      </w:pPr>
      <w:r>
        <w:rPr>
          <w:rStyle w:val="FootnoteReference"/>
        </w:rPr>
        <w:footnoteRef/>
      </w:r>
      <w:r w:rsidRPr="00C85D47">
        <w:rPr>
          <w:lang w:val="fr-FR"/>
        </w:rPr>
        <w:t xml:space="preserve"> </w:t>
      </w:r>
      <w:r w:rsidR="0050791F" w:rsidRPr="00C85D47">
        <w:rPr>
          <w:lang w:val="fr-FR"/>
        </w:rPr>
        <w:t>Application Narrative, p. 26.</w:t>
      </w:r>
    </w:p>
  </w:footnote>
  <w:footnote w:id="129">
    <w:p w14:paraId="25A3FEC1" w14:textId="2960832E" w:rsidR="00DC0C75" w:rsidRPr="00C85D47" w:rsidRDefault="00DC0C75">
      <w:pPr>
        <w:pStyle w:val="FootnoteText"/>
        <w:rPr>
          <w:lang w:val="fr-FR"/>
        </w:rPr>
      </w:pPr>
      <w:r>
        <w:rPr>
          <w:rStyle w:val="FootnoteReference"/>
        </w:rPr>
        <w:footnoteRef/>
      </w:r>
      <w:r w:rsidRPr="00C85D47">
        <w:rPr>
          <w:lang w:val="fr-FR"/>
        </w:rPr>
        <w:t xml:space="preserve"> </w:t>
      </w:r>
      <w:r w:rsidR="0050791F" w:rsidRPr="00C85D47">
        <w:rPr>
          <w:lang w:val="fr-FR"/>
        </w:rPr>
        <w:t>Application Narrative, p. 26.</w:t>
      </w:r>
    </w:p>
  </w:footnote>
  <w:footnote w:id="130">
    <w:p w14:paraId="0BF349FA" w14:textId="54A38C49" w:rsidR="00DD14FD" w:rsidRPr="00C85D47" w:rsidRDefault="00DD14FD">
      <w:pPr>
        <w:pStyle w:val="FootnoteText"/>
        <w:rPr>
          <w:lang w:val="fr-FR"/>
        </w:rPr>
      </w:pPr>
      <w:r>
        <w:rPr>
          <w:rStyle w:val="FootnoteReference"/>
        </w:rPr>
        <w:footnoteRef/>
      </w:r>
      <w:r w:rsidRPr="00C85D47">
        <w:rPr>
          <w:lang w:val="fr-FR"/>
        </w:rPr>
        <w:t xml:space="preserve"> </w:t>
      </w:r>
      <w:r w:rsidR="005A1EB5" w:rsidRPr="00C85D47">
        <w:rPr>
          <w:lang w:val="fr-FR"/>
        </w:rPr>
        <w:t>Application Narrative, pp. 26-27.</w:t>
      </w:r>
    </w:p>
  </w:footnote>
  <w:footnote w:id="131">
    <w:p w14:paraId="18BCDE42" w14:textId="2E4DB746" w:rsidR="001A3174" w:rsidRDefault="001A3174">
      <w:pPr>
        <w:pStyle w:val="FootnoteText"/>
      </w:pPr>
      <w:r>
        <w:rPr>
          <w:rStyle w:val="FootnoteReference"/>
        </w:rPr>
        <w:footnoteRef/>
      </w:r>
      <w:r>
        <w:t xml:space="preserve"> </w:t>
      </w:r>
      <w:r w:rsidR="005A1EB5">
        <w:t>Application Narrative, pp. 27, A-3.</w:t>
      </w:r>
    </w:p>
  </w:footnote>
  <w:footnote w:id="132">
    <w:p w14:paraId="71F39F5D" w14:textId="52FA87A7" w:rsidR="00DD14FD" w:rsidRDefault="00DD14FD">
      <w:pPr>
        <w:pStyle w:val="FootnoteText"/>
      </w:pPr>
      <w:r>
        <w:rPr>
          <w:rStyle w:val="FootnoteReference"/>
        </w:rPr>
        <w:footnoteRef/>
      </w:r>
      <w:r>
        <w:t xml:space="preserve"> </w:t>
      </w:r>
      <w:r w:rsidR="0050791F">
        <w:t>Application Narrative, p. 27.</w:t>
      </w:r>
    </w:p>
  </w:footnote>
  <w:footnote w:id="133">
    <w:p w14:paraId="1BB18D7D" w14:textId="1238F4F6" w:rsidR="00DD14FD" w:rsidRDefault="00DD14FD" w:rsidP="00DD14FD">
      <w:pPr>
        <w:pStyle w:val="FootnoteText"/>
      </w:pPr>
      <w:r>
        <w:rPr>
          <w:rStyle w:val="FootnoteReference"/>
        </w:rPr>
        <w:footnoteRef/>
      </w:r>
      <w:r>
        <w:t xml:space="preserve"> </w:t>
      </w:r>
      <w:r w:rsidR="0050791F">
        <w:t>Application Narrative, p. 26.</w:t>
      </w:r>
    </w:p>
  </w:footnote>
  <w:footnote w:id="134">
    <w:p w14:paraId="50111B23" w14:textId="2FD159F7" w:rsidR="00B17D84" w:rsidRDefault="00B17D84" w:rsidP="00B17D84">
      <w:pPr>
        <w:pStyle w:val="FootnoteText"/>
      </w:pPr>
      <w:r>
        <w:rPr>
          <w:rStyle w:val="FootnoteReference"/>
        </w:rPr>
        <w:footnoteRef/>
      </w:r>
      <w:r>
        <w:t xml:space="preserve"> </w:t>
      </w:r>
      <w:r w:rsidRPr="00031C8B">
        <w:t xml:space="preserve">See Appendix </w:t>
      </w:r>
      <w:r w:rsidR="006020D7">
        <w:t>Section II.C</w:t>
      </w:r>
      <w:r w:rsidRPr="00031C8B">
        <w:t xml:space="preserve"> for a listing of insurance product codes used to identify each payor type.</w:t>
      </w:r>
    </w:p>
  </w:footnote>
  <w:footnote w:id="135">
    <w:p w14:paraId="7EAA6C67" w14:textId="41A15316" w:rsidR="00FC27BC" w:rsidRDefault="00FC27BC">
      <w:pPr>
        <w:pStyle w:val="FootnoteText"/>
      </w:pPr>
      <w:r>
        <w:rPr>
          <w:rStyle w:val="FootnoteReference"/>
        </w:rPr>
        <w:footnoteRef/>
      </w:r>
      <w:r>
        <w:t xml:space="preserve"> </w:t>
      </w:r>
      <w:r w:rsidR="0071557D" w:rsidRPr="00031C8B">
        <w:t xml:space="preserve">Source: </w:t>
      </w:r>
      <w:r w:rsidR="0071557D" w:rsidRPr="00EE4A31">
        <w:t xml:space="preserve">2021 CHIA Massachusetts APCD and 2021 Medicare </w:t>
      </w:r>
      <w:r w:rsidR="0071557D">
        <w:t>Outpatient</w:t>
      </w:r>
      <w:r w:rsidR="0071557D" w:rsidRPr="00EE4A31">
        <w:t xml:space="preserve"> Claims Data</w:t>
      </w:r>
      <w:r w:rsidR="0071557D">
        <w:t>.</w:t>
      </w:r>
      <w:r>
        <w:t xml:space="preserve"> </w:t>
      </w:r>
    </w:p>
  </w:footnote>
  <w:footnote w:id="136">
    <w:p w14:paraId="6B8FB1FE" w14:textId="53257C78" w:rsidR="00BE2A58" w:rsidRDefault="00BE2A58">
      <w:pPr>
        <w:pStyle w:val="FootnoteText"/>
      </w:pPr>
      <w:r>
        <w:rPr>
          <w:rStyle w:val="FootnoteReference"/>
        </w:rPr>
        <w:footnoteRef/>
      </w:r>
      <w:r>
        <w:t xml:space="preserve"> </w:t>
      </w:r>
      <w:r w:rsidR="0050791F">
        <w:t>Application Narrative, p. 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8BD8" w14:textId="0AFB61E0" w:rsidR="0085394E" w:rsidRDefault="00E60BED" w:rsidP="0085394E">
    <w:pPr>
      <w:pStyle w:val="Header"/>
    </w:pPr>
    <w:r w:rsidRPr="00B23D6E">
      <w:rPr>
        <w:b/>
        <w:noProof/>
      </w:rPr>
      <w:drawing>
        <wp:anchor distT="0" distB="0" distL="114300" distR="114300" simplePos="0" relativeHeight="251658240" behindDoc="0" locked="0" layoutInCell="1" allowOverlap="1" wp14:anchorId="441205B5" wp14:editId="374A210C">
          <wp:simplePos x="0" y="0"/>
          <wp:positionH relativeFrom="column">
            <wp:posOffset>0</wp:posOffset>
          </wp:positionH>
          <wp:positionV relativeFrom="paragraph">
            <wp:posOffset>0</wp:posOffset>
          </wp:positionV>
          <wp:extent cx="1594485" cy="321945"/>
          <wp:effectExtent l="0" t="0" r="5715" b="1905"/>
          <wp:wrapThrough wrapText="bothSides">
            <wp:wrapPolygon edited="0">
              <wp:start x="0" y="0"/>
              <wp:lineTo x="0" y="20450"/>
              <wp:lineTo x="20387" y="20450"/>
              <wp:lineTo x="21419" y="2556"/>
              <wp:lineTo x="21419" y="0"/>
              <wp:lineTo x="0" y="0"/>
            </wp:wrapPolygon>
          </wp:wrapThrough>
          <wp:docPr id="1534634828" name="Picture 5" descr="FTI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4828" name="Picture 5" descr="FTI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485" cy="321945"/>
                  </a:xfrm>
                  <a:prstGeom prst="rect">
                    <a:avLst/>
                  </a:prstGeom>
                  <a:noFill/>
                  <a:ln>
                    <a:noFill/>
                  </a:ln>
                </pic:spPr>
              </pic:pic>
            </a:graphicData>
          </a:graphic>
        </wp:anchor>
      </w:drawing>
    </w:r>
    <w:r w:rsidR="00034D69">
      <w:t xml:space="preserve"> </w:t>
    </w:r>
    <w:r w:rsidR="00034D69">
      <w:tab/>
    </w:r>
    <w:r w:rsidR="00034D69">
      <w:tab/>
    </w:r>
  </w:p>
  <w:p w14:paraId="229D9D51" w14:textId="3CD3BCEF" w:rsidR="00034D69" w:rsidRDefault="00034D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12F5" w14:textId="7D09C676" w:rsidR="00E60BED" w:rsidRDefault="00E60BED">
    <w:pPr>
      <w:pStyle w:val="Header"/>
    </w:pPr>
    <w:r w:rsidRPr="00B23D6E">
      <w:rPr>
        <w:b/>
        <w:noProof/>
      </w:rPr>
      <w:drawing>
        <wp:inline distT="0" distB="0" distL="0" distR="0" wp14:anchorId="7B0F962C" wp14:editId="289A292B">
          <wp:extent cx="1594485" cy="321945"/>
          <wp:effectExtent l="0" t="0" r="5715" b="1905"/>
          <wp:docPr id="1572143367" name="Picture 1572143367" descr="FTI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3367" name="Picture 1572143367" descr="FTI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485" cy="321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B1D"/>
    <w:multiLevelType w:val="multilevel"/>
    <w:tmpl w:val="FD601934"/>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right"/>
      <w:pPr>
        <w:ind w:left="144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CA21DF"/>
    <w:multiLevelType w:val="hybridMultilevel"/>
    <w:tmpl w:val="480A0A06"/>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 w15:restartNumberingAfterBreak="0">
    <w:nsid w:val="0C497660"/>
    <w:multiLevelType w:val="hybridMultilevel"/>
    <w:tmpl w:val="99443F70"/>
    <w:lvl w:ilvl="0" w:tplc="0C9AAC6E">
      <w:start w:val="1"/>
      <w:numFmt w:val="decimal"/>
      <w:lvlText w:val="%1."/>
      <w:lvlJc w:val="left"/>
      <w:pPr>
        <w:ind w:left="540" w:hanging="360"/>
      </w:pPr>
      <w:rPr>
        <w:rFonts w:ascii="Times New Roman" w:eastAsiaTheme="majorEastAsia" w:hAnsi="Times New Roman" w:cs="Times New Roman"/>
        <w:b w:val="0"/>
        <w:i w:val="0"/>
        <w:vertAlign w:val="baseline"/>
      </w:rPr>
    </w:lvl>
    <w:lvl w:ilvl="1" w:tplc="11DEF256">
      <w:start w:val="1"/>
      <w:numFmt w:val="lowerLetter"/>
      <w:lvlText w:val="%2."/>
      <w:lvlJc w:val="left"/>
      <w:pPr>
        <w:ind w:left="720" w:hanging="360"/>
      </w:pPr>
    </w:lvl>
    <w:lvl w:ilvl="2" w:tplc="0409001B">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 w15:restartNumberingAfterBreak="0">
    <w:nsid w:val="10E67F82"/>
    <w:multiLevelType w:val="multilevel"/>
    <w:tmpl w:val="4BAEE762"/>
    <w:numStyleLink w:val="Style1"/>
  </w:abstractNum>
  <w:abstractNum w:abstractNumId="4" w15:restartNumberingAfterBreak="0">
    <w:nsid w:val="178E55B2"/>
    <w:multiLevelType w:val="multilevel"/>
    <w:tmpl w:val="4BAEE762"/>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A103C0"/>
    <w:multiLevelType w:val="multilevel"/>
    <w:tmpl w:val="E9E47B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5C551E"/>
    <w:multiLevelType w:val="hybridMultilevel"/>
    <w:tmpl w:val="95B4A868"/>
    <w:lvl w:ilvl="0" w:tplc="20CA68C6">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C44F0"/>
    <w:multiLevelType w:val="hybridMultilevel"/>
    <w:tmpl w:val="8BC0B882"/>
    <w:lvl w:ilvl="0" w:tplc="68784F66">
      <w:start w:val="1"/>
      <w:numFmt w:val="upperRoman"/>
      <w:lvlText w:val="%1."/>
      <w:lvlJc w:val="left"/>
      <w:pPr>
        <w:ind w:left="108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2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F76B1"/>
    <w:multiLevelType w:val="hybridMultilevel"/>
    <w:tmpl w:val="49D040A4"/>
    <w:lvl w:ilvl="0" w:tplc="9E581E38">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173A6"/>
    <w:multiLevelType w:val="hybridMultilevel"/>
    <w:tmpl w:val="E42A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3043B"/>
    <w:multiLevelType w:val="hybridMultilevel"/>
    <w:tmpl w:val="359644EA"/>
    <w:lvl w:ilvl="0" w:tplc="59603ADC">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CF578B"/>
    <w:multiLevelType w:val="hybridMultilevel"/>
    <w:tmpl w:val="62D4E9B4"/>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2" w15:restartNumberingAfterBreak="0">
    <w:nsid w:val="6FAB3E5F"/>
    <w:multiLevelType w:val="multilevel"/>
    <w:tmpl w:val="FD601934"/>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right"/>
      <w:pPr>
        <w:ind w:left="144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C52B3B"/>
    <w:multiLevelType w:val="hybridMultilevel"/>
    <w:tmpl w:val="5BBEE13C"/>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num w:numId="1" w16cid:durableId="2137023132">
    <w:abstractNumId w:val="10"/>
  </w:num>
  <w:num w:numId="2" w16cid:durableId="700403706">
    <w:abstractNumId w:val="8"/>
  </w:num>
  <w:num w:numId="3" w16cid:durableId="2015716362">
    <w:abstractNumId w:val="6"/>
  </w:num>
  <w:num w:numId="4" w16cid:durableId="451824007">
    <w:abstractNumId w:val="0"/>
  </w:num>
  <w:num w:numId="5" w16cid:durableId="1485388222">
    <w:abstractNumId w:val="4"/>
  </w:num>
  <w:num w:numId="6" w16cid:durableId="1928924751">
    <w:abstractNumId w:val="3"/>
  </w:num>
  <w:num w:numId="7" w16cid:durableId="648023118">
    <w:abstractNumId w:val="5"/>
  </w:num>
  <w:num w:numId="8" w16cid:durableId="580329695">
    <w:abstractNumId w:val="2"/>
  </w:num>
  <w:num w:numId="9" w16cid:durableId="1014461515">
    <w:abstractNumId w:val="8"/>
    <w:lvlOverride w:ilvl="0">
      <w:startOverride w:val="1"/>
    </w:lvlOverride>
  </w:num>
  <w:num w:numId="10" w16cid:durableId="972057022">
    <w:abstractNumId w:val="8"/>
    <w:lvlOverride w:ilvl="0">
      <w:startOverride w:val="1"/>
    </w:lvlOverride>
  </w:num>
  <w:num w:numId="11" w16cid:durableId="1276130480">
    <w:abstractNumId w:val="8"/>
    <w:lvlOverride w:ilvl="0">
      <w:startOverride w:val="1"/>
    </w:lvlOverride>
  </w:num>
  <w:num w:numId="12" w16cid:durableId="2012877812">
    <w:abstractNumId w:val="8"/>
    <w:lvlOverride w:ilvl="0">
      <w:startOverride w:val="1"/>
    </w:lvlOverride>
  </w:num>
  <w:num w:numId="13" w16cid:durableId="182518145">
    <w:abstractNumId w:val="7"/>
  </w:num>
  <w:num w:numId="14" w16cid:durableId="195776849">
    <w:abstractNumId w:val="8"/>
    <w:lvlOverride w:ilvl="0">
      <w:startOverride w:val="1"/>
    </w:lvlOverride>
  </w:num>
  <w:num w:numId="15" w16cid:durableId="269822985">
    <w:abstractNumId w:val="8"/>
    <w:lvlOverride w:ilvl="0">
      <w:startOverride w:val="1"/>
    </w:lvlOverride>
  </w:num>
  <w:num w:numId="16" w16cid:durableId="1693070626">
    <w:abstractNumId w:val="8"/>
    <w:lvlOverride w:ilvl="0">
      <w:startOverride w:val="1"/>
    </w:lvlOverride>
  </w:num>
  <w:num w:numId="17" w16cid:durableId="1808011299">
    <w:abstractNumId w:val="8"/>
    <w:lvlOverride w:ilvl="0">
      <w:startOverride w:val="1"/>
    </w:lvlOverride>
  </w:num>
  <w:num w:numId="18" w16cid:durableId="158276106">
    <w:abstractNumId w:val="8"/>
    <w:lvlOverride w:ilvl="0">
      <w:startOverride w:val="1"/>
    </w:lvlOverride>
  </w:num>
  <w:num w:numId="19" w16cid:durableId="225409931">
    <w:abstractNumId w:val="8"/>
    <w:lvlOverride w:ilvl="0">
      <w:startOverride w:val="1"/>
    </w:lvlOverride>
  </w:num>
  <w:num w:numId="20" w16cid:durableId="1551764804">
    <w:abstractNumId w:val="6"/>
    <w:lvlOverride w:ilvl="0">
      <w:startOverride w:val="1"/>
    </w:lvlOverride>
  </w:num>
  <w:num w:numId="21" w16cid:durableId="706181447">
    <w:abstractNumId w:val="8"/>
    <w:lvlOverride w:ilvl="0">
      <w:startOverride w:val="1"/>
    </w:lvlOverride>
  </w:num>
  <w:num w:numId="22" w16cid:durableId="1388720084">
    <w:abstractNumId w:val="6"/>
    <w:lvlOverride w:ilvl="0">
      <w:startOverride w:val="1"/>
    </w:lvlOverride>
  </w:num>
  <w:num w:numId="23" w16cid:durableId="256450030">
    <w:abstractNumId w:val="8"/>
    <w:lvlOverride w:ilvl="0">
      <w:startOverride w:val="1"/>
    </w:lvlOverride>
  </w:num>
  <w:num w:numId="24" w16cid:durableId="351494719">
    <w:abstractNumId w:val="8"/>
    <w:lvlOverride w:ilvl="0">
      <w:startOverride w:val="1"/>
    </w:lvlOverride>
  </w:num>
  <w:num w:numId="25" w16cid:durableId="2130466453">
    <w:abstractNumId w:val="12"/>
  </w:num>
  <w:num w:numId="26" w16cid:durableId="1590238315">
    <w:abstractNumId w:val="8"/>
  </w:num>
  <w:num w:numId="27" w16cid:durableId="96368262">
    <w:abstractNumId w:val="8"/>
    <w:lvlOverride w:ilvl="0">
      <w:startOverride w:val="1"/>
    </w:lvlOverride>
  </w:num>
  <w:num w:numId="28" w16cid:durableId="1060322857">
    <w:abstractNumId w:val="8"/>
  </w:num>
  <w:num w:numId="29" w16cid:durableId="263269756">
    <w:abstractNumId w:val="8"/>
    <w:lvlOverride w:ilvl="0">
      <w:startOverride w:val="1"/>
    </w:lvlOverride>
  </w:num>
  <w:num w:numId="30" w16cid:durableId="1665429207">
    <w:abstractNumId w:val="1"/>
  </w:num>
  <w:num w:numId="31" w16cid:durableId="454106206">
    <w:abstractNumId w:val="11"/>
  </w:num>
  <w:num w:numId="32" w16cid:durableId="325786024">
    <w:abstractNumId w:val="13"/>
  </w:num>
  <w:num w:numId="33" w16cid:durableId="9438795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A9"/>
    <w:rsid w:val="000026B6"/>
    <w:rsid w:val="00002E28"/>
    <w:rsid w:val="0000589D"/>
    <w:rsid w:val="00006586"/>
    <w:rsid w:val="00013ACF"/>
    <w:rsid w:val="00014576"/>
    <w:rsid w:val="000147B3"/>
    <w:rsid w:val="00017609"/>
    <w:rsid w:val="000224C4"/>
    <w:rsid w:val="000225BE"/>
    <w:rsid w:val="000233C8"/>
    <w:rsid w:val="00024125"/>
    <w:rsid w:val="00027923"/>
    <w:rsid w:val="00031C8B"/>
    <w:rsid w:val="0003233E"/>
    <w:rsid w:val="00034D69"/>
    <w:rsid w:val="00034FC2"/>
    <w:rsid w:val="000366B8"/>
    <w:rsid w:val="00036963"/>
    <w:rsid w:val="00054F28"/>
    <w:rsid w:val="00054FD5"/>
    <w:rsid w:val="00055512"/>
    <w:rsid w:val="00061103"/>
    <w:rsid w:val="00062F9B"/>
    <w:rsid w:val="000649D5"/>
    <w:rsid w:val="0007120E"/>
    <w:rsid w:val="0007451B"/>
    <w:rsid w:val="000762F8"/>
    <w:rsid w:val="000815DA"/>
    <w:rsid w:val="00086F50"/>
    <w:rsid w:val="000872A7"/>
    <w:rsid w:val="0009513A"/>
    <w:rsid w:val="000A14A9"/>
    <w:rsid w:val="000A3C59"/>
    <w:rsid w:val="000A3E80"/>
    <w:rsid w:val="000A64DF"/>
    <w:rsid w:val="000A7ECF"/>
    <w:rsid w:val="000B00E1"/>
    <w:rsid w:val="000B050D"/>
    <w:rsid w:val="000B22D4"/>
    <w:rsid w:val="000B2E0F"/>
    <w:rsid w:val="000C26D3"/>
    <w:rsid w:val="000C31DE"/>
    <w:rsid w:val="000C3C90"/>
    <w:rsid w:val="000C44D7"/>
    <w:rsid w:val="000C560D"/>
    <w:rsid w:val="000C6E3E"/>
    <w:rsid w:val="000C701A"/>
    <w:rsid w:val="000D1579"/>
    <w:rsid w:val="000D1F04"/>
    <w:rsid w:val="000D32F8"/>
    <w:rsid w:val="000D3D67"/>
    <w:rsid w:val="000D5EF6"/>
    <w:rsid w:val="000D63E1"/>
    <w:rsid w:val="000D6C90"/>
    <w:rsid w:val="000D6E76"/>
    <w:rsid w:val="000E000A"/>
    <w:rsid w:val="000E3282"/>
    <w:rsid w:val="000E7074"/>
    <w:rsid w:val="000F07A5"/>
    <w:rsid w:val="000F3544"/>
    <w:rsid w:val="000F363F"/>
    <w:rsid w:val="000F4D25"/>
    <w:rsid w:val="00100B6C"/>
    <w:rsid w:val="00103D53"/>
    <w:rsid w:val="0010562D"/>
    <w:rsid w:val="001204A7"/>
    <w:rsid w:val="00122E54"/>
    <w:rsid w:val="001272B8"/>
    <w:rsid w:val="00131752"/>
    <w:rsid w:val="001329BE"/>
    <w:rsid w:val="00140DF0"/>
    <w:rsid w:val="00141572"/>
    <w:rsid w:val="00150090"/>
    <w:rsid w:val="00153E0F"/>
    <w:rsid w:val="00154808"/>
    <w:rsid w:val="00161100"/>
    <w:rsid w:val="00163F1A"/>
    <w:rsid w:val="001644F5"/>
    <w:rsid w:val="001646EE"/>
    <w:rsid w:val="00165873"/>
    <w:rsid w:val="001728D5"/>
    <w:rsid w:val="00174287"/>
    <w:rsid w:val="001745E8"/>
    <w:rsid w:val="00180383"/>
    <w:rsid w:val="00182A57"/>
    <w:rsid w:val="0018471A"/>
    <w:rsid w:val="00190A29"/>
    <w:rsid w:val="00191445"/>
    <w:rsid w:val="0019227F"/>
    <w:rsid w:val="00197D78"/>
    <w:rsid w:val="001A0382"/>
    <w:rsid w:val="001A1F8F"/>
    <w:rsid w:val="001A2120"/>
    <w:rsid w:val="001A3174"/>
    <w:rsid w:val="001A673A"/>
    <w:rsid w:val="001B024B"/>
    <w:rsid w:val="001B041C"/>
    <w:rsid w:val="001B614A"/>
    <w:rsid w:val="001B6CAA"/>
    <w:rsid w:val="001C0152"/>
    <w:rsid w:val="001C27A7"/>
    <w:rsid w:val="001C4BC2"/>
    <w:rsid w:val="001C7EA6"/>
    <w:rsid w:val="001D04B3"/>
    <w:rsid w:val="001D0E2E"/>
    <w:rsid w:val="001D20C5"/>
    <w:rsid w:val="001D3925"/>
    <w:rsid w:val="001D3E05"/>
    <w:rsid w:val="001D7E87"/>
    <w:rsid w:val="001E131D"/>
    <w:rsid w:val="001E1546"/>
    <w:rsid w:val="001E2460"/>
    <w:rsid w:val="001E2E8E"/>
    <w:rsid w:val="001E4307"/>
    <w:rsid w:val="001E5225"/>
    <w:rsid w:val="001F063E"/>
    <w:rsid w:val="001F07A2"/>
    <w:rsid w:val="001F7944"/>
    <w:rsid w:val="00206A3B"/>
    <w:rsid w:val="002101C8"/>
    <w:rsid w:val="00211EF9"/>
    <w:rsid w:val="00212D73"/>
    <w:rsid w:val="0021310B"/>
    <w:rsid w:val="0021732F"/>
    <w:rsid w:val="00217BDE"/>
    <w:rsid w:val="0022024B"/>
    <w:rsid w:val="0022496D"/>
    <w:rsid w:val="0023426D"/>
    <w:rsid w:val="00240A46"/>
    <w:rsid w:val="00243603"/>
    <w:rsid w:val="0025092B"/>
    <w:rsid w:val="00250E1A"/>
    <w:rsid w:val="00256B5C"/>
    <w:rsid w:val="00262E2E"/>
    <w:rsid w:val="00264389"/>
    <w:rsid w:val="002651FB"/>
    <w:rsid w:val="0026641D"/>
    <w:rsid w:val="00271A49"/>
    <w:rsid w:val="002765FB"/>
    <w:rsid w:val="002776C4"/>
    <w:rsid w:val="00281F49"/>
    <w:rsid w:val="002863EF"/>
    <w:rsid w:val="00286CA5"/>
    <w:rsid w:val="002916B0"/>
    <w:rsid w:val="00292984"/>
    <w:rsid w:val="0029440F"/>
    <w:rsid w:val="002944A0"/>
    <w:rsid w:val="00296E7A"/>
    <w:rsid w:val="002A16D4"/>
    <w:rsid w:val="002A5174"/>
    <w:rsid w:val="002A777E"/>
    <w:rsid w:val="002B0C8C"/>
    <w:rsid w:val="002B2D03"/>
    <w:rsid w:val="002B3B6B"/>
    <w:rsid w:val="002B6267"/>
    <w:rsid w:val="002B6BCB"/>
    <w:rsid w:val="002C4E0C"/>
    <w:rsid w:val="002D0D0D"/>
    <w:rsid w:val="002D5863"/>
    <w:rsid w:val="002E7101"/>
    <w:rsid w:val="002E7F2D"/>
    <w:rsid w:val="002F5B27"/>
    <w:rsid w:val="002F61A6"/>
    <w:rsid w:val="002F67E9"/>
    <w:rsid w:val="002F7A36"/>
    <w:rsid w:val="003003FA"/>
    <w:rsid w:val="00303737"/>
    <w:rsid w:val="0030375D"/>
    <w:rsid w:val="003200C8"/>
    <w:rsid w:val="0032662B"/>
    <w:rsid w:val="00327A4B"/>
    <w:rsid w:val="00331927"/>
    <w:rsid w:val="00336E5A"/>
    <w:rsid w:val="00340EA0"/>
    <w:rsid w:val="0034295E"/>
    <w:rsid w:val="00342E01"/>
    <w:rsid w:val="00342FA6"/>
    <w:rsid w:val="003440F9"/>
    <w:rsid w:val="00344C5A"/>
    <w:rsid w:val="00345692"/>
    <w:rsid w:val="00347AAD"/>
    <w:rsid w:val="00350F45"/>
    <w:rsid w:val="003541D0"/>
    <w:rsid w:val="00355C4A"/>
    <w:rsid w:val="0036700A"/>
    <w:rsid w:val="003731E4"/>
    <w:rsid w:val="00373513"/>
    <w:rsid w:val="00374D9D"/>
    <w:rsid w:val="0037586C"/>
    <w:rsid w:val="003771C5"/>
    <w:rsid w:val="00377243"/>
    <w:rsid w:val="00377EA4"/>
    <w:rsid w:val="003813F3"/>
    <w:rsid w:val="003854E1"/>
    <w:rsid w:val="00391CF9"/>
    <w:rsid w:val="003929D7"/>
    <w:rsid w:val="00395DA9"/>
    <w:rsid w:val="003A5B44"/>
    <w:rsid w:val="003A6DDE"/>
    <w:rsid w:val="003B1E8D"/>
    <w:rsid w:val="003B704A"/>
    <w:rsid w:val="003C0737"/>
    <w:rsid w:val="003C40C7"/>
    <w:rsid w:val="003C7113"/>
    <w:rsid w:val="003C75C2"/>
    <w:rsid w:val="003D3FF9"/>
    <w:rsid w:val="003E4D84"/>
    <w:rsid w:val="003E60B8"/>
    <w:rsid w:val="003E7B37"/>
    <w:rsid w:val="003F29D6"/>
    <w:rsid w:val="003F5033"/>
    <w:rsid w:val="004013E4"/>
    <w:rsid w:val="00403016"/>
    <w:rsid w:val="004034CC"/>
    <w:rsid w:val="0040475A"/>
    <w:rsid w:val="00407AE5"/>
    <w:rsid w:val="00410D11"/>
    <w:rsid w:val="0041101C"/>
    <w:rsid w:val="004111A5"/>
    <w:rsid w:val="0041221B"/>
    <w:rsid w:val="00414855"/>
    <w:rsid w:val="00420772"/>
    <w:rsid w:val="00421E05"/>
    <w:rsid w:val="004244C9"/>
    <w:rsid w:val="00426807"/>
    <w:rsid w:val="00434DFE"/>
    <w:rsid w:val="00435CAC"/>
    <w:rsid w:val="00436435"/>
    <w:rsid w:val="00437685"/>
    <w:rsid w:val="00441070"/>
    <w:rsid w:val="00443839"/>
    <w:rsid w:val="00445C21"/>
    <w:rsid w:val="004474F8"/>
    <w:rsid w:val="004478B0"/>
    <w:rsid w:val="004514C8"/>
    <w:rsid w:val="00452EAD"/>
    <w:rsid w:val="0045780C"/>
    <w:rsid w:val="00461DC0"/>
    <w:rsid w:val="00464FFF"/>
    <w:rsid w:val="004652B3"/>
    <w:rsid w:val="00470899"/>
    <w:rsid w:val="0047302D"/>
    <w:rsid w:val="004743E1"/>
    <w:rsid w:val="004749A8"/>
    <w:rsid w:val="004879AF"/>
    <w:rsid w:val="0049060F"/>
    <w:rsid w:val="004913A9"/>
    <w:rsid w:val="00493278"/>
    <w:rsid w:val="00494147"/>
    <w:rsid w:val="00495C95"/>
    <w:rsid w:val="0049613E"/>
    <w:rsid w:val="00497364"/>
    <w:rsid w:val="004A260F"/>
    <w:rsid w:val="004A39F1"/>
    <w:rsid w:val="004A4756"/>
    <w:rsid w:val="004B06B4"/>
    <w:rsid w:val="004B0AE3"/>
    <w:rsid w:val="004B1A81"/>
    <w:rsid w:val="004C0335"/>
    <w:rsid w:val="004C35CB"/>
    <w:rsid w:val="004C538A"/>
    <w:rsid w:val="004D0009"/>
    <w:rsid w:val="004D1AAD"/>
    <w:rsid w:val="004D1E35"/>
    <w:rsid w:val="004D35EB"/>
    <w:rsid w:val="004D4CB9"/>
    <w:rsid w:val="004D5899"/>
    <w:rsid w:val="004D589C"/>
    <w:rsid w:val="004E3B61"/>
    <w:rsid w:val="004E52C1"/>
    <w:rsid w:val="004E7252"/>
    <w:rsid w:val="004E7FE6"/>
    <w:rsid w:val="004F0772"/>
    <w:rsid w:val="004F1543"/>
    <w:rsid w:val="004F31A6"/>
    <w:rsid w:val="0050007A"/>
    <w:rsid w:val="005010CE"/>
    <w:rsid w:val="005023DF"/>
    <w:rsid w:val="0050409F"/>
    <w:rsid w:val="00505B49"/>
    <w:rsid w:val="005073F3"/>
    <w:rsid w:val="0050755D"/>
    <w:rsid w:val="005077DB"/>
    <w:rsid w:val="0050791F"/>
    <w:rsid w:val="00517B7D"/>
    <w:rsid w:val="00517BAF"/>
    <w:rsid w:val="00520A3B"/>
    <w:rsid w:val="00520F63"/>
    <w:rsid w:val="00522378"/>
    <w:rsid w:val="00522DC4"/>
    <w:rsid w:val="00523010"/>
    <w:rsid w:val="005243BB"/>
    <w:rsid w:val="005268F6"/>
    <w:rsid w:val="00526B95"/>
    <w:rsid w:val="005303D4"/>
    <w:rsid w:val="00530A50"/>
    <w:rsid w:val="005378D6"/>
    <w:rsid w:val="005448DB"/>
    <w:rsid w:val="00550EAF"/>
    <w:rsid w:val="00551DA3"/>
    <w:rsid w:val="00551FAE"/>
    <w:rsid w:val="00552E08"/>
    <w:rsid w:val="00554A1A"/>
    <w:rsid w:val="00554CC1"/>
    <w:rsid w:val="00557110"/>
    <w:rsid w:val="0056117A"/>
    <w:rsid w:val="005612FD"/>
    <w:rsid w:val="005613CC"/>
    <w:rsid w:val="0056613D"/>
    <w:rsid w:val="00566180"/>
    <w:rsid w:val="005745D6"/>
    <w:rsid w:val="0058058F"/>
    <w:rsid w:val="00581610"/>
    <w:rsid w:val="005903C5"/>
    <w:rsid w:val="0059306B"/>
    <w:rsid w:val="005951B8"/>
    <w:rsid w:val="005961FF"/>
    <w:rsid w:val="005A132F"/>
    <w:rsid w:val="005A1EB5"/>
    <w:rsid w:val="005A2DE4"/>
    <w:rsid w:val="005A42E8"/>
    <w:rsid w:val="005A7069"/>
    <w:rsid w:val="005A7AB7"/>
    <w:rsid w:val="005B1D08"/>
    <w:rsid w:val="005B39DB"/>
    <w:rsid w:val="005B43BD"/>
    <w:rsid w:val="005C0EDC"/>
    <w:rsid w:val="005C2186"/>
    <w:rsid w:val="005D447E"/>
    <w:rsid w:val="005D50B2"/>
    <w:rsid w:val="005D5CDE"/>
    <w:rsid w:val="005E12F9"/>
    <w:rsid w:val="005E3681"/>
    <w:rsid w:val="005F12AE"/>
    <w:rsid w:val="005F13D1"/>
    <w:rsid w:val="005F36FE"/>
    <w:rsid w:val="005F5271"/>
    <w:rsid w:val="005F5E75"/>
    <w:rsid w:val="005F5EAB"/>
    <w:rsid w:val="0060053B"/>
    <w:rsid w:val="006020D7"/>
    <w:rsid w:val="006024CE"/>
    <w:rsid w:val="00602FAC"/>
    <w:rsid w:val="006061B3"/>
    <w:rsid w:val="006168FB"/>
    <w:rsid w:val="00617AFD"/>
    <w:rsid w:val="006256A8"/>
    <w:rsid w:val="0062776D"/>
    <w:rsid w:val="006329C3"/>
    <w:rsid w:val="0063582A"/>
    <w:rsid w:val="00640BE1"/>
    <w:rsid w:val="0064104F"/>
    <w:rsid w:val="0064490C"/>
    <w:rsid w:val="00657878"/>
    <w:rsid w:val="00661250"/>
    <w:rsid w:val="00663FD5"/>
    <w:rsid w:val="00664A4B"/>
    <w:rsid w:val="00667E9B"/>
    <w:rsid w:val="00681BC7"/>
    <w:rsid w:val="0068274F"/>
    <w:rsid w:val="006867E9"/>
    <w:rsid w:val="00692DCC"/>
    <w:rsid w:val="00696351"/>
    <w:rsid w:val="006A58D6"/>
    <w:rsid w:val="006A626E"/>
    <w:rsid w:val="006A62A4"/>
    <w:rsid w:val="006A6DAF"/>
    <w:rsid w:val="006B00EC"/>
    <w:rsid w:val="006B65DD"/>
    <w:rsid w:val="006C00E0"/>
    <w:rsid w:val="006C2FF2"/>
    <w:rsid w:val="006C3127"/>
    <w:rsid w:val="006C43C9"/>
    <w:rsid w:val="006D63B6"/>
    <w:rsid w:val="006D79BC"/>
    <w:rsid w:val="006E0C1B"/>
    <w:rsid w:val="006E6931"/>
    <w:rsid w:val="006F2E2E"/>
    <w:rsid w:val="006F56E9"/>
    <w:rsid w:val="006F67CA"/>
    <w:rsid w:val="006F6DB5"/>
    <w:rsid w:val="00702381"/>
    <w:rsid w:val="00705F9B"/>
    <w:rsid w:val="007100AA"/>
    <w:rsid w:val="0071286C"/>
    <w:rsid w:val="0071557D"/>
    <w:rsid w:val="00722DD3"/>
    <w:rsid w:val="00725F86"/>
    <w:rsid w:val="00737876"/>
    <w:rsid w:val="00737DDE"/>
    <w:rsid w:val="00740757"/>
    <w:rsid w:val="007420D7"/>
    <w:rsid w:val="007421B9"/>
    <w:rsid w:val="007439F6"/>
    <w:rsid w:val="00746F0E"/>
    <w:rsid w:val="0075072D"/>
    <w:rsid w:val="007507DF"/>
    <w:rsid w:val="00754473"/>
    <w:rsid w:val="00754537"/>
    <w:rsid w:val="007562D4"/>
    <w:rsid w:val="00760748"/>
    <w:rsid w:val="00761110"/>
    <w:rsid w:val="0076134A"/>
    <w:rsid w:val="0076213A"/>
    <w:rsid w:val="00762734"/>
    <w:rsid w:val="00763DC4"/>
    <w:rsid w:val="00764BBD"/>
    <w:rsid w:val="00766EF6"/>
    <w:rsid w:val="0077332D"/>
    <w:rsid w:val="00775D40"/>
    <w:rsid w:val="007809F8"/>
    <w:rsid w:val="00782257"/>
    <w:rsid w:val="00783DB5"/>
    <w:rsid w:val="00786071"/>
    <w:rsid w:val="007A0697"/>
    <w:rsid w:val="007A07A9"/>
    <w:rsid w:val="007A473A"/>
    <w:rsid w:val="007A4E8B"/>
    <w:rsid w:val="007A68F7"/>
    <w:rsid w:val="007A6975"/>
    <w:rsid w:val="007A6977"/>
    <w:rsid w:val="007B15F0"/>
    <w:rsid w:val="007B2AA5"/>
    <w:rsid w:val="007B3608"/>
    <w:rsid w:val="007B7550"/>
    <w:rsid w:val="007C5AC4"/>
    <w:rsid w:val="007C723A"/>
    <w:rsid w:val="007C7B2C"/>
    <w:rsid w:val="007D06FD"/>
    <w:rsid w:val="007D0D1A"/>
    <w:rsid w:val="007D1AFB"/>
    <w:rsid w:val="007D36B7"/>
    <w:rsid w:val="007D3A2A"/>
    <w:rsid w:val="007D7361"/>
    <w:rsid w:val="007D7463"/>
    <w:rsid w:val="007E2B5D"/>
    <w:rsid w:val="007E4D6B"/>
    <w:rsid w:val="007E54B8"/>
    <w:rsid w:val="007E5ABE"/>
    <w:rsid w:val="007E65D9"/>
    <w:rsid w:val="007E7CAE"/>
    <w:rsid w:val="007F0031"/>
    <w:rsid w:val="007F2AF5"/>
    <w:rsid w:val="007F4AEC"/>
    <w:rsid w:val="0080247D"/>
    <w:rsid w:val="00802C3F"/>
    <w:rsid w:val="0081122C"/>
    <w:rsid w:val="00812EA1"/>
    <w:rsid w:val="00820B1F"/>
    <w:rsid w:val="00822891"/>
    <w:rsid w:val="008322BD"/>
    <w:rsid w:val="008355FE"/>
    <w:rsid w:val="00836E94"/>
    <w:rsid w:val="00842BE3"/>
    <w:rsid w:val="00843476"/>
    <w:rsid w:val="0084534B"/>
    <w:rsid w:val="00847272"/>
    <w:rsid w:val="008516EA"/>
    <w:rsid w:val="0085394E"/>
    <w:rsid w:val="0086078C"/>
    <w:rsid w:val="008610C0"/>
    <w:rsid w:val="008622A5"/>
    <w:rsid w:val="00865253"/>
    <w:rsid w:val="008660B7"/>
    <w:rsid w:val="00867C3F"/>
    <w:rsid w:val="0087169B"/>
    <w:rsid w:val="008753F7"/>
    <w:rsid w:val="0088102C"/>
    <w:rsid w:val="008825B5"/>
    <w:rsid w:val="00884A36"/>
    <w:rsid w:val="00890E3A"/>
    <w:rsid w:val="00892337"/>
    <w:rsid w:val="00893FBF"/>
    <w:rsid w:val="008949D9"/>
    <w:rsid w:val="008958E4"/>
    <w:rsid w:val="008A099B"/>
    <w:rsid w:val="008A1B5D"/>
    <w:rsid w:val="008A5E9C"/>
    <w:rsid w:val="008A78B3"/>
    <w:rsid w:val="008B1E99"/>
    <w:rsid w:val="008B48D2"/>
    <w:rsid w:val="008B56A9"/>
    <w:rsid w:val="008B749A"/>
    <w:rsid w:val="008C4EE0"/>
    <w:rsid w:val="008C6681"/>
    <w:rsid w:val="008E5BF7"/>
    <w:rsid w:val="008E687E"/>
    <w:rsid w:val="008F5C6C"/>
    <w:rsid w:val="008F71E1"/>
    <w:rsid w:val="00902E85"/>
    <w:rsid w:val="00903576"/>
    <w:rsid w:val="009036DE"/>
    <w:rsid w:val="0090461A"/>
    <w:rsid w:val="009062B6"/>
    <w:rsid w:val="00921D49"/>
    <w:rsid w:val="00923BFB"/>
    <w:rsid w:val="00931183"/>
    <w:rsid w:val="00932048"/>
    <w:rsid w:val="00932216"/>
    <w:rsid w:val="009352D6"/>
    <w:rsid w:val="00942C12"/>
    <w:rsid w:val="00947552"/>
    <w:rsid w:val="009502AD"/>
    <w:rsid w:val="00950CB4"/>
    <w:rsid w:val="009537B0"/>
    <w:rsid w:val="009603D4"/>
    <w:rsid w:val="009616A7"/>
    <w:rsid w:val="00961791"/>
    <w:rsid w:val="00967F13"/>
    <w:rsid w:val="0097105C"/>
    <w:rsid w:val="00974967"/>
    <w:rsid w:val="00976397"/>
    <w:rsid w:val="00981CA7"/>
    <w:rsid w:val="00982566"/>
    <w:rsid w:val="00986392"/>
    <w:rsid w:val="0099190B"/>
    <w:rsid w:val="0099208D"/>
    <w:rsid w:val="0099425B"/>
    <w:rsid w:val="00994EBF"/>
    <w:rsid w:val="009952A4"/>
    <w:rsid w:val="009965EE"/>
    <w:rsid w:val="009A0927"/>
    <w:rsid w:val="009A096B"/>
    <w:rsid w:val="009A2167"/>
    <w:rsid w:val="009A24FC"/>
    <w:rsid w:val="009A58A5"/>
    <w:rsid w:val="009B0E30"/>
    <w:rsid w:val="009B0F23"/>
    <w:rsid w:val="009B2094"/>
    <w:rsid w:val="009B4243"/>
    <w:rsid w:val="009C3878"/>
    <w:rsid w:val="009C4559"/>
    <w:rsid w:val="009C68F5"/>
    <w:rsid w:val="009D5E15"/>
    <w:rsid w:val="009D65CD"/>
    <w:rsid w:val="009E2A0B"/>
    <w:rsid w:val="009E3D2B"/>
    <w:rsid w:val="009E60DE"/>
    <w:rsid w:val="009F16CE"/>
    <w:rsid w:val="009F32CC"/>
    <w:rsid w:val="009F674A"/>
    <w:rsid w:val="009F7980"/>
    <w:rsid w:val="00A00895"/>
    <w:rsid w:val="00A019A1"/>
    <w:rsid w:val="00A0245F"/>
    <w:rsid w:val="00A04647"/>
    <w:rsid w:val="00A075A1"/>
    <w:rsid w:val="00A102FF"/>
    <w:rsid w:val="00A10BAB"/>
    <w:rsid w:val="00A17CAF"/>
    <w:rsid w:val="00A26C29"/>
    <w:rsid w:val="00A27748"/>
    <w:rsid w:val="00A27A52"/>
    <w:rsid w:val="00A30898"/>
    <w:rsid w:val="00A30E09"/>
    <w:rsid w:val="00A33EA0"/>
    <w:rsid w:val="00A35837"/>
    <w:rsid w:val="00A422E4"/>
    <w:rsid w:val="00A47533"/>
    <w:rsid w:val="00A520D0"/>
    <w:rsid w:val="00A54CEE"/>
    <w:rsid w:val="00A54FB0"/>
    <w:rsid w:val="00A56675"/>
    <w:rsid w:val="00A56D63"/>
    <w:rsid w:val="00A57B88"/>
    <w:rsid w:val="00A602A9"/>
    <w:rsid w:val="00A61A7F"/>
    <w:rsid w:val="00A62F62"/>
    <w:rsid w:val="00A63C62"/>
    <w:rsid w:val="00A6422F"/>
    <w:rsid w:val="00A709E2"/>
    <w:rsid w:val="00A7473A"/>
    <w:rsid w:val="00A76F0F"/>
    <w:rsid w:val="00A80F79"/>
    <w:rsid w:val="00A814F3"/>
    <w:rsid w:val="00A86715"/>
    <w:rsid w:val="00A92CD7"/>
    <w:rsid w:val="00A96EA7"/>
    <w:rsid w:val="00AA7973"/>
    <w:rsid w:val="00AA7D20"/>
    <w:rsid w:val="00AB290B"/>
    <w:rsid w:val="00AB3A94"/>
    <w:rsid w:val="00AB4D0F"/>
    <w:rsid w:val="00AB60CC"/>
    <w:rsid w:val="00AB6B49"/>
    <w:rsid w:val="00AB7B9E"/>
    <w:rsid w:val="00AB7BF4"/>
    <w:rsid w:val="00AC0296"/>
    <w:rsid w:val="00AC06EE"/>
    <w:rsid w:val="00AC1645"/>
    <w:rsid w:val="00AC59F8"/>
    <w:rsid w:val="00AD043D"/>
    <w:rsid w:val="00AD08A8"/>
    <w:rsid w:val="00AD2E56"/>
    <w:rsid w:val="00AD3FD8"/>
    <w:rsid w:val="00AE05F4"/>
    <w:rsid w:val="00AE06FB"/>
    <w:rsid w:val="00AE2307"/>
    <w:rsid w:val="00AE3607"/>
    <w:rsid w:val="00AF0696"/>
    <w:rsid w:val="00AF2A39"/>
    <w:rsid w:val="00AF6DE8"/>
    <w:rsid w:val="00B02947"/>
    <w:rsid w:val="00B035AE"/>
    <w:rsid w:val="00B03D6B"/>
    <w:rsid w:val="00B06C42"/>
    <w:rsid w:val="00B14F20"/>
    <w:rsid w:val="00B17D84"/>
    <w:rsid w:val="00B27A65"/>
    <w:rsid w:val="00B27F1C"/>
    <w:rsid w:val="00B34ECA"/>
    <w:rsid w:val="00B37A5A"/>
    <w:rsid w:val="00B416BE"/>
    <w:rsid w:val="00B4491B"/>
    <w:rsid w:val="00B45981"/>
    <w:rsid w:val="00B47CE8"/>
    <w:rsid w:val="00B50F49"/>
    <w:rsid w:val="00B52FC7"/>
    <w:rsid w:val="00B61675"/>
    <w:rsid w:val="00B636F7"/>
    <w:rsid w:val="00B640F5"/>
    <w:rsid w:val="00B65DD7"/>
    <w:rsid w:val="00B75BF4"/>
    <w:rsid w:val="00B768DB"/>
    <w:rsid w:val="00B81DA7"/>
    <w:rsid w:val="00B84321"/>
    <w:rsid w:val="00B85CA3"/>
    <w:rsid w:val="00B871B0"/>
    <w:rsid w:val="00B917A5"/>
    <w:rsid w:val="00B927D9"/>
    <w:rsid w:val="00B94787"/>
    <w:rsid w:val="00B9643B"/>
    <w:rsid w:val="00B96761"/>
    <w:rsid w:val="00BA1CF6"/>
    <w:rsid w:val="00BB0EB4"/>
    <w:rsid w:val="00BB1AEB"/>
    <w:rsid w:val="00BB417C"/>
    <w:rsid w:val="00BB75F8"/>
    <w:rsid w:val="00BC2387"/>
    <w:rsid w:val="00BC3215"/>
    <w:rsid w:val="00BC334F"/>
    <w:rsid w:val="00BC48FC"/>
    <w:rsid w:val="00BD200A"/>
    <w:rsid w:val="00BD37F3"/>
    <w:rsid w:val="00BD3C40"/>
    <w:rsid w:val="00BD5FA2"/>
    <w:rsid w:val="00BE1413"/>
    <w:rsid w:val="00BE1FF0"/>
    <w:rsid w:val="00BE2A58"/>
    <w:rsid w:val="00BE4ABE"/>
    <w:rsid w:val="00BE67EC"/>
    <w:rsid w:val="00BF35CD"/>
    <w:rsid w:val="00BF40FF"/>
    <w:rsid w:val="00BF417F"/>
    <w:rsid w:val="00BF5F30"/>
    <w:rsid w:val="00BF5F54"/>
    <w:rsid w:val="00C0101B"/>
    <w:rsid w:val="00C02F78"/>
    <w:rsid w:val="00C0631D"/>
    <w:rsid w:val="00C07100"/>
    <w:rsid w:val="00C0773C"/>
    <w:rsid w:val="00C21E5E"/>
    <w:rsid w:val="00C22865"/>
    <w:rsid w:val="00C228C7"/>
    <w:rsid w:val="00C2382A"/>
    <w:rsid w:val="00C23FFD"/>
    <w:rsid w:val="00C26EAF"/>
    <w:rsid w:val="00C27212"/>
    <w:rsid w:val="00C40BE3"/>
    <w:rsid w:val="00C46248"/>
    <w:rsid w:val="00C47D2E"/>
    <w:rsid w:val="00C50B21"/>
    <w:rsid w:val="00C50FAB"/>
    <w:rsid w:val="00C519BC"/>
    <w:rsid w:val="00C52BF0"/>
    <w:rsid w:val="00C56584"/>
    <w:rsid w:val="00C65106"/>
    <w:rsid w:val="00C6618D"/>
    <w:rsid w:val="00C67E09"/>
    <w:rsid w:val="00C74388"/>
    <w:rsid w:val="00C74704"/>
    <w:rsid w:val="00C748CC"/>
    <w:rsid w:val="00C77405"/>
    <w:rsid w:val="00C81B30"/>
    <w:rsid w:val="00C8386C"/>
    <w:rsid w:val="00C848F1"/>
    <w:rsid w:val="00C848FD"/>
    <w:rsid w:val="00C85D47"/>
    <w:rsid w:val="00C86EA2"/>
    <w:rsid w:val="00C91429"/>
    <w:rsid w:val="00C92128"/>
    <w:rsid w:val="00C93C1E"/>
    <w:rsid w:val="00C95B3F"/>
    <w:rsid w:val="00C96EEB"/>
    <w:rsid w:val="00CA502C"/>
    <w:rsid w:val="00CB03FE"/>
    <w:rsid w:val="00CB3CBF"/>
    <w:rsid w:val="00CC2B6A"/>
    <w:rsid w:val="00CC39E5"/>
    <w:rsid w:val="00CC41F7"/>
    <w:rsid w:val="00CC5582"/>
    <w:rsid w:val="00CC5B05"/>
    <w:rsid w:val="00CD0D32"/>
    <w:rsid w:val="00CD0E2C"/>
    <w:rsid w:val="00CD0E69"/>
    <w:rsid w:val="00CD1FFC"/>
    <w:rsid w:val="00CD487E"/>
    <w:rsid w:val="00CD69D0"/>
    <w:rsid w:val="00CE31EC"/>
    <w:rsid w:val="00CE4264"/>
    <w:rsid w:val="00CE7454"/>
    <w:rsid w:val="00CF0236"/>
    <w:rsid w:val="00CF5532"/>
    <w:rsid w:val="00CF5F35"/>
    <w:rsid w:val="00CF71C5"/>
    <w:rsid w:val="00CF79CF"/>
    <w:rsid w:val="00D13083"/>
    <w:rsid w:val="00D15554"/>
    <w:rsid w:val="00D155D1"/>
    <w:rsid w:val="00D15DBB"/>
    <w:rsid w:val="00D22B38"/>
    <w:rsid w:val="00D23F4D"/>
    <w:rsid w:val="00D26D71"/>
    <w:rsid w:val="00D33C53"/>
    <w:rsid w:val="00D341D6"/>
    <w:rsid w:val="00D40B03"/>
    <w:rsid w:val="00D40D3A"/>
    <w:rsid w:val="00D410FE"/>
    <w:rsid w:val="00D44895"/>
    <w:rsid w:val="00D6223C"/>
    <w:rsid w:val="00D706E0"/>
    <w:rsid w:val="00D72465"/>
    <w:rsid w:val="00D766D8"/>
    <w:rsid w:val="00D828A9"/>
    <w:rsid w:val="00D83C82"/>
    <w:rsid w:val="00D86009"/>
    <w:rsid w:val="00D863D0"/>
    <w:rsid w:val="00D86CE6"/>
    <w:rsid w:val="00D902B2"/>
    <w:rsid w:val="00D90F1A"/>
    <w:rsid w:val="00D92240"/>
    <w:rsid w:val="00D93A7F"/>
    <w:rsid w:val="00D95326"/>
    <w:rsid w:val="00D962A0"/>
    <w:rsid w:val="00D96468"/>
    <w:rsid w:val="00DA2DB5"/>
    <w:rsid w:val="00DA35EC"/>
    <w:rsid w:val="00DA3FCF"/>
    <w:rsid w:val="00DA534C"/>
    <w:rsid w:val="00DB054E"/>
    <w:rsid w:val="00DB277D"/>
    <w:rsid w:val="00DB2D11"/>
    <w:rsid w:val="00DB4D9B"/>
    <w:rsid w:val="00DB7FC5"/>
    <w:rsid w:val="00DC0C75"/>
    <w:rsid w:val="00DC2ADA"/>
    <w:rsid w:val="00DC4EA1"/>
    <w:rsid w:val="00DD14FD"/>
    <w:rsid w:val="00DD23A1"/>
    <w:rsid w:val="00DD4013"/>
    <w:rsid w:val="00DD6BAC"/>
    <w:rsid w:val="00DD798E"/>
    <w:rsid w:val="00DE0232"/>
    <w:rsid w:val="00DE151C"/>
    <w:rsid w:val="00DE3FDE"/>
    <w:rsid w:val="00DE6FEA"/>
    <w:rsid w:val="00DF222C"/>
    <w:rsid w:val="00DF28E2"/>
    <w:rsid w:val="00DF4A0E"/>
    <w:rsid w:val="00DF5343"/>
    <w:rsid w:val="00DF7C05"/>
    <w:rsid w:val="00E009CC"/>
    <w:rsid w:val="00E01AAF"/>
    <w:rsid w:val="00E02765"/>
    <w:rsid w:val="00E11F44"/>
    <w:rsid w:val="00E157E7"/>
    <w:rsid w:val="00E202CA"/>
    <w:rsid w:val="00E25444"/>
    <w:rsid w:val="00E31608"/>
    <w:rsid w:val="00E321EB"/>
    <w:rsid w:val="00E32E47"/>
    <w:rsid w:val="00E34B92"/>
    <w:rsid w:val="00E36793"/>
    <w:rsid w:val="00E37626"/>
    <w:rsid w:val="00E40A50"/>
    <w:rsid w:val="00E42D84"/>
    <w:rsid w:val="00E435EA"/>
    <w:rsid w:val="00E46052"/>
    <w:rsid w:val="00E52D6C"/>
    <w:rsid w:val="00E57B5A"/>
    <w:rsid w:val="00E60BED"/>
    <w:rsid w:val="00E61763"/>
    <w:rsid w:val="00E669D0"/>
    <w:rsid w:val="00E81DD7"/>
    <w:rsid w:val="00E82681"/>
    <w:rsid w:val="00E87C75"/>
    <w:rsid w:val="00E93320"/>
    <w:rsid w:val="00EA17D4"/>
    <w:rsid w:val="00EA363D"/>
    <w:rsid w:val="00EA5981"/>
    <w:rsid w:val="00EB0079"/>
    <w:rsid w:val="00EB2A06"/>
    <w:rsid w:val="00EB7863"/>
    <w:rsid w:val="00EC2A98"/>
    <w:rsid w:val="00EC3DBA"/>
    <w:rsid w:val="00ED2F0E"/>
    <w:rsid w:val="00ED3FE3"/>
    <w:rsid w:val="00EE4A31"/>
    <w:rsid w:val="00EE4E62"/>
    <w:rsid w:val="00EE7E4E"/>
    <w:rsid w:val="00EF3F34"/>
    <w:rsid w:val="00EF4F3E"/>
    <w:rsid w:val="00F00B8F"/>
    <w:rsid w:val="00F04471"/>
    <w:rsid w:val="00F0742C"/>
    <w:rsid w:val="00F116CE"/>
    <w:rsid w:val="00F12325"/>
    <w:rsid w:val="00F17176"/>
    <w:rsid w:val="00F17266"/>
    <w:rsid w:val="00F2193A"/>
    <w:rsid w:val="00F21998"/>
    <w:rsid w:val="00F2469E"/>
    <w:rsid w:val="00F263FE"/>
    <w:rsid w:val="00F26BDE"/>
    <w:rsid w:val="00F34CCB"/>
    <w:rsid w:val="00F50B15"/>
    <w:rsid w:val="00F537AD"/>
    <w:rsid w:val="00F53E2B"/>
    <w:rsid w:val="00F7130C"/>
    <w:rsid w:val="00F71CD9"/>
    <w:rsid w:val="00F74C1C"/>
    <w:rsid w:val="00F822E4"/>
    <w:rsid w:val="00F823CB"/>
    <w:rsid w:val="00F917BC"/>
    <w:rsid w:val="00F93129"/>
    <w:rsid w:val="00F93CB5"/>
    <w:rsid w:val="00F95C21"/>
    <w:rsid w:val="00FA457D"/>
    <w:rsid w:val="00FB53D8"/>
    <w:rsid w:val="00FB6972"/>
    <w:rsid w:val="00FC00DC"/>
    <w:rsid w:val="00FC23AC"/>
    <w:rsid w:val="00FC27BC"/>
    <w:rsid w:val="00FC2A49"/>
    <w:rsid w:val="00FC4866"/>
    <w:rsid w:val="00FC5989"/>
    <w:rsid w:val="00FD37A2"/>
    <w:rsid w:val="00FE05DE"/>
    <w:rsid w:val="00FE38D7"/>
    <w:rsid w:val="00FE50D8"/>
    <w:rsid w:val="00FE5407"/>
    <w:rsid w:val="00FE7DA7"/>
    <w:rsid w:val="00FF2B9D"/>
    <w:rsid w:val="00FF5A44"/>
    <w:rsid w:val="00FF5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E533A"/>
  <w15:docId w15:val="{3F6CB1E9-B762-4A63-95A8-21785785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FC7"/>
    <w:rPr>
      <w:rFonts w:ascii="Times New Roman" w:hAnsi="Times New Roman"/>
    </w:rPr>
  </w:style>
  <w:style w:type="paragraph" w:styleId="Heading1">
    <w:name w:val="heading 1"/>
    <w:basedOn w:val="ListParagraph"/>
    <w:next w:val="Normal"/>
    <w:link w:val="Heading1Char"/>
    <w:uiPriority w:val="9"/>
    <w:qFormat/>
    <w:rsid w:val="00D828A9"/>
    <w:pPr>
      <w:numPr>
        <w:numId w:val="1"/>
      </w:numPr>
      <w:ind w:left="720"/>
      <w:outlineLvl w:val="0"/>
    </w:pPr>
    <w:rPr>
      <w:rFonts w:ascii="Times New Roman Bold" w:hAnsi="Times New Roman Bold"/>
      <w:b/>
      <w:bCs/>
      <w:caps/>
    </w:rPr>
  </w:style>
  <w:style w:type="paragraph" w:styleId="Heading2">
    <w:name w:val="heading 2"/>
    <w:basedOn w:val="ListParagraph"/>
    <w:next w:val="Normal"/>
    <w:link w:val="Heading2Char"/>
    <w:uiPriority w:val="9"/>
    <w:unhideWhenUsed/>
    <w:qFormat/>
    <w:rsid w:val="008C4EE0"/>
    <w:pPr>
      <w:numPr>
        <w:numId w:val="28"/>
      </w:numPr>
      <w:outlineLvl w:val="1"/>
    </w:pPr>
    <w:rPr>
      <w:b/>
      <w:bCs/>
    </w:rPr>
  </w:style>
  <w:style w:type="paragraph" w:styleId="Heading3">
    <w:name w:val="heading 3"/>
    <w:basedOn w:val="ListParagraph"/>
    <w:next w:val="Normal"/>
    <w:link w:val="Heading3Char"/>
    <w:uiPriority w:val="9"/>
    <w:unhideWhenUsed/>
    <w:qFormat/>
    <w:rsid w:val="00197D78"/>
    <w:pPr>
      <w:numPr>
        <w:numId w:val="3"/>
      </w:numPr>
      <w:ind w:hanging="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8A9"/>
    <w:pPr>
      <w:ind w:left="720"/>
      <w:contextualSpacing/>
    </w:pPr>
  </w:style>
  <w:style w:type="character" w:customStyle="1" w:styleId="Heading1Char">
    <w:name w:val="Heading 1 Char"/>
    <w:basedOn w:val="DefaultParagraphFont"/>
    <w:link w:val="Heading1"/>
    <w:uiPriority w:val="9"/>
    <w:rsid w:val="00D828A9"/>
    <w:rPr>
      <w:rFonts w:ascii="Times New Roman Bold" w:hAnsi="Times New Roman Bold"/>
      <w:b/>
      <w:bCs/>
      <w:caps/>
      <w:sz w:val="24"/>
    </w:rPr>
  </w:style>
  <w:style w:type="character" w:customStyle="1" w:styleId="Heading2Char">
    <w:name w:val="Heading 2 Char"/>
    <w:basedOn w:val="DefaultParagraphFont"/>
    <w:link w:val="Heading2"/>
    <w:uiPriority w:val="9"/>
    <w:rsid w:val="008C4EE0"/>
    <w:rPr>
      <w:rFonts w:ascii="Times New Roman" w:hAnsi="Times New Roman"/>
      <w:b/>
      <w:bCs/>
    </w:rPr>
  </w:style>
  <w:style w:type="character" w:customStyle="1" w:styleId="Heading3Char">
    <w:name w:val="Heading 3 Char"/>
    <w:basedOn w:val="DefaultParagraphFont"/>
    <w:link w:val="Heading3"/>
    <w:uiPriority w:val="9"/>
    <w:rsid w:val="00197D78"/>
    <w:rPr>
      <w:rFonts w:ascii="Times New Roman" w:hAnsi="Times New Roman"/>
      <w:b/>
      <w:bCs/>
    </w:rPr>
  </w:style>
  <w:style w:type="numbering" w:customStyle="1" w:styleId="Style1">
    <w:name w:val="Style1"/>
    <w:uiPriority w:val="99"/>
    <w:rsid w:val="00D828A9"/>
    <w:pPr>
      <w:numPr>
        <w:numId w:val="5"/>
      </w:numPr>
    </w:pPr>
  </w:style>
  <w:style w:type="paragraph" w:styleId="Header">
    <w:name w:val="header"/>
    <w:basedOn w:val="Normal"/>
    <w:link w:val="HeaderChar"/>
    <w:uiPriority w:val="99"/>
    <w:unhideWhenUsed/>
    <w:rsid w:val="00E60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BED"/>
    <w:rPr>
      <w:rFonts w:ascii="Times New Roman" w:hAnsi="Times New Roman"/>
      <w:sz w:val="24"/>
    </w:rPr>
  </w:style>
  <w:style w:type="paragraph" w:styleId="Footer">
    <w:name w:val="footer"/>
    <w:basedOn w:val="Normal"/>
    <w:link w:val="FooterChar"/>
    <w:uiPriority w:val="99"/>
    <w:unhideWhenUsed/>
    <w:rsid w:val="00E60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BED"/>
    <w:rPr>
      <w:rFonts w:ascii="Times New Roman" w:hAnsi="Times New Roman"/>
      <w:sz w:val="24"/>
    </w:rPr>
  </w:style>
  <w:style w:type="paragraph" w:styleId="TOCHeading">
    <w:name w:val="TOC Heading"/>
    <w:basedOn w:val="Heading1"/>
    <w:next w:val="Normal"/>
    <w:uiPriority w:val="39"/>
    <w:unhideWhenUsed/>
    <w:qFormat/>
    <w:rsid w:val="0023426D"/>
    <w:pPr>
      <w:keepNext/>
      <w:keepLines/>
      <w:numPr>
        <w:numId w:val="0"/>
      </w:numPr>
      <w:spacing w:before="240" w:after="0"/>
      <w:contextualSpacing w:val="0"/>
      <w:outlineLvl w:val="9"/>
    </w:pPr>
    <w:rPr>
      <w:rFonts w:asciiTheme="majorHAnsi" w:eastAsiaTheme="majorEastAsia" w:hAnsiTheme="majorHAnsi" w:cstheme="majorBidi"/>
      <w:b w:val="0"/>
      <w:bCs w:val="0"/>
      <w:caps w:val="0"/>
      <w:color w:val="2F5496" w:themeColor="accent1" w:themeShade="BF"/>
      <w:kern w:val="0"/>
      <w:sz w:val="32"/>
      <w:szCs w:val="32"/>
      <w:lang w:eastAsia="en-US"/>
      <w14:ligatures w14:val="none"/>
    </w:rPr>
  </w:style>
  <w:style w:type="paragraph" w:styleId="TOC1">
    <w:name w:val="toc 1"/>
    <w:basedOn w:val="Normal"/>
    <w:next w:val="Normal"/>
    <w:autoRedefine/>
    <w:uiPriority w:val="39"/>
    <w:unhideWhenUsed/>
    <w:rsid w:val="00281F49"/>
    <w:pPr>
      <w:tabs>
        <w:tab w:val="left" w:pos="540"/>
        <w:tab w:val="right" w:leader="dot" w:pos="9350"/>
      </w:tabs>
      <w:spacing w:after="100"/>
      <w:ind w:left="540" w:hanging="540"/>
    </w:pPr>
    <w:rPr>
      <w:b/>
    </w:rPr>
  </w:style>
  <w:style w:type="paragraph" w:styleId="TOC2">
    <w:name w:val="toc 2"/>
    <w:basedOn w:val="Normal"/>
    <w:next w:val="Normal"/>
    <w:autoRedefine/>
    <w:uiPriority w:val="39"/>
    <w:unhideWhenUsed/>
    <w:rsid w:val="00281F49"/>
    <w:pPr>
      <w:tabs>
        <w:tab w:val="left" w:pos="900"/>
        <w:tab w:val="right" w:leader="dot" w:pos="9350"/>
      </w:tabs>
      <w:spacing w:after="100"/>
      <w:ind w:left="900" w:hanging="540"/>
    </w:pPr>
  </w:style>
  <w:style w:type="paragraph" w:styleId="TOC3">
    <w:name w:val="toc 3"/>
    <w:basedOn w:val="Normal"/>
    <w:next w:val="Normal"/>
    <w:autoRedefine/>
    <w:uiPriority w:val="39"/>
    <w:unhideWhenUsed/>
    <w:rsid w:val="0023426D"/>
    <w:pPr>
      <w:spacing w:after="100"/>
      <w:ind w:left="480"/>
    </w:pPr>
  </w:style>
  <w:style w:type="character" w:styleId="Hyperlink">
    <w:name w:val="Hyperlink"/>
    <w:basedOn w:val="DefaultParagraphFont"/>
    <w:uiPriority w:val="99"/>
    <w:unhideWhenUsed/>
    <w:rsid w:val="0023426D"/>
    <w:rPr>
      <w:color w:val="0563C1" w:themeColor="hyperlink"/>
      <w:u w:val="single"/>
    </w:rPr>
  </w:style>
  <w:style w:type="paragraph" w:styleId="FootnoteText">
    <w:name w:val="footnote text"/>
    <w:aliases w:val="~FootnoteText,Footnote Text Char Char Char,Footnote Text Char Char Char Char Char,Footnote Text Char Char1 Char,Footnote Text Char1 Char,Footnote Text Char1 Char Char Char,fn Char Char Char,fn Char Char Char Char Char"/>
    <w:basedOn w:val="Normal"/>
    <w:link w:val="FootnoteTextChar"/>
    <w:uiPriority w:val="99"/>
    <w:qFormat/>
    <w:rsid w:val="00BF5F54"/>
    <w:pPr>
      <w:keepLines/>
      <w:widowControl w:val="0"/>
      <w:spacing w:after="0" w:line="240" w:lineRule="auto"/>
      <w:jc w:val="both"/>
    </w:pPr>
    <w:rPr>
      <w:rFonts w:eastAsiaTheme="minorHAnsi" w:cs="Times New Roman"/>
      <w:kern w:val="0"/>
      <w:sz w:val="18"/>
      <w:szCs w:val="18"/>
      <w:lang w:eastAsia="en-US"/>
      <w14:ligatures w14:val="none"/>
    </w:rPr>
  </w:style>
  <w:style w:type="character" w:customStyle="1" w:styleId="FootnoteTextChar">
    <w:name w:val="Footnote Text Char"/>
    <w:aliases w:val="~FootnoteText Char,Footnote Text Char Char Char Char,Footnote Text Char Char Char Char Char Char,Footnote Text Char Char1 Char Char,Footnote Text Char1 Char Char,Footnote Text Char1 Char Char Char Char,fn Char Char Char Char"/>
    <w:basedOn w:val="DefaultParagraphFont"/>
    <w:link w:val="FootnoteText"/>
    <w:uiPriority w:val="99"/>
    <w:rsid w:val="00BF5F54"/>
    <w:rPr>
      <w:rFonts w:ascii="Times New Roman" w:eastAsiaTheme="minorHAnsi" w:hAnsi="Times New Roman" w:cs="Times New Roman"/>
      <w:kern w:val="0"/>
      <w:sz w:val="18"/>
      <w:szCs w:val="18"/>
      <w:lang w:eastAsia="en-US"/>
      <w14:ligatures w14:val="none"/>
    </w:rPr>
  </w:style>
  <w:style w:type="character" w:styleId="FootnoteReference">
    <w:name w:val="footnote reference"/>
    <w:aliases w:val="~FootnoteReference"/>
    <w:basedOn w:val="DefaultParagraphFont"/>
    <w:uiPriority w:val="99"/>
    <w:unhideWhenUsed/>
    <w:rsid w:val="0023426D"/>
    <w:rPr>
      <w:vertAlign w:val="superscript"/>
    </w:rPr>
  </w:style>
  <w:style w:type="character" w:customStyle="1" w:styleId="Style1Char">
    <w:name w:val="Style1 Char"/>
    <w:basedOn w:val="DefaultParagraphFont"/>
    <w:rsid w:val="0023426D"/>
    <w:rPr>
      <w:rFonts w:ascii="Times New Roman" w:eastAsia="Times New Roman" w:hAnsi="Times New Roman" w:cs="Times New Roman"/>
      <w:sz w:val="24"/>
      <w:szCs w:val="24"/>
      <w:lang w:val="en-GB"/>
    </w:rPr>
  </w:style>
  <w:style w:type="paragraph" w:styleId="Revision">
    <w:name w:val="Revision"/>
    <w:hidden/>
    <w:uiPriority w:val="99"/>
    <w:semiHidden/>
    <w:rsid w:val="00FE5407"/>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212D73"/>
    <w:rPr>
      <w:sz w:val="16"/>
      <w:szCs w:val="16"/>
    </w:rPr>
  </w:style>
  <w:style w:type="paragraph" w:styleId="CommentText">
    <w:name w:val="annotation text"/>
    <w:basedOn w:val="Normal"/>
    <w:link w:val="CommentTextChar"/>
    <w:uiPriority w:val="99"/>
    <w:unhideWhenUsed/>
    <w:rsid w:val="00212D73"/>
    <w:pPr>
      <w:spacing w:line="240" w:lineRule="auto"/>
    </w:pPr>
    <w:rPr>
      <w:sz w:val="20"/>
      <w:szCs w:val="20"/>
    </w:rPr>
  </w:style>
  <w:style w:type="character" w:customStyle="1" w:styleId="CommentTextChar">
    <w:name w:val="Comment Text Char"/>
    <w:basedOn w:val="DefaultParagraphFont"/>
    <w:link w:val="CommentText"/>
    <w:uiPriority w:val="99"/>
    <w:rsid w:val="00212D7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2D73"/>
    <w:rPr>
      <w:b/>
      <w:bCs/>
    </w:rPr>
  </w:style>
  <w:style w:type="character" w:customStyle="1" w:styleId="CommentSubjectChar">
    <w:name w:val="Comment Subject Char"/>
    <w:basedOn w:val="CommentTextChar"/>
    <w:link w:val="CommentSubject"/>
    <w:uiPriority w:val="99"/>
    <w:semiHidden/>
    <w:rsid w:val="00212D73"/>
    <w:rPr>
      <w:rFonts w:ascii="Times New Roman" w:hAnsi="Times New Roman"/>
      <w:b/>
      <w:bCs/>
      <w:sz w:val="20"/>
      <w:szCs w:val="20"/>
    </w:rPr>
  </w:style>
  <w:style w:type="paragraph" w:styleId="NoSpacing">
    <w:name w:val="No Spacing"/>
    <w:uiPriority w:val="1"/>
    <w:qFormat/>
    <w:rsid w:val="000224C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7439F6"/>
    <w:rPr>
      <w:color w:val="605E5C"/>
      <w:shd w:val="clear" w:color="auto" w:fill="E1DFDD"/>
    </w:rPr>
  </w:style>
  <w:style w:type="paragraph" w:styleId="Caption">
    <w:name w:val="caption"/>
    <w:basedOn w:val="Normal"/>
    <w:next w:val="Normal"/>
    <w:uiPriority w:val="35"/>
    <w:unhideWhenUsed/>
    <w:qFormat/>
    <w:rsid w:val="00B52FC7"/>
    <w:pPr>
      <w:spacing w:after="200" w:line="240" w:lineRule="auto"/>
    </w:pPr>
    <w:rPr>
      <w:b/>
      <w:iCs/>
      <w:szCs w:val="18"/>
    </w:rPr>
  </w:style>
  <w:style w:type="paragraph" w:customStyle="1" w:styleId="StyleCentered">
    <w:name w:val="Style Centered"/>
    <w:basedOn w:val="Normal"/>
    <w:rsid w:val="006867E9"/>
    <w:pPr>
      <w:jc w:val="center"/>
    </w:pPr>
    <w:rPr>
      <w:rFonts w:cs="Times New Roman"/>
      <w:b/>
      <w:szCs w:val="20"/>
    </w:rPr>
  </w:style>
  <w:style w:type="character" w:customStyle="1" w:styleId="ui-provider">
    <w:name w:val="ui-provider"/>
    <w:basedOn w:val="DefaultParagraphFont"/>
    <w:rsid w:val="00522378"/>
  </w:style>
  <w:style w:type="paragraph" w:styleId="TableofFigures">
    <w:name w:val="table of figures"/>
    <w:basedOn w:val="Normal"/>
    <w:next w:val="Normal"/>
    <w:uiPriority w:val="99"/>
    <w:unhideWhenUsed/>
    <w:rsid w:val="00F93CB5"/>
    <w:pPr>
      <w:spacing w:after="0"/>
    </w:pPr>
  </w:style>
  <w:style w:type="character" w:styleId="FollowedHyperlink">
    <w:name w:val="FollowedHyperlink"/>
    <w:basedOn w:val="DefaultParagraphFont"/>
    <w:uiPriority w:val="99"/>
    <w:semiHidden/>
    <w:unhideWhenUsed/>
    <w:rsid w:val="00174287"/>
    <w:rPr>
      <w:color w:val="954F72" w:themeColor="followedHyperlink"/>
      <w:u w:val="single"/>
    </w:rPr>
  </w:style>
  <w:style w:type="table" w:styleId="TableGrid">
    <w:name w:val="Table Grid"/>
    <w:basedOn w:val="TableNormal"/>
    <w:uiPriority w:val="39"/>
    <w:rsid w:val="00C85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640">
      <w:bodyDiv w:val="1"/>
      <w:marLeft w:val="0"/>
      <w:marRight w:val="0"/>
      <w:marTop w:val="0"/>
      <w:marBottom w:val="0"/>
      <w:divBdr>
        <w:top w:val="none" w:sz="0" w:space="0" w:color="auto"/>
        <w:left w:val="none" w:sz="0" w:space="0" w:color="auto"/>
        <w:bottom w:val="none" w:sz="0" w:space="0" w:color="auto"/>
        <w:right w:val="none" w:sz="0" w:space="0" w:color="auto"/>
      </w:divBdr>
    </w:div>
    <w:div w:id="26680300">
      <w:bodyDiv w:val="1"/>
      <w:marLeft w:val="0"/>
      <w:marRight w:val="0"/>
      <w:marTop w:val="0"/>
      <w:marBottom w:val="0"/>
      <w:divBdr>
        <w:top w:val="none" w:sz="0" w:space="0" w:color="auto"/>
        <w:left w:val="none" w:sz="0" w:space="0" w:color="auto"/>
        <w:bottom w:val="none" w:sz="0" w:space="0" w:color="auto"/>
        <w:right w:val="none" w:sz="0" w:space="0" w:color="auto"/>
      </w:divBdr>
    </w:div>
    <w:div w:id="44571423">
      <w:bodyDiv w:val="1"/>
      <w:marLeft w:val="0"/>
      <w:marRight w:val="0"/>
      <w:marTop w:val="0"/>
      <w:marBottom w:val="0"/>
      <w:divBdr>
        <w:top w:val="none" w:sz="0" w:space="0" w:color="auto"/>
        <w:left w:val="none" w:sz="0" w:space="0" w:color="auto"/>
        <w:bottom w:val="none" w:sz="0" w:space="0" w:color="auto"/>
        <w:right w:val="none" w:sz="0" w:space="0" w:color="auto"/>
      </w:divBdr>
    </w:div>
    <w:div w:id="154565619">
      <w:bodyDiv w:val="1"/>
      <w:marLeft w:val="0"/>
      <w:marRight w:val="0"/>
      <w:marTop w:val="0"/>
      <w:marBottom w:val="0"/>
      <w:divBdr>
        <w:top w:val="none" w:sz="0" w:space="0" w:color="auto"/>
        <w:left w:val="none" w:sz="0" w:space="0" w:color="auto"/>
        <w:bottom w:val="none" w:sz="0" w:space="0" w:color="auto"/>
        <w:right w:val="none" w:sz="0" w:space="0" w:color="auto"/>
      </w:divBdr>
    </w:div>
    <w:div w:id="159275661">
      <w:bodyDiv w:val="1"/>
      <w:marLeft w:val="0"/>
      <w:marRight w:val="0"/>
      <w:marTop w:val="0"/>
      <w:marBottom w:val="0"/>
      <w:divBdr>
        <w:top w:val="none" w:sz="0" w:space="0" w:color="auto"/>
        <w:left w:val="none" w:sz="0" w:space="0" w:color="auto"/>
        <w:bottom w:val="none" w:sz="0" w:space="0" w:color="auto"/>
        <w:right w:val="none" w:sz="0" w:space="0" w:color="auto"/>
      </w:divBdr>
    </w:div>
    <w:div w:id="196047205">
      <w:bodyDiv w:val="1"/>
      <w:marLeft w:val="0"/>
      <w:marRight w:val="0"/>
      <w:marTop w:val="0"/>
      <w:marBottom w:val="0"/>
      <w:divBdr>
        <w:top w:val="none" w:sz="0" w:space="0" w:color="auto"/>
        <w:left w:val="none" w:sz="0" w:space="0" w:color="auto"/>
        <w:bottom w:val="none" w:sz="0" w:space="0" w:color="auto"/>
        <w:right w:val="none" w:sz="0" w:space="0" w:color="auto"/>
      </w:divBdr>
    </w:div>
    <w:div w:id="248007566">
      <w:bodyDiv w:val="1"/>
      <w:marLeft w:val="0"/>
      <w:marRight w:val="0"/>
      <w:marTop w:val="0"/>
      <w:marBottom w:val="0"/>
      <w:divBdr>
        <w:top w:val="none" w:sz="0" w:space="0" w:color="auto"/>
        <w:left w:val="none" w:sz="0" w:space="0" w:color="auto"/>
        <w:bottom w:val="none" w:sz="0" w:space="0" w:color="auto"/>
        <w:right w:val="none" w:sz="0" w:space="0" w:color="auto"/>
      </w:divBdr>
    </w:div>
    <w:div w:id="279343676">
      <w:bodyDiv w:val="1"/>
      <w:marLeft w:val="0"/>
      <w:marRight w:val="0"/>
      <w:marTop w:val="0"/>
      <w:marBottom w:val="0"/>
      <w:divBdr>
        <w:top w:val="none" w:sz="0" w:space="0" w:color="auto"/>
        <w:left w:val="none" w:sz="0" w:space="0" w:color="auto"/>
        <w:bottom w:val="none" w:sz="0" w:space="0" w:color="auto"/>
        <w:right w:val="none" w:sz="0" w:space="0" w:color="auto"/>
      </w:divBdr>
    </w:div>
    <w:div w:id="335427839">
      <w:bodyDiv w:val="1"/>
      <w:marLeft w:val="0"/>
      <w:marRight w:val="0"/>
      <w:marTop w:val="0"/>
      <w:marBottom w:val="0"/>
      <w:divBdr>
        <w:top w:val="none" w:sz="0" w:space="0" w:color="auto"/>
        <w:left w:val="none" w:sz="0" w:space="0" w:color="auto"/>
        <w:bottom w:val="none" w:sz="0" w:space="0" w:color="auto"/>
        <w:right w:val="none" w:sz="0" w:space="0" w:color="auto"/>
      </w:divBdr>
    </w:div>
    <w:div w:id="341856733">
      <w:bodyDiv w:val="1"/>
      <w:marLeft w:val="0"/>
      <w:marRight w:val="0"/>
      <w:marTop w:val="0"/>
      <w:marBottom w:val="0"/>
      <w:divBdr>
        <w:top w:val="none" w:sz="0" w:space="0" w:color="auto"/>
        <w:left w:val="none" w:sz="0" w:space="0" w:color="auto"/>
        <w:bottom w:val="none" w:sz="0" w:space="0" w:color="auto"/>
        <w:right w:val="none" w:sz="0" w:space="0" w:color="auto"/>
      </w:divBdr>
    </w:div>
    <w:div w:id="372967163">
      <w:bodyDiv w:val="1"/>
      <w:marLeft w:val="0"/>
      <w:marRight w:val="0"/>
      <w:marTop w:val="0"/>
      <w:marBottom w:val="0"/>
      <w:divBdr>
        <w:top w:val="none" w:sz="0" w:space="0" w:color="auto"/>
        <w:left w:val="none" w:sz="0" w:space="0" w:color="auto"/>
        <w:bottom w:val="none" w:sz="0" w:space="0" w:color="auto"/>
        <w:right w:val="none" w:sz="0" w:space="0" w:color="auto"/>
      </w:divBdr>
    </w:div>
    <w:div w:id="402291455">
      <w:bodyDiv w:val="1"/>
      <w:marLeft w:val="0"/>
      <w:marRight w:val="0"/>
      <w:marTop w:val="0"/>
      <w:marBottom w:val="0"/>
      <w:divBdr>
        <w:top w:val="none" w:sz="0" w:space="0" w:color="auto"/>
        <w:left w:val="none" w:sz="0" w:space="0" w:color="auto"/>
        <w:bottom w:val="none" w:sz="0" w:space="0" w:color="auto"/>
        <w:right w:val="none" w:sz="0" w:space="0" w:color="auto"/>
      </w:divBdr>
    </w:div>
    <w:div w:id="497501419">
      <w:bodyDiv w:val="1"/>
      <w:marLeft w:val="0"/>
      <w:marRight w:val="0"/>
      <w:marTop w:val="0"/>
      <w:marBottom w:val="0"/>
      <w:divBdr>
        <w:top w:val="none" w:sz="0" w:space="0" w:color="auto"/>
        <w:left w:val="none" w:sz="0" w:space="0" w:color="auto"/>
        <w:bottom w:val="none" w:sz="0" w:space="0" w:color="auto"/>
        <w:right w:val="none" w:sz="0" w:space="0" w:color="auto"/>
      </w:divBdr>
    </w:div>
    <w:div w:id="674964009">
      <w:bodyDiv w:val="1"/>
      <w:marLeft w:val="0"/>
      <w:marRight w:val="0"/>
      <w:marTop w:val="0"/>
      <w:marBottom w:val="0"/>
      <w:divBdr>
        <w:top w:val="none" w:sz="0" w:space="0" w:color="auto"/>
        <w:left w:val="none" w:sz="0" w:space="0" w:color="auto"/>
        <w:bottom w:val="none" w:sz="0" w:space="0" w:color="auto"/>
        <w:right w:val="none" w:sz="0" w:space="0" w:color="auto"/>
      </w:divBdr>
    </w:div>
    <w:div w:id="889268764">
      <w:bodyDiv w:val="1"/>
      <w:marLeft w:val="0"/>
      <w:marRight w:val="0"/>
      <w:marTop w:val="0"/>
      <w:marBottom w:val="0"/>
      <w:divBdr>
        <w:top w:val="none" w:sz="0" w:space="0" w:color="auto"/>
        <w:left w:val="none" w:sz="0" w:space="0" w:color="auto"/>
        <w:bottom w:val="none" w:sz="0" w:space="0" w:color="auto"/>
        <w:right w:val="none" w:sz="0" w:space="0" w:color="auto"/>
      </w:divBdr>
    </w:div>
    <w:div w:id="917129751">
      <w:bodyDiv w:val="1"/>
      <w:marLeft w:val="0"/>
      <w:marRight w:val="0"/>
      <w:marTop w:val="0"/>
      <w:marBottom w:val="0"/>
      <w:divBdr>
        <w:top w:val="none" w:sz="0" w:space="0" w:color="auto"/>
        <w:left w:val="none" w:sz="0" w:space="0" w:color="auto"/>
        <w:bottom w:val="none" w:sz="0" w:space="0" w:color="auto"/>
        <w:right w:val="none" w:sz="0" w:space="0" w:color="auto"/>
      </w:divBdr>
    </w:div>
    <w:div w:id="930968689">
      <w:bodyDiv w:val="1"/>
      <w:marLeft w:val="0"/>
      <w:marRight w:val="0"/>
      <w:marTop w:val="0"/>
      <w:marBottom w:val="0"/>
      <w:divBdr>
        <w:top w:val="none" w:sz="0" w:space="0" w:color="auto"/>
        <w:left w:val="none" w:sz="0" w:space="0" w:color="auto"/>
        <w:bottom w:val="none" w:sz="0" w:space="0" w:color="auto"/>
        <w:right w:val="none" w:sz="0" w:space="0" w:color="auto"/>
      </w:divBdr>
    </w:div>
    <w:div w:id="1037242002">
      <w:bodyDiv w:val="1"/>
      <w:marLeft w:val="0"/>
      <w:marRight w:val="0"/>
      <w:marTop w:val="0"/>
      <w:marBottom w:val="0"/>
      <w:divBdr>
        <w:top w:val="none" w:sz="0" w:space="0" w:color="auto"/>
        <w:left w:val="none" w:sz="0" w:space="0" w:color="auto"/>
        <w:bottom w:val="none" w:sz="0" w:space="0" w:color="auto"/>
        <w:right w:val="none" w:sz="0" w:space="0" w:color="auto"/>
      </w:divBdr>
    </w:div>
    <w:div w:id="1056784014">
      <w:bodyDiv w:val="1"/>
      <w:marLeft w:val="0"/>
      <w:marRight w:val="0"/>
      <w:marTop w:val="0"/>
      <w:marBottom w:val="0"/>
      <w:divBdr>
        <w:top w:val="none" w:sz="0" w:space="0" w:color="auto"/>
        <w:left w:val="none" w:sz="0" w:space="0" w:color="auto"/>
        <w:bottom w:val="none" w:sz="0" w:space="0" w:color="auto"/>
        <w:right w:val="none" w:sz="0" w:space="0" w:color="auto"/>
      </w:divBdr>
    </w:div>
    <w:div w:id="1087650295">
      <w:bodyDiv w:val="1"/>
      <w:marLeft w:val="0"/>
      <w:marRight w:val="0"/>
      <w:marTop w:val="0"/>
      <w:marBottom w:val="0"/>
      <w:divBdr>
        <w:top w:val="none" w:sz="0" w:space="0" w:color="auto"/>
        <w:left w:val="none" w:sz="0" w:space="0" w:color="auto"/>
        <w:bottom w:val="none" w:sz="0" w:space="0" w:color="auto"/>
        <w:right w:val="none" w:sz="0" w:space="0" w:color="auto"/>
      </w:divBdr>
    </w:div>
    <w:div w:id="1148397905">
      <w:bodyDiv w:val="1"/>
      <w:marLeft w:val="0"/>
      <w:marRight w:val="0"/>
      <w:marTop w:val="0"/>
      <w:marBottom w:val="0"/>
      <w:divBdr>
        <w:top w:val="none" w:sz="0" w:space="0" w:color="auto"/>
        <w:left w:val="none" w:sz="0" w:space="0" w:color="auto"/>
        <w:bottom w:val="none" w:sz="0" w:space="0" w:color="auto"/>
        <w:right w:val="none" w:sz="0" w:space="0" w:color="auto"/>
      </w:divBdr>
    </w:div>
    <w:div w:id="1161390846">
      <w:bodyDiv w:val="1"/>
      <w:marLeft w:val="0"/>
      <w:marRight w:val="0"/>
      <w:marTop w:val="0"/>
      <w:marBottom w:val="0"/>
      <w:divBdr>
        <w:top w:val="none" w:sz="0" w:space="0" w:color="auto"/>
        <w:left w:val="none" w:sz="0" w:space="0" w:color="auto"/>
        <w:bottom w:val="none" w:sz="0" w:space="0" w:color="auto"/>
        <w:right w:val="none" w:sz="0" w:space="0" w:color="auto"/>
      </w:divBdr>
    </w:div>
    <w:div w:id="1187214766">
      <w:bodyDiv w:val="1"/>
      <w:marLeft w:val="0"/>
      <w:marRight w:val="0"/>
      <w:marTop w:val="0"/>
      <w:marBottom w:val="0"/>
      <w:divBdr>
        <w:top w:val="none" w:sz="0" w:space="0" w:color="auto"/>
        <w:left w:val="none" w:sz="0" w:space="0" w:color="auto"/>
        <w:bottom w:val="none" w:sz="0" w:space="0" w:color="auto"/>
        <w:right w:val="none" w:sz="0" w:space="0" w:color="auto"/>
      </w:divBdr>
    </w:div>
    <w:div w:id="1286693248">
      <w:bodyDiv w:val="1"/>
      <w:marLeft w:val="0"/>
      <w:marRight w:val="0"/>
      <w:marTop w:val="0"/>
      <w:marBottom w:val="0"/>
      <w:divBdr>
        <w:top w:val="none" w:sz="0" w:space="0" w:color="auto"/>
        <w:left w:val="none" w:sz="0" w:space="0" w:color="auto"/>
        <w:bottom w:val="none" w:sz="0" w:space="0" w:color="auto"/>
        <w:right w:val="none" w:sz="0" w:space="0" w:color="auto"/>
      </w:divBdr>
    </w:div>
    <w:div w:id="1326855900">
      <w:bodyDiv w:val="1"/>
      <w:marLeft w:val="0"/>
      <w:marRight w:val="0"/>
      <w:marTop w:val="0"/>
      <w:marBottom w:val="0"/>
      <w:divBdr>
        <w:top w:val="none" w:sz="0" w:space="0" w:color="auto"/>
        <w:left w:val="none" w:sz="0" w:space="0" w:color="auto"/>
        <w:bottom w:val="none" w:sz="0" w:space="0" w:color="auto"/>
        <w:right w:val="none" w:sz="0" w:space="0" w:color="auto"/>
      </w:divBdr>
    </w:div>
    <w:div w:id="1350571215">
      <w:bodyDiv w:val="1"/>
      <w:marLeft w:val="0"/>
      <w:marRight w:val="0"/>
      <w:marTop w:val="0"/>
      <w:marBottom w:val="0"/>
      <w:divBdr>
        <w:top w:val="none" w:sz="0" w:space="0" w:color="auto"/>
        <w:left w:val="none" w:sz="0" w:space="0" w:color="auto"/>
        <w:bottom w:val="none" w:sz="0" w:space="0" w:color="auto"/>
        <w:right w:val="none" w:sz="0" w:space="0" w:color="auto"/>
      </w:divBdr>
    </w:div>
    <w:div w:id="1406419034">
      <w:bodyDiv w:val="1"/>
      <w:marLeft w:val="0"/>
      <w:marRight w:val="0"/>
      <w:marTop w:val="0"/>
      <w:marBottom w:val="0"/>
      <w:divBdr>
        <w:top w:val="none" w:sz="0" w:space="0" w:color="auto"/>
        <w:left w:val="none" w:sz="0" w:space="0" w:color="auto"/>
        <w:bottom w:val="none" w:sz="0" w:space="0" w:color="auto"/>
        <w:right w:val="none" w:sz="0" w:space="0" w:color="auto"/>
      </w:divBdr>
    </w:div>
    <w:div w:id="1431117798">
      <w:bodyDiv w:val="1"/>
      <w:marLeft w:val="0"/>
      <w:marRight w:val="0"/>
      <w:marTop w:val="0"/>
      <w:marBottom w:val="0"/>
      <w:divBdr>
        <w:top w:val="none" w:sz="0" w:space="0" w:color="auto"/>
        <w:left w:val="none" w:sz="0" w:space="0" w:color="auto"/>
        <w:bottom w:val="none" w:sz="0" w:space="0" w:color="auto"/>
        <w:right w:val="none" w:sz="0" w:space="0" w:color="auto"/>
      </w:divBdr>
    </w:div>
    <w:div w:id="1439714164">
      <w:bodyDiv w:val="1"/>
      <w:marLeft w:val="0"/>
      <w:marRight w:val="0"/>
      <w:marTop w:val="0"/>
      <w:marBottom w:val="0"/>
      <w:divBdr>
        <w:top w:val="none" w:sz="0" w:space="0" w:color="auto"/>
        <w:left w:val="none" w:sz="0" w:space="0" w:color="auto"/>
        <w:bottom w:val="none" w:sz="0" w:space="0" w:color="auto"/>
        <w:right w:val="none" w:sz="0" w:space="0" w:color="auto"/>
      </w:divBdr>
    </w:div>
    <w:div w:id="1513103896">
      <w:bodyDiv w:val="1"/>
      <w:marLeft w:val="0"/>
      <w:marRight w:val="0"/>
      <w:marTop w:val="0"/>
      <w:marBottom w:val="0"/>
      <w:divBdr>
        <w:top w:val="none" w:sz="0" w:space="0" w:color="auto"/>
        <w:left w:val="none" w:sz="0" w:space="0" w:color="auto"/>
        <w:bottom w:val="none" w:sz="0" w:space="0" w:color="auto"/>
        <w:right w:val="none" w:sz="0" w:space="0" w:color="auto"/>
      </w:divBdr>
    </w:div>
    <w:div w:id="1518958360">
      <w:bodyDiv w:val="1"/>
      <w:marLeft w:val="0"/>
      <w:marRight w:val="0"/>
      <w:marTop w:val="0"/>
      <w:marBottom w:val="0"/>
      <w:divBdr>
        <w:top w:val="none" w:sz="0" w:space="0" w:color="auto"/>
        <w:left w:val="none" w:sz="0" w:space="0" w:color="auto"/>
        <w:bottom w:val="none" w:sz="0" w:space="0" w:color="auto"/>
        <w:right w:val="none" w:sz="0" w:space="0" w:color="auto"/>
      </w:divBdr>
    </w:div>
    <w:div w:id="1704624067">
      <w:bodyDiv w:val="1"/>
      <w:marLeft w:val="0"/>
      <w:marRight w:val="0"/>
      <w:marTop w:val="0"/>
      <w:marBottom w:val="0"/>
      <w:divBdr>
        <w:top w:val="none" w:sz="0" w:space="0" w:color="auto"/>
        <w:left w:val="none" w:sz="0" w:space="0" w:color="auto"/>
        <w:bottom w:val="none" w:sz="0" w:space="0" w:color="auto"/>
        <w:right w:val="none" w:sz="0" w:space="0" w:color="auto"/>
      </w:divBdr>
    </w:div>
    <w:div w:id="1706177539">
      <w:bodyDiv w:val="1"/>
      <w:marLeft w:val="0"/>
      <w:marRight w:val="0"/>
      <w:marTop w:val="0"/>
      <w:marBottom w:val="0"/>
      <w:divBdr>
        <w:top w:val="none" w:sz="0" w:space="0" w:color="auto"/>
        <w:left w:val="none" w:sz="0" w:space="0" w:color="auto"/>
        <w:bottom w:val="none" w:sz="0" w:space="0" w:color="auto"/>
        <w:right w:val="none" w:sz="0" w:space="0" w:color="auto"/>
      </w:divBdr>
    </w:div>
    <w:div w:id="1742290029">
      <w:bodyDiv w:val="1"/>
      <w:marLeft w:val="0"/>
      <w:marRight w:val="0"/>
      <w:marTop w:val="0"/>
      <w:marBottom w:val="0"/>
      <w:divBdr>
        <w:top w:val="none" w:sz="0" w:space="0" w:color="auto"/>
        <w:left w:val="none" w:sz="0" w:space="0" w:color="auto"/>
        <w:bottom w:val="none" w:sz="0" w:space="0" w:color="auto"/>
        <w:right w:val="none" w:sz="0" w:space="0" w:color="auto"/>
      </w:divBdr>
    </w:div>
    <w:div w:id="1787381505">
      <w:bodyDiv w:val="1"/>
      <w:marLeft w:val="0"/>
      <w:marRight w:val="0"/>
      <w:marTop w:val="0"/>
      <w:marBottom w:val="0"/>
      <w:divBdr>
        <w:top w:val="none" w:sz="0" w:space="0" w:color="auto"/>
        <w:left w:val="none" w:sz="0" w:space="0" w:color="auto"/>
        <w:bottom w:val="none" w:sz="0" w:space="0" w:color="auto"/>
        <w:right w:val="none" w:sz="0" w:space="0" w:color="auto"/>
      </w:divBdr>
    </w:div>
    <w:div w:id="1801613232">
      <w:bodyDiv w:val="1"/>
      <w:marLeft w:val="0"/>
      <w:marRight w:val="0"/>
      <w:marTop w:val="0"/>
      <w:marBottom w:val="0"/>
      <w:divBdr>
        <w:top w:val="none" w:sz="0" w:space="0" w:color="auto"/>
        <w:left w:val="none" w:sz="0" w:space="0" w:color="auto"/>
        <w:bottom w:val="none" w:sz="0" w:space="0" w:color="auto"/>
        <w:right w:val="none" w:sz="0" w:space="0" w:color="auto"/>
      </w:divBdr>
    </w:div>
    <w:div w:id="1831947746">
      <w:bodyDiv w:val="1"/>
      <w:marLeft w:val="0"/>
      <w:marRight w:val="0"/>
      <w:marTop w:val="0"/>
      <w:marBottom w:val="0"/>
      <w:divBdr>
        <w:top w:val="none" w:sz="0" w:space="0" w:color="auto"/>
        <w:left w:val="none" w:sz="0" w:space="0" w:color="auto"/>
        <w:bottom w:val="none" w:sz="0" w:space="0" w:color="auto"/>
        <w:right w:val="none" w:sz="0" w:space="0" w:color="auto"/>
      </w:divBdr>
    </w:div>
    <w:div w:id="1846241691">
      <w:bodyDiv w:val="1"/>
      <w:marLeft w:val="0"/>
      <w:marRight w:val="0"/>
      <w:marTop w:val="0"/>
      <w:marBottom w:val="0"/>
      <w:divBdr>
        <w:top w:val="none" w:sz="0" w:space="0" w:color="auto"/>
        <w:left w:val="none" w:sz="0" w:space="0" w:color="auto"/>
        <w:bottom w:val="none" w:sz="0" w:space="0" w:color="auto"/>
        <w:right w:val="none" w:sz="0" w:space="0" w:color="auto"/>
      </w:divBdr>
    </w:div>
    <w:div w:id="1860971566">
      <w:bodyDiv w:val="1"/>
      <w:marLeft w:val="0"/>
      <w:marRight w:val="0"/>
      <w:marTop w:val="0"/>
      <w:marBottom w:val="0"/>
      <w:divBdr>
        <w:top w:val="none" w:sz="0" w:space="0" w:color="auto"/>
        <w:left w:val="none" w:sz="0" w:space="0" w:color="auto"/>
        <w:bottom w:val="none" w:sz="0" w:space="0" w:color="auto"/>
        <w:right w:val="none" w:sz="0" w:space="0" w:color="auto"/>
      </w:divBdr>
    </w:div>
    <w:div w:id="1925144811">
      <w:bodyDiv w:val="1"/>
      <w:marLeft w:val="0"/>
      <w:marRight w:val="0"/>
      <w:marTop w:val="0"/>
      <w:marBottom w:val="0"/>
      <w:divBdr>
        <w:top w:val="none" w:sz="0" w:space="0" w:color="auto"/>
        <w:left w:val="none" w:sz="0" w:space="0" w:color="auto"/>
        <w:bottom w:val="none" w:sz="0" w:space="0" w:color="auto"/>
        <w:right w:val="none" w:sz="0" w:space="0" w:color="auto"/>
      </w:divBdr>
    </w:div>
    <w:div w:id="1972318304">
      <w:bodyDiv w:val="1"/>
      <w:marLeft w:val="0"/>
      <w:marRight w:val="0"/>
      <w:marTop w:val="0"/>
      <w:marBottom w:val="0"/>
      <w:divBdr>
        <w:top w:val="none" w:sz="0" w:space="0" w:color="auto"/>
        <w:left w:val="none" w:sz="0" w:space="0" w:color="auto"/>
        <w:bottom w:val="none" w:sz="0" w:space="0" w:color="auto"/>
        <w:right w:val="none" w:sz="0" w:space="0" w:color="auto"/>
      </w:divBdr>
    </w:div>
    <w:div w:id="1973707992">
      <w:bodyDiv w:val="1"/>
      <w:marLeft w:val="0"/>
      <w:marRight w:val="0"/>
      <w:marTop w:val="0"/>
      <w:marBottom w:val="0"/>
      <w:divBdr>
        <w:top w:val="none" w:sz="0" w:space="0" w:color="auto"/>
        <w:left w:val="none" w:sz="0" w:space="0" w:color="auto"/>
        <w:bottom w:val="none" w:sz="0" w:space="0" w:color="auto"/>
        <w:right w:val="none" w:sz="0" w:space="0" w:color="auto"/>
      </w:divBdr>
    </w:div>
    <w:div w:id="1993680618">
      <w:bodyDiv w:val="1"/>
      <w:marLeft w:val="0"/>
      <w:marRight w:val="0"/>
      <w:marTop w:val="0"/>
      <w:marBottom w:val="0"/>
      <w:divBdr>
        <w:top w:val="none" w:sz="0" w:space="0" w:color="auto"/>
        <w:left w:val="none" w:sz="0" w:space="0" w:color="auto"/>
        <w:bottom w:val="none" w:sz="0" w:space="0" w:color="auto"/>
        <w:right w:val="none" w:sz="0" w:space="0" w:color="auto"/>
      </w:divBdr>
    </w:div>
    <w:div w:id="1999841043">
      <w:bodyDiv w:val="1"/>
      <w:marLeft w:val="0"/>
      <w:marRight w:val="0"/>
      <w:marTop w:val="0"/>
      <w:marBottom w:val="0"/>
      <w:divBdr>
        <w:top w:val="none" w:sz="0" w:space="0" w:color="auto"/>
        <w:left w:val="none" w:sz="0" w:space="0" w:color="auto"/>
        <w:bottom w:val="none" w:sz="0" w:space="0" w:color="auto"/>
        <w:right w:val="none" w:sz="0" w:space="0" w:color="auto"/>
      </w:divBdr>
    </w:div>
    <w:div w:id="2036345361">
      <w:bodyDiv w:val="1"/>
      <w:marLeft w:val="0"/>
      <w:marRight w:val="0"/>
      <w:marTop w:val="0"/>
      <w:marBottom w:val="0"/>
      <w:divBdr>
        <w:top w:val="none" w:sz="0" w:space="0" w:color="auto"/>
        <w:left w:val="none" w:sz="0" w:space="0" w:color="auto"/>
        <w:bottom w:val="none" w:sz="0" w:space="0" w:color="auto"/>
        <w:right w:val="none" w:sz="0" w:space="0" w:color="auto"/>
      </w:divBdr>
    </w:div>
    <w:div w:id="2063555687">
      <w:bodyDiv w:val="1"/>
      <w:marLeft w:val="0"/>
      <w:marRight w:val="0"/>
      <w:marTop w:val="0"/>
      <w:marBottom w:val="0"/>
      <w:divBdr>
        <w:top w:val="none" w:sz="0" w:space="0" w:color="auto"/>
        <w:left w:val="none" w:sz="0" w:space="0" w:color="auto"/>
        <w:bottom w:val="none" w:sz="0" w:space="0" w:color="auto"/>
        <w:right w:val="none" w:sz="0" w:space="0" w:color="auto"/>
      </w:divBdr>
    </w:div>
    <w:div w:id="2102869771">
      <w:bodyDiv w:val="1"/>
      <w:marLeft w:val="0"/>
      <w:marRight w:val="0"/>
      <w:marTop w:val="0"/>
      <w:marBottom w:val="0"/>
      <w:divBdr>
        <w:top w:val="none" w:sz="0" w:space="0" w:color="auto"/>
        <w:left w:val="none" w:sz="0" w:space="0" w:color="auto"/>
        <w:bottom w:val="none" w:sz="0" w:space="0" w:color="auto"/>
        <w:right w:val="none" w:sz="0" w:space="0" w:color="auto"/>
      </w:divBdr>
    </w:div>
    <w:div w:id="2144693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cms.gov/medicare/payment/prospective-payment-systems/acute-inpatient-pps/pps-exempt-cancer-hospitals-pchs" TargetMode="External"/><Relationship Id="rId21" Type="http://schemas.openxmlformats.org/officeDocument/2006/relationships/hyperlink" Target="https://www.mass.gov/info-details/massgis-data-ma-executive-office-of-health-human-services-regions" TargetMode="External"/><Relationship Id="rId42" Type="http://schemas.openxmlformats.org/officeDocument/2006/relationships/hyperlink" Target="https://www.grandviewresearch.com/industry-analysis/bispecific-antibodies-market-report" TargetMode="External"/><Relationship Id="rId47" Type="http://schemas.openxmlformats.org/officeDocument/2006/relationships/hyperlink" Target="https://www.accc-cancer.org/docs/projects/bringing-car-t-cell-therapies-to-co/bringing-car-t-cell-therapies-to-co.pdf?sfvrsn=304cf153_0" TargetMode="External"/><Relationship Id="rId63" Type="http://schemas.openxmlformats.org/officeDocument/2006/relationships/hyperlink" Target="https://info.ncdhhs.gov/dhsr/ncsmfp/2024/01%202024_SMFP_amendment_complete_v2_final.pdf" TargetMode="External"/><Relationship Id="rId68" Type="http://schemas.openxmlformats.org/officeDocument/2006/relationships/hyperlink" Target="https://www.michigan.gov/mdhhs/-/media/Project/Websites/mdhhs/Doing-Business-with-MDHHS/Health-Care-Providers/Certificate-of-Need/CON-Review-Standards/MRT_Standards.pdf" TargetMode="External"/><Relationship Id="rId7" Type="http://schemas.openxmlformats.org/officeDocument/2006/relationships/hyperlink" Target="https://www.dana-farber.org/about/dana-farber-beth-israel-deaconess-cancer-collaboration" TargetMode="External"/><Relationship Id="rId2" Type="http://schemas.openxmlformats.org/officeDocument/2006/relationships/hyperlink" Target="https://www.mass.gov/info-details/dana-farber-cancer-institute-inc-hospitalclinic-substantial-capital-expenditure" TargetMode="External"/><Relationship Id="rId16" Type="http://schemas.openxmlformats.org/officeDocument/2006/relationships/hyperlink" Target="https://www.mass.gov/doc/2023-health-care-cost-trends-report/download" TargetMode="External"/><Relationship Id="rId29" Type="http://schemas.openxmlformats.org/officeDocument/2006/relationships/hyperlink" Target="https://www.gao.gov/assets/gao-15-199.pdf" TargetMode="External"/><Relationship Id="rId11" Type="http://schemas.openxmlformats.org/officeDocument/2006/relationships/hyperlink" Target="https://www.mass.gov/doc/2023-health-care-cost-trends-report/download" TargetMode="External"/><Relationship Id="rId24" Type="http://schemas.openxmlformats.org/officeDocument/2006/relationships/hyperlink" Target="https://www.chiamass.gov/assets/docs/r/pubs/2024/Relative-Price-Methodology-2022.pdf" TargetMode="External"/><Relationship Id="rId32" Type="http://schemas.openxmlformats.org/officeDocument/2006/relationships/hyperlink" Target="https://www.gao.gov/assets/gao-15-199.pdf" TargetMode="External"/><Relationship Id="rId37" Type="http://schemas.openxmlformats.org/officeDocument/2006/relationships/hyperlink" Target="https://www.novaoneadvisor.com/report/car-t-cell-therapy-market" TargetMode="External"/><Relationship Id="rId40" Type="http://schemas.openxmlformats.org/officeDocument/2006/relationships/hyperlink" Target="https://www.precedenceresearch.com/bispecific-antibodies-market" TargetMode="External"/><Relationship Id="rId45" Type="http://schemas.openxmlformats.org/officeDocument/2006/relationships/hyperlink" Target="https://doi.org/10.1080/14712598.2022.2040987" TargetMode="External"/><Relationship Id="rId53" Type="http://schemas.openxmlformats.org/officeDocument/2006/relationships/hyperlink" Target="https://www.accc-cancer.org/docs/projects/bispecific-antibodies/bispecific-antibodies-brief.pdf" TargetMode="External"/><Relationship Id="rId58" Type="http://schemas.openxmlformats.org/officeDocument/2006/relationships/hyperlink" Target="https://www.michigan.gov/-/media/Project/Websites/mdhhs/Doing-Business-with-MDHHS/Health-Care-Providers/Certificate-of-Need/CON-Review-Standards/CT_Standards.pdf" TargetMode="External"/><Relationship Id="rId66" Type="http://schemas.openxmlformats.org/officeDocument/2006/relationships/hyperlink" Target="https://doi.org/10.1016/j.ijrobp.2021.07.1384" TargetMode="External"/><Relationship Id="rId5" Type="http://schemas.openxmlformats.org/officeDocument/2006/relationships/hyperlink" Target="https://www.mass.gov/doc/project-description-narrative-pdf-dana-farber-cancer-institute-inc-expenditure/download" TargetMode="External"/><Relationship Id="rId61" Type="http://schemas.openxmlformats.org/officeDocument/2006/relationships/hyperlink" Target="https://www.michigan.gov/mdhhs/-/media/Project/Websites/mdhhs/Doing-Business-with-MDHHS/Health-Care-Providers/Certificate-of-Need/CON-Review-Standards/PET_Standards.pdf" TargetMode="External"/><Relationship Id="rId19" Type="http://schemas.openxmlformats.org/officeDocument/2006/relationships/hyperlink" Target="https://www.cms.gov/medicare/coding-billing/icd-10-codes" TargetMode="External"/><Relationship Id="rId14" Type="http://schemas.openxmlformats.org/officeDocument/2006/relationships/hyperlink" Target="https://www.mass.gov/doc/2023-health-care-cost-trends-report/download" TargetMode="External"/><Relationship Id="rId22" Type="http://schemas.openxmlformats.org/officeDocument/2006/relationships/hyperlink" Target="https://www.mass.gov/info-details/massgis-data-ma-executive-office-of-health-human-services-regions" TargetMode="External"/><Relationship Id="rId27" Type="http://schemas.openxmlformats.org/officeDocument/2006/relationships/hyperlink" Target="https://www.gao.gov/assets/gao-15-199.pdf" TargetMode="External"/><Relationship Id="rId30" Type="http://schemas.openxmlformats.org/officeDocument/2006/relationships/hyperlink" Target="https://www.gao.gov/assets/gao-15-199.pdf" TargetMode="External"/><Relationship Id="rId35" Type="http://schemas.openxmlformats.org/officeDocument/2006/relationships/hyperlink" Target="https://www.precedenceresearch.com/car-t-cell-therapy-market" TargetMode="External"/><Relationship Id="rId43" Type="http://schemas.openxmlformats.org/officeDocument/2006/relationships/hyperlink" Target="https://doi.org/10.1186/s12967-023-04292-3" TargetMode="External"/><Relationship Id="rId48" Type="http://schemas.openxmlformats.org/officeDocument/2006/relationships/hyperlink" Target="https://www.accc-cancer.org/docs/projects/bringing-car-t-cell-therapies-to-co/bringing-car-t-cell-therapies-to-co.pdf?sfvrsn=304cf153_0" TargetMode="External"/><Relationship Id="rId56" Type="http://schemas.openxmlformats.org/officeDocument/2006/relationships/hyperlink" Target="https://www.fda.gov/drugs/spotlight-cder-science/bispecific-antibodies-area-research-and-clinical-applications" TargetMode="External"/><Relationship Id="rId64" Type="http://schemas.openxmlformats.org/officeDocument/2006/relationships/hyperlink" Target="https://info.ncdhhs.gov/dhsr/ncsmfp/2024/01%202024_SMFP_amendment_complete_v2_final.pdf" TargetMode="External"/><Relationship Id="rId69" Type="http://schemas.openxmlformats.org/officeDocument/2006/relationships/hyperlink" Target="https://info.ncdhhs.gov/dhsr/ncsmfp/2024/01%202024_SMFP_amendment_complete_v2_final.pdf" TargetMode="External"/><Relationship Id="rId8" Type="http://schemas.openxmlformats.org/officeDocument/2006/relationships/hyperlink" Target="https://www.dana-farber.org/about/dana-farber-beth-israel-deaconess-cancer-collaboration" TargetMode="External"/><Relationship Id="rId51" Type="http://schemas.openxmlformats.org/officeDocument/2006/relationships/hyperlink" Target="https://www.targetedonc.com/view/utilization-challenges-hold-back-the-adoption-of-bispecific-therapies" TargetMode="External"/><Relationship Id="rId3" Type="http://schemas.openxmlformats.org/officeDocument/2006/relationships/hyperlink" Target="https://www.mass.gov/doc/independent-cost-analysis-letter-pdf-dana-farber-cancer-institute-inc-hospitalclinic/download" TargetMode="External"/><Relationship Id="rId12" Type="http://schemas.openxmlformats.org/officeDocument/2006/relationships/hyperlink" Target="https://www.mass.gov/doc/2023-health-care-cost-trends-report/download" TargetMode="External"/><Relationship Id="rId17" Type="http://schemas.openxmlformats.org/officeDocument/2006/relationships/hyperlink" Target="https://www.mass.gov/doc/2023-health-care-cost-trends-report/download" TargetMode="External"/><Relationship Id="rId25" Type="http://schemas.openxmlformats.org/officeDocument/2006/relationships/hyperlink" Target="https://www.cms.gov/medicare/payment/prospective-payment-systems/acute-inpatient-pps/pps-exempt-cancer-hospitals-pchs" TargetMode="External"/><Relationship Id="rId33" Type="http://schemas.openxmlformats.org/officeDocument/2006/relationships/hyperlink" Target="https://www.kff.org/report-section/ehbs-2024-summary-of-findings/" TargetMode="External"/><Relationship Id="rId38" Type="http://schemas.openxmlformats.org/officeDocument/2006/relationships/hyperlink" Target="https://www.novaoneadvisor.com/report/car-t-cell-therapy-market" TargetMode="External"/><Relationship Id="rId46" Type="http://schemas.openxmlformats.org/officeDocument/2006/relationships/hyperlink" Target="https://doi.org/10.1080/14712598.2022.2040987" TargetMode="External"/><Relationship Id="rId59" Type="http://schemas.openxmlformats.org/officeDocument/2006/relationships/hyperlink" Target="https://www.michigan.gov/mdhhs/-/media/Project/Websites/mdhhs/Doing-Business-with-MDHHS/Health-Care-Providers/Certificate-of-Need/CON-Review-Standards/MRI_Standards.pdf" TargetMode="External"/><Relationship Id="rId67" Type="http://schemas.openxmlformats.org/officeDocument/2006/relationships/hyperlink" Target="https://www.michigan.gov/mdhhs/-/media/Project/Websites/mdhhs/Doing-Business-with-MDHHS/Health-Care-Providers/Certificate-of-Need/CON-Review-Standards/MRT_Standards.pdf" TargetMode="External"/><Relationship Id="rId20" Type="http://schemas.openxmlformats.org/officeDocument/2006/relationships/hyperlink" Target="https://www.cms.gov/medicare/coding-billing/icd-10-codes" TargetMode="External"/><Relationship Id="rId41" Type="http://schemas.openxmlformats.org/officeDocument/2006/relationships/hyperlink" Target="https://www.grandviewresearch.com/industry-analysis/bispecific-antibodies-market-report" TargetMode="External"/><Relationship Id="rId54" Type="http://schemas.openxmlformats.org/officeDocument/2006/relationships/hyperlink" Target="https://www.accc-cancer.org/docs/projects/bispecific-antibodies/bispecific-antibodies-brief.pdf" TargetMode="External"/><Relationship Id="rId62" Type="http://schemas.openxmlformats.org/officeDocument/2006/relationships/hyperlink" Target="https://www.michigan.gov/mdhhs/-/media/Project/Websites/mdhhs/Doing-Business-with-MDHHS/Health-Care-Providers/Certificate-of-Need/CON-Review-Standards/PET_Standards.pdf" TargetMode="External"/><Relationship Id="rId70" Type="http://schemas.openxmlformats.org/officeDocument/2006/relationships/hyperlink" Target="https://info.ncdhhs.gov/dhsr/ncsmfp/2024/01%202024_SMFP_amendment_complete_v2_final.pdf" TargetMode="External"/><Relationship Id="rId1" Type="http://schemas.openxmlformats.org/officeDocument/2006/relationships/hyperlink" Target="https://www.mass.gov/info-details/dana-farber-cancer-institute-inc-hospitalclinic-substantial-capital-expenditure" TargetMode="External"/><Relationship Id="rId6" Type="http://schemas.openxmlformats.org/officeDocument/2006/relationships/hyperlink" Target="https://www.mass.gov/doc/project-description-narrative-pdf-dana-farber-cancer-institute-inc-expenditure/download" TargetMode="External"/><Relationship Id="rId15" Type="http://schemas.openxmlformats.org/officeDocument/2006/relationships/hyperlink" Target="https://www.mass.gov/doc/2023-health-care-cost-trends-report/download" TargetMode="External"/><Relationship Id="rId23" Type="http://schemas.openxmlformats.org/officeDocument/2006/relationships/hyperlink" Target="https://www.chiamass.gov/assets/docs/r/pubs/2024/Relative-Price-Methodology-2022.pdf" TargetMode="External"/><Relationship Id="rId28" Type="http://schemas.openxmlformats.org/officeDocument/2006/relationships/hyperlink" Target="https://www.gao.gov/assets/gao-15-199.pdf" TargetMode="External"/><Relationship Id="rId36" Type="http://schemas.openxmlformats.org/officeDocument/2006/relationships/hyperlink" Target="https://www.precedenceresearch.com/car-t-cell-therapy-market" TargetMode="External"/><Relationship Id="rId49" Type="http://schemas.openxmlformats.org/officeDocument/2006/relationships/hyperlink" Target="https://doi.org/10.1080/14796694.2024.2354157" TargetMode="External"/><Relationship Id="rId57" Type="http://schemas.openxmlformats.org/officeDocument/2006/relationships/hyperlink" Target="https://www.michigan.gov/-/media/Project/Websites/mdhhs/Doing-Business-with-MDHHS/Health-Care-Providers/Certificate-of-Need/CON-Review-Standards/CT_Standards.pdf" TargetMode="External"/><Relationship Id="rId10" Type="http://schemas.openxmlformats.org/officeDocument/2006/relationships/hyperlink" Target="https://www.mass.gov/doc/independent-cost-analysis-letter-pdf-dana-farber-cancer-institute-inc-hospitalclinic/download" TargetMode="External"/><Relationship Id="rId31" Type="http://schemas.openxmlformats.org/officeDocument/2006/relationships/hyperlink" Target="https://www.gao.gov/assets/gao-15-199.pdf" TargetMode="External"/><Relationship Id="rId44" Type="http://schemas.openxmlformats.org/officeDocument/2006/relationships/hyperlink" Target="https://doi.org/10.1186/s12967-023-04292-3" TargetMode="External"/><Relationship Id="rId52" Type="http://schemas.openxmlformats.org/officeDocument/2006/relationships/hyperlink" Target="https://www.targetedonc.com/view/utilization-challenges-hold-back-the-adoption-of-bispecific-therapies" TargetMode="External"/><Relationship Id="rId60" Type="http://schemas.openxmlformats.org/officeDocument/2006/relationships/hyperlink" Target="https://www.michigan.gov/mdhhs/-/media/Project/Websites/mdhhs/Doing-Business-with-MDHHS/Health-Care-Providers/Certificate-of-Need/CON-Review-Standards/MRI_Standards.pdf" TargetMode="External"/><Relationship Id="rId65" Type="http://schemas.openxmlformats.org/officeDocument/2006/relationships/hyperlink" Target="https://doi.org/10.1016/j.ijrobp.2021.07.1384" TargetMode="External"/><Relationship Id="rId4" Type="http://schemas.openxmlformats.org/officeDocument/2006/relationships/hyperlink" Target="https://www.mass.gov/doc/independent-cost-analysis-letter-pdf-dana-farber-cancer-institute-inc-hospitalclinic/download" TargetMode="External"/><Relationship Id="rId9" Type="http://schemas.openxmlformats.org/officeDocument/2006/relationships/hyperlink" Target="https://www.mass.gov/doc/independent-cost-analysis-letter-pdf-dana-farber-cancer-institute-inc-hospitalclinic/download" TargetMode="External"/><Relationship Id="rId13" Type="http://schemas.openxmlformats.org/officeDocument/2006/relationships/hyperlink" Target="https://www.mass.gov/doc/2023-health-care-cost-trends-report/download" TargetMode="External"/><Relationship Id="rId18" Type="http://schemas.openxmlformats.org/officeDocument/2006/relationships/hyperlink" Target="https://www.mass.gov/doc/2023-health-care-cost-trends-report/download" TargetMode="External"/><Relationship Id="rId39" Type="http://schemas.openxmlformats.org/officeDocument/2006/relationships/hyperlink" Target="https://www.precedenceresearch.com/bispecific-antibodies-market" TargetMode="External"/><Relationship Id="rId34" Type="http://schemas.openxmlformats.org/officeDocument/2006/relationships/hyperlink" Target="https://www.kff.org/report-section/ehbs-2024-summary-of-findings/" TargetMode="External"/><Relationship Id="rId50" Type="http://schemas.openxmlformats.org/officeDocument/2006/relationships/hyperlink" Target="https://doi.org/10.1080/14796694.2024.2354157" TargetMode="External"/><Relationship Id="rId55" Type="http://schemas.openxmlformats.org/officeDocument/2006/relationships/hyperlink" Target="https://www.fda.gov/drugs/spotlight-cder-science/bispecific-antibodies-area-research-and-clinical-app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0931F5908FF4CA668953A9652D975" ma:contentTypeVersion="18" ma:contentTypeDescription="Create a new document." ma:contentTypeScope="" ma:versionID="a52a4c71dc5dced140c3a299d762f919">
  <xsd:schema xmlns:xsd="http://www.w3.org/2001/XMLSchema" xmlns:xs="http://www.w3.org/2001/XMLSchema" xmlns:p="http://schemas.microsoft.com/office/2006/metadata/properties" xmlns:ns2="895ace93-91b1-44b2-83e2-a8b58efad415" xmlns:ns3="31bf8de2-d90a-43b4-91d0-0ec54ac92c46" targetNamespace="http://schemas.microsoft.com/office/2006/metadata/properties" ma:root="true" ma:fieldsID="51d62d9569e9d4664ef0579626987277" ns2:_="" ns3:_="">
    <xsd:import namespace="895ace93-91b1-44b2-83e2-a8b58efad415"/>
    <xsd:import namespace="31bf8de2-d90a-43b4-91d0-0ec54ac92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ace93-91b1-44b2-83e2-a8b58efad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89a7c0-fbae-4049-b65f-26f56b969a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f8de2-d90a-43b4-91d0-0ec54ac92c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9d2999-b33b-4760-a377-a5a01fe9328a}" ma:internalName="TaxCatchAll" ma:showField="CatchAllData" ma:web="31bf8de2-d90a-43b4-91d0-0ec54ac92c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E0435-19A7-463F-8136-1EE917056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ace93-91b1-44b2-83e2-a8b58efad415"/>
    <ds:schemaRef ds:uri="31bf8de2-d90a-43b4-91d0-0ec54ac92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51EAE6-E804-46A7-AFFF-529BEFE9D097}">
  <ds:schemaRefs>
    <ds:schemaRef ds:uri="http://schemas.microsoft.com/sharepoint/v3/contenttype/forms"/>
  </ds:schemaRefs>
</ds:datastoreItem>
</file>

<file path=customXml/itemProps3.xml><?xml version="1.0" encoding="utf-8"?>
<ds:datastoreItem xmlns:ds="http://schemas.openxmlformats.org/officeDocument/2006/customXml" ds:itemID="{F23C7BA0-57DE-412D-A420-A533774C829F}">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168</TotalTime>
  <Pages>71</Pages>
  <Words>22503</Words>
  <Characters>128270</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Brett (DPH)</dc:creator>
  <cp:keywords/>
  <dc:description/>
  <cp:lastModifiedBy>Marks, Brett (DPH)</cp:lastModifiedBy>
  <cp:revision>48</cp:revision>
  <cp:lastPrinted>2024-10-28T20:16:00Z</cp:lastPrinted>
  <dcterms:created xsi:type="dcterms:W3CDTF">2025-01-13T14:14:00Z</dcterms:created>
  <dcterms:modified xsi:type="dcterms:W3CDTF">2025-01-13T17:02:00Z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documentId_8133</vt:lpwstr>
  </property>
  <property fmtid="{D5CDD505-2E9C-101B-9397-08002B2CF9AE}" pid="3" name="grammarly_documentContext">
    <vt:lpwstr>{"goals":[],"domain":"general","emotions":[],"dialect":"british"}</vt:lpwstr>
  </property>
</Properties>
</file>