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9BF48" w14:textId="1BEC5FC9" w:rsidR="00403685" w:rsidRPr="00D31697" w:rsidRDefault="00086041" w:rsidP="0002237D">
      <w:pPr>
        <w:pStyle w:val="Heading1"/>
      </w:pPr>
      <w:r w:rsidRPr="00F82EA6">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00000" w:rsidP="00FF5AAD">
                              <w:pPr>
                                <w:rPr>
                                  <w:b/>
                                  <w:sz w:val="28"/>
                                  <w:szCs w:val="28"/>
                                </w:rPr>
                              </w:pPr>
                              <w:hyperlink r:id="rId9"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00000" w:rsidP="00FF5AAD">
                        <w:pPr>
                          <w:rPr>
                            <w:b/>
                            <w:sz w:val="28"/>
                            <w:szCs w:val="28"/>
                          </w:rPr>
                        </w:pPr>
                        <w:hyperlink r:id="rId11"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2B0CE9">
        <w:t>Independent Nurse</w:t>
      </w:r>
      <w:r w:rsidR="000D6500">
        <w:t xml:space="preserve"> </w:t>
      </w:r>
      <w:r w:rsidR="00403685" w:rsidRPr="0002237D">
        <w:t>Bulletin</w:t>
      </w:r>
      <w:r w:rsidR="00403685" w:rsidRPr="00D31697">
        <w:t xml:space="preserve"> </w:t>
      </w:r>
      <w:r w:rsidR="00394FD8" w:rsidRPr="00394FD8">
        <w:t>17</w:t>
      </w:r>
    </w:p>
    <w:p w14:paraId="0814A6EF" w14:textId="4C5F0A88" w:rsidR="003A7E23" w:rsidRPr="00F95ED9" w:rsidRDefault="003A7E23" w:rsidP="003A7E23">
      <w:pPr>
        <w:tabs>
          <w:tab w:val="left" w:pos="1080"/>
        </w:tabs>
        <w:spacing w:before="120" w:after="240"/>
        <w:ind w:left="1080" w:hanging="1080"/>
      </w:pPr>
      <w:r>
        <w:rPr>
          <w:b/>
          <w:bCs/>
        </w:rPr>
        <w:t>DATE</w:t>
      </w:r>
      <w:r w:rsidRPr="00D31697">
        <w:rPr>
          <w:b/>
          <w:bCs/>
        </w:rPr>
        <w:t>:</w:t>
      </w:r>
      <w:r w:rsidRPr="003E4959">
        <w:tab/>
      </w:r>
      <w:r w:rsidR="00394FD8" w:rsidRPr="00394FD8">
        <w:t>February</w:t>
      </w:r>
      <w:r w:rsidRPr="00394FD8">
        <w:t xml:space="preserve"> </w:t>
      </w:r>
      <w:r w:rsidR="002B0CE9">
        <w:t>2024</w:t>
      </w:r>
    </w:p>
    <w:p w14:paraId="163C0B92" w14:textId="4DBC9CD6"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2B0CE9">
        <w:t>Independent Nurse</w:t>
      </w:r>
      <w:r w:rsidR="00CE1946">
        <w:t xml:space="preserve"> Providers </w:t>
      </w:r>
      <w:r>
        <w:t>Participating in MassHealth</w:t>
      </w:r>
    </w:p>
    <w:p w14:paraId="18948E6C" w14:textId="1DF27E38" w:rsidR="00403685" w:rsidRDefault="00403685" w:rsidP="00F403B2">
      <w:pPr>
        <w:tabs>
          <w:tab w:val="left" w:pos="1080"/>
        </w:tabs>
        <w:spacing w:before="120" w:after="240"/>
        <w:ind w:left="1080" w:hanging="1080"/>
      </w:pPr>
      <w:r w:rsidRPr="003F221A">
        <w:rPr>
          <w:b/>
          <w:bCs/>
        </w:rPr>
        <w:t>FROM</w:t>
      </w:r>
      <w:r w:rsidRPr="0041389E">
        <w:rPr>
          <w:b/>
          <w:bCs/>
        </w:rPr>
        <w:t>:</w:t>
      </w:r>
      <w:r w:rsidRPr="00833E43">
        <w:tab/>
        <w:t>Mike Levine, Assistant Secretary for MassHealth [signature of Mike Levine]</w:t>
      </w:r>
    </w:p>
    <w:p w14:paraId="5122B7DF" w14:textId="2E432C75" w:rsidR="003D0423" w:rsidRDefault="008858D8" w:rsidP="008858D8">
      <w:pPr>
        <w:pStyle w:val="SubjectLine"/>
        <w:sectPr w:rsidR="003D0423" w:rsidSect="00CD3DC1">
          <w:footerReference w:type="default" r:id="rId12"/>
          <w:pgSz w:w="12240" w:h="15840" w:code="1"/>
          <w:pgMar w:top="576" w:right="1440" w:bottom="1440" w:left="1440" w:header="446" w:footer="490" w:gutter="0"/>
          <w:cols w:space="720"/>
          <w:docGrid w:linePitch="299"/>
        </w:sectPr>
      </w:pPr>
      <w:r w:rsidRPr="00CD6473">
        <w:t>RE:</w:t>
      </w:r>
      <w:r w:rsidRPr="00CD6473">
        <w:tab/>
      </w:r>
      <w:r w:rsidRPr="007C4895">
        <w:t xml:space="preserve">Amended: </w:t>
      </w:r>
      <w:r>
        <w:t>Continuous Skilled Nursing Retention</w:t>
      </w:r>
      <w:r w:rsidRPr="007C4895">
        <w:t xml:space="preserve"> Bonuses for </w:t>
      </w:r>
      <w:r>
        <w:t xml:space="preserve">Independent </w:t>
      </w:r>
      <w:r w:rsidRPr="007C4895">
        <w:t>Nurses Provid</w:t>
      </w:r>
      <w:r>
        <w:t>ers</w:t>
      </w:r>
      <w:r w:rsidR="002B0CE9" w:rsidRPr="00CD6473">
        <w:t xml:space="preserve"> </w:t>
      </w:r>
    </w:p>
    <w:p w14:paraId="687C1AB8" w14:textId="77777777" w:rsidR="002B0CE9" w:rsidRPr="0065302E" w:rsidRDefault="002B0CE9" w:rsidP="00B73421">
      <w:pPr>
        <w:pStyle w:val="Heading2"/>
      </w:pPr>
      <w:r w:rsidRPr="0065302E">
        <w:t xml:space="preserve">Introduction </w:t>
      </w:r>
    </w:p>
    <w:p w14:paraId="7C19F42F" w14:textId="683DE9CB" w:rsidR="002B0CE9" w:rsidRDefault="002B0CE9" w:rsidP="002B0CE9">
      <w:r w:rsidRPr="0065302E">
        <w:t xml:space="preserve">The Executive Office of Health and Human Services (EOHHS) </w:t>
      </w:r>
      <w:r w:rsidR="00910282">
        <w:t>has</w:t>
      </w:r>
      <w:r w:rsidR="00910282" w:rsidRPr="0065302E">
        <w:t xml:space="preserve"> </w:t>
      </w:r>
      <w:r w:rsidRPr="0065302E">
        <w:t>establish</w:t>
      </w:r>
      <w:r w:rsidR="00910282">
        <w:t>ed</w:t>
      </w:r>
      <w:r w:rsidRPr="0065302E">
        <w:t xml:space="preserve"> a continuous skilled nursing (CSN) Retention Bonus </w:t>
      </w:r>
      <w:r w:rsidR="00BD1C0F">
        <w:t>P</w:t>
      </w:r>
      <w:r w:rsidRPr="0065302E">
        <w:t xml:space="preserve">rogram, available to licensed nurses who are MassHealth-enrolled independent nurse (IN) providers who </w:t>
      </w:r>
      <w:r w:rsidR="007E10E2">
        <w:t>deliver</w:t>
      </w:r>
      <w:r w:rsidRPr="0065302E">
        <w:t xml:space="preserve"> CSN services in accordance with the service commitment requirements in this bulletin. Retention bonuses will be paid directly to INs each service quarter (every three months). In addition to retention bonus amounts and service commitment requirements, this bulletin </w:t>
      </w:r>
      <w:r w:rsidR="00765A7E">
        <w:t>describes</w:t>
      </w:r>
      <w:r w:rsidRPr="0065302E">
        <w:t xml:space="preserve"> IN billing procedures </w:t>
      </w:r>
      <w:r w:rsidRPr="007E10E2">
        <w:t xml:space="preserve">and </w:t>
      </w:r>
      <w:r w:rsidR="007E10E2">
        <w:t>requirements applicable to participating agencies.</w:t>
      </w:r>
      <w:r w:rsidRPr="0065302E">
        <w:t xml:space="preserve"> </w:t>
      </w:r>
    </w:p>
    <w:p w14:paraId="0AB9AC22" w14:textId="42613628" w:rsidR="002B0CE9" w:rsidRPr="0065302E" w:rsidRDefault="002B0CE9" w:rsidP="002B0CE9">
      <w:r>
        <w:t xml:space="preserve">This bulletin supersedes and replaces </w:t>
      </w:r>
      <w:hyperlink r:id="rId13" w:history="1">
        <w:r w:rsidRPr="007008F0">
          <w:rPr>
            <w:rStyle w:val="Hyperlink"/>
          </w:rPr>
          <w:t>Independent Nurse Bulletin 12</w:t>
        </w:r>
      </w:hyperlink>
      <w:r>
        <w:t xml:space="preserve"> and extends the dates of service for which the Retention Bonus </w:t>
      </w:r>
      <w:r w:rsidR="00765A7E">
        <w:t>P</w:t>
      </w:r>
      <w:r>
        <w:t xml:space="preserve">rogram will be accessible. </w:t>
      </w:r>
      <w:r w:rsidRPr="0065302E">
        <w:t xml:space="preserve">The Retention Bonus </w:t>
      </w:r>
      <w:r w:rsidR="000D3CB8">
        <w:t>P</w:t>
      </w:r>
      <w:r w:rsidRPr="0065302E">
        <w:t xml:space="preserve">rogram will </w:t>
      </w:r>
      <w:r w:rsidR="007E10E2">
        <w:t xml:space="preserve">now </w:t>
      </w:r>
      <w:r w:rsidRPr="0065302E">
        <w:t xml:space="preserve">be accessible to INs for dates of service from April 2023 through </w:t>
      </w:r>
      <w:r>
        <w:t>June</w:t>
      </w:r>
      <w:r w:rsidRPr="0065302E">
        <w:t xml:space="preserve"> 2024.</w:t>
      </w:r>
    </w:p>
    <w:p w14:paraId="100D4DFA" w14:textId="77777777" w:rsidR="002B0CE9" w:rsidRPr="007008F0" w:rsidRDefault="002B0CE9" w:rsidP="00B73421">
      <w:pPr>
        <w:pStyle w:val="Heading2"/>
      </w:pPr>
      <w:r w:rsidRPr="007008F0">
        <w:t xml:space="preserve">Retention Bonus Amounts and Service Commitment Requirements </w:t>
      </w:r>
    </w:p>
    <w:p w14:paraId="69751715" w14:textId="77777777" w:rsidR="002B0CE9" w:rsidRDefault="002B0CE9" w:rsidP="002B0CE9">
      <w:r w:rsidRPr="007008F0">
        <w:t xml:space="preserve">INs serving eligible MassHealth members will receive a retention bonus every three months for the duration of this program as long as they meet the following service commitment requirements. </w:t>
      </w:r>
    </w:p>
    <w:tbl>
      <w:tblPr>
        <w:tblStyle w:val="TableGrid"/>
        <w:tblW w:w="0" w:type="auto"/>
        <w:jc w:val="center"/>
        <w:tblLook w:val="04A0" w:firstRow="1" w:lastRow="0" w:firstColumn="1" w:lastColumn="0" w:noHBand="0" w:noVBand="1"/>
        <w:tblCaption w:val="Service Commitment for Retention Bonuses"/>
      </w:tblPr>
      <w:tblGrid>
        <w:gridCol w:w="2753"/>
        <w:gridCol w:w="2732"/>
      </w:tblGrid>
      <w:tr w:rsidR="002B0CE9" w:rsidRPr="009E74F0" w14:paraId="77173B08" w14:textId="77777777" w:rsidTr="009E74F0">
        <w:trPr>
          <w:jc w:val="center"/>
        </w:trPr>
        <w:tc>
          <w:tcPr>
            <w:tcW w:w="2753" w:type="dxa"/>
          </w:tcPr>
          <w:p w14:paraId="4C03615C" w14:textId="77777777" w:rsidR="002B0CE9" w:rsidRPr="009E74F0" w:rsidRDefault="002B0CE9" w:rsidP="00867B20">
            <w:pPr>
              <w:jc w:val="center"/>
              <w:rPr>
                <w:b/>
              </w:rPr>
            </w:pPr>
            <w:r w:rsidRPr="009E74F0">
              <w:rPr>
                <w:rStyle w:val="Heading3Char"/>
                <w:sz w:val="22"/>
                <w:szCs w:val="22"/>
              </w:rPr>
              <w:t>Service Commitment</w:t>
            </w:r>
          </w:p>
        </w:tc>
        <w:tc>
          <w:tcPr>
            <w:tcW w:w="2732" w:type="dxa"/>
          </w:tcPr>
          <w:p w14:paraId="38BAF35E" w14:textId="77777777" w:rsidR="002B0CE9" w:rsidRPr="009E74F0" w:rsidRDefault="002B0CE9" w:rsidP="00867B20">
            <w:pPr>
              <w:jc w:val="center"/>
              <w:rPr>
                <w:b/>
              </w:rPr>
            </w:pPr>
            <w:r w:rsidRPr="009E74F0">
              <w:rPr>
                <w:rStyle w:val="Heading3Char"/>
                <w:sz w:val="22"/>
                <w:szCs w:val="22"/>
              </w:rPr>
              <w:t>Retention Bonus Amount</w:t>
            </w:r>
          </w:p>
        </w:tc>
      </w:tr>
      <w:tr w:rsidR="002B0CE9" w:rsidRPr="009E74F0" w14:paraId="2D36E17E" w14:textId="77777777" w:rsidTr="009E74F0">
        <w:trPr>
          <w:jc w:val="center"/>
        </w:trPr>
        <w:tc>
          <w:tcPr>
            <w:tcW w:w="2753" w:type="dxa"/>
          </w:tcPr>
          <w:p w14:paraId="51409299" w14:textId="77777777" w:rsidR="002B0CE9" w:rsidRPr="009E74F0" w:rsidRDefault="002B0CE9" w:rsidP="00867B20">
            <w:pPr>
              <w:jc w:val="center"/>
              <w:rPr>
                <w:b/>
                <w:bCs/>
              </w:rPr>
            </w:pPr>
            <w:r w:rsidRPr="009E74F0">
              <w:rPr>
                <w:rStyle w:val="Heading3Char"/>
                <w:b w:val="0"/>
                <w:bCs/>
                <w:sz w:val="22"/>
                <w:szCs w:val="22"/>
              </w:rPr>
              <w:t>480 hours in 3 months</w:t>
            </w:r>
          </w:p>
        </w:tc>
        <w:tc>
          <w:tcPr>
            <w:tcW w:w="2732" w:type="dxa"/>
          </w:tcPr>
          <w:p w14:paraId="3544D89D" w14:textId="3DFEE860" w:rsidR="002B0CE9" w:rsidRPr="009E74F0" w:rsidRDefault="002B0CE9" w:rsidP="00867B20">
            <w:pPr>
              <w:jc w:val="center"/>
              <w:rPr>
                <w:b/>
                <w:bCs/>
              </w:rPr>
            </w:pPr>
            <w:r w:rsidRPr="009E74F0">
              <w:rPr>
                <w:rStyle w:val="Heading3Char"/>
                <w:b w:val="0"/>
                <w:bCs/>
                <w:sz w:val="22"/>
                <w:szCs w:val="22"/>
              </w:rPr>
              <w:t>$3,250</w:t>
            </w:r>
          </w:p>
        </w:tc>
      </w:tr>
      <w:tr w:rsidR="002B0CE9" w:rsidRPr="009E74F0" w14:paraId="4D967F4B" w14:textId="77777777" w:rsidTr="009E74F0">
        <w:trPr>
          <w:jc w:val="center"/>
        </w:trPr>
        <w:tc>
          <w:tcPr>
            <w:tcW w:w="2753" w:type="dxa"/>
          </w:tcPr>
          <w:p w14:paraId="2D756C2D" w14:textId="77777777" w:rsidR="002B0CE9" w:rsidRPr="009E74F0" w:rsidRDefault="002B0CE9" w:rsidP="00867B20">
            <w:pPr>
              <w:jc w:val="center"/>
              <w:rPr>
                <w:b/>
                <w:bCs/>
              </w:rPr>
            </w:pPr>
            <w:r w:rsidRPr="009E74F0">
              <w:rPr>
                <w:rStyle w:val="Heading3Char"/>
                <w:b w:val="0"/>
                <w:bCs/>
                <w:sz w:val="22"/>
                <w:szCs w:val="22"/>
              </w:rPr>
              <w:t>360 hours in 3 months</w:t>
            </w:r>
          </w:p>
        </w:tc>
        <w:tc>
          <w:tcPr>
            <w:tcW w:w="2732" w:type="dxa"/>
          </w:tcPr>
          <w:p w14:paraId="0CC3C62E" w14:textId="77257640" w:rsidR="002B0CE9" w:rsidRPr="009E74F0" w:rsidRDefault="002B0CE9" w:rsidP="00867B20">
            <w:pPr>
              <w:jc w:val="center"/>
              <w:rPr>
                <w:b/>
                <w:bCs/>
              </w:rPr>
            </w:pPr>
            <w:r w:rsidRPr="009E74F0">
              <w:rPr>
                <w:rStyle w:val="Heading3Char"/>
                <w:b w:val="0"/>
                <w:bCs/>
                <w:sz w:val="22"/>
                <w:szCs w:val="22"/>
              </w:rPr>
              <w:t>$2,000</w:t>
            </w:r>
          </w:p>
        </w:tc>
      </w:tr>
      <w:tr w:rsidR="002B0CE9" w:rsidRPr="009E74F0" w14:paraId="1D1687E3" w14:textId="77777777" w:rsidTr="009E74F0">
        <w:trPr>
          <w:jc w:val="center"/>
        </w:trPr>
        <w:tc>
          <w:tcPr>
            <w:tcW w:w="2753" w:type="dxa"/>
          </w:tcPr>
          <w:p w14:paraId="219E3D02" w14:textId="77777777" w:rsidR="002B0CE9" w:rsidRPr="009E74F0" w:rsidRDefault="002B0CE9" w:rsidP="00867B20">
            <w:pPr>
              <w:jc w:val="center"/>
              <w:rPr>
                <w:b/>
                <w:bCs/>
              </w:rPr>
            </w:pPr>
            <w:r w:rsidRPr="009E74F0">
              <w:rPr>
                <w:rStyle w:val="Heading3Char"/>
                <w:b w:val="0"/>
                <w:bCs/>
                <w:sz w:val="22"/>
                <w:szCs w:val="22"/>
              </w:rPr>
              <w:t>260 hours in 3 months</w:t>
            </w:r>
          </w:p>
        </w:tc>
        <w:tc>
          <w:tcPr>
            <w:tcW w:w="2732" w:type="dxa"/>
          </w:tcPr>
          <w:p w14:paraId="4E974A9F" w14:textId="73366B1C" w:rsidR="002B0CE9" w:rsidRPr="009E74F0" w:rsidRDefault="002B0CE9" w:rsidP="00867B20">
            <w:pPr>
              <w:jc w:val="center"/>
              <w:rPr>
                <w:b/>
                <w:bCs/>
              </w:rPr>
            </w:pPr>
            <w:r w:rsidRPr="009E74F0">
              <w:rPr>
                <w:rStyle w:val="Heading3Char"/>
                <w:b w:val="0"/>
                <w:bCs/>
                <w:sz w:val="22"/>
                <w:szCs w:val="22"/>
              </w:rPr>
              <w:t>$1,200</w:t>
            </w:r>
          </w:p>
        </w:tc>
      </w:tr>
    </w:tbl>
    <w:p w14:paraId="0467C5F1" w14:textId="77777777" w:rsidR="002B0CE9" w:rsidRPr="007008F0" w:rsidRDefault="002B0CE9" w:rsidP="002B0CE9">
      <w:pPr>
        <w:spacing w:after="0"/>
      </w:pPr>
    </w:p>
    <w:p w14:paraId="1C21640D" w14:textId="78739C57" w:rsidR="002B0CE9" w:rsidRPr="007008F0" w:rsidRDefault="002B0CE9" w:rsidP="002B0CE9">
      <w:r w:rsidRPr="007008F0">
        <w:t xml:space="preserve">To meet the service commitment requirements, nurses must provide CSN services </w:t>
      </w:r>
      <w:r w:rsidR="000A3348">
        <w:t xml:space="preserve">directly </w:t>
      </w:r>
      <w:r w:rsidRPr="007008F0">
        <w:t xml:space="preserve">to MassHealth members enrolled in the Community Case Management (CCM) </w:t>
      </w:r>
      <w:r w:rsidR="00BC7FD2">
        <w:t>p</w:t>
      </w:r>
      <w:r w:rsidRPr="007008F0">
        <w:t>rogram.</w:t>
      </w:r>
      <w:bookmarkStart w:id="0" w:name="_Hlk128575894"/>
      <w:r w:rsidRPr="007008F0">
        <w:t xml:space="preserve"> </w:t>
      </w:r>
      <w:bookmarkEnd w:id="0"/>
      <w:r w:rsidRPr="007008F0">
        <w:t xml:space="preserve">INs may collect </w:t>
      </w:r>
      <w:r w:rsidR="00BC7FD2">
        <w:t xml:space="preserve">only </w:t>
      </w:r>
      <w:r w:rsidRPr="007008F0">
        <w:t xml:space="preserve">one retention bonus per service quarter, even if they also work for a CSN agency. </w:t>
      </w:r>
      <w:r w:rsidRPr="007008F0">
        <w:lastRenderedPageBreak/>
        <w:t xml:space="preserve">Hours worked for an agency and as an </w:t>
      </w:r>
      <w:r w:rsidR="00765A7E">
        <w:t>IN</w:t>
      </w:r>
      <w:r w:rsidRPr="007008F0">
        <w:t xml:space="preserve"> may not be </w:t>
      </w:r>
      <w:r w:rsidR="00BC7FD2" w:rsidRPr="007008F0">
        <w:t>combined</w:t>
      </w:r>
      <w:r w:rsidRPr="007008F0">
        <w:t xml:space="preserve"> to meet service commitment requirements.</w:t>
      </w:r>
    </w:p>
    <w:p w14:paraId="480814B9" w14:textId="4D4C1B87" w:rsidR="002B0CE9" w:rsidRPr="007008F0" w:rsidRDefault="002B0CE9" w:rsidP="00B73421">
      <w:pPr>
        <w:pStyle w:val="Heading2"/>
      </w:pPr>
      <w:r w:rsidRPr="007008F0">
        <w:t>Billing Procedures</w:t>
      </w:r>
      <w:r w:rsidR="00F31C38">
        <w:t>, Codes,</w:t>
      </w:r>
      <w:r w:rsidRPr="007008F0">
        <w:t xml:space="preserve"> and Payment Schedule</w:t>
      </w:r>
    </w:p>
    <w:p w14:paraId="790FDA6A" w14:textId="77777777" w:rsidR="002B0CE9" w:rsidRPr="0065302E" w:rsidRDefault="002B0CE9" w:rsidP="002B0CE9">
      <w:pPr>
        <w:pStyle w:val="Heading3"/>
        <w:tabs>
          <w:tab w:val="center" w:pos="5083"/>
        </w:tabs>
        <w:spacing w:before="0" w:after="100"/>
      </w:pPr>
      <w:r w:rsidRPr="0065302E">
        <w:t>Payment Schedule</w:t>
      </w:r>
    </w:p>
    <w:p w14:paraId="703B1335" w14:textId="25170900" w:rsidR="002B0CE9" w:rsidRDefault="002B0CE9" w:rsidP="002B0CE9">
      <w:r w:rsidRPr="0065302E">
        <w:t xml:space="preserve">INs </w:t>
      </w:r>
      <w:r w:rsidR="00765A7E">
        <w:t>must</w:t>
      </w:r>
      <w:r w:rsidR="00765A7E" w:rsidRPr="0065302E">
        <w:t xml:space="preserve"> </w:t>
      </w:r>
      <w:r w:rsidRPr="0065302E">
        <w:t xml:space="preserve">submit retention bonus claims to MassHealth each service quarter, during the calendar month immediately after the previous quarter ends. Please see billing schedule </w:t>
      </w:r>
      <w:r w:rsidR="00537CC1">
        <w:t>here</w:t>
      </w:r>
      <w:r w:rsidRPr="0065302E">
        <w:t>.</w:t>
      </w:r>
    </w:p>
    <w:p w14:paraId="2D639D6F" w14:textId="77777777" w:rsidR="00765A7E" w:rsidRPr="0065302E" w:rsidRDefault="00765A7E" w:rsidP="002B0CE9"/>
    <w:tbl>
      <w:tblPr>
        <w:tblStyle w:val="TableGrid"/>
        <w:tblW w:w="0" w:type="auto"/>
        <w:jc w:val="center"/>
        <w:tblLook w:val="04A0" w:firstRow="1" w:lastRow="0" w:firstColumn="1" w:lastColumn="0" w:noHBand="0" w:noVBand="1"/>
        <w:tblCaption w:val="Service Quarter and BIlling Month"/>
      </w:tblPr>
      <w:tblGrid>
        <w:gridCol w:w="3304"/>
        <w:gridCol w:w="1933"/>
      </w:tblGrid>
      <w:tr w:rsidR="002B0CE9" w:rsidRPr="0065302E" w14:paraId="75D7D8DC" w14:textId="77777777" w:rsidTr="00867B20">
        <w:trPr>
          <w:jc w:val="center"/>
        </w:trPr>
        <w:tc>
          <w:tcPr>
            <w:tcW w:w="3304" w:type="dxa"/>
          </w:tcPr>
          <w:p w14:paraId="255CDE74" w14:textId="77777777" w:rsidR="002B0CE9" w:rsidRPr="0065302E" w:rsidRDefault="002B0CE9" w:rsidP="00867B20">
            <w:pPr>
              <w:jc w:val="center"/>
              <w:rPr>
                <w:b/>
                <w:bCs/>
              </w:rPr>
            </w:pPr>
            <w:r w:rsidRPr="0065302E">
              <w:rPr>
                <w:b/>
                <w:bCs/>
              </w:rPr>
              <w:t>Service Quarter</w:t>
            </w:r>
          </w:p>
        </w:tc>
        <w:tc>
          <w:tcPr>
            <w:tcW w:w="1933" w:type="dxa"/>
          </w:tcPr>
          <w:p w14:paraId="76CEC7E7" w14:textId="77777777" w:rsidR="002B0CE9" w:rsidRPr="0065302E" w:rsidRDefault="002B0CE9" w:rsidP="00867B20">
            <w:pPr>
              <w:jc w:val="center"/>
              <w:rPr>
                <w:b/>
                <w:bCs/>
              </w:rPr>
            </w:pPr>
            <w:r w:rsidRPr="0065302E">
              <w:rPr>
                <w:b/>
                <w:bCs/>
              </w:rPr>
              <w:t>Billing Month</w:t>
            </w:r>
          </w:p>
        </w:tc>
      </w:tr>
      <w:tr w:rsidR="002B0CE9" w:rsidRPr="0065302E" w14:paraId="7AF1B8EE" w14:textId="77777777" w:rsidTr="00867B20">
        <w:trPr>
          <w:jc w:val="center"/>
        </w:trPr>
        <w:tc>
          <w:tcPr>
            <w:tcW w:w="3304" w:type="dxa"/>
          </w:tcPr>
          <w:p w14:paraId="74A75825" w14:textId="77777777" w:rsidR="002B0CE9" w:rsidRPr="0065302E" w:rsidRDefault="002B0CE9" w:rsidP="00867B20">
            <w:pPr>
              <w:jc w:val="center"/>
            </w:pPr>
            <w:r w:rsidRPr="0065302E">
              <w:t>April 2023–June 2023</w:t>
            </w:r>
          </w:p>
        </w:tc>
        <w:tc>
          <w:tcPr>
            <w:tcW w:w="1933" w:type="dxa"/>
          </w:tcPr>
          <w:p w14:paraId="52ED76C1" w14:textId="77777777" w:rsidR="002B0CE9" w:rsidRPr="0065302E" w:rsidRDefault="002B0CE9" w:rsidP="00867B20">
            <w:pPr>
              <w:jc w:val="center"/>
            </w:pPr>
            <w:r w:rsidRPr="0065302E">
              <w:t>July 2023</w:t>
            </w:r>
          </w:p>
        </w:tc>
      </w:tr>
      <w:tr w:rsidR="002B0CE9" w:rsidRPr="0065302E" w14:paraId="329587E2" w14:textId="77777777" w:rsidTr="00867B20">
        <w:trPr>
          <w:jc w:val="center"/>
        </w:trPr>
        <w:tc>
          <w:tcPr>
            <w:tcW w:w="3304" w:type="dxa"/>
          </w:tcPr>
          <w:p w14:paraId="2650751A" w14:textId="77777777" w:rsidR="002B0CE9" w:rsidRPr="0065302E" w:rsidRDefault="002B0CE9" w:rsidP="00867B20">
            <w:pPr>
              <w:jc w:val="center"/>
            </w:pPr>
            <w:r w:rsidRPr="0065302E">
              <w:t>July 2023–September 2023</w:t>
            </w:r>
          </w:p>
        </w:tc>
        <w:tc>
          <w:tcPr>
            <w:tcW w:w="1933" w:type="dxa"/>
          </w:tcPr>
          <w:p w14:paraId="77A93CFC" w14:textId="77777777" w:rsidR="002B0CE9" w:rsidRPr="0065302E" w:rsidRDefault="002B0CE9" w:rsidP="00867B20">
            <w:pPr>
              <w:jc w:val="center"/>
            </w:pPr>
            <w:r w:rsidRPr="0065302E">
              <w:t>October 2023</w:t>
            </w:r>
          </w:p>
        </w:tc>
      </w:tr>
      <w:tr w:rsidR="002B0CE9" w:rsidRPr="0065302E" w14:paraId="28E6F8D8" w14:textId="77777777" w:rsidTr="00867B20">
        <w:trPr>
          <w:jc w:val="center"/>
        </w:trPr>
        <w:tc>
          <w:tcPr>
            <w:tcW w:w="3304" w:type="dxa"/>
          </w:tcPr>
          <w:p w14:paraId="2D8AB827" w14:textId="77777777" w:rsidR="002B0CE9" w:rsidRPr="0065302E" w:rsidRDefault="002B0CE9" w:rsidP="00867B20">
            <w:pPr>
              <w:jc w:val="center"/>
            </w:pPr>
            <w:r w:rsidRPr="0065302E">
              <w:t>October 2023–December 2023</w:t>
            </w:r>
          </w:p>
        </w:tc>
        <w:tc>
          <w:tcPr>
            <w:tcW w:w="1933" w:type="dxa"/>
          </w:tcPr>
          <w:p w14:paraId="3DC77BD9" w14:textId="77777777" w:rsidR="002B0CE9" w:rsidRPr="0065302E" w:rsidRDefault="002B0CE9" w:rsidP="00867B20">
            <w:pPr>
              <w:jc w:val="center"/>
            </w:pPr>
            <w:r w:rsidRPr="0065302E">
              <w:t>January 2024</w:t>
            </w:r>
          </w:p>
        </w:tc>
      </w:tr>
      <w:tr w:rsidR="002B0CE9" w:rsidRPr="0065302E" w14:paraId="6543C797" w14:textId="77777777" w:rsidTr="00867B20">
        <w:trPr>
          <w:jc w:val="center"/>
        </w:trPr>
        <w:tc>
          <w:tcPr>
            <w:tcW w:w="3304" w:type="dxa"/>
          </w:tcPr>
          <w:p w14:paraId="3FE5351C" w14:textId="77777777" w:rsidR="002B0CE9" w:rsidRPr="0065302E" w:rsidRDefault="002B0CE9" w:rsidP="00867B20">
            <w:pPr>
              <w:jc w:val="center"/>
            </w:pPr>
            <w:r w:rsidRPr="0065302E">
              <w:t>January 2024–March 2024</w:t>
            </w:r>
          </w:p>
        </w:tc>
        <w:tc>
          <w:tcPr>
            <w:tcW w:w="1933" w:type="dxa"/>
          </w:tcPr>
          <w:p w14:paraId="57334751" w14:textId="77777777" w:rsidR="002B0CE9" w:rsidRPr="0065302E" w:rsidRDefault="002B0CE9" w:rsidP="00867B20">
            <w:pPr>
              <w:jc w:val="center"/>
            </w:pPr>
            <w:r w:rsidRPr="0065302E">
              <w:t>April 2024</w:t>
            </w:r>
          </w:p>
        </w:tc>
      </w:tr>
      <w:tr w:rsidR="002B0CE9" w:rsidRPr="0065302E" w14:paraId="6752731A" w14:textId="77777777" w:rsidTr="00867B20">
        <w:trPr>
          <w:jc w:val="center"/>
        </w:trPr>
        <w:tc>
          <w:tcPr>
            <w:tcW w:w="3304" w:type="dxa"/>
          </w:tcPr>
          <w:p w14:paraId="744CCB89" w14:textId="77777777" w:rsidR="002B0CE9" w:rsidRPr="0065302E" w:rsidRDefault="002B0CE9" w:rsidP="00867B20">
            <w:pPr>
              <w:jc w:val="center"/>
            </w:pPr>
            <w:r>
              <w:t>April 2024 – June 2024</w:t>
            </w:r>
          </w:p>
        </w:tc>
        <w:tc>
          <w:tcPr>
            <w:tcW w:w="1933" w:type="dxa"/>
          </w:tcPr>
          <w:p w14:paraId="41294540" w14:textId="77777777" w:rsidR="002B0CE9" w:rsidRPr="0065302E" w:rsidRDefault="002B0CE9" w:rsidP="00867B20">
            <w:pPr>
              <w:jc w:val="center"/>
            </w:pPr>
            <w:r>
              <w:t>July 2024</w:t>
            </w:r>
          </w:p>
        </w:tc>
      </w:tr>
    </w:tbl>
    <w:p w14:paraId="611697E4" w14:textId="77777777" w:rsidR="002B0CE9" w:rsidRPr="0065302E" w:rsidRDefault="002B0CE9" w:rsidP="002B0CE9">
      <w:pPr>
        <w:spacing w:after="0"/>
      </w:pPr>
    </w:p>
    <w:p w14:paraId="3ACDF1CD" w14:textId="71FE5339" w:rsidR="002B0CE9" w:rsidRPr="0065302E" w:rsidRDefault="002B0CE9" w:rsidP="002B0CE9">
      <w:pPr>
        <w:pStyle w:val="Heading3"/>
        <w:tabs>
          <w:tab w:val="center" w:pos="5083"/>
        </w:tabs>
        <w:spacing w:before="0" w:after="100"/>
      </w:pPr>
      <w:r w:rsidRPr="0065302E">
        <w:t>Procedure Codes</w:t>
      </w:r>
    </w:p>
    <w:p w14:paraId="09C21580" w14:textId="77777777" w:rsidR="002B0CE9" w:rsidRPr="0065302E" w:rsidRDefault="002B0CE9" w:rsidP="002B0CE9">
      <w:r w:rsidRPr="0065302E">
        <w:t>INs must use the following procedure codes and modifiers when billing for CSN retention bonuses</w:t>
      </w:r>
      <w:r>
        <w:t>.</w:t>
      </w:r>
    </w:p>
    <w:p w14:paraId="75BF82AC" w14:textId="77777777" w:rsidR="002B0CE9" w:rsidRPr="0065302E" w:rsidRDefault="002B0CE9" w:rsidP="002B0CE9">
      <w:pPr>
        <w:pStyle w:val="ListParagraph"/>
        <w:numPr>
          <w:ilvl w:val="0"/>
          <w:numId w:val="15"/>
        </w:numPr>
        <w:spacing w:after="100" w:afterAutospacing="1" w:line="240" w:lineRule="auto"/>
      </w:pPr>
      <w:r w:rsidRPr="0065302E">
        <w:t>T1030 U1: Nursing care, in the home, by registered nurse, per diem (CSN nurse retention bonus for 480 hours) (use for RN and LPN) (per nurse)</w:t>
      </w:r>
    </w:p>
    <w:p w14:paraId="4F050302" w14:textId="77777777" w:rsidR="002B0CE9" w:rsidRPr="0065302E" w:rsidRDefault="002B0CE9" w:rsidP="002B0CE9">
      <w:pPr>
        <w:pStyle w:val="ListParagraph"/>
        <w:numPr>
          <w:ilvl w:val="0"/>
          <w:numId w:val="15"/>
        </w:numPr>
        <w:spacing w:after="100" w:afterAutospacing="1" w:line="240" w:lineRule="auto"/>
      </w:pPr>
      <w:r w:rsidRPr="0065302E">
        <w:t>T1030 U2: Nursing care, in the home, by registered nurse, per diem (CSN nurse retention bonus for 360 hours) (use for RN and LPN) (per nurse)</w:t>
      </w:r>
    </w:p>
    <w:p w14:paraId="0E514DC1" w14:textId="77777777" w:rsidR="002B0CE9" w:rsidRPr="0065302E" w:rsidRDefault="002B0CE9" w:rsidP="002B0CE9">
      <w:pPr>
        <w:pStyle w:val="ListParagraph"/>
        <w:numPr>
          <w:ilvl w:val="0"/>
          <w:numId w:val="15"/>
        </w:numPr>
        <w:spacing w:after="100" w:afterAutospacing="1" w:line="240" w:lineRule="auto"/>
      </w:pPr>
      <w:r w:rsidRPr="0065302E">
        <w:t>T1030 U3: Nursing care, in the home, by registered nurse, per diem (CSN nurse retention bonus for 260 hours) (use for RN and LPN) (per nurse)</w:t>
      </w:r>
    </w:p>
    <w:p w14:paraId="60209969" w14:textId="77777777" w:rsidR="002B0CE9" w:rsidRPr="0065302E" w:rsidRDefault="002B0CE9" w:rsidP="002B0CE9">
      <w:pPr>
        <w:pStyle w:val="Heading3"/>
        <w:tabs>
          <w:tab w:val="center" w:pos="5083"/>
        </w:tabs>
        <w:spacing w:before="0" w:after="100"/>
      </w:pPr>
      <w:r w:rsidRPr="0065302E">
        <w:t>Billing Procedures</w:t>
      </w:r>
    </w:p>
    <w:p w14:paraId="5DAA491A" w14:textId="00233301" w:rsidR="002B0CE9" w:rsidRPr="0065302E" w:rsidRDefault="002B0CE9" w:rsidP="002B0CE9">
      <w:r w:rsidRPr="0065302E">
        <w:t>Before billing MassHealth for a retention bonus, IN</w:t>
      </w:r>
      <w:r w:rsidR="00E95BF8">
        <w:t>s</w:t>
      </w:r>
      <w:r w:rsidRPr="0065302E">
        <w:t xml:space="preserve"> must ensure that they have billed MassHealth for all qualifying CSN services provided during the service quarter. When billing for a retention bonus, IN</w:t>
      </w:r>
      <w:r w:rsidR="00E95BF8">
        <w:t>s</w:t>
      </w:r>
      <w:r w:rsidRPr="0065302E">
        <w:t xml:space="preserve"> must ensure that each claim submission is attached to a CCM member whom the IN has served, even if the IN also qualifies for the retention bonus by having served other CCM members.  </w:t>
      </w:r>
    </w:p>
    <w:p w14:paraId="64426423" w14:textId="77777777" w:rsidR="00B73421" w:rsidRDefault="002B0CE9" w:rsidP="002B0CE9">
      <w:r w:rsidRPr="0065302E">
        <w:t xml:space="preserve">When MassHealth receives a retention bonus claim, it will suspend the claim for manual review before issuing a final claim status.  </w:t>
      </w:r>
    </w:p>
    <w:p w14:paraId="2AC2A0C8" w14:textId="066FCF88" w:rsidR="002B0CE9" w:rsidRPr="0065302E" w:rsidRDefault="002B0CE9" w:rsidP="002B0CE9">
      <w:r w:rsidRPr="0065302E">
        <w:t xml:space="preserve">If an IN has questions about the status of a claim submission, </w:t>
      </w:r>
      <w:r w:rsidR="001B4941">
        <w:t>please</w:t>
      </w:r>
      <w:r w:rsidRPr="0065302E">
        <w:t xml:space="preserve"> </w:t>
      </w:r>
      <w:r w:rsidR="001B4941">
        <w:t>email</w:t>
      </w:r>
      <w:r w:rsidR="001B4941" w:rsidRPr="0065302E">
        <w:t xml:space="preserve"> </w:t>
      </w:r>
      <w:r w:rsidRPr="0065302E">
        <w:t xml:space="preserve">the LTSS Service Center at </w:t>
      </w:r>
      <w:hyperlink r:id="rId14" w:history="1">
        <w:r w:rsidRPr="0065302E">
          <w:rPr>
            <w:rStyle w:val="Hyperlink"/>
          </w:rPr>
          <w:t>support@masshealthltss.com</w:t>
        </w:r>
      </w:hyperlink>
      <w:r w:rsidRPr="0065302E">
        <w:t xml:space="preserve"> </w:t>
      </w:r>
      <w:r w:rsidR="00BC7FD2">
        <w:t>with the subject line</w:t>
      </w:r>
      <w:r w:rsidRPr="0065302E">
        <w:t xml:space="preserve"> “[</w:t>
      </w:r>
      <w:r w:rsidR="00E95BF8" w:rsidRPr="00E95BF8">
        <w:rPr>
          <w:i/>
          <w:iCs/>
        </w:rPr>
        <w:t>add your</w:t>
      </w:r>
      <w:r w:rsidR="00E95BF8">
        <w:t xml:space="preserve"> </w:t>
      </w:r>
      <w:r w:rsidRPr="0065302E">
        <w:t>IN Name] CSN Retention Bonus Claim [</w:t>
      </w:r>
      <w:r w:rsidR="001815B0" w:rsidRPr="00E95BF8">
        <w:rPr>
          <w:i/>
          <w:iCs/>
        </w:rPr>
        <w:t>add your</w:t>
      </w:r>
      <w:r w:rsidR="001815B0">
        <w:t xml:space="preserve"> </w:t>
      </w:r>
      <w:r w:rsidRPr="0065302E">
        <w:t>MassHealth Internal Control Number (ICN)].”</w:t>
      </w:r>
    </w:p>
    <w:p w14:paraId="079EE40A" w14:textId="77777777" w:rsidR="002B0CE9" w:rsidRPr="007008F0" w:rsidRDefault="002B0CE9" w:rsidP="002B0CE9">
      <w:pPr>
        <w:pStyle w:val="Heading2"/>
        <w:spacing w:before="0" w:after="100"/>
      </w:pPr>
      <w:r w:rsidRPr="007008F0">
        <w:lastRenderedPageBreak/>
        <w:t>Documentation Requirements and Noncompliance</w:t>
      </w:r>
    </w:p>
    <w:p w14:paraId="759EFCC4" w14:textId="12E14AD8" w:rsidR="002B0CE9" w:rsidRPr="007008F0" w:rsidRDefault="002B0CE9" w:rsidP="002B0CE9">
      <w:r w:rsidRPr="007008F0">
        <w:t xml:space="preserve">In accordance with 130 CMR 414.417(C), INs must participate in any quality management and program integrity processes requested by MassHealth. INs must </w:t>
      </w:r>
      <w:r w:rsidR="001B4941">
        <w:t xml:space="preserve">also </w:t>
      </w:r>
      <w:r w:rsidRPr="007008F0">
        <w:t>maintain a record that complies with 130 CMR 414.000 for each CCM member they serve. INs who do not adhere to the requirements in this bulletin may be subject to sanction in accordance with 130 CMR 450.238.</w:t>
      </w:r>
    </w:p>
    <w:p w14:paraId="0B51112D" w14:textId="63F621AB" w:rsidR="00403685" w:rsidRPr="0067356F" w:rsidRDefault="00403685" w:rsidP="0002237D">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5"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000000" w:rsidP="00403685">
      <w:hyperlink r:id="rId16" w:history="1">
        <w:r w:rsidR="00403685" w:rsidRPr="00715A8E">
          <w:rPr>
            <w:rStyle w:val="Hyperlink"/>
          </w:rPr>
          <w:t>Sign up</w:t>
        </w:r>
      </w:hyperlink>
      <w:r w:rsidR="00403685" w:rsidRPr="009901A7">
        <w:t xml:space="preserve"> to receive email alerts when MassHealth issues new bulletins and transmittal letters.</w:t>
      </w:r>
    </w:p>
    <w:p w14:paraId="2F3088BE" w14:textId="77777777" w:rsidR="00403685" w:rsidRPr="009901A7" w:rsidRDefault="00403685" w:rsidP="0002237D">
      <w:pPr>
        <w:pStyle w:val="Heading2"/>
      </w:pPr>
      <w:r w:rsidRPr="009901A7">
        <w:t>Questions</w:t>
      </w:r>
      <w:r>
        <w:t xml:space="preserve"> </w:t>
      </w:r>
    </w:p>
    <w:p w14:paraId="73FAA189" w14:textId="7B6085C3" w:rsidR="00403685" w:rsidRDefault="00403685" w:rsidP="00403685">
      <w:r w:rsidRPr="009901A7">
        <w:t xml:space="preserve">If you have questions about the information in this bulletin, please </w:t>
      </w:r>
      <w:r w:rsidR="00CE1946">
        <w:t>contact</w:t>
      </w:r>
      <w:r w:rsidR="00916124">
        <w:t>:</w:t>
      </w:r>
    </w:p>
    <w:p w14:paraId="12E6E72F" w14:textId="77777777" w:rsidR="00CE1946" w:rsidRDefault="00CE1946" w:rsidP="0002237D">
      <w:pPr>
        <w:pStyle w:val="Heading3"/>
      </w:pPr>
      <w:r w:rsidRPr="00CE1946">
        <w:t xml:space="preserve">Long-Term Services and Supports </w:t>
      </w:r>
    </w:p>
    <w:p w14:paraId="0A15E3DA" w14:textId="2A4C91C6" w:rsidR="00CE1946" w:rsidRDefault="00CE1946" w:rsidP="00916124">
      <w:pPr>
        <w:spacing w:line="240" w:lineRule="auto"/>
        <w:ind w:left="720"/>
      </w:pPr>
      <w:r w:rsidRPr="00CE1946">
        <w:t>Phone:</w:t>
      </w:r>
      <w:r>
        <w:tab/>
      </w:r>
      <w:r w:rsidRPr="00CE1946">
        <w:t xml:space="preserve"> (844) 368-5184 (toll free)</w:t>
      </w:r>
    </w:p>
    <w:p w14:paraId="1A078E52" w14:textId="6A506C03" w:rsidR="00CE1946" w:rsidRDefault="00CE1946" w:rsidP="00916124">
      <w:pPr>
        <w:spacing w:line="240" w:lineRule="auto"/>
        <w:ind w:left="720"/>
      </w:pPr>
      <w:r w:rsidRPr="00CE1946">
        <w:t xml:space="preserve">Email: </w:t>
      </w:r>
      <w:r>
        <w:tab/>
      </w:r>
      <w:hyperlink r:id="rId17" w:history="1">
        <w:r w:rsidRPr="004C1407">
          <w:rPr>
            <w:rStyle w:val="Hyperlink"/>
          </w:rPr>
          <w:t>support@masshealthltss.com</w:t>
        </w:r>
      </w:hyperlink>
    </w:p>
    <w:p w14:paraId="2177271B" w14:textId="568114DF" w:rsidR="00CE1946" w:rsidRDefault="00CE1946" w:rsidP="00916124">
      <w:pPr>
        <w:spacing w:line="240" w:lineRule="auto"/>
        <w:ind w:left="720"/>
      </w:pPr>
      <w:r w:rsidRPr="00CE1946">
        <w:t xml:space="preserve">Portal: </w:t>
      </w:r>
      <w:r>
        <w:tab/>
      </w:r>
      <w:hyperlink r:id="rId18" w:history="1">
        <w:r w:rsidRPr="00CE1946">
          <w:rPr>
            <w:rStyle w:val="Hyperlink"/>
          </w:rPr>
          <w:t xml:space="preserve">MassHealthLTSS.com </w:t>
        </w:r>
      </w:hyperlink>
    </w:p>
    <w:p w14:paraId="6150583B" w14:textId="77777777" w:rsidR="00CE1946" w:rsidRDefault="00CE1946" w:rsidP="00CE1946">
      <w:pPr>
        <w:spacing w:after="0" w:line="240" w:lineRule="auto"/>
        <w:ind w:left="720"/>
      </w:pPr>
      <w:r w:rsidRPr="00CE1946">
        <w:t xml:space="preserve">Mail: </w:t>
      </w:r>
      <w:r>
        <w:tab/>
      </w:r>
      <w:r w:rsidRPr="00CE1946">
        <w:t>MassHealth LTSS</w:t>
      </w:r>
    </w:p>
    <w:p w14:paraId="597695A9" w14:textId="77777777" w:rsidR="00CE1946" w:rsidRDefault="00CE1946" w:rsidP="00CE1946">
      <w:pPr>
        <w:spacing w:after="0" w:line="240" w:lineRule="auto"/>
        <w:ind w:left="720" w:firstLine="720"/>
      </w:pPr>
      <w:r w:rsidRPr="00CE1946">
        <w:t>PO Box 159108</w:t>
      </w:r>
    </w:p>
    <w:p w14:paraId="5D313927" w14:textId="77777777" w:rsidR="00CE1946" w:rsidRDefault="00CE1946" w:rsidP="00916124">
      <w:pPr>
        <w:spacing w:line="240" w:lineRule="auto"/>
        <w:ind w:left="720" w:firstLine="720"/>
      </w:pPr>
      <w:r w:rsidRPr="00CE1946">
        <w:t xml:space="preserve">Boston, MA 02215 </w:t>
      </w:r>
    </w:p>
    <w:p w14:paraId="2F5AEDD1" w14:textId="34D76840" w:rsidR="009A0E9B" w:rsidRDefault="00CE1946" w:rsidP="00CE1946">
      <w:pPr>
        <w:spacing w:after="0" w:line="240" w:lineRule="auto"/>
        <w:ind w:firstLine="720"/>
      </w:pPr>
      <w:r w:rsidRPr="00CE1946">
        <w:t xml:space="preserve">Fax: </w:t>
      </w:r>
      <w:r w:rsidR="004B70C6">
        <w:tab/>
      </w:r>
      <w:r w:rsidRPr="00CE1946">
        <w:t>(888) 832-3006</w:t>
      </w:r>
    </w:p>
    <w:p w14:paraId="48AE0510" w14:textId="7B2A337A" w:rsidR="004B70C6" w:rsidRDefault="004B70C6" w:rsidP="004B20FE">
      <w:pPr>
        <w:spacing w:before="960"/>
      </w:pPr>
      <w:r>
        <w:drawing>
          <wp:inline distT="0" distB="0" distL="0" distR="0" wp14:anchorId="57050B68" wp14:editId="77937164">
            <wp:extent cx="219438" cy="219438"/>
            <wp:effectExtent l="0" t="0" r="0" b="9525"/>
            <wp:docPr id="1865189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865189851"/>
                    <pic:cNvPicPr/>
                  </pic:nvPicPr>
                  <pic:blipFill>
                    <a:blip r:embed="rId1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0" w:history="1">
        <w:r w:rsidRPr="008B1B7F">
          <w:rPr>
            <w:rStyle w:val="Hyperlink"/>
            <w:position w:val="10"/>
          </w:rPr>
          <w:t>MassHealth on Facebook</w:t>
        </w:r>
      </w:hyperlink>
      <w:r>
        <w:rPr>
          <w:position w:val="10"/>
        </w:rPr>
        <w:t xml:space="preserve">     </w:t>
      </w:r>
      <w:r>
        <w:drawing>
          <wp:inline distT="0" distB="0" distL="0" distR="0" wp14:anchorId="6E71F6A5" wp14:editId="251018BF">
            <wp:extent cx="219438" cy="219438"/>
            <wp:effectExtent l="0" t="0" r="9525" b="9525"/>
            <wp:docPr id="610088090" name="Picture 610088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pic:cNvPicPr/>
                  </pic:nvPicPr>
                  <pic:blipFill>
                    <a:blip r:embed="rId2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2" w:history="1">
        <w:r w:rsidR="004B20FE">
          <w:rPr>
            <w:rStyle w:val="Hyperlink"/>
            <w:position w:val="10"/>
          </w:rPr>
          <w:t>MassHealth on X (Twitter)</w:t>
        </w:r>
      </w:hyperlink>
      <w:r>
        <w:rPr>
          <w:position w:val="10"/>
        </w:rPr>
        <w:t xml:space="preserve">     </w:t>
      </w:r>
      <w:r>
        <w:drawing>
          <wp:inline distT="0" distB="0" distL="0" distR="0" wp14:anchorId="75921427" wp14:editId="001C01ED">
            <wp:extent cx="219438" cy="219438"/>
            <wp:effectExtent l="0" t="0" r="9525" b="9525"/>
            <wp:docPr id="1407212517" name="Picture 1407212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Pr="008B1B7F">
          <w:rPr>
            <w:rStyle w:val="Hyperlink"/>
            <w:position w:val="10"/>
          </w:rPr>
          <w:t>MassHealth on YouTube</w:t>
        </w:r>
      </w:hyperlink>
    </w:p>
    <w:p w14:paraId="210B46F6" w14:textId="77777777" w:rsidR="004B70C6" w:rsidRDefault="004B70C6" w:rsidP="00CE1946">
      <w:pPr>
        <w:ind w:left="720"/>
      </w:pPr>
    </w:p>
    <w:sectPr w:rsidR="004B70C6" w:rsidSect="00CD3DC1">
      <w:headerReference w:type="default" r:id="rId25"/>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DB8E7" w14:textId="77777777" w:rsidR="00CD3DC1" w:rsidRDefault="00CD3DC1" w:rsidP="00FF5AAD">
      <w:r>
        <w:separator/>
      </w:r>
    </w:p>
    <w:p w14:paraId="128B4AE4" w14:textId="77777777" w:rsidR="00CD3DC1" w:rsidRDefault="00CD3DC1" w:rsidP="00FF5AAD"/>
    <w:p w14:paraId="04C4BF8F" w14:textId="77777777" w:rsidR="00CD3DC1" w:rsidRDefault="00CD3DC1" w:rsidP="00FF5AAD"/>
    <w:p w14:paraId="0AF5834E" w14:textId="77777777" w:rsidR="00CD3DC1" w:rsidRDefault="00CD3DC1" w:rsidP="00FF5AAD"/>
    <w:p w14:paraId="07BAFD37" w14:textId="77777777" w:rsidR="00CD3DC1" w:rsidRDefault="00CD3DC1" w:rsidP="00FF5AAD"/>
  </w:endnote>
  <w:endnote w:type="continuationSeparator" w:id="0">
    <w:p w14:paraId="6CCC46AF" w14:textId="77777777" w:rsidR="00CD3DC1" w:rsidRDefault="00CD3DC1" w:rsidP="00FF5AAD">
      <w:r>
        <w:continuationSeparator/>
      </w:r>
    </w:p>
    <w:p w14:paraId="73C0A826" w14:textId="77777777" w:rsidR="00CD3DC1" w:rsidRDefault="00CD3DC1" w:rsidP="00FF5AAD"/>
    <w:p w14:paraId="40FFAE52" w14:textId="77777777" w:rsidR="00CD3DC1" w:rsidRDefault="00CD3DC1" w:rsidP="00FF5AAD"/>
    <w:p w14:paraId="2BCF44A6" w14:textId="77777777" w:rsidR="00CD3DC1" w:rsidRDefault="00CD3DC1" w:rsidP="00FF5AAD"/>
    <w:p w14:paraId="49896B5F" w14:textId="77777777" w:rsidR="00CD3DC1" w:rsidRDefault="00CD3DC1"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3425419"/>
      <w:docPartObj>
        <w:docPartGallery w:val="Page Numbers (Bottom of Page)"/>
        <w:docPartUnique/>
      </w:docPartObj>
    </w:sdtPr>
    <w:sdtContent>
      <w:sdt>
        <w:sdtPr>
          <w:id w:val="1728636285"/>
          <w:docPartObj>
            <w:docPartGallery w:val="Page Numbers (Top of Page)"/>
            <w:docPartUnique/>
          </w:docPartObj>
        </w:sdtPr>
        <w:sdtContent>
          <w:p w14:paraId="45366B13" w14:textId="7BD5E083" w:rsidR="000C162F" w:rsidRDefault="000C162F" w:rsidP="000C162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3194E" w14:textId="77777777" w:rsidR="00CD3DC1" w:rsidRDefault="00CD3DC1" w:rsidP="00FF5AAD">
      <w:r>
        <w:separator/>
      </w:r>
    </w:p>
    <w:p w14:paraId="780EBC52" w14:textId="77777777" w:rsidR="00CD3DC1" w:rsidRDefault="00CD3DC1" w:rsidP="00FF5AAD"/>
    <w:p w14:paraId="685B80B6" w14:textId="77777777" w:rsidR="00CD3DC1" w:rsidRDefault="00CD3DC1" w:rsidP="00FF5AAD"/>
    <w:p w14:paraId="1965A7C0" w14:textId="77777777" w:rsidR="00CD3DC1" w:rsidRDefault="00CD3DC1" w:rsidP="00FF5AAD"/>
    <w:p w14:paraId="6BE13E39" w14:textId="77777777" w:rsidR="00CD3DC1" w:rsidRDefault="00CD3DC1" w:rsidP="00FF5AAD"/>
  </w:footnote>
  <w:footnote w:type="continuationSeparator" w:id="0">
    <w:p w14:paraId="6410588C" w14:textId="77777777" w:rsidR="00CD3DC1" w:rsidRDefault="00CD3DC1" w:rsidP="00FF5AAD">
      <w:r>
        <w:continuationSeparator/>
      </w:r>
    </w:p>
    <w:p w14:paraId="6221D6F6" w14:textId="77777777" w:rsidR="00CD3DC1" w:rsidRDefault="00CD3DC1" w:rsidP="00FF5AAD"/>
    <w:p w14:paraId="47408EFB" w14:textId="77777777" w:rsidR="00CD3DC1" w:rsidRDefault="00CD3DC1" w:rsidP="00FF5AAD"/>
    <w:p w14:paraId="12BA1771" w14:textId="77777777" w:rsidR="00CD3DC1" w:rsidRDefault="00CD3DC1" w:rsidP="00FF5AAD"/>
    <w:p w14:paraId="0821FEE1" w14:textId="77777777" w:rsidR="00CD3DC1" w:rsidRDefault="00CD3DC1"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500E" w14:textId="77777777" w:rsidR="003D0423" w:rsidRDefault="003D0423" w:rsidP="00021DF7">
    <w:pPr>
      <w:spacing w:after="0"/>
      <w:ind w:left="6480"/>
    </w:pPr>
    <w:r>
      <w:t>MassHealth</w:t>
    </w:r>
  </w:p>
  <w:p w14:paraId="216F7D62" w14:textId="77777777" w:rsidR="0002230D" w:rsidRDefault="002B0CE9" w:rsidP="00021DF7">
    <w:pPr>
      <w:spacing w:after="0"/>
      <w:ind w:left="6480"/>
    </w:pPr>
    <w:r>
      <w:t>I</w:t>
    </w:r>
    <w:r w:rsidR="0002230D">
      <w:t>ndependent Nurse</w:t>
    </w:r>
  </w:p>
  <w:p w14:paraId="702302EC" w14:textId="56AAE5E4" w:rsidR="003D0423" w:rsidRDefault="008D3841" w:rsidP="00021DF7">
    <w:pPr>
      <w:spacing w:after="0"/>
      <w:ind w:left="6480"/>
    </w:pPr>
    <w:r>
      <w:t xml:space="preserve">     </w:t>
    </w:r>
    <w:r w:rsidR="000D6500">
      <w:t xml:space="preserve">Bulletin </w:t>
    </w:r>
    <w:r w:rsidR="00394FD8" w:rsidRPr="00394FD8">
      <w:t>17</w:t>
    </w:r>
  </w:p>
  <w:p w14:paraId="0A340FC6" w14:textId="1B08F19F" w:rsidR="003D0423" w:rsidRPr="008F7531" w:rsidRDefault="00394FD8" w:rsidP="00021DF7">
    <w:pPr>
      <w:ind w:left="6480"/>
    </w:pPr>
    <w:r w:rsidRPr="00394FD8">
      <w:t>February</w:t>
    </w:r>
    <w:r w:rsidR="003D0423" w:rsidRPr="00394FD8">
      <w:t xml:space="preserve"> </w:t>
    </w:r>
    <w:r w:rsidR="002B0CE9">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34966"/>
    <w:multiLevelType w:val="hybridMultilevel"/>
    <w:tmpl w:val="07827B28"/>
    <w:lvl w:ilvl="0" w:tplc="A07091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270024"/>
    <w:multiLevelType w:val="hybridMultilevel"/>
    <w:tmpl w:val="965A9E0E"/>
    <w:lvl w:ilvl="0" w:tplc="163C7F6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205861"/>
    <w:multiLevelType w:val="hybridMultilevel"/>
    <w:tmpl w:val="A8E25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2"/>
  </w:num>
  <w:num w:numId="12" w16cid:durableId="1767457559">
    <w:abstractNumId w:val="11"/>
  </w:num>
  <w:num w:numId="13" w16cid:durableId="1325743074">
    <w:abstractNumId w:val="10"/>
  </w:num>
  <w:num w:numId="14" w16cid:durableId="174735237">
    <w:abstractNumId w:val="10"/>
  </w:num>
  <w:num w:numId="15" w16cid:durableId="17172400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21DF7"/>
    <w:rsid w:val="0002230D"/>
    <w:rsid w:val="0002237D"/>
    <w:rsid w:val="0002638F"/>
    <w:rsid w:val="00032BB1"/>
    <w:rsid w:val="00032C02"/>
    <w:rsid w:val="00037261"/>
    <w:rsid w:val="00041220"/>
    <w:rsid w:val="000532E2"/>
    <w:rsid w:val="00056E4C"/>
    <w:rsid w:val="000706EF"/>
    <w:rsid w:val="000709B3"/>
    <w:rsid w:val="00080FFB"/>
    <w:rsid w:val="00086041"/>
    <w:rsid w:val="000943BC"/>
    <w:rsid w:val="00095863"/>
    <w:rsid w:val="000A2664"/>
    <w:rsid w:val="000A3348"/>
    <w:rsid w:val="000C162F"/>
    <w:rsid w:val="000D3672"/>
    <w:rsid w:val="000D3CB8"/>
    <w:rsid w:val="000D5B34"/>
    <w:rsid w:val="000D6500"/>
    <w:rsid w:val="000D71AE"/>
    <w:rsid w:val="000E324A"/>
    <w:rsid w:val="000E3E10"/>
    <w:rsid w:val="000F173A"/>
    <w:rsid w:val="000F579B"/>
    <w:rsid w:val="00113E7F"/>
    <w:rsid w:val="00130054"/>
    <w:rsid w:val="00132412"/>
    <w:rsid w:val="0014797D"/>
    <w:rsid w:val="00153E24"/>
    <w:rsid w:val="001655EC"/>
    <w:rsid w:val="001815B0"/>
    <w:rsid w:val="00183784"/>
    <w:rsid w:val="0018768A"/>
    <w:rsid w:val="00194491"/>
    <w:rsid w:val="00195C8A"/>
    <w:rsid w:val="0019650C"/>
    <w:rsid w:val="0019736A"/>
    <w:rsid w:val="00197D44"/>
    <w:rsid w:val="001A25AC"/>
    <w:rsid w:val="001A477C"/>
    <w:rsid w:val="001A7499"/>
    <w:rsid w:val="001B4941"/>
    <w:rsid w:val="001C1140"/>
    <w:rsid w:val="001C784A"/>
    <w:rsid w:val="001D5FD0"/>
    <w:rsid w:val="001E0603"/>
    <w:rsid w:val="001F6109"/>
    <w:rsid w:val="00200899"/>
    <w:rsid w:val="002018B3"/>
    <w:rsid w:val="00216420"/>
    <w:rsid w:val="00221668"/>
    <w:rsid w:val="00232E91"/>
    <w:rsid w:val="00240726"/>
    <w:rsid w:val="00246D80"/>
    <w:rsid w:val="00250727"/>
    <w:rsid w:val="00254A64"/>
    <w:rsid w:val="00263F44"/>
    <w:rsid w:val="00264FE0"/>
    <w:rsid w:val="00265DCC"/>
    <w:rsid w:val="00265FBB"/>
    <w:rsid w:val="0028040D"/>
    <w:rsid w:val="002916ED"/>
    <w:rsid w:val="0029448A"/>
    <w:rsid w:val="002B0CE9"/>
    <w:rsid w:val="002C12F8"/>
    <w:rsid w:val="002C40EA"/>
    <w:rsid w:val="002E3B6A"/>
    <w:rsid w:val="002E5188"/>
    <w:rsid w:val="002F7D2A"/>
    <w:rsid w:val="003065DA"/>
    <w:rsid w:val="0032327C"/>
    <w:rsid w:val="0032351D"/>
    <w:rsid w:val="00356707"/>
    <w:rsid w:val="0037002C"/>
    <w:rsid w:val="003737F7"/>
    <w:rsid w:val="00374688"/>
    <w:rsid w:val="003869FD"/>
    <w:rsid w:val="00386F7B"/>
    <w:rsid w:val="00390C38"/>
    <w:rsid w:val="00392A5F"/>
    <w:rsid w:val="00394FD8"/>
    <w:rsid w:val="003A31CA"/>
    <w:rsid w:val="003A6E1E"/>
    <w:rsid w:val="003A7E23"/>
    <w:rsid w:val="003B39EF"/>
    <w:rsid w:val="003C0130"/>
    <w:rsid w:val="003C3A20"/>
    <w:rsid w:val="003D0423"/>
    <w:rsid w:val="003E4959"/>
    <w:rsid w:val="003F221A"/>
    <w:rsid w:val="003F4AF4"/>
    <w:rsid w:val="004013AA"/>
    <w:rsid w:val="00403685"/>
    <w:rsid w:val="004117FD"/>
    <w:rsid w:val="0041389E"/>
    <w:rsid w:val="004153B5"/>
    <w:rsid w:val="00427DA0"/>
    <w:rsid w:val="004373B7"/>
    <w:rsid w:val="00437C15"/>
    <w:rsid w:val="00450E46"/>
    <w:rsid w:val="00461793"/>
    <w:rsid w:val="00461DD8"/>
    <w:rsid w:val="0047107E"/>
    <w:rsid w:val="00484F03"/>
    <w:rsid w:val="004A5518"/>
    <w:rsid w:val="004A5AA4"/>
    <w:rsid w:val="004A69D2"/>
    <w:rsid w:val="004B20FE"/>
    <w:rsid w:val="004B70C6"/>
    <w:rsid w:val="004C1488"/>
    <w:rsid w:val="004D4BC9"/>
    <w:rsid w:val="004D60BA"/>
    <w:rsid w:val="004F64E7"/>
    <w:rsid w:val="004F6EE0"/>
    <w:rsid w:val="00511043"/>
    <w:rsid w:val="005237ED"/>
    <w:rsid w:val="00526EAB"/>
    <w:rsid w:val="00537CC1"/>
    <w:rsid w:val="00544168"/>
    <w:rsid w:val="00546471"/>
    <w:rsid w:val="00560DEC"/>
    <w:rsid w:val="005763C9"/>
    <w:rsid w:val="00583219"/>
    <w:rsid w:val="00590E06"/>
    <w:rsid w:val="0059389D"/>
    <w:rsid w:val="005A3602"/>
    <w:rsid w:val="005A5C18"/>
    <w:rsid w:val="005B3A7D"/>
    <w:rsid w:val="005C33E4"/>
    <w:rsid w:val="005C7D99"/>
    <w:rsid w:val="005D3795"/>
    <w:rsid w:val="005E1781"/>
    <w:rsid w:val="005E6E73"/>
    <w:rsid w:val="005F191C"/>
    <w:rsid w:val="005F2443"/>
    <w:rsid w:val="006015A8"/>
    <w:rsid w:val="006233DC"/>
    <w:rsid w:val="006272B5"/>
    <w:rsid w:val="006353C7"/>
    <w:rsid w:val="0064698F"/>
    <w:rsid w:val="00654896"/>
    <w:rsid w:val="00676163"/>
    <w:rsid w:val="0069214F"/>
    <w:rsid w:val="006927DB"/>
    <w:rsid w:val="006A04D3"/>
    <w:rsid w:val="006A58CB"/>
    <w:rsid w:val="006D1809"/>
    <w:rsid w:val="006D49AA"/>
    <w:rsid w:val="00700C89"/>
    <w:rsid w:val="00700F0E"/>
    <w:rsid w:val="00702352"/>
    <w:rsid w:val="007074C9"/>
    <w:rsid w:val="0071108B"/>
    <w:rsid w:val="00731164"/>
    <w:rsid w:val="00733878"/>
    <w:rsid w:val="00750F30"/>
    <w:rsid w:val="00757D07"/>
    <w:rsid w:val="0076059D"/>
    <w:rsid w:val="007629E9"/>
    <w:rsid w:val="00765A7E"/>
    <w:rsid w:val="007756B5"/>
    <w:rsid w:val="00776856"/>
    <w:rsid w:val="007837EF"/>
    <w:rsid w:val="007C2918"/>
    <w:rsid w:val="007C3BAF"/>
    <w:rsid w:val="007C63E4"/>
    <w:rsid w:val="007D2272"/>
    <w:rsid w:val="007D35FC"/>
    <w:rsid w:val="007D38A4"/>
    <w:rsid w:val="007D470C"/>
    <w:rsid w:val="007E10E2"/>
    <w:rsid w:val="007F1CCF"/>
    <w:rsid w:val="007F4A56"/>
    <w:rsid w:val="007F69B5"/>
    <w:rsid w:val="007F74B0"/>
    <w:rsid w:val="00800CE8"/>
    <w:rsid w:val="008031E5"/>
    <w:rsid w:val="00811DAF"/>
    <w:rsid w:val="008151A9"/>
    <w:rsid w:val="0082380C"/>
    <w:rsid w:val="00824152"/>
    <w:rsid w:val="0082579E"/>
    <w:rsid w:val="0082594F"/>
    <w:rsid w:val="008268F2"/>
    <w:rsid w:val="00832EAC"/>
    <w:rsid w:val="00856980"/>
    <w:rsid w:val="008708FF"/>
    <w:rsid w:val="008858D8"/>
    <w:rsid w:val="00893B9C"/>
    <w:rsid w:val="00894FF0"/>
    <w:rsid w:val="008A3156"/>
    <w:rsid w:val="008A3B9D"/>
    <w:rsid w:val="008A41EA"/>
    <w:rsid w:val="008A6A30"/>
    <w:rsid w:val="008B293F"/>
    <w:rsid w:val="008D3841"/>
    <w:rsid w:val="008E425A"/>
    <w:rsid w:val="008F0D56"/>
    <w:rsid w:val="008F1DC8"/>
    <w:rsid w:val="008F7531"/>
    <w:rsid w:val="00902810"/>
    <w:rsid w:val="00910282"/>
    <w:rsid w:val="00916124"/>
    <w:rsid w:val="00930D16"/>
    <w:rsid w:val="0093651D"/>
    <w:rsid w:val="00943F98"/>
    <w:rsid w:val="00965D5A"/>
    <w:rsid w:val="00977415"/>
    <w:rsid w:val="00981FE9"/>
    <w:rsid w:val="009841A9"/>
    <w:rsid w:val="00992105"/>
    <w:rsid w:val="009A0E9B"/>
    <w:rsid w:val="009A3F81"/>
    <w:rsid w:val="009B4513"/>
    <w:rsid w:val="009D15FA"/>
    <w:rsid w:val="009D59BC"/>
    <w:rsid w:val="009E74F0"/>
    <w:rsid w:val="00A024A3"/>
    <w:rsid w:val="00A0380C"/>
    <w:rsid w:val="00A15EDB"/>
    <w:rsid w:val="00A32028"/>
    <w:rsid w:val="00A422EC"/>
    <w:rsid w:val="00A458CF"/>
    <w:rsid w:val="00A4669C"/>
    <w:rsid w:val="00A56D1A"/>
    <w:rsid w:val="00A570CF"/>
    <w:rsid w:val="00A63CB3"/>
    <w:rsid w:val="00A75E05"/>
    <w:rsid w:val="00AA5B85"/>
    <w:rsid w:val="00AB155F"/>
    <w:rsid w:val="00AD2EF9"/>
    <w:rsid w:val="00AD35E6"/>
    <w:rsid w:val="00AD4B0C"/>
    <w:rsid w:val="00AD7BAF"/>
    <w:rsid w:val="00AF6898"/>
    <w:rsid w:val="00AF6D8F"/>
    <w:rsid w:val="00B03A46"/>
    <w:rsid w:val="00B058D1"/>
    <w:rsid w:val="00B12A3B"/>
    <w:rsid w:val="00B131F5"/>
    <w:rsid w:val="00B20D9D"/>
    <w:rsid w:val="00B327EA"/>
    <w:rsid w:val="00B4268A"/>
    <w:rsid w:val="00B448E4"/>
    <w:rsid w:val="00B44F42"/>
    <w:rsid w:val="00B51510"/>
    <w:rsid w:val="00B60798"/>
    <w:rsid w:val="00B62557"/>
    <w:rsid w:val="00B73421"/>
    <w:rsid w:val="00B934DC"/>
    <w:rsid w:val="00B964AA"/>
    <w:rsid w:val="00B97DA1"/>
    <w:rsid w:val="00BC376D"/>
    <w:rsid w:val="00BC6398"/>
    <w:rsid w:val="00BC70E4"/>
    <w:rsid w:val="00BC7FD2"/>
    <w:rsid w:val="00BD0F64"/>
    <w:rsid w:val="00BD1C0F"/>
    <w:rsid w:val="00BD2F4A"/>
    <w:rsid w:val="00BE49D9"/>
    <w:rsid w:val="00C046E9"/>
    <w:rsid w:val="00C05181"/>
    <w:rsid w:val="00C100CF"/>
    <w:rsid w:val="00C12AD1"/>
    <w:rsid w:val="00C14E02"/>
    <w:rsid w:val="00C16CEA"/>
    <w:rsid w:val="00C3364C"/>
    <w:rsid w:val="00C63B05"/>
    <w:rsid w:val="00C84B58"/>
    <w:rsid w:val="00C9185E"/>
    <w:rsid w:val="00CA3B98"/>
    <w:rsid w:val="00CB3D77"/>
    <w:rsid w:val="00CD3DC1"/>
    <w:rsid w:val="00CD6473"/>
    <w:rsid w:val="00CE1946"/>
    <w:rsid w:val="00CF0AAB"/>
    <w:rsid w:val="00CF724C"/>
    <w:rsid w:val="00D0388D"/>
    <w:rsid w:val="00D20897"/>
    <w:rsid w:val="00D2728B"/>
    <w:rsid w:val="00D33ED2"/>
    <w:rsid w:val="00D40840"/>
    <w:rsid w:val="00D415CB"/>
    <w:rsid w:val="00D54B6A"/>
    <w:rsid w:val="00D55314"/>
    <w:rsid w:val="00D757EC"/>
    <w:rsid w:val="00D76690"/>
    <w:rsid w:val="00D93D6D"/>
    <w:rsid w:val="00DA0783"/>
    <w:rsid w:val="00DD509A"/>
    <w:rsid w:val="00DD7B60"/>
    <w:rsid w:val="00DD7B9C"/>
    <w:rsid w:val="00DF15B5"/>
    <w:rsid w:val="00DF2BB6"/>
    <w:rsid w:val="00DF5421"/>
    <w:rsid w:val="00DF5A51"/>
    <w:rsid w:val="00E25774"/>
    <w:rsid w:val="00E26210"/>
    <w:rsid w:val="00E4227E"/>
    <w:rsid w:val="00E46EB1"/>
    <w:rsid w:val="00E61907"/>
    <w:rsid w:val="00E70EF5"/>
    <w:rsid w:val="00E72EE6"/>
    <w:rsid w:val="00E95BF8"/>
    <w:rsid w:val="00EA2611"/>
    <w:rsid w:val="00EB1686"/>
    <w:rsid w:val="00EB2269"/>
    <w:rsid w:val="00EC4C96"/>
    <w:rsid w:val="00ED5E99"/>
    <w:rsid w:val="00EF0846"/>
    <w:rsid w:val="00EF202B"/>
    <w:rsid w:val="00EF72EF"/>
    <w:rsid w:val="00F00371"/>
    <w:rsid w:val="00F12CB8"/>
    <w:rsid w:val="00F1656D"/>
    <w:rsid w:val="00F25059"/>
    <w:rsid w:val="00F31C38"/>
    <w:rsid w:val="00F32E6F"/>
    <w:rsid w:val="00F3494C"/>
    <w:rsid w:val="00F35D39"/>
    <w:rsid w:val="00F403B2"/>
    <w:rsid w:val="00F5166D"/>
    <w:rsid w:val="00F5746D"/>
    <w:rsid w:val="00F66A15"/>
    <w:rsid w:val="00F823BA"/>
    <w:rsid w:val="00F82EA6"/>
    <w:rsid w:val="00F902FE"/>
    <w:rsid w:val="00F95ED9"/>
    <w:rsid w:val="00FA39BC"/>
    <w:rsid w:val="00FA67C1"/>
    <w:rsid w:val="00FC1193"/>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4F6EE0"/>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4F6EE0"/>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F6EE0"/>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4F6EE0"/>
    <w:rPr>
      <w:rFonts w:ascii="Georgia" w:hAnsi="Georgia"/>
      <w:b/>
      <w:noProof/>
      <w:sz w:val="26"/>
      <w:szCs w:val="26"/>
    </w:rPr>
  </w:style>
  <w:style w:type="character" w:customStyle="1" w:styleId="Heading3Char">
    <w:name w:val="Heading 3 Char"/>
    <w:link w:val="Heading3"/>
    <w:uiPriority w:val="9"/>
    <w:rsid w:val="004F6EE0"/>
    <w:rPr>
      <w:rFonts w:ascii="Georgia" w:hAnsi="Georgia" w:cs="Arial"/>
      <w:b/>
      <w:noProof/>
      <w:sz w:val="24"/>
      <w:szCs w:val="24"/>
    </w:rPr>
  </w:style>
  <w:style w:type="character" w:customStyle="1" w:styleId="Heading4Char">
    <w:name w:val="Heading 4 Char"/>
    <w:link w:val="Heading4"/>
    <w:uiPriority w:val="9"/>
    <w:rsid w:val="004F6EE0"/>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EF72EF"/>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CD6473"/>
    <w:pPr>
      <w:tabs>
        <w:tab w:val="left" w:pos="1080"/>
      </w:tabs>
      <w:spacing w:before="120" w:after="240"/>
      <w:ind w:left="1080" w:hanging="1080"/>
    </w:pPr>
    <w:rPr>
      <w:b/>
      <w:bCs/>
    </w:rPr>
  </w:style>
  <w:style w:type="character" w:customStyle="1" w:styleId="SubjectLineChar">
    <w:name w:val="Subject Line Char"/>
    <w:basedOn w:val="DefaultParagraphFont"/>
    <w:link w:val="SubjectLine"/>
    <w:rsid w:val="00CD6473"/>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paragraph" w:styleId="BodyTextIndent">
    <w:name w:val="Body Text Indent"/>
    <w:basedOn w:val="Normal"/>
    <w:link w:val="BodyTextIndentChar"/>
    <w:semiHidden/>
    <w:unhideWhenUsed/>
    <w:rsid w:val="002B0CE9"/>
    <w:pPr>
      <w:ind w:left="360"/>
    </w:pPr>
  </w:style>
  <w:style w:type="character" w:customStyle="1" w:styleId="BodyTextIndentChar">
    <w:name w:val="Body Text Indent Char"/>
    <w:basedOn w:val="DefaultParagraphFont"/>
    <w:link w:val="BodyTextIndent"/>
    <w:semiHidden/>
    <w:rsid w:val="002B0CE9"/>
    <w:rPr>
      <w:rFonts w:ascii="Georgia" w:hAnsi="Georgia"/>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lists/masshealth-provider-bulletins-by-provider-type-i-n" TargetMode="External"/><Relationship Id="rId18" Type="http://schemas.openxmlformats.org/officeDocument/2006/relationships/hyperlink" Target="https://www.masshealthltss.com/s/?language=en_U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support@masshealthltss.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mass.gov/forms/email-notifications-for-provider-bulletins-and-transmittal-letters" TargetMode="External"/><Relationship Id="rId20" Type="http://schemas.openxmlformats.org/officeDocument/2006/relationships/hyperlink" Target="https://www.facebook.com/MassHealth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yperlink" Target="https://www.youtube.com/channel/UC1QQ61nTN7LNKkhjrjnYOUg" TargetMode="External"/><Relationship Id="rId5" Type="http://schemas.openxmlformats.org/officeDocument/2006/relationships/webSettings" Target="webSettings.xml"/><Relationship Id="rId15" Type="http://schemas.openxmlformats.org/officeDocument/2006/relationships/hyperlink" Target="http://www.mass.gov/masshealth-provider-bulletins" TargetMode="External"/><Relationship Id="rId23" Type="http://schemas.openxmlformats.org/officeDocument/2006/relationships/image" Target="media/image4.png"/><Relationship Id="rId10" Type="http://schemas.openxmlformats.org/officeDocument/2006/relationships/image" Target="media/image2.jpeg"/><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mailto:support@masshealthltss.com" TargetMode="External"/><Relationship Id="rId22" Type="http://schemas.openxmlformats.org/officeDocument/2006/relationships/hyperlink" Target="https://www.twitter.com/MassHealth"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5282</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Bentley, Bernadette M. (EHS)</dc:creator>
  <cp:lastModifiedBy>Bentley, Bernadette M. (EHS)</cp:lastModifiedBy>
  <cp:revision>3</cp:revision>
  <cp:lastPrinted>2023-04-06T14:06:00Z</cp:lastPrinted>
  <dcterms:created xsi:type="dcterms:W3CDTF">2024-02-26T15:06:00Z</dcterms:created>
  <dcterms:modified xsi:type="dcterms:W3CDTF">2024-02-26T15:08:00Z</dcterms:modified>
</cp:coreProperties>
</file>