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8"/>
      </w:tblGrid>
      <w:tr>
        <w:trPr>
          <w:trHeight w:val="146" w:hRule="atLeast"/>
        </w:trPr>
        <w:tc>
          <w:tcPr>
            <w:tcW w:w="5588" w:type="dxa"/>
          </w:tcPr>
          <w:p>
            <w:pPr>
              <w:pStyle w:val="TableParagraph"/>
              <w:spacing w:line="84" w:lineRule="exact" w:before="0"/>
              <w:ind w:left="3095"/>
              <w:jc w:val="left"/>
              <w:rPr>
                <w:b/>
                <w:sz w:val="8"/>
              </w:rPr>
            </w:pPr>
            <w:bookmarkStart w:name="Indicator 3a" w:id="1"/>
            <w:bookmarkEnd w:id="1"/>
            <w:r>
              <w:rPr/>
            </w:r>
            <w:r>
              <w:rPr>
                <w:b/>
                <w:w w:val="105"/>
                <w:sz w:val="8"/>
              </w:rPr>
              <w:t>This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data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is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based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on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the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2024-2025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Annual Performance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Report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(APR)</w:t>
            </w:r>
          </w:p>
        </w:tc>
      </w:tr>
      <w:tr>
        <w:trPr>
          <w:trHeight w:val="146" w:hRule="atLeast"/>
        </w:trPr>
        <w:tc>
          <w:tcPr>
            <w:tcW w:w="5588" w:type="dxa"/>
          </w:tcPr>
          <w:p>
            <w:pPr>
              <w:pStyle w:val="TableParagraph"/>
              <w:spacing w:line="77" w:lineRule="exact" w:before="49"/>
              <w:ind w:left="20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3a.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Percent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of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infants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and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toddlers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with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IFSPs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who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demonstrate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improved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positive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social-emotional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skills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(including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social</w:t>
            </w:r>
            <w:r>
              <w:rPr>
                <w:b/>
                <w:spacing w:val="-2"/>
                <w:w w:val="105"/>
                <w:sz w:val="8"/>
              </w:rPr>
              <w:t> relationships)</w:t>
            </w:r>
          </w:p>
        </w:tc>
      </w:tr>
    </w:tbl>
    <w:p>
      <w:pPr>
        <w:spacing w:line="240" w:lineRule="auto" w:before="9" w:after="1"/>
        <w:rPr>
          <w:rFonts w:ascii="Times New Roman"/>
          <w:sz w:val="10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2667"/>
        <w:gridCol w:w="3017"/>
        <w:gridCol w:w="771"/>
        <w:gridCol w:w="593"/>
        <w:gridCol w:w="1150"/>
        <w:gridCol w:w="2120"/>
        <w:gridCol w:w="858"/>
        <w:gridCol w:w="644"/>
        <w:gridCol w:w="1258"/>
      </w:tblGrid>
      <w:tr>
        <w:trPr>
          <w:trHeight w:val="207" w:hRule="atLeast"/>
        </w:trPr>
        <w:tc>
          <w:tcPr>
            <w:tcW w:w="449" w:type="dxa"/>
            <w:tcBorders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9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Region</w:t>
            </w:r>
          </w:p>
        </w:tc>
        <w:tc>
          <w:tcPr>
            <w:tcW w:w="2667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8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"/>
              <w:ind w:left="18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Percent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of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children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who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"reduced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the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gap"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in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their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development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when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compared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spacing w:val="-5"/>
                <w:w w:val="105"/>
                <w:sz w:val="8"/>
              </w:rPr>
              <w:t>to</w:t>
            </w:r>
          </w:p>
          <w:p>
            <w:pPr>
              <w:pStyle w:val="TableParagraph"/>
              <w:spacing w:line="75" w:lineRule="exact" w:before="13"/>
              <w:ind w:left="18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same-aged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peers.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(APR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Summary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Statement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spacing w:val="-5"/>
                <w:w w:val="105"/>
                <w:sz w:val="8"/>
              </w:rPr>
              <w:t>1)</w:t>
            </w:r>
          </w:p>
        </w:tc>
        <w:tc>
          <w:tcPr>
            <w:tcW w:w="771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8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Met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State </w:t>
            </w:r>
            <w:r>
              <w:rPr>
                <w:b/>
                <w:spacing w:val="-2"/>
                <w:w w:val="105"/>
                <w:sz w:val="8"/>
              </w:rPr>
              <w:t>Target?</w:t>
            </w:r>
          </w:p>
        </w:tc>
        <w:tc>
          <w:tcPr>
            <w:tcW w:w="593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7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State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Target</w:t>
            </w:r>
          </w:p>
        </w:tc>
        <w:tc>
          <w:tcPr>
            <w:tcW w:w="1150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7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Difference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from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State</w:t>
            </w:r>
            <w:r>
              <w:rPr>
                <w:b/>
                <w:spacing w:val="-2"/>
                <w:w w:val="105"/>
                <w:sz w:val="8"/>
              </w:rPr>
              <w:t> Target</w:t>
            </w:r>
          </w:p>
        </w:tc>
        <w:tc>
          <w:tcPr>
            <w:tcW w:w="2120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"/>
              <w:ind w:left="16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Percent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of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children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who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"caught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up"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to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same-aged</w:t>
            </w:r>
            <w:r>
              <w:rPr>
                <w:b/>
                <w:spacing w:val="-2"/>
                <w:w w:val="105"/>
                <w:sz w:val="8"/>
              </w:rPr>
              <w:t> peers.</w:t>
            </w:r>
          </w:p>
          <w:p>
            <w:pPr>
              <w:pStyle w:val="TableParagraph"/>
              <w:spacing w:line="75" w:lineRule="exact" w:before="13"/>
              <w:ind w:left="16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(APR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Summary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Statement</w:t>
            </w:r>
            <w:r>
              <w:rPr>
                <w:b/>
                <w:spacing w:val="-4"/>
                <w:w w:val="105"/>
                <w:sz w:val="8"/>
              </w:rPr>
              <w:t> </w:t>
            </w:r>
            <w:r>
              <w:rPr>
                <w:b/>
                <w:spacing w:val="-5"/>
                <w:w w:val="105"/>
                <w:sz w:val="8"/>
              </w:rPr>
              <w:t>2)</w:t>
            </w:r>
          </w:p>
        </w:tc>
        <w:tc>
          <w:tcPr>
            <w:tcW w:w="858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6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Met</w:t>
            </w:r>
            <w:r>
              <w:rPr>
                <w:b/>
                <w:spacing w:val="-2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State </w:t>
            </w:r>
            <w:r>
              <w:rPr>
                <w:b/>
                <w:spacing w:val="-2"/>
                <w:w w:val="105"/>
                <w:sz w:val="8"/>
              </w:rPr>
              <w:t>Target?2</w:t>
            </w:r>
          </w:p>
        </w:tc>
        <w:tc>
          <w:tcPr>
            <w:tcW w:w="644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4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State</w:t>
            </w:r>
            <w:r>
              <w:rPr>
                <w:b/>
                <w:spacing w:val="-1"/>
                <w:w w:val="105"/>
                <w:sz w:val="8"/>
              </w:rPr>
              <w:t> </w:t>
            </w:r>
            <w:r>
              <w:rPr>
                <w:b/>
                <w:spacing w:val="-2"/>
                <w:w w:val="105"/>
                <w:sz w:val="8"/>
              </w:rPr>
              <w:t>Target3</w:t>
            </w:r>
          </w:p>
        </w:tc>
        <w:tc>
          <w:tcPr>
            <w:tcW w:w="1258" w:type="dxa"/>
            <w:tcBorders>
              <w:left w:val="single" w:sz="4" w:space="0" w:color="4471C4"/>
              <w:bottom w:val="single" w:sz="6" w:space="0" w:color="4471C4"/>
            </w:tcBorders>
          </w:tcPr>
          <w:p>
            <w:pPr>
              <w:pStyle w:val="TableParagraph"/>
              <w:spacing w:line="240" w:lineRule="auto" w:before="22"/>
              <w:jc w:val="left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line="73" w:lineRule="exact" w:before="0"/>
              <w:ind w:left="13"/>
              <w:jc w:val="lef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Difference</w:t>
            </w:r>
            <w:r>
              <w:rPr>
                <w:b/>
                <w:spacing w:val="-3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from</w:t>
            </w:r>
            <w:r>
              <w:rPr>
                <w:b/>
                <w:spacing w:val="-5"/>
                <w:w w:val="105"/>
                <w:sz w:val="8"/>
              </w:rPr>
              <w:t> </w:t>
            </w:r>
            <w:r>
              <w:rPr>
                <w:b/>
                <w:w w:val="105"/>
                <w:sz w:val="8"/>
              </w:rPr>
              <w:t>State</w:t>
            </w:r>
            <w:r>
              <w:rPr>
                <w:b/>
                <w:spacing w:val="-2"/>
                <w:w w:val="105"/>
                <w:sz w:val="8"/>
              </w:rPr>
              <w:t> Target4</w:t>
            </w:r>
          </w:p>
        </w:tc>
      </w:tr>
      <w:tr>
        <w:trPr>
          <w:trHeight w:val="99" w:hRule="atLeast"/>
        </w:trPr>
        <w:tc>
          <w:tcPr>
            <w:tcW w:w="449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Arc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of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the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Shore/First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42.11%</w:t>
            </w:r>
          </w:p>
        </w:tc>
        <w:tc>
          <w:tcPr>
            <w:tcW w:w="771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15.09%</w:t>
            </w:r>
          </w:p>
        </w:tc>
        <w:tc>
          <w:tcPr>
            <w:tcW w:w="2120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84.31%</w:t>
            </w:r>
          </w:p>
        </w:tc>
        <w:tc>
          <w:tcPr>
            <w:tcW w:w="858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2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12.96%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Aspire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Cape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Ann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2"/>
                <w:w w:val="105"/>
                <w:sz w:val="8"/>
              </w:rPr>
              <w:t> 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Aspire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North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Shore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55.92%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1.28%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62.50%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8.85%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Associates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for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Human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Taunton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58.04%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0.84%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78.91%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7.56%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BAMSI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48.84%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8.36%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71.90%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0.55%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Bay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Cove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2"/>
                <w:w w:val="105"/>
                <w:sz w:val="8"/>
              </w:rPr>
              <w:t> 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36.49%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20.71%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64.15%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7.20%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BEAM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57.14%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0.06%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81.08%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9.73%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Behavioral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Health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Network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EI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(BHN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Intervention)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34.41%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22.79%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34.23%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37.12%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Behavioral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Health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Network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Holyoke/Ware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Children's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Hospital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75.00%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17.80%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78.57%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7.22%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Metro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Cambridge/Somerville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at</w:t>
            </w:r>
            <w:r>
              <w:rPr>
                <w:spacing w:val="1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Riverside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68.75%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11.55%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87.94%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16.59%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Center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for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Human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Development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30.00%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27.20%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71.56%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0.21%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Community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Healthlink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Lipton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38.33%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18.87%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59.38%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11.97%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Boston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14.29%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42.91%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87.93%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16.58%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Heritage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44.65%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12.55%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57.30%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14.05%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Medford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37.50%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19.70%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65.66%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5.69%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Middlesex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49.52%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7.68%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73.30%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1.95%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Riverway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53.33%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3.87%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76.47%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5.12%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Stoneham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56.06%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1.14%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80.95%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9.60%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74" w:lineRule="exact" w:before="6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Valley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37.75%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19.45%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69.48%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1.87%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Wachusett</w:t>
            </w:r>
            <w:r>
              <w:rPr>
                <w:spacing w:val="1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48.78%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8.42%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79.66%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8.31%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Criterion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Worcester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44.44%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12.76%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75.79%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4.44%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Dimock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57.14%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0.06%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88.89%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17.54%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Eliot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Malden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24.19%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33.01%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33.73%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37.62%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Metro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Enable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62.50%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5.30%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79.38%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8.03%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Harbor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Area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Intervention/North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Suffolk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Mental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Health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47.76%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9.44%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41.03%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30.32%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Kennedy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Donovan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Center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Cape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Cod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&amp;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Islands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40.00%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17.20%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50.38%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20.97%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Kennedy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Donovan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Center-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Attleboro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53.68%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3.52%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78.62%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7.27%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Kennedy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Donovan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Center-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Greater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Plymouth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62.40%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5.20%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76.60%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5.25%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Kennedy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Donovan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Center-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New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Bedford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35.71%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21.49%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58.37%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12.98%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Kennedy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Donovan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Center-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South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Central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34.04%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23.16%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14.12%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May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Center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for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EI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20.00%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37.20%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67.86%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3.49%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Meeting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Street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33.33%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23.87%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57.35%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14.00%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Meeting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Street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Fall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River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Mentor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Bay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Community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Childhood,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Brockton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64.34%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7.14%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57.29%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14.06%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Mentor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Bay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Community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Childhood,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Fall</w:t>
            </w:r>
            <w:r>
              <w:rPr>
                <w:spacing w:val="-4"/>
                <w:w w:val="105"/>
                <w:sz w:val="8"/>
              </w:rPr>
              <w:t> River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47.37%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9.83%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58.76%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12.59%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Mentor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Bay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Community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Childhood,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Framingham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57.58%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0.38%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78.67%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7.32%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Mentor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Bay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Community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Childhood,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Lawrence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54.05%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3.15%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60.71%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10.64%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Mentor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Bay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Community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Childhood,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Lowell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56.00%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1.20%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54.01%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17.34%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Mentor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South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Bay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Community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Services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Childhood,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Worcester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38.24%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18.96%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55.77%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15.58%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Minute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Man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Arc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51.85%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5.35%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88.33%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16.98%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Northeast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Arc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EI-</w:t>
            </w:r>
            <w:r>
              <w:rPr>
                <w:spacing w:val="-2"/>
                <w:w w:val="105"/>
                <w:sz w:val="8"/>
              </w:rPr>
              <w:t> Northshore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33.78%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23.42%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50.43%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20.92%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Northeast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Arc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EI-Cape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Ann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57.45%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0.25%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64.24%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7.11%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Northern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Berkshire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2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38.46%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18.74%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56.82%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14.53%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Partners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Development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51.97%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5.23%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60.39%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10.96%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Partners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Child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Development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Greater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Lowell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Area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10"/>
                <w:w w:val="105"/>
                <w:sz w:val="8"/>
              </w:rPr>
              <w:t>*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Pediatric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Development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61.11%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3.91%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87.84%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16.49%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Pediatric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Development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South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1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72.73%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15.53%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91.89%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20.54%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Southeast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People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Incorporated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45.35%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11.85%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68.26%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3.09%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Pernet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71.43%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14.23%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82.50%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5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11.15%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Metro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Riverside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-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Needham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66.67%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9.47%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87.26%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15.91%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Metro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Step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One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32.91%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24.29%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61.39%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9.96%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The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Reach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Program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of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ServiceNet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56.06%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1.14%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74.48%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3.13%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Thom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Anne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Sullivan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Center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53.25%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3.95%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71.15%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0.20%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Boston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Thom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Boston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Metro</w:t>
            </w:r>
            <w:r>
              <w:rPr>
                <w:spacing w:val="6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35.94%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21.26%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66.67%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4.68%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Metro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Thom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Charles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River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53.49%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3.71%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61.31%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10.04%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Thom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Marlboro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Area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52.86%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4.34%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79.90%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8.55%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Thom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Mystic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Valley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3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54.74%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2.46%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73.77%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2.42%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Metro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Thom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Neponset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Valley</w:t>
            </w:r>
            <w:r>
              <w:rPr>
                <w:spacing w:val="10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47.54%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9.66%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72.11%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w w:val="105"/>
                <w:sz w:val="8"/>
              </w:rPr>
              <w:t>-</w:t>
            </w:r>
            <w:r>
              <w:rPr>
                <w:spacing w:val="-2"/>
                <w:w w:val="105"/>
                <w:sz w:val="8"/>
              </w:rPr>
              <w:t>0.76%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Northeast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Thom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Pentucket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Area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Early</w:t>
            </w:r>
            <w:r>
              <w:rPr>
                <w:spacing w:val="-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Intervention</w:t>
            </w:r>
            <w:r>
              <w:rPr>
                <w:spacing w:val="-5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56.14%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1.06%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69.21%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2.14%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Thom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Springfield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Infant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Toddler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Services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28.17%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29.03%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37.54%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33.81%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4"/>
                <w:w w:val="105"/>
                <w:sz w:val="8"/>
              </w:rPr>
              <w:t>West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Thom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Westfield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Infant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Toddler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Services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42.05%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15.15%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69.95%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1.40%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9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Central</w:t>
            </w: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Thom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Worcester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Area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Early</w:t>
            </w:r>
            <w:r>
              <w:rPr>
                <w:spacing w:val="9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Intervention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2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40.21%</w:t>
            </w: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57.20%</w:t>
            </w: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16.99%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66.83%</w:t>
            </w: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Not</w:t>
            </w:r>
            <w:r>
              <w:rPr>
                <w:spacing w:val="-2"/>
                <w:w w:val="105"/>
                <w:sz w:val="8"/>
              </w:rPr>
              <w:t> </w:t>
            </w:r>
            <w:r>
              <w:rPr>
                <w:spacing w:val="-5"/>
                <w:w w:val="105"/>
                <w:sz w:val="8"/>
              </w:rPr>
              <w:t>Met</w:t>
            </w: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71.35%</w:t>
            </w: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4.52%</w:t>
            </w:r>
          </w:p>
        </w:tc>
      </w:tr>
      <w:tr>
        <w:trPr>
          <w:trHeight w:val="100" w:hRule="atLeast"/>
        </w:trPr>
        <w:tc>
          <w:tcPr>
            <w:tcW w:w="449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667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*Indicates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program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with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no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children</w:t>
            </w:r>
            <w:r>
              <w:rPr>
                <w:spacing w:val="7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enrolled.</w:t>
            </w:r>
          </w:p>
        </w:tc>
        <w:tc>
          <w:tcPr>
            <w:tcW w:w="3017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71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93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150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7"/>
              <w:jc w:val="left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0.00%</w:t>
            </w:r>
          </w:p>
        </w:tc>
        <w:tc>
          <w:tcPr>
            <w:tcW w:w="2120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58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644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58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0.00%</w:t>
            </w:r>
          </w:p>
        </w:tc>
      </w:tr>
      <w:tr>
        <w:trPr>
          <w:trHeight w:val="100" w:hRule="atLeast"/>
        </w:trPr>
        <w:tc>
          <w:tcPr>
            <w:tcW w:w="449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684" w:type="dxa"/>
            <w:gridSpan w:val="2"/>
          </w:tcPr>
          <w:p>
            <w:pPr>
              <w:pStyle w:val="TableParagraph"/>
              <w:ind w:left="18"/>
              <w:jc w:val="left"/>
              <w:rPr>
                <w:sz w:val="8"/>
              </w:rPr>
            </w:pPr>
            <w:hyperlink r:id="rId5">
              <w:r>
                <w:rPr>
                  <w:color w:val="0562C1"/>
                  <w:w w:val="105"/>
                  <w:sz w:val="8"/>
                  <w:u w:val="single" w:color="0562C1"/>
                </w:rPr>
                <w:t>This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indicator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is</w:t>
              </w:r>
              <w:r>
                <w:rPr>
                  <w:color w:val="0562C1"/>
                  <w:spacing w:val="-3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addressed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more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in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the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State</w:t>
              </w:r>
              <w:r>
                <w:rPr>
                  <w:color w:val="0562C1"/>
                  <w:spacing w:val="-5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Performance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Plan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(SPP)</w:t>
              </w:r>
              <w:r>
                <w:rPr>
                  <w:color w:val="0562C1"/>
                  <w:spacing w:val="-2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and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the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Annual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Performance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w w:val="105"/>
                  <w:sz w:val="8"/>
                  <w:u w:val="single" w:color="0562C1"/>
                </w:rPr>
                <w:t>Report</w:t>
              </w:r>
              <w:r>
                <w:rPr>
                  <w:color w:val="0562C1"/>
                  <w:spacing w:val="-3"/>
                  <w:w w:val="105"/>
                  <w:sz w:val="8"/>
                  <w:u w:val="single" w:color="0562C1"/>
                </w:rPr>
                <w:t> </w:t>
              </w:r>
              <w:r>
                <w:rPr>
                  <w:color w:val="0562C1"/>
                  <w:spacing w:val="-4"/>
                  <w:w w:val="105"/>
                  <w:sz w:val="8"/>
                  <w:u w:val="single" w:color="0562C1"/>
                </w:rPr>
                <w:t>(APR)</w:t>
              </w:r>
            </w:hyperlink>
          </w:p>
        </w:tc>
        <w:tc>
          <w:tcPr>
            <w:tcW w:w="77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9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8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64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</w:tbl>
    <w:sectPr>
      <w:type w:val="continuous"/>
      <w:pgSz w:w="15840" w:h="12240" w:orient="landscape"/>
      <w:pgMar w:top="1080" w:bottom="280" w:left="992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 w:line="76" w:lineRule="exact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ss.gov/info-details/part-c-state-performance-planannual-performance-repor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Shari S (DPH)</dc:creator>
  <cp:category/>
  <dc:description/>
  <dcterms:created xsi:type="dcterms:W3CDTF">2026-05-31T14:39:45Z</dcterms:created>
  <dcterms:modified xsi:type="dcterms:W3CDTF">2026-05-31T14:39:45Z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2026-05-31T00:00:00Z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2026-05-31T00:00:00Z</vt:filetime>
  </property>
  <property fmtid="{D5CDD505-2E9C-101B-9397-08002B2CF9AE}" pid="5" name="Producer">
    <vt:lpwstr>Adobe PDF Library 26.1.163</vt:lpwstr>
  </property>
</Properties>
</file>