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65051" w14:textId="77777777" w:rsidR="00ED7835" w:rsidRDefault="0057255F">
      <w:pPr>
        <w:spacing w:line="276" w:lineRule="auto"/>
        <w:jc w:val="both"/>
        <w:rPr>
          <w:rFonts w:ascii="Arial" w:eastAsia="Arial" w:hAnsi="Arial" w:cs="Arial"/>
        </w:rPr>
      </w:pPr>
      <w:r>
        <w:rPr>
          <w:rFonts w:ascii="Arial" w:eastAsia="Arial" w:hAnsi="Arial" w:cs="Arial"/>
        </w:rPr>
        <w:br/>
        <w:t>July 28, 2026</w:t>
      </w:r>
    </w:p>
    <w:p w14:paraId="4D642AC9" w14:textId="77777777" w:rsidR="00ED7835" w:rsidRDefault="00ED7835">
      <w:pPr>
        <w:spacing w:line="276" w:lineRule="auto"/>
        <w:jc w:val="both"/>
        <w:rPr>
          <w:rFonts w:ascii="Arial" w:eastAsia="Arial" w:hAnsi="Arial" w:cs="Arial"/>
        </w:rPr>
      </w:pPr>
    </w:p>
    <w:p w14:paraId="16CA4880" w14:textId="77777777" w:rsidR="00ED7835" w:rsidRDefault="0057255F">
      <w:pPr>
        <w:spacing w:line="276" w:lineRule="auto"/>
        <w:jc w:val="both"/>
        <w:rPr>
          <w:rFonts w:ascii="Arial" w:eastAsia="Arial" w:hAnsi="Arial" w:cs="Arial"/>
        </w:rPr>
      </w:pPr>
      <w:r>
        <w:rPr>
          <w:rFonts w:ascii="Arial" w:eastAsia="Arial" w:hAnsi="Arial" w:cs="Arial"/>
        </w:rPr>
        <w:t>The Commonwealth of Massachusetts</w:t>
      </w:r>
    </w:p>
    <w:p w14:paraId="694C040E" w14:textId="77777777" w:rsidR="00ED7835" w:rsidRDefault="0057255F">
      <w:pPr>
        <w:spacing w:line="276" w:lineRule="auto"/>
        <w:jc w:val="both"/>
        <w:rPr>
          <w:rFonts w:ascii="Arial" w:eastAsia="Arial" w:hAnsi="Arial" w:cs="Arial"/>
        </w:rPr>
      </w:pPr>
      <w:r>
        <w:rPr>
          <w:rFonts w:ascii="Arial" w:eastAsia="Arial" w:hAnsi="Arial" w:cs="Arial"/>
        </w:rPr>
        <w:t>Executive Office of Health and Human Services</w:t>
      </w:r>
    </w:p>
    <w:p w14:paraId="244477B6" w14:textId="77777777" w:rsidR="00ED7835" w:rsidRDefault="0057255F">
      <w:pPr>
        <w:spacing w:line="276" w:lineRule="auto"/>
        <w:jc w:val="both"/>
        <w:rPr>
          <w:rFonts w:ascii="Arial" w:eastAsia="Arial" w:hAnsi="Arial" w:cs="Arial"/>
        </w:rPr>
      </w:pPr>
      <w:r>
        <w:rPr>
          <w:rFonts w:ascii="Arial" w:eastAsia="Arial" w:hAnsi="Arial" w:cs="Arial"/>
        </w:rPr>
        <w:t>Department of Public Health</w:t>
      </w:r>
    </w:p>
    <w:p w14:paraId="71B146CC" w14:textId="77777777" w:rsidR="00ED7835" w:rsidRDefault="0057255F">
      <w:pPr>
        <w:spacing w:line="276" w:lineRule="auto"/>
        <w:jc w:val="both"/>
        <w:rPr>
          <w:rFonts w:ascii="Arial" w:eastAsia="Arial" w:hAnsi="Arial" w:cs="Arial"/>
        </w:rPr>
      </w:pPr>
      <w:r>
        <w:rPr>
          <w:rFonts w:ascii="Arial" w:eastAsia="Arial" w:hAnsi="Arial" w:cs="Arial"/>
        </w:rPr>
        <w:t>250 Washington Street</w:t>
      </w:r>
    </w:p>
    <w:p w14:paraId="38F5FD77" w14:textId="77777777" w:rsidR="00ED7835" w:rsidRDefault="0057255F">
      <w:pPr>
        <w:spacing w:line="276" w:lineRule="auto"/>
        <w:jc w:val="both"/>
        <w:rPr>
          <w:rFonts w:ascii="Arial" w:eastAsia="Arial" w:hAnsi="Arial" w:cs="Arial"/>
        </w:rPr>
      </w:pPr>
      <w:r>
        <w:rPr>
          <w:rFonts w:ascii="Arial" w:eastAsia="Arial" w:hAnsi="Arial" w:cs="Arial"/>
        </w:rPr>
        <w:t>Boston, MA 02108</w:t>
      </w:r>
    </w:p>
    <w:p w14:paraId="500993B9" w14:textId="77777777" w:rsidR="00ED7835" w:rsidRDefault="00ED7835">
      <w:pPr>
        <w:spacing w:line="276" w:lineRule="auto"/>
        <w:jc w:val="both"/>
        <w:rPr>
          <w:rFonts w:ascii="Arial" w:eastAsia="Arial" w:hAnsi="Arial" w:cs="Arial"/>
        </w:rPr>
      </w:pPr>
    </w:p>
    <w:p w14:paraId="1A7503B7" w14:textId="77777777" w:rsidR="00ED7835" w:rsidRDefault="0057255F">
      <w:pPr>
        <w:spacing w:line="276" w:lineRule="auto"/>
        <w:jc w:val="both"/>
        <w:rPr>
          <w:rFonts w:ascii="Arial" w:eastAsia="Arial" w:hAnsi="Arial" w:cs="Arial"/>
          <w:i/>
          <w:iCs/>
        </w:rPr>
      </w:pPr>
      <w:r>
        <w:rPr>
          <w:rFonts w:ascii="Arial" w:eastAsia="Arial" w:hAnsi="Arial" w:cs="Arial"/>
          <w:i/>
          <w:iCs/>
        </w:rPr>
        <w:t>RE: Comments on 140 CMR 2.00 (Requirements Applicable to All Health Care Providers Licensed by Boards Within the Department of Public Health)</w:t>
      </w:r>
    </w:p>
    <w:p w14:paraId="161C3F5A" w14:textId="77777777" w:rsidR="00ED7835" w:rsidRDefault="00ED7835">
      <w:pPr>
        <w:spacing w:line="276" w:lineRule="auto"/>
        <w:jc w:val="both"/>
        <w:rPr>
          <w:rFonts w:ascii="Arial" w:eastAsia="Arial" w:hAnsi="Arial" w:cs="Arial"/>
        </w:rPr>
      </w:pPr>
    </w:p>
    <w:p w14:paraId="54B71831" w14:textId="77777777" w:rsidR="00ED7835" w:rsidRDefault="0057255F">
      <w:pPr>
        <w:spacing w:line="276" w:lineRule="auto"/>
        <w:jc w:val="both"/>
        <w:rPr>
          <w:rFonts w:ascii="Arial" w:eastAsia="Arial" w:hAnsi="Arial" w:cs="Arial"/>
        </w:rPr>
      </w:pPr>
      <w:r>
        <w:rPr>
          <w:rFonts w:ascii="Arial" w:eastAsia="Arial" w:hAnsi="Arial" w:cs="Arial"/>
        </w:rPr>
        <w:t>Dear Department of Public Health:</w:t>
      </w:r>
    </w:p>
    <w:p w14:paraId="0F27E7FF" w14:textId="77777777" w:rsidR="00ED7835" w:rsidRDefault="00ED7835">
      <w:pPr>
        <w:spacing w:line="276" w:lineRule="auto"/>
        <w:jc w:val="both"/>
        <w:rPr>
          <w:rFonts w:ascii="Arial" w:eastAsia="Arial" w:hAnsi="Arial" w:cs="Arial"/>
        </w:rPr>
      </w:pPr>
    </w:p>
    <w:p w14:paraId="08FBCD19" w14:textId="77777777" w:rsidR="00ED7835" w:rsidRDefault="0057255F">
      <w:pPr>
        <w:spacing w:line="276" w:lineRule="auto"/>
        <w:jc w:val="both"/>
        <w:rPr>
          <w:rFonts w:ascii="Arial" w:eastAsia="Arial" w:hAnsi="Arial" w:cs="Arial"/>
        </w:rPr>
      </w:pPr>
      <w:r>
        <w:rPr>
          <w:rFonts w:ascii="Arial" w:eastAsia="Arial" w:hAnsi="Arial" w:cs="Arial"/>
        </w:rPr>
        <w:t>The Infusion Access Foundation appreciates the opportunity to provide comments regarding the Department’s proposed regulation prohibiting medical debt from being reported to consumer credit reporting agencies in Massachusetts. We commend the Department’s continued efforts to reduce healthcare costs, protect patients, and address the harmful consequences of medical debt. We strongly support the proposed regulation.</w:t>
      </w:r>
    </w:p>
    <w:p w14:paraId="3EF7F90C" w14:textId="77777777" w:rsidR="00ED7835" w:rsidRDefault="00ED7835">
      <w:pPr>
        <w:spacing w:line="276" w:lineRule="auto"/>
        <w:jc w:val="both"/>
        <w:rPr>
          <w:rFonts w:ascii="Arial" w:eastAsia="Arial" w:hAnsi="Arial" w:cs="Arial"/>
        </w:rPr>
      </w:pPr>
    </w:p>
    <w:p w14:paraId="4A1A0758" w14:textId="77777777" w:rsidR="00ED7835" w:rsidRDefault="0057255F">
      <w:pPr>
        <w:spacing w:line="276" w:lineRule="auto"/>
        <w:jc w:val="both"/>
        <w:rPr>
          <w:rFonts w:ascii="Arial" w:eastAsia="Arial" w:hAnsi="Arial" w:cs="Arial"/>
        </w:rPr>
      </w:pPr>
      <w:r>
        <w:rPr>
          <w:rFonts w:ascii="Arial" w:eastAsia="Arial" w:hAnsi="Arial" w:cs="Arial"/>
        </w:rPr>
        <w:t>The Infusion Access Foundation is a nonprofit patient advocacy organization that supports individuals who depend on infusions and injections to treat chronic, complex, and life-threatening conditions. Through both our advocacy initiatives and direct patient engagement, we work to ensure that patients can access the treatments their healthcare providers prescribe and to address barriers that interfere with timely, affordable care.</w:t>
      </w:r>
    </w:p>
    <w:p w14:paraId="63988778" w14:textId="77777777" w:rsidR="00ED7835" w:rsidRDefault="00ED7835">
      <w:pPr>
        <w:spacing w:line="276" w:lineRule="auto"/>
        <w:jc w:val="both"/>
        <w:rPr>
          <w:rFonts w:ascii="Arial" w:eastAsia="Arial" w:hAnsi="Arial" w:cs="Arial"/>
        </w:rPr>
      </w:pPr>
    </w:p>
    <w:p w14:paraId="6D91F1E3" w14:textId="77777777" w:rsidR="00ED7835" w:rsidRDefault="0057255F">
      <w:pPr>
        <w:spacing w:line="276" w:lineRule="auto"/>
        <w:jc w:val="both"/>
        <w:rPr>
          <w:rFonts w:ascii="Arial" w:eastAsia="Arial" w:hAnsi="Arial" w:cs="Arial"/>
        </w:rPr>
      </w:pPr>
      <w:r>
        <w:rPr>
          <w:rFonts w:ascii="Arial" w:eastAsia="Arial" w:hAnsi="Arial" w:cs="Arial"/>
        </w:rPr>
        <w:t>According to a 2025 survey by the Massachusetts Center for Health Information and Analysis, more than one in eight Massachusetts residents carry medical debt (nearly one million people based on 2025 population estimates).</w:t>
      </w:r>
      <w:r>
        <w:rPr>
          <w:rFonts w:ascii="Arial" w:eastAsia="Arial" w:hAnsi="Arial" w:cs="Arial"/>
          <w:vertAlign w:val="superscript"/>
        </w:rPr>
        <w:footnoteReference w:id="1"/>
      </w:r>
      <w:r>
        <w:rPr>
          <w:rFonts w:ascii="Arial" w:eastAsia="Arial" w:hAnsi="Arial" w:cs="Arial"/>
        </w:rPr>
        <w:t xml:space="preserve"> For patients who rely on infusion and injection </w:t>
      </w:r>
      <w:proofErr w:type="spellStart"/>
      <w:proofErr w:type="gramStart"/>
      <w:r>
        <w:rPr>
          <w:rFonts w:ascii="Arial" w:eastAsia="Arial" w:hAnsi="Arial" w:cs="Arial"/>
        </w:rPr>
        <w:t>therapIes</w:t>
      </w:r>
      <w:proofErr w:type="spellEnd"/>
      <w:proofErr w:type="gramEnd"/>
      <w:r>
        <w:rPr>
          <w:rFonts w:ascii="Arial" w:eastAsia="Arial" w:hAnsi="Arial" w:cs="Arial"/>
        </w:rPr>
        <w:t>, the financial burden can be especially severe. These treatments are often used to manage chronic, complex, and life-threatening conditions such as cancer, multiple sclerosis, rheumatoid arthritis, and inflammatory bowel disease. They frequently cost hundreds or thousands of dollars each month and often require specialized handling, clinical administration, ongoing patient monitoring, and extensive prior authorization. Even when patients have health</w:t>
      </w:r>
      <w:r>
        <w:rPr>
          <w:rFonts w:ascii="Arial" w:eastAsia="Arial" w:hAnsi="Arial" w:cs="Arial"/>
        </w:rPr>
        <w:t xml:space="preserve"> insurance, out-of-pocket </w:t>
      </w:r>
      <w:r>
        <w:rPr>
          <w:rFonts w:ascii="Arial" w:eastAsia="Arial" w:hAnsi="Arial" w:cs="Arial"/>
        </w:rPr>
        <w:br/>
      </w:r>
      <w:r>
        <w:rPr>
          <w:rFonts w:ascii="Arial" w:eastAsia="Arial" w:hAnsi="Arial" w:cs="Arial"/>
        </w:rPr>
        <w:br/>
      </w:r>
      <w:r>
        <w:rPr>
          <w:rFonts w:ascii="Arial" w:eastAsia="Arial" w:hAnsi="Arial" w:cs="Arial"/>
        </w:rPr>
        <w:lastRenderedPageBreak/>
        <w:t>costs can quickly become unmanageable, leaving many vulnerable to accumulating significant medical debt simply by following their prescribed treatment plan.</w:t>
      </w:r>
    </w:p>
    <w:p w14:paraId="12F995DE" w14:textId="77777777" w:rsidR="00ED7835" w:rsidRDefault="00ED7835">
      <w:pPr>
        <w:spacing w:line="276" w:lineRule="auto"/>
        <w:jc w:val="both"/>
        <w:rPr>
          <w:rFonts w:ascii="Arial" w:eastAsia="Arial" w:hAnsi="Arial" w:cs="Arial"/>
        </w:rPr>
      </w:pPr>
    </w:p>
    <w:p w14:paraId="0BF717A1" w14:textId="77777777" w:rsidR="00ED7835" w:rsidRDefault="0057255F">
      <w:pPr>
        <w:spacing w:line="276" w:lineRule="auto"/>
        <w:jc w:val="both"/>
        <w:rPr>
          <w:rFonts w:ascii="Arial" w:eastAsia="Arial" w:hAnsi="Arial" w:cs="Arial"/>
        </w:rPr>
      </w:pPr>
      <w:r>
        <w:rPr>
          <w:rFonts w:ascii="Arial" w:eastAsia="Arial" w:hAnsi="Arial" w:cs="Arial"/>
        </w:rPr>
        <w:t>Medical debt can have lasting consequences that extend far beyond an unpaid healthcare bill. A serious illness, being diagnosed with a long-term condition, or an unexpected trip to the emergency room can leave patients with substantial expenses they neither anticipated nor can reasonably afford. When medical debt is reported on a consumer credit report, it can limit access to housing, transportation, and affordable financing, creating financial barriers that persist long after the underlying medical conditi</w:t>
      </w:r>
      <w:r>
        <w:rPr>
          <w:rFonts w:ascii="Arial" w:eastAsia="Arial" w:hAnsi="Arial" w:cs="Arial"/>
        </w:rPr>
        <w:t xml:space="preserve">on has been treated. These consequences often affect patients despite having health insurance and making good-faith efforts to meet their financial obligations. </w:t>
      </w:r>
    </w:p>
    <w:p w14:paraId="215234E3" w14:textId="77777777" w:rsidR="00ED7835" w:rsidRDefault="00ED7835">
      <w:pPr>
        <w:spacing w:line="276" w:lineRule="auto"/>
        <w:jc w:val="both"/>
        <w:rPr>
          <w:rFonts w:ascii="Arial" w:eastAsia="Arial" w:hAnsi="Arial" w:cs="Arial"/>
        </w:rPr>
      </w:pPr>
    </w:p>
    <w:p w14:paraId="69C3A12F" w14:textId="77777777" w:rsidR="00ED7835" w:rsidRDefault="0057255F">
      <w:pPr>
        <w:spacing w:line="276" w:lineRule="auto"/>
        <w:jc w:val="both"/>
        <w:rPr>
          <w:rFonts w:ascii="Arial" w:eastAsia="Arial" w:hAnsi="Arial" w:cs="Arial"/>
        </w:rPr>
      </w:pPr>
      <w:r>
        <w:rPr>
          <w:rFonts w:ascii="Arial" w:eastAsia="Arial" w:hAnsi="Arial" w:cs="Arial"/>
        </w:rPr>
        <w:t>Unlike most forms of consumer debt, medical debt is rarely the result of discretionary spending. Patients do not choose to develop a health condition that requires lifelong infusion or injection treatments for a chronic illness. These proposed regulations appropriately recognize that individuals should not face years of financial hardship and damaged credit simply because they sought medically necessary care.</w:t>
      </w:r>
    </w:p>
    <w:p w14:paraId="110B752C" w14:textId="77777777" w:rsidR="00ED7835" w:rsidRDefault="00ED7835">
      <w:pPr>
        <w:spacing w:line="276" w:lineRule="auto"/>
        <w:jc w:val="both"/>
        <w:rPr>
          <w:rFonts w:ascii="Arial" w:eastAsia="Arial" w:hAnsi="Arial" w:cs="Arial"/>
        </w:rPr>
      </w:pPr>
    </w:p>
    <w:p w14:paraId="7F9ADE70" w14:textId="77777777" w:rsidR="00ED7835" w:rsidRDefault="0057255F">
      <w:pPr>
        <w:spacing w:line="276" w:lineRule="auto"/>
        <w:jc w:val="both"/>
        <w:rPr>
          <w:rFonts w:ascii="Arial" w:eastAsia="Arial" w:hAnsi="Arial" w:cs="Arial"/>
        </w:rPr>
      </w:pPr>
      <w:r>
        <w:rPr>
          <w:rFonts w:ascii="Arial" w:eastAsia="Arial" w:hAnsi="Arial" w:cs="Arial"/>
        </w:rPr>
        <w:t xml:space="preserve">The Infusion Access Foundation appreciates the Department’s leadership in advancing policies that protect patients from the lasting </w:t>
      </w:r>
      <w:proofErr w:type="gramStart"/>
      <w:r>
        <w:rPr>
          <w:rFonts w:ascii="Arial" w:eastAsia="Arial" w:hAnsi="Arial" w:cs="Arial"/>
        </w:rPr>
        <w:t>harms</w:t>
      </w:r>
      <w:proofErr w:type="gramEnd"/>
      <w:r>
        <w:rPr>
          <w:rFonts w:ascii="Arial" w:eastAsia="Arial" w:hAnsi="Arial" w:cs="Arial"/>
        </w:rPr>
        <w:t xml:space="preserve"> of medical debt. We respectfully urge the Department to finalize these regulations and thank you for the opportunity to provide these comments. We look forward to continuing to work with the Department to improve access to affordable healthcare for Massachusetts patients.</w:t>
      </w:r>
    </w:p>
    <w:p w14:paraId="73547D7F" w14:textId="77777777" w:rsidR="00ED7835" w:rsidRDefault="00ED7835">
      <w:pPr>
        <w:spacing w:line="276" w:lineRule="auto"/>
        <w:jc w:val="both"/>
        <w:rPr>
          <w:rFonts w:ascii="Arial" w:eastAsia="Arial" w:hAnsi="Arial" w:cs="Arial"/>
        </w:rPr>
      </w:pPr>
    </w:p>
    <w:p w14:paraId="0B5F796F" w14:textId="77777777" w:rsidR="00ED7835" w:rsidRDefault="0057255F">
      <w:pPr>
        <w:spacing w:line="276" w:lineRule="auto"/>
        <w:jc w:val="both"/>
        <w:rPr>
          <w:rFonts w:ascii="Arial" w:eastAsia="Arial" w:hAnsi="Arial" w:cs="Arial"/>
        </w:rPr>
      </w:pPr>
      <w:r>
        <w:rPr>
          <w:rFonts w:ascii="Arial" w:eastAsia="Arial" w:hAnsi="Arial" w:cs="Arial"/>
        </w:rPr>
        <w:t>Sincerely,</w:t>
      </w:r>
    </w:p>
    <w:p w14:paraId="68C25A62" w14:textId="77777777" w:rsidR="00ED7835" w:rsidRDefault="00ED7835">
      <w:pPr>
        <w:spacing w:line="276" w:lineRule="auto"/>
        <w:jc w:val="both"/>
        <w:rPr>
          <w:rFonts w:ascii="Arial" w:eastAsia="Arial" w:hAnsi="Arial" w:cs="Arial"/>
        </w:rPr>
      </w:pPr>
    </w:p>
    <w:p w14:paraId="03125140" w14:textId="77777777" w:rsidR="00ED7835" w:rsidRDefault="0057255F">
      <w:pPr>
        <w:spacing w:line="276" w:lineRule="auto"/>
        <w:jc w:val="both"/>
        <w:rPr>
          <w:rFonts w:ascii="Arial" w:eastAsia="Arial" w:hAnsi="Arial" w:cs="Arial"/>
        </w:rPr>
      </w:pPr>
      <w:r>
        <w:rPr>
          <w:rFonts w:ascii="Arial" w:eastAsia="Arial" w:hAnsi="Arial" w:cs="Arial"/>
          <w:noProof/>
        </w:rPr>
        <w:drawing>
          <wp:inline distT="114300" distB="114300" distL="114300" distR="114300" wp14:anchorId="29A76CB8" wp14:editId="6DF1DA07">
            <wp:extent cx="1638300" cy="666750"/>
            <wp:effectExtent l="0" t="0" r="0" b="0"/>
            <wp:docPr id="1" name="image1.png" descr="Signature"/>
            <wp:cNvGraphicFramePr/>
            <a:graphic xmlns:a="http://schemas.openxmlformats.org/drawingml/2006/main">
              <a:graphicData uri="http://schemas.openxmlformats.org/drawingml/2006/picture">
                <pic:pic xmlns:pic="http://schemas.openxmlformats.org/drawingml/2006/picture">
                  <pic:nvPicPr>
                    <pic:cNvPr id="1" name="image1.png" descr="Signature"/>
                    <pic:cNvPicPr preferRelativeResize="0"/>
                  </pic:nvPicPr>
                  <pic:blipFill>
                    <a:blip r:embed="rId7"/>
                    <a:srcRect/>
                    <a:stretch>
                      <a:fillRect/>
                    </a:stretch>
                  </pic:blipFill>
                  <pic:spPr>
                    <a:xfrm>
                      <a:off x="0" y="0"/>
                      <a:ext cx="1638300" cy="666750"/>
                    </a:xfrm>
                    <a:prstGeom prst="rect">
                      <a:avLst/>
                    </a:prstGeom>
                    <a:ln/>
                  </pic:spPr>
                </pic:pic>
              </a:graphicData>
            </a:graphic>
          </wp:inline>
        </w:drawing>
      </w:r>
    </w:p>
    <w:p w14:paraId="70C3AA16" w14:textId="77777777" w:rsidR="00ED7835" w:rsidRDefault="00ED7835">
      <w:pPr>
        <w:spacing w:line="276" w:lineRule="auto"/>
        <w:jc w:val="both"/>
        <w:rPr>
          <w:rFonts w:ascii="Arial" w:eastAsia="Arial" w:hAnsi="Arial" w:cs="Arial"/>
        </w:rPr>
      </w:pPr>
    </w:p>
    <w:p w14:paraId="1D6103C9" w14:textId="77777777" w:rsidR="00ED7835" w:rsidRDefault="0057255F">
      <w:pPr>
        <w:spacing w:line="276" w:lineRule="auto"/>
        <w:jc w:val="both"/>
        <w:rPr>
          <w:rFonts w:ascii="Arial" w:eastAsia="Arial" w:hAnsi="Arial" w:cs="Arial"/>
        </w:rPr>
      </w:pPr>
      <w:r>
        <w:rPr>
          <w:rFonts w:ascii="Arial" w:eastAsia="Arial" w:hAnsi="Arial" w:cs="Arial"/>
        </w:rPr>
        <w:t>Alicia Barron, LGSW</w:t>
      </w:r>
    </w:p>
    <w:p w14:paraId="2DDAEEE4" w14:textId="77777777" w:rsidR="00ED7835" w:rsidRDefault="0057255F">
      <w:pPr>
        <w:spacing w:line="276" w:lineRule="auto"/>
        <w:jc w:val="both"/>
        <w:rPr>
          <w:rFonts w:ascii="Arial" w:eastAsia="Arial" w:hAnsi="Arial" w:cs="Arial"/>
        </w:rPr>
      </w:pPr>
      <w:r>
        <w:rPr>
          <w:rFonts w:ascii="Arial" w:eastAsia="Arial" w:hAnsi="Arial" w:cs="Arial"/>
        </w:rPr>
        <w:t>Executive Director</w:t>
      </w:r>
    </w:p>
    <w:p w14:paraId="430B757F" w14:textId="77777777" w:rsidR="00ED7835" w:rsidRDefault="0057255F">
      <w:pPr>
        <w:spacing w:line="276" w:lineRule="auto"/>
        <w:jc w:val="both"/>
        <w:rPr>
          <w:rFonts w:ascii="Arial" w:eastAsia="Arial" w:hAnsi="Arial" w:cs="Arial"/>
        </w:rPr>
      </w:pPr>
      <w:r>
        <w:rPr>
          <w:rFonts w:ascii="Arial" w:eastAsia="Arial" w:hAnsi="Arial" w:cs="Arial"/>
        </w:rPr>
        <w:t>Infusion Access Foundation</w:t>
      </w:r>
    </w:p>
    <w:sectPr w:rsidR="00ED78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6E1C" w14:textId="77777777" w:rsidR="0057255F" w:rsidRDefault="0057255F">
      <w:r>
        <w:separator/>
      </w:r>
    </w:p>
  </w:endnote>
  <w:endnote w:type="continuationSeparator" w:id="0">
    <w:p w14:paraId="6B6E1279" w14:textId="77777777" w:rsidR="0057255F" w:rsidRDefault="0057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441BDAE-17DD-4EE1-8F54-B4877E1738F3}"/>
    <w:embedBold r:id="rId2" w:fontKey="{703EEEB4-E998-4239-97F6-8CCB0097789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BEA4DB84-D051-47B4-9E9B-078C98CD3C4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0B5B23C2-3180-4AF5-BA0F-7AF4F9A30A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785F" w14:textId="77777777" w:rsidR="00ED7835" w:rsidRDefault="00ED783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7E38" w14:textId="77777777" w:rsidR="00ED7835" w:rsidRDefault="00ED783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8FB9" w14:textId="77777777" w:rsidR="00ED7835" w:rsidRDefault="00ED783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1B90" w14:textId="77777777" w:rsidR="0057255F" w:rsidRDefault="0057255F">
      <w:r>
        <w:separator/>
      </w:r>
    </w:p>
  </w:footnote>
  <w:footnote w:type="continuationSeparator" w:id="0">
    <w:p w14:paraId="765AEAD2" w14:textId="77777777" w:rsidR="0057255F" w:rsidRDefault="0057255F">
      <w:r>
        <w:continuationSeparator/>
      </w:r>
    </w:p>
  </w:footnote>
  <w:footnote w:id="1">
    <w:p w14:paraId="33C58C4E" w14:textId="77777777" w:rsidR="00ED7835" w:rsidRDefault="0057255F">
      <w:pPr>
        <w:rPr>
          <w:sz w:val="18"/>
          <w:szCs w:val="18"/>
        </w:rPr>
      </w:pPr>
      <w:r>
        <w:rPr>
          <w:vertAlign w:val="superscript"/>
        </w:rPr>
        <w:footnoteRef/>
      </w:r>
      <w:r>
        <w:rPr>
          <w:sz w:val="20"/>
          <w:szCs w:val="20"/>
        </w:rPr>
        <w:t xml:space="preserve"> </w:t>
      </w:r>
      <w:hyperlink r:id="rId1">
        <w:r>
          <w:rPr>
            <w:color w:val="1155CC"/>
            <w:sz w:val="18"/>
            <w:szCs w:val="18"/>
            <w:u w:val="single"/>
          </w:rPr>
          <w:t>https://www.chiamass.gov/wp-content/uploads/docs/r/pubs/2025/Understanding-Medical-Debt-in-Massachusetts.pdf</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DABB" w14:textId="77777777" w:rsidR="00ED7835" w:rsidRDefault="00ED783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0E09" w14:textId="77777777" w:rsidR="00ED7835" w:rsidRDefault="0057255F">
    <w:pPr>
      <w:tabs>
        <w:tab w:val="center" w:pos="4680"/>
        <w:tab w:val="right" w:pos="9360"/>
      </w:tabs>
      <w:jc w:val="center"/>
    </w:pPr>
    <w:r>
      <w:rPr>
        <w:noProof/>
      </w:rPr>
      <w:drawing>
        <wp:inline distT="114300" distB="114300" distL="114300" distR="114300" wp14:anchorId="48D52963" wp14:editId="1869E16C">
          <wp:extent cx="3733800" cy="832376"/>
          <wp:effectExtent l="0" t="0" r="0" b="0"/>
          <wp:docPr id="2" name="image2.png" descr="Logo"/>
          <wp:cNvGraphicFramePr/>
          <a:graphic xmlns:a="http://schemas.openxmlformats.org/drawingml/2006/main">
            <a:graphicData uri="http://schemas.openxmlformats.org/drawingml/2006/picture">
              <pic:pic xmlns:pic="http://schemas.openxmlformats.org/drawingml/2006/picture">
                <pic:nvPicPr>
                  <pic:cNvPr id="2" name="image2.png" descr="Logo"/>
                  <pic:cNvPicPr preferRelativeResize="0"/>
                </pic:nvPicPr>
                <pic:blipFill>
                  <a:blip r:embed="rId1"/>
                  <a:srcRect/>
                  <a:stretch>
                    <a:fillRect/>
                  </a:stretch>
                </pic:blipFill>
                <pic:spPr>
                  <a:xfrm>
                    <a:off x="0" y="0"/>
                    <a:ext cx="3733800" cy="832376"/>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5F2C" w14:textId="77777777" w:rsidR="00ED7835" w:rsidRDefault="00ED783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835"/>
    <w:rsid w:val="00374677"/>
    <w:rsid w:val="0057255F"/>
    <w:rsid w:val="00892EE8"/>
    <w:rsid w:val="00ED7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E0FC"/>
  <w15:docId w15:val="{75E8B3E5-CF36-418C-A8A9-92171855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chiamass.gov/wp-content/uploads/docs/r/pubs/2025/Understanding-Medical-Debt-in-Massachusett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QkMwqf2eWeuoe1OQxWWgIv8HrA==">CgMxLjA4AHIhMVlheEJ1U0JWNnhMaEFXNjV0Mm91Z1BLdGZhY0pZbkNn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3147</Characters>
  <Application>Microsoft Office Word</Application>
  <DocSecurity>0</DocSecurity>
  <Lines>26</Lines>
  <Paragraphs>7</Paragraphs>
  <ScaleCrop>false</ScaleCrop>
  <Company>Commonwealth of Massachusetts</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2026-08-03T14:05:00Z</dcterms:created>
  <dcterms:modified xsi:type="dcterms:W3CDTF">2026-08-03T14:06:00Z</dcterms:modified>
</cp:coreProperties>
</file>