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BB9C8" w14:textId="0EF57C66" w:rsidR="008F6E30" w:rsidRPr="008F6E30" w:rsidRDefault="008F6E30" w:rsidP="008F6E30">
      <w:pPr>
        <w:spacing w:after="0" w:line="240" w:lineRule="auto"/>
        <w:jc w:val="center"/>
        <w:rPr>
          <w:rFonts w:ascii="Times New Roman" w:eastAsia="Times New Roman" w:hAnsi="Times New Roman" w:cs="Times New Roman"/>
          <w:b/>
          <w:color w:val="000000"/>
          <w:sz w:val="24"/>
          <w:szCs w:val="24"/>
        </w:rPr>
      </w:pPr>
      <w:r w:rsidRPr="008F6E30">
        <w:rPr>
          <w:rFonts w:ascii="Times New Roman" w:eastAsia="Times New Roman" w:hAnsi="Times New Roman" w:cs="Times New Roman"/>
          <w:b/>
          <w:color w:val="000000"/>
          <w:sz w:val="24"/>
          <w:szCs w:val="24"/>
        </w:rPr>
        <w:t xml:space="preserve">Appendix B: </w:t>
      </w:r>
      <w:proofErr w:type="spellStart"/>
      <w:r w:rsidRPr="008F6E30">
        <w:rPr>
          <w:rFonts w:ascii="Times New Roman" w:eastAsia="Times New Roman" w:hAnsi="Times New Roman" w:cs="Times New Roman"/>
          <w:b/>
          <w:color w:val="000000"/>
          <w:sz w:val="24"/>
          <w:szCs w:val="24"/>
        </w:rPr>
        <w:t>Bamlanivimab</w:t>
      </w:r>
      <w:proofErr w:type="spellEnd"/>
      <w:r w:rsidRPr="008F6E30">
        <w:rPr>
          <w:rFonts w:ascii="Times New Roman" w:eastAsia="Times New Roman" w:hAnsi="Times New Roman" w:cs="Times New Roman"/>
          <w:b/>
          <w:color w:val="000000"/>
          <w:sz w:val="24"/>
          <w:szCs w:val="24"/>
        </w:rPr>
        <w:t xml:space="preserve"> </w:t>
      </w:r>
      <w:r w:rsidR="0005271A" w:rsidRPr="0005271A">
        <w:rPr>
          <w:rFonts w:ascii="Times New Roman" w:eastAsia="Times New Roman" w:hAnsi="Times New Roman" w:cs="Times New Roman"/>
          <w:b/>
          <w:color w:val="000000"/>
          <w:sz w:val="24"/>
          <w:szCs w:val="24"/>
        </w:rPr>
        <w:t xml:space="preserve">and </w:t>
      </w:r>
      <w:proofErr w:type="spellStart"/>
      <w:r w:rsidR="0005271A" w:rsidRPr="0005271A">
        <w:rPr>
          <w:rFonts w:ascii="Times New Roman" w:eastAsia="Times New Roman" w:hAnsi="Times New Roman" w:cs="Times New Roman"/>
          <w:b/>
          <w:color w:val="000000"/>
          <w:sz w:val="24"/>
          <w:szCs w:val="24"/>
        </w:rPr>
        <w:t>Etesevimab</w:t>
      </w:r>
      <w:proofErr w:type="spellEnd"/>
      <w:r w:rsidR="0005271A" w:rsidRPr="0005271A">
        <w:rPr>
          <w:rFonts w:ascii="Times New Roman" w:eastAsia="Times New Roman" w:hAnsi="Times New Roman" w:cs="Times New Roman"/>
          <w:b/>
          <w:color w:val="000000"/>
          <w:sz w:val="24"/>
          <w:szCs w:val="24"/>
        </w:rPr>
        <w:t xml:space="preserve"> and REGEN-COV </w:t>
      </w:r>
      <w:r w:rsidR="00600E02">
        <w:rPr>
          <w:rFonts w:ascii="Times New Roman" w:eastAsia="Times New Roman" w:hAnsi="Times New Roman" w:cs="Times New Roman"/>
          <w:b/>
          <w:color w:val="000000"/>
          <w:sz w:val="24"/>
          <w:szCs w:val="24"/>
        </w:rPr>
        <w:br/>
      </w:r>
      <w:r w:rsidR="0005271A" w:rsidRPr="0005271A">
        <w:rPr>
          <w:rFonts w:ascii="Times New Roman" w:eastAsia="Times New Roman" w:hAnsi="Times New Roman" w:cs="Times New Roman"/>
          <w:b/>
          <w:color w:val="000000"/>
          <w:sz w:val="24"/>
          <w:szCs w:val="24"/>
        </w:rPr>
        <w:t>(</w:t>
      </w:r>
      <w:proofErr w:type="spellStart"/>
      <w:r w:rsidR="0005271A" w:rsidRPr="0005271A">
        <w:rPr>
          <w:rFonts w:ascii="Times New Roman" w:eastAsia="Times New Roman" w:hAnsi="Times New Roman" w:cs="Times New Roman"/>
          <w:b/>
          <w:color w:val="000000"/>
          <w:sz w:val="24"/>
          <w:szCs w:val="24"/>
        </w:rPr>
        <w:t>Casirimab</w:t>
      </w:r>
      <w:proofErr w:type="spellEnd"/>
      <w:r w:rsidR="0005271A" w:rsidRPr="0005271A">
        <w:rPr>
          <w:rFonts w:ascii="Times New Roman" w:eastAsia="Times New Roman" w:hAnsi="Times New Roman" w:cs="Times New Roman"/>
          <w:b/>
          <w:color w:val="000000"/>
          <w:sz w:val="24"/>
          <w:szCs w:val="24"/>
        </w:rPr>
        <w:t>/</w:t>
      </w:r>
      <w:proofErr w:type="spellStart"/>
      <w:r w:rsidR="0005271A" w:rsidRPr="0005271A">
        <w:rPr>
          <w:rFonts w:ascii="Times New Roman" w:eastAsia="Times New Roman" w:hAnsi="Times New Roman" w:cs="Times New Roman"/>
          <w:b/>
          <w:color w:val="000000"/>
          <w:sz w:val="24"/>
          <w:szCs w:val="24"/>
        </w:rPr>
        <w:t>Imdevimab</w:t>
      </w:r>
      <w:proofErr w:type="spellEnd"/>
      <w:r w:rsidR="0005271A" w:rsidRPr="0005271A">
        <w:rPr>
          <w:rFonts w:ascii="Times New Roman" w:eastAsia="Times New Roman" w:hAnsi="Times New Roman" w:cs="Times New Roman"/>
          <w:b/>
          <w:color w:val="000000"/>
          <w:sz w:val="24"/>
          <w:szCs w:val="24"/>
        </w:rPr>
        <w:t>)</w:t>
      </w:r>
      <w:r w:rsidR="00600E02">
        <w:rPr>
          <w:rFonts w:ascii="Times New Roman" w:eastAsia="Times New Roman" w:hAnsi="Times New Roman" w:cs="Times New Roman"/>
          <w:b/>
          <w:color w:val="000000"/>
          <w:sz w:val="24"/>
          <w:szCs w:val="24"/>
        </w:rPr>
        <w:t xml:space="preserve"> </w:t>
      </w:r>
      <w:r w:rsidRPr="008F6E30">
        <w:rPr>
          <w:rFonts w:ascii="Times New Roman" w:eastAsia="Times New Roman" w:hAnsi="Times New Roman" w:cs="Times New Roman"/>
          <w:b/>
          <w:color w:val="000000"/>
          <w:sz w:val="24"/>
          <w:szCs w:val="24"/>
        </w:rPr>
        <w:t>Infusion Checklist</w:t>
      </w:r>
    </w:p>
    <w:p w14:paraId="2FE31FEC" w14:textId="77777777" w:rsidR="008F6E30" w:rsidRDefault="008F6E30" w:rsidP="008F6E30">
      <w:pPr>
        <w:spacing w:after="0" w:line="240" w:lineRule="auto"/>
        <w:rPr>
          <w:rFonts w:ascii="Times New Roman" w:eastAsia="Times New Roman" w:hAnsi="Times New Roman" w:cs="Times New Roman"/>
          <w:b/>
          <w:color w:val="000000"/>
          <w:sz w:val="24"/>
          <w:szCs w:val="24"/>
        </w:rPr>
      </w:pPr>
    </w:p>
    <w:p w14:paraId="374C7AB9" w14:textId="77777777" w:rsidR="008F6E30" w:rsidRDefault="008F6E30" w:rsidP="008F6E30">
      <w:pPr>
        <w:spacing w:after="0" w:line="240" w:lineRule="auto"/>
        <w:rPr>
          <w:rFonts w:ascii="Times New Roman" w:eastAsia="Times New Roman" w:hAnsi="Times New Roman" w:cs="Times New Roman"/>
          <w:b/>
          <w:color w:val="000000"/>
          <w:sz w:val="24"/>
          <w:szCs w:val="24"/>
        </w:rPr>
      </w:pPr>
    </w:p>
    <w:p w14:paraId="2A2F70A7" w14:textId="2653D122" w:rsidR="0005271A" w:rsidRPr="0005271A" w:rsidRDefault="008F6E30" w:rsidP="0005271A">
      <w:pPr>
        <w:spacing w:after="0" w:line="240" w:lineRule="auto"/>
        <w:rPr>
          <w:rFonts w:ascii="Times New Roman" w:eastAsia="Times New Roman" w:hAnsi="Times New Roman" w:cs="Times New Roman"/>
          <w:color w:val="000000"/>
          <w:sz w:val="24"/>
          <w:szCs w:val="24"/>
        </w:rPr>
      </w:pPr>
      <w:r w:rsidRPr="008F6E30">
        <w:rPr>
          <w:rFonts w:ascii="Times New Roman" w:eastAsia="Times New Roman" w:hAnsi="Times New Roman" w:cs="Times New Roman"/>
          <w:b/>
          <w:color w:val="000000"/>
          <w:sz w:val="24"/>
          <w:szCs w:val="24"/>
        </w:rPr>
        <w:t>Purpose:</w:t>
      </w:r>
      <w:r w:rsidRPr="008F6E30">
        <w:rPr>
          <w:rFonts w:ascii="Times New Roman" w:eastAsia="Times New Roman" w:hAnsi="Times New Roman" w:cs="Times New Roman"/>
          <w:color w:val="000000"/>
          <w:sz w:val="24"/>
          <w:szCs w:val="24"/>
        </w:rPr>
        <w:t xml:space="preserve"> DPH has developed this guide and checklist for Long-Term Care facilities seeking to utilize treatment for residents with mild-to-moderate COVID-19 via provision of </w:t>
      </w:r>
      <w:proofErr w:type="spellStart"/>
      <w:r w:rsidRPr="008F6E30">
        <w:rPr>
          <w:rFonts w:ascii="Times New Roman" w:eastAsia="Times New Roman" w:hAnsi="Times New Roman" w:cs="Times New Roman"/>
          <w:color w:val="000000"/>
          <w:sz w:val="24"/>
          <w:szCs w:val="24"/>
        </w:rPr>
        <w:t>Bamlanivimab</w:t>
      </w:r>
      <w:proofErr w:type="spellEnd"/>
      <w:r w:rsidRPr="008F6E30">
        <w:rPr>
          <w:rFonts w:ascii="Times New Roman" w:eastAsia="Times New Roman" w:hAnsi="Times New Roman" w:cs="Times New Roman"/>
          <w:color w:val="000000"/>
          <w:sz w:val="24"/>
          <w:szCs w:val="24"/>
        </w:rPr>
        <w:t xml:space="preserve"> </w:t>
      </w:r>
      <w:r w:rsidR="0005271A" w:rsidRPr="0005271A">
        <w:rPr>
          <w:rFonts w:ascii="Times New Roman" w:eastAsia="Times New Roman" w:hAnsi="Times New Roman" w:cs="Times New Roman"/>
          <w:color w:val="000000"/>
          <w:sz w:val="24"/>
          <w:szCs w:val="24"/>
        </w:rPr>
        <w:t xml:space="preserve">and </w:t>
      </w:r>
      <w:proofErr w:type="spellStart"/>
      <w:r w:rsidR="0005271A" w:rsidRPr="0005271A">
        <w:rPr>
          <w:rFonts w:ascii="Times New Roman" w:eastAsia="Times New Roman" w:hAnsi="Times New Roman" w:cs="Times New Roman"/>
          <w:color w:val="000000"/>
          <w:sz w:val="24"/>
          <w:szCs w:val="24"/>
        </w:rPr>
        <w:t>Etesevimab</w:t>
      </w:r>
      <w:proofErr w:type="spellEnd"/>
      <w:r w:rsidR="0005271A" w:rsidRPr="0005271A">
        <w:rPr>
          <w:rFonts w:ascii="Times New Roman" w:eastAsia="Times New Roman" w:hAnsi="Times New Roman" w:cs="Times New Roman"/>
          <w:color w:val="000000"/>
          <w:sz w:val="24"/>
          <w:szCs w:val="24"/>
        </w:rPr>
        <w:t xml:space="preserve"> and REGEN-COV (</w:t>
      </w:r>
      <w:bookmarkStart w:id="0" w:name="_Hlk67611675"/>
      <w:proofErr w:type="spellStart"/>
      <w:r w:rsidR="0005271A" w:rsidRPr="0005271A">
        <w:rPr>
          <w:rFonts w:ascii="Times New Roman" w:eastAsia="Times New Roman" w:hAnsi="Times New Roman" w:cs="Times New Roman"/>
          <w:color w:val="000000"/>
          <w:sz w:val="24"/>
          <w:szCs w:val="24"/>
        </w:rPr>
        <w:t>Casirimab</w:t>
      </w:r>
      <w:proofErr w:type="spellEnd"/>
      <w:r w:rsidR="0005271A" w:rsidRPr="0005271A">
        <w:rPr>
          <w:rFonts w:ascii="Times New Roman" w:eastAsia="Times New Roman" w:hAnsi="Times New Roman" w:cs="Times New Roman"/>
          <w:color w:val="000000"/>
          <w:sz w:val="24"/>
          <w:szCs w:val="24"/>
        </w:rPr>
        <w:t>/</w:t>
      </w:r>
      <w:proofErr w:type="spellStart"/>
      <w:r w:rsidR="0005271A" w:rsidRPr="0005271A">
        <w:rPr>
          <w:rFonts w:ascii="Times New Roman" w:eastAsia="Times New Roman" w:hAnsi="Times New Roman" w:cs="Times New Roman"/>
          <w:color w:val="000000"/>
          <w:sz w:val="24"/>
          <w:szCs w:val="24"/>
        </w:rPr>
        <w:t>Imdevimab</w:t>
      </w:r>
      <w:bookmarkEnd w:id="0"/>
      <w:proofErr w:type="spellEnd"/>
      <w:r w:rsidR="0005271A" w:rsidRPr="0005271A">
        <w:rPr>
          <w:rFonts w:ascii="Times New Roman" w:eastAsia="Times New Roman" w:hAnsi="Times New Roman" w:cs="Times New Roman"/>
          <w:color w:val="000000"/>
          <w:sz w:val="24"/>
          <w:szCs w:val="24"/>
        </w:rPr>
        <w:t>)</w:t>
      </w:r>
      <w:r w:rsidR="0005271A">
        <w:rPr>
          <w:rFonts w:ascii="Times New Roman" w:eastAsia="Times New Roman" w:hAnsi="Times New Roman" w:cs="Times New Roman"/>
          <w:color w:val="000000"/>
          <w:sz w:val="24"/>
          <w:szCs w:val="24"/>
        </w:rPr>
        <w:t xml:space="preserve"> </w:t>
      </w:r>
      <w:r w:rsidRPr="008F6E30">
        <w:rPr>
          <w:rFonts w:ascii="Times New Roman" w:eastAsia="Times New Roman" w:hAnsi="Times New Roman" w:cs="Times New Roman"/>
          <w:color w:val="000000"/>
          <w:sz w:val="24"/>
          <w:szCs w:val="24"/>
        </w:rPr>
        <w:t xml:space="preserve">monoclonal antibody which is under Emergency Use Authorization (EUA) from the Food and Drug Administration (FDA). Such facilities should reference the </w:t>
      </w:r>
      <w:r w:rsidR="0005271A" w:rsidRPr="0005271A">
        <w:rPr>
          <w:rFonts w:ascii="Times New Roman" w:eastAsia="Times New Roman" w:hAnsi="Times New Roman" w:cs="Times New Roman"/>
          <w:color w:val="000000"/>
          <w:sz w:val="24"/>
          <w:szCs w:val="24"/>
        </w:rPr>
        <w:t xml:space="preserve">Updates for Patients Receiving COVID-19 </w:t>
      </w:r>
      <w:bookmarkStart w:id="1" w:name="_Hlk58844861"/>
      <w:r w:rsidR="0005271A" w:rsidRPr="0005271A">
        <w:rPr>
          <w:rFonts w:ascii="Times New Roman" w:eastAsia="Times New Roman" w:hAnsi="Times New Roman" w:cs="Times New Roman"/>
          <w:color w:val="000000"/>
          <w:sz w:val="24"/>
          <w:szCs w:val="24"/>
        </w:rPr>
        <w:t>Monoclonal Antibodies Therapeutic Infusions</w:t>
      </w:r>
      <w:bookmarkEnd w:id="1"/>
      <w:r w:rsidR="0005271A" w:rsidRPr="0005271A">
        <w:rPr>
          <w:rFonts w:ascii="Times New Roman" w:eastAsia="Times New Roman" w:hAnsi="Times New Roman" w:cs="Times New Roman"/>
          <w:color w:val="000000"/>
          <w:sz w:val="24"/>
          <w:szCs w:val="24"/>
        </w:rPr>
        <w:t xml:space="preserve">, </w:t>
      </w:r>
      <w:proofErr w:type="spellStart"/>
      <w:r w:rsidR="0005271A" w:rsidRPr="0005271A">
        <w:rPr>
          <w:rFonts w:ascii="Times New Roman" w:eastAsia="Times New Roman" w:hAnsi="Times New Roman" w:cs="Times New Roman"/>
          <w:color w:val="000000"/>
          <w:sz w:val="24"/>
          <w:szCs w:val="24"/>
        </w:rPr>
        <w:t>Bamlanivimab</w:t>
      </w:r>
      <w:proofErr w:type="spellEnd"/>
      <w:r w:rsidR="0005271A" w:rsidRPr="0005271A">
        <w:rPr>
          <w:rFonts w:ascii="Times New Roman" w:eastAsia="Times New Roman" w:hAnsi="Times New Roman" w:cs="Times New Roman"/>
          <w:color w:val="000000"/>
          <w:sz w:val="24"/>
          <w:szCs w:val="24"/>
        </w:rPr>
        <w:t xml:space="preserve"> </w:t>
      </w:r>
      <w:bookmarkStart w:id="2" w:name="_Hlk67612915"/>
      <w:r w:rsidR="0005271A" w:rsidRPr="0005271A">
        <w:rPr>
          <w:rFonts w:ascii="Times New Roman" w:eastAsia="Times New Roman" w:hAnsi="Times New Roman" w:cs="Times New Roman"/>
          <w:color w:val="000000"/>
          <w:sz w:val="24"/>
          <w:szCs w:val="24"/>
        </w:rPr>
        <w:t xml:space="preserve">and </w:t>
      </w:r>
      <w:proofErr w:type="spellStart"/>
      <w:r w:rsidR="0005271A" w:rsidRPr="0005271A">
        <w:rPr>
          <w:rFonts w:ascii="Times New Roman" w:eastAsia="Times New Roman" w:hAnsi="Times New Roman" w:cs="Times New Roman"/>
          <w:color w:val="000000"/>
          <w:sz w:val="24"/>
          <w:szCs w:val="24"/>
        </w:rPr>
        <w:t>Etesevimab</w:t>
      </w:r>
      <w:proofErr w:type="spellEnd"/>
      <w:r w:rsidR="0005271A" w:rsidRPr="0005271A">
        <w:rPr>
          <w:rFonts w:ascii="Times New Roman" w:eastAsia="Times New Roman" w:hAnsi="Times New Roman" w:cs="Times New Roman"/>
          <w:color w:val="000000"/>
          <w:sz w:val="24"/>
          <w:szCs w:val="24"/>
        </w:rPr>
        <w:t xml:space="preserve"> and REGEN-COV </w:t>
      </w:r>
      <w:bookmarkEnd w:id="2"/>
      <w:proofErr w:type="spellStart"/>
      <w:r w:rsidR="0005271A" w:rsidRPr="0005271A">
        <w:rPr>
          <w:rFonts w:ascii="Times New Roman" w:eastAsia="Times New Roman" w:hAnsi="Times New Roman" w:cs="Times New Roman"/>
          <w:color w:val="000000"/>
          <w:sz w:val="24"/>
          <w:szCs w:val="24"/>
        </w:rPr>
        <w:t>Casirimab</w:t>
      </w:r>
      <w:proofErr w:type="spellEnd"/>
      <w:r w:rsidR="0005271A" w:rsidRPr="0005271A">
        <w:rPr>
          <w:rFonts w:ascii="Times New Roman" w:eastAsia="Times New Roman" w:hAnsi="Times New Roman" w:cs="Times New Roman"/>
          <w:color w:val="000000"/>
          <w:sz w:val="24"/>
          <w:szCs w:val="24"/>
        </w:rPr>
        <w:t>/</w:t>
      </w:r>
      <w:proofErr w:type="spellStart"/>
      <w:r w:rsidR="0005271A" w:rsidRPr="0005271A">
        <w:rPr>
          <w:rFonts w:ascii="Times New Roman" w:eastAsia="Times New Roman" w:hAnsi="Times New Roman" w:cs="Times New Roman"/>
          <w:color w:val="000000"/>
          <w:sz w:val="24"/>
          <w:szCs w:val="24"/>
        </w:rPr>
        <w:t>Imdevimab</w:t>
      </w:r>
      <w:proofErr w:type="spellEnd"/>
      <w:r w:rsidR="0005271A" w:rsidRPr="0005271A">
        <w:rPr>
          <w:rFonts w:ascii="Times New Roman" w:eastAsia="Times New Roman" w:hAnsi="Times New Roman" w:cs="Times New Roman"/>
          <w:color w:val="000000"/>
          <w:sz w:val="24"/>
          <w:szCs w:val="24"/>
        </w:rPr>
        <w:t>)</w:t>
      </w:r>
    </w:p>
    <w:p w14:paraId="0C0CEAD2" w14:textId="257E9C39" w:rsidR="008F6E30" w:rsidRPr="008F6E30" w:rsidRDefault="008F6E30" w:rsidP="008F6E30">
      <w:pPr>
        <w:spacing w:after="0" w:line="240" w:lineRule="auto"/>
        <w:rPr>
          <w:rFonts w:ascii="Times New Roman" w:eastAsia="Times New Roman" w:hAnsi="Times New Roman" w:cs="Times New Roman"/>
          <w:color w:val="000000"/>
          <w:sz w:val="24"/>
          <w:szCs w:val="24"/>
        </w:rPr>
      </w:pPr>
      <w:r w:rsidRPr="008F6E30">
        <w:rPr>
          <w:rFonts w:ascii="Times New Roman" w:eastAsia="Times New Roman" w:hAnsi="Times New Roman" w:cs="Times New Roman"/>
          <w:color w:val="000000"/>
          <w:sz w:val="24"/>
          <w:szCs w:val="24"/>
        </w:rPr>
        <w:t>as set forth by DPH.</w:t>
      </w:r>
    </w:p>
    <w:p w14:paraId="66992512" w14:textId="77777777" w:rsidR="008F6E30" w:rsidRPr="008F6E30" w:rsidRDefault="008F6E30" w:rsidP="008F6E30">
      <w:pPr>
        <w:spacing w:after="0" w:line="240" w:lineRule="auto"/>
        <w:rPr>
          <w:rFonts w:ascii="Times New Roman" w:eastAsia="Times New Roman" w:hAnsi="Times New Roman" w:cs="Times New Roman"/>
          <w:color w:val="000000"/>
          <w:sz w:val="24"/>
          <w:szCs w:val="24"/>
        </w:rPr>
      </w:pPr>
    </w:p>
    <w:p w14:paraId="1C3018E1" w14:textId="7AB206F4" w:rsidR="008F6E30" w:rsidRPr="008F6E30" w:rsidRDefault="008F6E30" w:rsidP="008F6E30">
      <w:pPr>
        <w:spacing w:after="0" w:line="240" w:lineRule="auto"/>
        <w:rPr>
          <w:rFonts w:ascii="Times New Roman" w:eastAsia="Times New Roman" w:hAnsi="Times New Roman" w:cs="Times New Roman"/>
          <w:color w:val="000000"/>
          <w:sz w:val="24"/>
          <w:szCs w:val="24"/>
        </w:rPr>
      </w:pPr>
      <w:r w:rsidRPr="008F6E30">
        <w:rPr>
          <w:rFonts w:ascii="Times New Roman" w:eastAsia="Times New Roman" w:hAnsi="Times New Roman" w:cs="Times New Roman"/>
          <w:color w:val="000000"/>
          <w:sz w:val="24"/>
          <w:szCs w:val="24"/>
        </w:rPr>
        <w:t xml:space="preserve">For more information, including provider fact sheets, reference Eli Lilly: </w:t>
      </w:r>
      <w:bookmarkStart w:id="3" w:name="_Hlk61537121"/>
      <w:r w:rsidRPr="008F6E30">
        <w:rPr>
          <w:rFonts w:ascii="Times New Roman" w:eastAsia="Times New Roman" w:hAnsi="Times New Roman" w:cs="Times New Roman"/>
          <w:color w:val="000000"/>
          <w:sz w:val="24"/>
          <w:szCs w:val="24"/>
        </w:rPr>
        <w:t xml:space="preserve">the FDA EUA for </w:t>
      </w:r>
      <w:proofErr w:type="spellStart"/>
      <w:r w:rsidRPr="008F6E30">
        <w:rPr>
          <w:rFonts w:ascii="Times New Roman" w:eastAsia="Times New Roman" w:hAnsi="Times New Roman" w:cs="Times New Roman"/>
          <w:color w:val="000000"/>
          <w:sz w:val="24"/>
          <w:szCs w:val="24"/>
        </w:rPr>
        <w:t>Bamlanivimab</w:t>
      </w:r>
      <w:proofErr w:type="spellEnd"/>
      <w:r w:rsidRPr="008F6E30">
        <w:rPr>
          <w:rFonts w:ascii="Times New Roman" w:eastAsia="Times New Roman" w:hAnsi="Times New Roman" w:cs="Times New Roman"/>
          <w:color w:val="000000"/>
          <w:sz w:val="24"/>
          <w:szCs w:val="24"/>
        </w:rPr>
        <w:t xml:space="preserve"> </w:t>
      </w:r>
      <w:r w:rsidR="000D1ACF">
        <w:rPr>
          <w:rFonts w:ascii="Times New Roman" w:eastAsia="Times New Roman" w:hAnsi="Times New Roman" w:cs="Times New Roman"/>
          <w:color w:val="000000"/>
          <w:sz w:val="24"/>
          <w:szCs w:val="24"/>
        </w:rPr>
        <w:t xml:space="preserve">and </w:t>
      </w:r>
      <w:proofErr w:type="spellStart"/>
      <w:r w:rsidR="000D1ACF">
        <w:rPr>
          <w:rFonts w:ascii="Times New Roman" w:eastAsia="Times New Roman" w:hAnsi="Times New Roman" w:cs="Times New Roman"/>
          <w:color w:val="000000"/>
          <w:sz w:val="24"/>
          <w:szCs w:val="24"/>
        </w:rPr>
        <w:t>Etesevimab</w:t>
      </w:r>
      <w:proofErr w:type="spellEnd"/>
      <w:r w:rsidR="00600E02">
        <w:rPr>
          <w:rFonts w:ascii="Times New Roman" w:eastAsia="Times New Roman" w:hAnsi="Times New Roman" w:cs="Times New Roman"/>
          <w:color w:val="000000"/>
          <w:sz w:val="24"/>
          <w:szCs w:val="24"/>
        </w:rPr>
        <w:t xml:space="preserve"> </w:t>
      </w:r>
      <w:r w:rsidRPr="008F6E30">
        <w:rPr>
          <w:rFonts w:ascii="Times New Roman" w:eastAsia="Times New Roman" w:hAnsi="Times New Roman" w:cs="Times New Roman"/>
          <w:color w:val="000000"/>
          <w:sz w:val="24"/>
          <w:szCs w:val="24"/>
        </w:rPr>
        <w:t>(</w:t>
      </w:r>
      <w:hyperlink r:id="rId8" w:history="1">
        <w:r w:rsidR="000D1ACF" w:rsidRPr="00E96DE7">
          <w:rPr>
            <w:rStyle w:val="Hyperlink"/>
            <w:rFonts w:ascii="Times New Roman" w:eastAsia="Times New Roman" w:hAnsi="Times New Roman" w:cs="Times New Roman"/>
            <w:sz w:val="24"/>
            <w:szCs w:val="24"/>
          </w:rPr>
          <w:t>https://www.fda.gov/media/145801/download</w:t>
        </w:r>
      </w:hyperlink>
      <w:r w:rsidRPr="008F6E30">
        <w:rPr>
          <w:rFonts w:ascii="Times New Roman" w:eastAsia="Times New Roman" w:hAnsi="Times New Roman" w:cs="Times New Roman"/>
          <w:color w:val="000000"/>
          <w:sz w:val="24"/>
          <w:szCs w:val="24"/>
        </w:rPr>
        <w:t>)</w:t>
      </w:r>
      <w:r w:rsidR="000D1ACF">
        <w:rPr>
          <w:rFonts w:ascii="Times New Roman" w:eastAsia="Times New Roman" w:hAnsi="Times New Roman" w:cs="Times New Roman"/>
          <w:color w:val="000000"/>
          <w:sz w:val="24"/>
          <w:szCs w:val="24"/>
        </w:rPr>
        <w:t xml:space="preserve"> and the FDA EUA for REGEN-COV (</w:t>
      </w:r>
      <w:hyperlink r:id="rId9" w:history="1">
        <w:r w:rsidR="000D1ACF" w:rsidRPr="00E96DE7">
          <w:rPr>
            <w:rStyle w:val="Hyperlink"/>
            <w:rFonts w:ascii="Times New Roman" w:eastAsia="Times New Roman" w:hAnsi="Times New Roman" w:cs="Times New Roman"/>
            <w:sz w:val="24"/>
            <w:szCs w:val="24"/>
          </w:rPr>
          <w:t>https://www.fda.gov/media/143892/download</w:t>
        </w:r>
      </w:hyperlink>
      <w:r w:rsidR="000D1ACF">
        <w:rPr>
          <w:rFonts w:ascii="Times New Roman" w:eastAsia="Times New Roman" w:hAnsi="Times New Roman" w:cs="Times New Roman"/>
          <w:color w:val="000000"/>
          <w:sz w:val="24"/>
          <w:szCs w:val="24"/>
        </w:rPr>
        <w:t>)</w:t>
      </w:r>
      <w:r w:rsidRPr="008F6E30">
        <w:rPr>
          <w:rFonts w:ascii="Times New Roman" w:eastAsia="Times New Roman" w:hAnsi="Times New Roman" w:cs="Times New Roman"/>
          <w:color w:val="000000"/>
          <w:sz w:val="24"/>
          <w:szCs w:val="24"/>
        </w:rPr>
        <w:t xml:space="preserve">.  </w:t>
      </w:r>
    </w:p>
    <w:bookmarkEnd w:id="3"/>
    <w:p w14:paraId="7C373472" w14:textId="77777777" w:rsidR="008F6E30" w:rsidRPr="008F6E30" w:rsidRDefault="008F6E30" w:rsidP="008F6E30">
      <w:pPr>
        <w:spacing w:after="0" w:line="240" w:lineRule="auto"/>
        <w:rPr>
          <w:rFonts w:ascii="Times New Roman" w:eastAsia="Times New Roman" w:hAnsi="Times New Roman" w:cs="Times New Roman"/>
          <w:color w:val="000000"/>
          <w:sz w:val="24"/>
          <w:szCs w:val="24"/>
        </w:rPr>
      </w:pPr>
    </w:p>
    <w:p w14:paraId="6CE3E8E8" w14:textId="60647543" w:rsidR="008F6E30" w:rsidRPr="008F6E30" w:rsidRDefault="008F6E30" w:rsidP="008F6E30">
      <w:pPr>
        <w:spacing w:after="0" w:line="240" w:lineRule="auto"/>
        <w:rPr>
          <w:rFonts w:ascii="Times New Roman" w:eastAsia="Times New Roman" w:hAnsi="Times New Roman" w:cs="Times New Roman"/>
          <w:color w:val="000000"/>
          <w:sz w:val="24"/>
          <w:szCs w:val="24"/>
        </w:rPr>
      </w:pPr>
      <w:r w:rsidRPr="008F6E30">
        <w:rPr>
          <w:rFonts w:ascii="Times New Roman" w:eastAsia="Times New Roman" w:hAnsi="Times New Roman" w:cs="Times New Roman"/>
          <w:color w:val="000000"/>
          <w:sz w:val="24"/>
          <w:szCs w:val="24"/>
        </w:rPr>
        <w:t xml:space="preserve">This checklist serves as a logistical guide and safety checklist for facilities providing </w:t>
      </w:r>
      <w:proofErr w:type="spellStart"/>
      <w:r w:rsidRPr="008F6E30">
        <w:rPr>
          <w:rFonts w:ascii="Times New Roman" w:eastAsia="Times New Roman" w:hAnsi="Times New Roman" w:cs="Times New Roman"/>
          <w:color w:val="000000"/>
          <w:sz w:val="24"/>
          <w:szCs w:val="24"/>
        </w:rPr>
        <w:t>Bamlanivimab</w:t>
      </w:r>
      <w:proofErr w:type="spellEnd"/>
      <w:r w:rsidRPr="008F6E30">
        <w:rPr>
          <w:rFonts w:ascii="Times New Roman" w:eastAsia="Times New Roman" w:hAnsi="Times New Roman" w:cs="Times New Roman"/>
          <w:color w:val="000000"/>
          <w:sz w:val="24"/>
          <w:szCs w:val="24"/>
        </w:rPr>
        <w:t xml:space="preserve"> </w:t>
      </w:r>
      <w:r w:rsidR="0005271A" w:rsidRPr="0005271A">
        <w:rPr>
          <w:rFonts w:ascii="Times New Roman" w:eastAsia="Times New Roman" w:hAnsi="Times New Roman" w:cs="Times New Roman"/>
          <w:color w:val="000000"/>
          <w:sz w:val="24"/>
          <w:szCs w:val="24"/>
        </w:rPr>
        <w:t xml:space="preserve">and </w:t>
      </w:r>
      <w:proofErr w:type="spellStart"/>
      <w:r w:rsidR="0005271A" w:rsidRPr="0005271A">
        <w:rPr>
          <w:rFonts w:ascii="Times New Roman" w:eastAsia="Times New Roman" w:hAnsi="Times New Roman" w:cs="Times New Roman"/>
          <w:color w:val="000000"/>
          <w:sz w:val="24"/>
          <w:szCs w:val="24"/>
        </w:rPr>
        <w:t>Etesevimab</w:t>
      </w:r>
      <w:proofErr w:type="spellEnd"/>
      <w:r w:rsidR="0005271A" w:rsidRPr="0005271A">
        <w:rPr>
          <w:rFonts w:ascii="Times New Roman" w:eastAsia="Times New Roman" w:hAnsi="Times New Roman" w:cs="Times New Roman"/>
          <w:color w:val="000000"/>
          <w:sz w:val="24"/>
          <w:szCs w:val="24"/>
        </w:rPr>
        <w:t xml:space="preserve"> and REGEN-COV </w:t>
      </w:r>
      <w:r w:rsidRPr="008F6E30">
        <w:rPr>
          <w:rFonts w:ascii="Times New Roman" w:eastAsia="Times New Roman" w:hAnsi="Times New Roman" w:cs="Times New Roman"/>
          <w:color w:val="000000"/>
          <w:sz w:val="24"/>
          <w:szCs w:val="24"/>
        </w:rPr>
        <w:t xml:space="preserve">to their patients. </w:t>
      </w:r>
    </w:p>
    <w:p w14:paraId="7E6AF0E8" w14:textId="77777777" w:rsidR="008F6E30" w:rsidRPr="008F6E30" w:rsidRDefault="008F6E30" w:rsidP="008F6E30">
      <w:pPr>
        <w:spacing w:after="0" w:line="240" w:lineRule="auto"/>
        <w:jc w:val="center"/>
        <w:rPr>
          <w:rFonts w:ascii="Times New Roman" w:eastAsia="Times New Roman" w:hAnsi="Times New Roman" w:cs="Times New Roman"/>
          <w:b/>
          <w:color w:val="000000"/>
          <w:sz w:val="24"/>
          <w:szCs w:val="24"/>
        </w:rPr>
      </w:pPr>
    </w:p>
    <w:p w14:paraId="57678E6A" w14:textId="77777777" w:rsidR="008F6E30" w:rsidRPr="008F6E30" w:rsidRDefault="008F6E30" w:rsidP="008F6E30">
      <w:pPr>
        <w:spacing w:after="0" w:line="240" w:lineRule="auto"/>
        <w:jc w:val="both"/>
        <w:rPr>
          <w:rFonts w:ascii="Times New Roman" w:eastAsia="Times New Roman" w:hAnsi="Times New Roman" w:cs="Times New Roman"/>
          <w:bCs/>
          <w:sz w:val="24"/>
          <w:szCs w:val="24"/>
        </w:rPr>
      </w:pPr>
      <w:r w:rsidRPr="008F6E30">
        <w:rPr>
          <w:rFonts w:ascii="Times New Roman" w:eastAsia="Times New Roman" w:hAnsi="Times New Roman" w:cs="Times New Roman"/>
          <w:b/>
          <w:sz w:val="24"/>
          <w:szCs w:val="24"/>
        </w:rPr>
        <w:t>Self-Assessment Prior to Engagement</w:t>
      </w:r>
      <w:r w:rsidRPr="008F6E30">
        <w:rPr>
          <w:rFonts w:ascii="Times New Roman" w:eastAsia="Times New Roman" w:hAnsi="Times New Roman" w:cs="Times New Roman"/>
          <w:bCs/>
          <w:sz w:val="24"/>
          <w:szCs w:val="24"/>
        </w:rPr>
        <w:t xml:space="preserve">:  </w:t>
      </w:r>
    </w:p>
    <w:p w14:paraId="3ACF592A" w14:textId="77777777" w:rsidR="008F6E30" w:rsidRPr="008F6E30" w:rsidRDefault="008F6E30" w:rsidP="008F6E30">
      <w:pPr>
        <w:spacing w:after="0" w:line="240" w:lineRule="auto"/>
        <w:jc w:val="both"/>
        <w:rPr>
          <w:rFonts w:ascii="Times New Roman" w:eastAsia="Times New Roman" w:hAnsi="Times New Roman" w:cs="Times New Roman"/>
          <w:b/>
          <w:sz w:val="24"/>
          <w:szCs w:val="24"/>
        </w:rPr>
      </w:pPr>
    </w:p>
    <w:p w14:paraId="3F9C863C" w14:textId="7777777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Facilities should assess if they have the in-house capacity or a treatment partner who can facilitate infusion of monoclonal antibody treatment for their residents.</w:t>
      </w:r>
    </w:p>
    <w:p w14:paraId="72D68DCD"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 </w:t>
      </w:r>
    </w:p>
    <w:p w14:paraId="2C0AE1CB" w14:textId="7777777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Facilities should determine if they have the means to safely and reliably store the infusion therapy at their location at 2 to 8 degrees Celsius. Unopened vials should remain at this temperature in their original carton to protect from light. They should not be frozen, shaken, or exposed to direct light. </w:t>
      </w:r>
    </w:p>
    <w:p w14:paraId="3884E703"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5D9F35C1" w14:textId="7777777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Facilities should look over the supplies and safety medications noted further below and determine if they have these medications reliably on-hand or if their treatment partner will be able to have them reliably on hand prior to any planned provision of infusion therapy. Facilities should use an IV pump to deliver the infusion medication, not an IV drip. </w:t>
      </w:r>
    </w:p>
    <w:p w14:paraId="3FDE1AE2"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46BA2DE9" w14:textId="1BEDC8AB" w:rsid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Facilities should determine their ability to fulfill supervision needs during infusion. Facilities must be able to recognize severe infusion reactions such as anaphylaxis and have immediate access to treat these conditions with immediately available medication and signal for involvement of higher levels of care. This includes staff who are immediately available to supervise infusion and supervise patients after infusion. </w:t>
      </w:r>
      <w:r w:rsidR="0005271A">
        <w:rPr>
          <w:rFonts w:ascii="Times New Roman" w:eastAsia="Times New Roman" w:hAnsi="Times New Roman" w:cs="Times New Roman"/>
          <w:sz w:val="24"/>
          <w:szCs w:val="24"/>
        </w:rPr>
        <w:t>V</w:t>
      </w:r>
      <w:r w:rsidR="0005271A" w:rsidRPr="008F6E30">
        <w:rPr>
          <w:rFonts w:ascii="Times New Roman" w:eastAsia="Times New Roman" w:hAnsi="Times New Roman" w:cs="Times New Roman"/>
          <w:sz w:val="24"/>
          <w:szCs w:val="24"/>
        </w:rPr>
        <w:t xml:space="preserve">itals </w:t>
      </w:r>
      <w:r w:rsidRPr="008F6E30">
        <w:rPr>
          <w:rFonts w:ascii="Times New Roman" w:eastAsia="Times New Roman" w:hAnsi="Times New Roman" w:cs="Times New Roman"/>
          <w:sz w:val="24"/>
          <w:szCs w:val="24"/>
        </w:rPr>
        <w:t xml:space="preserve">signs should be taken </w:t>
      </w:r>
      <w:r w:rsidR="0005271A">
        <w:rPr>
          <w:rFonts w:ascii="Times New Roman" w:eastAsia="Times New Roman" w:hAnsi="Times New Roman" w:cs="Times New Roman"/>
          <w:sz w:val="24"/>
          <w:szCs w:val="24"/>
        </w:rPr>
        <w:t xml:space="preserve">at a minimum, at the beginning of </w:t>
      </w:r>
      <w:r w:rsidRPr="008F6E30">
        <w:rPr>
          <w:rFonts w:ascii="Times New Roman" w:eastAsia="Times New Roman" w:hAnsi="Times New Roman" w:cs="Times New Roman"/>
          <w:sz w:val="24"/>
          <w:szCs w:val="24"/>
        </w:rPr>
        <w:t xml:space="preserve"> </w:t>
      </w:r>
      <w:r w:rsidR="0005271A">
        <w:rPr>
          <w:rFonts w:ascii="Times New Roman" w:eastAsia="Times New Roman" w:hAnsi="Times New Roman" w:cs="Times New Roman"/>
          <w:sz w:val="24"/>
          <w:szCs w:val="24"/>
        </w:rPr>
        <w:t xml:space="preserve">the </w:t>
      </w:r>
      <w:r w:rsidRPr="008F6E30">
        <w:rPr>
          <w:rFonts w:ascii="Times New Roman" w:eastAsia="Times New Roman" w:hAnsi="Times New Roman" w:cs="Times New Roman"/>
          <w:sz w:val="24"/>
          <w:szCs w:val="24"/>
        </w:rPr>
        <w:t xml:space="preserve">infusion and </w:t>
      </w:r>
      <w:r w:rsidR="0005271A">
        <w:rPr>
          <w:rFonts w:ascii="Times New Roman" w:eastAsia="Times New Roman" w:hAnsi="Times New Roman" w:cs="Times New Roman"/>
          <w:sz w:val="24"/>
          <w:szCs w:val="24"/>
        </w:rPr>
        <w:t>one</w:t>
      </w:r>
      <w:r w:rsidR="0005271A" w:rsidRPr="008F6E30">
        <w:rPr>
          <w:rFonts w:ascii="Times New Roman" w:eastAsia="Times New Roman" w:hAnsi="Times New Roman" w:cs="Times New Roman"/>
          <w:sz w:val="24"/>
          <w:szCs w:val="24"/>
        </w:rPr>
        <w:t xml:space="preserve"> </w:t>
      </w:r>
      <w:r w:rsidRPr="008F6E30">
        <w:rPr>
          <w:rFonts w:ascii="Times New Roman" w:eastAsia="Times New Roman" w:hAnsi="Times New Roman" w:cs="Times New Roman"/>
          <w:sz w:val="24"/>
          <w:szCs w:val="24"/>
        </w:rPr>
        <w:t>hour after</w:t>
      </w:r>
      <w:r w:rsidR="0005271A">
        <w:rPr>
          <w:rFonts w:ascii="Times New Roman" w:eastAsia="Times New Roman" w:hAnsi="Times New Roman" w:cs="Times New Roman"/>
          <w:sz w:val="24"/>
          <w:szCs w:val="24"/>
        </w:rPr>
        <w:t xml:space="preserve"> the</w:t>
      </w:r>
      <w:r w:rsidRPr="008F6E30">
        <w:rPr>
          <w:rFonts w:ascii="Times New Roman" w:eastAsia="Times New Roman" w:hAnsi="Times New Roman" w:cs="Times New Roman"/>
          <w:sz w:val="24"/>
          <w:szCs w:val="24"/>
        </w:rPr>
        <w:t xml:space="preserve"> infusion has finished. A </w:t>
      </w:r>
      <w:r w:rsidR="00203870">
        <w:rPr>
          <w:rFonts w:ascii="Times New Roman" w:eastAsia="Times New Roman" w:hAnsi="Times New Roman" w:cs="Times New Roman"/>
          <w:sz w:val="24"/>
          <w:szCs w:val="24"/>
        </w:rPr>
        <w:t>licensed independent provider or nurse</w:t>
      </w:r>
      <w:r w:rsidRPr="008F6E30">
        <w:rPr>
          <w:rFonts w:ascii="Times New Roman" w:eastAsia="Times New Roman" w:hAnsi="Times New Roman" w:cs="Times New Roman"/>
          <w:sz w:val="24"/>
          <w:szCs w:val="24"/>
        </w:rPr>
        <w:t xml:space="preserve"> may supervise multiple people at once in a treatment/observation room and should be immediately available at all times. Staff should be able to deliver rescue medications as specified. </w:t>
      </w:r>
    </w:p>
    <w:p w14:paraId="7A34E2D4" w14:textId="38756F14" w:rsidR="00AD772D" w:rsidRPr="008F6E30" w:rsidRDefault="00AD772D" w:rsidP="005B5F36">
      <w:pPr>
        <w:spacing w:after="0" w:line="240" w:lineRule="auto"/>
        <w:ind w:right="-43"/>
        <w:rPr>
          <w:rFonts w:ascii="Times New Roman" w:eastAsia="Times New Roman" w:hAnsi="Times New Roman" w:cs="Times New Roman"/>
          <w:sz w:val="24"/>
          <w:szCs w:val="24"/>
        </w:rPr>
      </w:pPr>
    </w:p>
    <w:p w14:paraId="6F802D5E"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2359544E" w14:textId="0C381108"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lastRenderedPageBreak/>
        <w:t xml:space="preserve">In the event of a medication error or serious adverse event, facilities must submit a report on all medication errors and all serious adverse events potentially related to </w:t>
      </w:r>
      <w:proofErr w:type="spellStart"/>
      <w:r w:rsidRPr="008F6E30">
        <w:rPr>
          <w:rFonts w:ascii="Times New Roman" w:eastAsia="Times New Roman" w:hAnsi="Times New Roman" w:cs="Times New Roman"/>
          <w:sz w:val="24"/>
          <w:szCs w:val="24"/>
        </w:rPr>
        <w:t>Bamlanivimab</w:t>
      </w:r>
      <w:proofErr w:type="spellEnd"/>
      <w:r w:rsidR="0005271A" w:rsidRPr="0005271A">
        <w:t xml:space="preserve"> </w:t>
      </w:r>
      <w:r w:rsidR="0005271A" w:rsidRPr="0005271A">
        <w:rPr>
          <w:rFonts w:ascii="Times New Roman" w:eastAsia="Times New Roman" w:hAnsi="Times New Roman" w:cs="Times New Roman"/>
          <w:sz w:val="24"/>
          <w:szCs w:val="24"/>
        </w:rPr>
        <w:t xml:space="preserve">and </w:t>
      </w:r>
      <w:proofErr w:type="spellStart"/>
      <w:r w:rsidR="0005271A" w:rsidRPr="0005271A">
        <w:rPr>
          <w:rFonts w:ascii="Times New Roman" w:eastAsia="Times New Roman" w:hAnsi="Times New Roman" w:cs="Times New Roman"/>
          <w:sz w:val="24"/>
          <w:szCs w:val="24"/>
        </w:rPr>
        <w:t>Etesevimab</w:t>
      </w:r>
      <w:proofErr w:type="spellEnd"/>
      <w:r w:rsidR="0005271A" w:rsidRPr="0005271A">
        <w:rPr>
          <w:rFonts w:ascii="Times New Roman" w:eastAsia="Times New Roman" w:hAnsi="Times New Roman" w:cs="Times New Roman"/>
          <w:sz w:val="24"/>
          <w:szCs w:val="24"/>
        </w:rPr>
        <w:t xml:space="preserve"> and REGEN-COV</w:t>
      </w:r>
      <w:r w:rsidRPr="008F6E30">
        <w:rPr>
          <w:rFonts w:ascii="Times New Roman" w:eastAsia="Times New Roman" w:hAnsi="Times New Roman" w:cs="Times New Roman"/>
          <w:sz w:val="24"/>
          <w:szCs w:val="24"/>
        </w:rPr>
        <w:t xml:space="preserve">. Such a report can be completed online at: </w:t>
      </w:r>
      <w:hyperlink r:id="rId10" w:history="1">
        <w:r w:rsidRPr="008F6E30">
          <w:rPr>
            <w:rFonts w:ascii="Times New Roman" w:eastAsia="Times New Roman" w:hAnsi="Times New Roman" w:cs="Times New Roman"/>
            <w:color w:val="0000FF"/>
            <w:sz w:val="24"/>
            <w:szCs w:val="24"/>
            <w:u w:val="single"/>
          </w:rPr>
          <w:t>www.fda.gov/medwatch/report.htm</w:t>
        </w:r>
      </w:hyperlink>
      <w:r w:rsidRPr="008F6E30">
        <w:rPr>
          <w:rFonts w:ascii="Times New Roman" w:eastAsia="Times New Roman" w:hAnsi="Times New Roman" w:cs="Times New Roman"/>
          <w:sz w:val="24"/>
          <w:szCs w:val="24"/>
        </w:rPr>
        <w:t xml:space="preserve"> </w:t>
      </w:r>
    </w:p>
    <w:p w14:paraId="3503F034"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24DAA6FA" w14:textId="74752ACF" w:rsidR="00734A79" w:rsidRDefault="00734A79" w:rsidP="008F6E30">
      <w:pPr>
        <w:numPr>
          <w:ilvl w:val="0"/>
          <w:numId w:val="1"/>
        </w:numPr>
        <w:spacing w:after="0" w:line="240" w:lineRule="auto"/>
        <w:ind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infusions are delivered outside of the resident’s room, in a treatment or observation room, then the room should be located within the COVID-19 space in the facility.</w:t>
      </w:r>
    </w:p>
    <w:p w14:paraId="734493CB" w14:textId="77777777" w:rsidR="00734A79" w:rsidRDefault="00734A79" w:rsidP="005B5F36">
      <w:pPr>
        <w:pStyle w:val="ListParagraph"/>
        <w:rPr>
          <w:rFonts w:ascii="Times New Roman" w:eastAsia="Times New Roman" w:hAnsi="Times New Roman" w:cs="Times New Roman"/>
          <w:sz w:val="24"/>
          <w:szCs w:val="24"/>
        </w:rPr>
      </w:pPr>
    </w:p>
    <w:p w14:paraId="7322D9BF" w14:textId="3EE9A7E4"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If the facility can fulfill these items, the facility should arrange to request supply from DPH via OPEM 213TS Resource Request Form</w:t>
      </w:r>
      <w:r w:rsidR="00203870">
        <w:rPr>
          <w:rFonts w:ascii="Times New Roman" w:eastAsia="Times New Roman" w:hAnsi="Times New Roman" w:cs="Times New Roman"/>
          <w:sz w:val="24"/>
          <w:szCs w:val="24"/>
        </w:rPr>
        <w:t xml:space="preserve"> found in Appendix A</w:t>
      </w:r>
      <w:r w:rsidR="00A85613">
        <w:rPr>
          <w:rFonts w:ascii="Times New Roman" w:eastAsia="Times New Roman" w:hAnsi="Times New Roman" w:cs="Times New Roman"/>
          <w:sz w:val="24"/>
          <w:szCs w:val="24"/>
        </w:rPr>
        <w:t xml:space="preserve"> and submit the request to </w:t>
      </w:r>
      <w:r w:rsidR="00A85613" w:rsidRPr="00A85613">
        <w:rPr>
          <w:rFonts w:ascii="Times New Roman" w:eastAsia="Times New Roman" w:hAnsi="Times New Roman" w:cs="Times New Roman"/>
          <w:sz w:val="24"/>
          <w:szCs w:val="24"/>
        </w:rPr>
        <w:t>COVID19.Resource.Request@mass.gov</w:t>
      </w:r>
      <w:r w:rsidRPr="008F6E30">
        <w:rPr>
          <w:rFonts w:ascii="Times New Roman" w:eastAsia="Times New Roman" w:hAnsi="Times New Roman" w:cs="Times New Roman"/>
          <w:sz w:val="24"/>
          <w:szCs w:val="24"/>
        </w:rPr>
        <w:t>.</w:t>
      </w:r>
    </w:p>
    <w:p w14:paraId="1B0872F1" w14:textId="77777777" w:rsidR="008F6E30" w:rsidRPr="008F6E30" w:rsidRDefault="008F6E30" w:rsidP="008F6E30">
      <w:pPr>
        <w:spacing w:after="0" w:line="240" w:lineRule="auto"/>
        <w:jc w:val="both"/>
        <w:rPr>
          <w:rFonts w:ascii="Times New Roman" w:eastAsia="Times New Roman" w:hAnsi="Times New Roman" w:cs="Times New Roman"/>
          <w:b/>
          <w:sz w:val="24"/>
          <w:szCs w:val="24"/>
        </w:rPr>
      </w:pPr>
    </w:p>
    <w:p w14:paraId="2E2E5973" w14:textId="77777777" w:rsidR="008F6E30" w:rsidRPr="008F6E30" w:rsidRDefault="008F6E30" w:rsidP="008F6E30">
      <w:pPr>
        <w:spacing w:after="0" w:line="240" w:lineRule="auto"/>
        <w:jc w:val="both"/>
        <w:rPr>
          <w:rFonts w:ascii="Times New Roman" w:eastAsia="Times New Roman" w:hAnsi="Times New Roman" w:cs="Times New Roman"/>
          <w:b/>
          <w:sz w:val="24"/>
          <w:szCs w:val="24"/>
        </w:rPr>
      </w:pPr>
    </w:p>
    <w:p w14:paraId="432A58B5" w14:textId="77777777" w:rsidR="008F6E30" w:rsidRPr="008F6E30" w:rsidRDefault="008F6E30" w:rsidP="008F6E30">
      <w:pPr>
        <w:spacing w:after="0" w:line="240" w:lineRule="auto"/>
        <w:jc w:val="both"/>
        <w:rPr>
          <w:rFonts w:ascii="Times New Roman" w:eastAsia="Times New Roman" w:hAnsi="Times New Roman" w:cs="Times New Roman"/>
          <w:bCs/>
          <w:sz w:val="24"/>
          <w:szCs w:val="24"/>
        </w:rPr>
      </w:pPr>
      <w:r w:rsidRPr="008F6E30">
        <w:rPr>
          <w:rFonts w:ascii="Times New Roman" w:eastAsia="Times New Roman" w:hAnsi="Times New Roman" w:cs="Times New Roman"/>
          <w:b/>
          <w:sz w:val="24"/>
          <w:szCs w:val="24"/>
        </w:rPr>
        <w:t>Patient Selection Assessment</w:t>
      </w:r>
      <w:r w:rsidRPr="008F6E30">
        <w:rPr>
          <w:rFonts w:ascii="Times New Roman" w:eastAsia="Times New Roman" w:hAnsi="Times New Roman" w:cs="Times New Roman"/>
          <w:bCs/>
          <w:sz w:val="24"/>
          <w:szCs w:val="24"/>
        </w:rPr>
        <w:t xml:space="preserve">:  </w:t>
      </w:r>
    </w:p>
    <w:p w14:paraId="4A99FFFB" w14:textId="77777777" w:rsidR="008F6E30" w:rsidRPr="008F6E30" w:rsidRDefault="008F6E30" w:rsidP="008F6E30">
      <w:pPr>
        <w:spacing w:after="0" w:line="240" w:lineRule="auto"/>
        <w:jc w:val="both"/>
        <w:rPr>
          <w:rFonts w:ascii="Times New Roman" w:eastAsia="Times New Roman" w:hAnsi="Times New Roman" w:cs="Times New Roman"/>
          <w:bCs/>
          <w:sz w:val="24"/>
          <w:szCs w:val="24"/>
        </w:rPr>
      </w:pPr>
    </w:p>
    <w:p w14:paraId="10FE0D10" w14:textId="7777777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bookmarkStart w:id="4" w:name="_Hlk61471231"/>
      <w:bookmarkStart w:id="5" w:name="_Hlk57879448"/>
      <w:r w:rsidRPr="008F6E30">
        <w:rPr>
          <w:rFonts w:ascii="Times New Roman" w:eastAsia="Times New Roman" w:hAnsi="Times New Roman" w:cs="Times New Roman"/>
          <w:sz w:val="24"/>
          <w:szCs w:val="24"/>
        </w:rPr>
        <w:t xml:space="preserve">Eligible patients include </w:t>
      </w:r>
    </w:p>
    <w:p w14:paraId="7D47E039" w14:textId="10027038" w:rsidR="008F6E30" w:rsidRPr="008F6E30" w:rsidRDefault="008F6E30" w:rsidP="008F6E30">
      <w:pPr>
        <w:numPr>
          <w:ilvl w:val="1"/>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Those ≥ 65 year</w:t>
      </w:r>
      <w:r w:rsidR="0005271A">
        <w:rPr>
          <w:rFonts w:ascii="Times New Roman" w:eastAsia="Times New Roman" w:hAnsi="Times New Roman" w:cs="Times New Roman"/>
          <w:sz w:val="24"/>
          <w:szCs w:val="24"/>
        </w:rPr>
        <w:t>s</w:t>
      </w:r>
      <w:r w:rsidRPr="008F6E30">
        <w:rPr>
          <w:rFonts w:ascii="Times New Roman" w:eastAsia="Times New Roman" w:hAnsi="Times New Roman" w:cs="Times New Roman"/>
          <w:sz w:val="24"/>
          <w:szCs w:val="24"/>
        </w:rPr>
        <w:t xml:space="preserve"> of age; </w:t>
      </w:r>
    </w:p>
    <w:p w14:paraId="4971DA80" w14:textId="4897C6FF" w:rsidR="008F6E30" w:rsidRPr="008F6E30" w:rsidRDefault="008F6E30" w:rsidP="008F6E30">
      <w:pPr>
        <w:numPr>
          <w:ilvl w:val="1"/>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Those ≥ 55 year</w:t>
      </w:r>
      <w:r w:rsidR="0005271A">
        <w:rPr>
          <w:rFonts w:ascii="Times New Roman" w:eastAsia="Times New Roman" w:hAnsi="Times New Roman" w:cs="Times New Roman"/>
          <w:sz w:val="24"/>
          <w:szCs w:val="24"/>
        </w:rPr>
        <w:t>s</w:t>
      </w:r>
      <w:r w:rsidRPr="008F6E30">
        <w:rPr>
          <w:rFonts w:ascii="Times New Roman" w:eastAsia="Times New Roman" w:hAnsi="Times New Roman" w:cs="Times New Roman"/>
          <w:sz w:val="24"/>
          <w:szCs w:val="24"/>
        </w:rPr>
        <w:t xml:space="preserve"> of age </w:t>
      </w:r>
      <w:r w:rsidRPr="008F6E30">
        <w:rPr>
          <w:rFonts w:ascii="Times New Roman" w:eastAsia="Times New Roman" w:hAnsi="Times New Roman" w:cs="Times New Roman"/>
          <w:i/>
          <w:iCs/>
          <w:sz w:val="24"/>
          <w:szCs w:val="24"/>
        </w:rPr>
        <w:t>and</w:t>
      </w:r>
      <w:r w:rsidRPr="008F6E30">
        <w:rPr>
          <w:rFonts w:ascii="Times New Roman" w:eastAsia="Times New Roman" w:hAnsi="Times New Roman" w:cs="Times New Roman"/>
          <w:sz w:val="24"/>
          <w:szCs w:val="24"/>
        </w:rPr>
        <w:t xml:space="preserve"> have cardiovascular disease or hypertension or chronic obstructive pulmonary disease or other chronic respiratory disease;</w:t>
      </w:r>
    </w:p>
    <w:p w14:paraId="2FD83AA4" w14:textId="01B9F663" w:rsidR="008F6E30" w:rsidRPr="008F6E30" w:rsidRDefault="008F6E30" w:rsidP="008F6E30">
      <w:pPr>
        <w:numPr>
          <w:ilvl w:val="1"/>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Those 12 – 17 year</w:t>
      </w:r>
      <w:r w:rsidR="0005271A">
        <w:rPr>
          <w:rFonts w:ascii="Times New Roman" w:eastAsia="Times New Roman" w:hAnsi="Times New Roman" w:cs="Times New Roman"/>
          <w:sz w:val="24"/>
          <w:szCs w:val="24"/>
        </w:rPr>
        <w:t>s</w:t>
      </w:r>
      <w:r w:rsidRPr="008F6E30">
        <w:rPr>
          <w:rFonts w:ascii="Times New Roman" w:eastAsia="Times New Roman" w:hAnsi="Times New Roman" w:cs="Times New Roman"/>
          <w:sz w:val="24"/>
          <w:szCs w:val="24"/>
        </w:rPr>
        <w:t xml:space="preserve"> of age </w:t>
      </w:r>
      <w:r w:rsidRPr="008F6E30">
        <w:rPr>
          <w:rFonts w:ascii="Times New Roman" w:eastAsia="Times New Roman" w:hAnsi="Times New Roman" w:cs="Times New Roman"/>
          <w:i/>
          <w:iCs/>
          <w:sz w:val="24"/>
          <w:szCs w:val="24"/>
        </w:rPr>
        <w:t>and</w:t>
      </w:r>
      <w:r w:rsidRPr="008F6E30">
        <w:rPr>
          <w:rFonts w:ascii="Times New Roman" w:eastAsia="Times New Roman" w:hAnsi="Times New Roman" w:cs="Times New Roman"/>
          <w:sz w:val="24"/>
          <w:szCs w:val="24"/>
        </w:rPr>
        <w:t xml:space="preserve"> have BMI ≥85th percentile for their age and gender based on CDC growth charts, or sickle cell disease, or congenital or acquired heart disease, or neurodevelopmental disorders, or a medical-related technological dependence such as a tracheostomy, gastrostomy, or positive pressure ventilation (not related to COVID-19), or asthma, reactive airway, or other chronic respiratory disease that requires daily medication for control.</w:t>
      </w:r>
    </w:p>
    <w:p w14:paraId="154E6CC3"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7CAF3DBE" w14:textId="5BA6D253"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Prioritize those age ≥ 65 and those age ≥ 18 with BMI ≥ 35 (Tier 1) over others who meet EUA criteria (Tier 2). Those at higher risk of progression to severe COVID-19 should also be next prioritized</w:t>
      </w:r>
      <w:r w:rsidR="00820C17">
        <w:rPr>
          <w:rStyle w:val="FootnoteReference"/>
          <w:rFonts w:ascii="Times New Roman" w:eastAsia="Times New Roman" w:hAnsi="Times New Roman" w:cs="Times New Roman"/>
          <w:sz w:val="24"/>
          <w:szCs w:val="24"/>
        </w:rPr>
        <w:footnoteReference w:id="1"/>
      </w:r>
      <w:r w:rsidRPr="008F6E30">
        <w:rPr>
          <w:rFonts w:ascii="Times New Roman" w:eastAsia="Times New Roman" w:hAnsi="Times New Roman" w:cs="Times New Roman"/>
          <w:sz w:val="24"/>
          <w:szCs w:val="24"/>
        </w:rPr>
        <w:t xml:space="preserve">. </w:t>
      </w:r>
    </w:p>
    <w:p w14:paraId="531CE72C"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16DD6B5D" w14:textId="376B1B5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EUA criteria specify that infusions be administered </w:t>
      </w:r>
      <w:r w:rsidRPr="008F6E30">
        <w:rPr>
          <w:rFonts w:ascii="Times New Roman" w:eastAsia="Times New Roman" w:hAnsi="Times New Roman" w:cs="Times New Roman"/>
          <w:i/>
          <w:iCs/>
          <w:sz w:val="24"/>
          <w:szCs w:val="24"/>
        </w:rPr>
        <w:t>as soon as possible</w:t>
      </w:r>
      <w:r w:rsidRPr="008F6E30">
        <w:rPr>
          <w:rFonts w:ascii="Times New Roman" w:eastAsia="Times New Roman" w:hAnsi="Times New Roman" w:cs="Times New Roman"/>
          <w:sz w:val="24"/>
          <w:szCs w:val="24"/>
        </w:rPr>
        <w:t xml:space="preserve"> after positive COVID-19 test result and within 10 days of symptom onset (preferably in the first 3 days). A positive COVID-19</w:t>
      </w:r>
      <w:r w:rsidR="00203870">
        <w:rPr>
          <w:rFonts w:ascii="Times New Roman" w:eastAsia="Times New Roman" w:hAnsi="Times New Roman" w:cs="Times New Roman"/>
          <w:sz w:val="24"/>
          <w:szCs w:val="24"/>
        </w:rPr>
        <w:t xml:space="preserve"> (</w:t>
      </w:r>
      <w:r w:rsidRPr="008F6E30">
        <w:rPr>
          <w:rFonts w:ascii="Times New Roman" w:eastAsia="Times New Roman" w:hAnsi="Times New Roman" w:cs="Times New Roman"/>
          <w:sz w:val="24"/>
          <w:szCs w:val="24"/>
        </w:rPr>
        <w:t xml:space="preserve">PCR </w:t>
      </w:r>
      <w:r w:rsidR="003F275A">
        <w:rPr>
          <w:rFonts w:ascii="Times New Roman" w:eastAsia="Times New Roman" w:hAnsi="Times New Roman" w:cs="Times New Roman"/>
          <w:sz w:val="24"/>
          <w:szCs w:val="24"/>
        </w:rPr>
        <w:t>or Binax</w:t>
      </w:r>
      <w:r w:rsidR="00203870">
        <w:rPr>
          <w:rFonts w:ascii="Times New Roman" w:eastAsia="Times New Roman" w:hAnsi="Times New Roman" w:cs="Times New Roman"/>
          <w:sz w:val="24"/>
          <w:szCs w:val="24"/>
        </w:rPr>
        <w:t>NOW)</w:t>
      </w:r>
      <w:r w:rsidR="003F275A">
        <w:rPr>
          <w:rFonts w:ascii="Times New Roman" w:eastAsia="Times New Roman" w:hAnsi="Times New Roman" w:cs="Times New Roman"/>
          <w:sz w:val="24"/>
          <w:szCs w:val="24"/>
        </w:rPr>
        <w:t xml:space="preserve"> </w:t>
      </w:r>
      <w:r w:rsidRPr="008F6E30">
        <w:rPr>
          <w:rFonts w:ascii="Times New Roman" w:eastAsia="Times New Roman" w:hAnsi="Times New Roman" w:cs="Times New Roman"/>
          <w:sz w:val="24"/>
          <w:szCs w:val="24"/>
        </w:rPr>
        <w:t xml:space="preserve">is required for eligibility for this treatment. Symptom onset is required for eligibility for this treatment. </w:t>
      </w:r>
    </w:p>
    <w:p w14:paraId="476C833C" w14:textId="77777777" w:rsidR="008F6E30" w:rsidRPr="008F6E30" w:rsidRDefault="008F6E30" w:rsidP="008F6E30">
      <w:pPr>
        <w:spacing w:after="0" w:line="240" w:lineRule="auto"/>
        <w:ind w:right="-43"/>
        <w:rPr>
          <w:rFonts w:ascii="Times New Roman" w:eastAsia="Times New Roman" w:hAnsi="Times New Roman" w:cs="Times New Roman"/>
          <w:sz w:val="24"/>
          <w:szCs w:val="24"/>
        </w:rPr>
      </w:pPr>
    </w:p>
    <w:bookmarkEnd w:id="4"/>
    <w:p w14:paraId="28F37455" w14:textId="15DB63A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proofErr w:type="spellStart"/>
      <w:r w:rsidRPr="008F6E30">
        <w:rPr>
          <w:rFonts w:ascii="Times New Roman" w:eastAsia="Times New Roman" w:hAnsi="Times New Roman" w:cs="Times New Roman"/>
          <w:sz w:val="24"/>
          <w:szCs w:val="24"/>
        </w:rPr>
        <w:t>Bamlanivimab</w:t>
      </w:r>
      <w:proofErr w:type="spellEnd"/>
      <w:r w:rsidRPr="008F6E30">
        <w:rPr>
          <w:rFonts w:ascii="Times New Roman" w:eastAsia="Times New Roman" w:hAnsi="Times New Roman" w:cs="Times New Roman"/>
          <w:sz w:val="24"/>
          <w:szCs w:val="24"/>
        </w:rPr>
        <w:t xml:space="preserve"> </w:t>
      </w:r>
      <w:r w:rsidR="0005271A" w:rsidRPr="0005271A">
        <w:rPr>
          <w:rFonts w:ascii="Times New Roman" w:eastAsia="Times New Roman" w:hAnsi="Times New Roman" w:cs="Times New Roman"/>
          <w:sz w:val="24"/>
          <w:szCs w:val="24"/>
        </w:rPr>
        <w:t xml:space="preserve">and </w:t>
      </w:r>
      <w:proofErr w:type="spellStart"/>
      <w:r w:rsidR="0005271A" w:rsidRPr="0005271A">
        <w:rPr>
          <w:rFonts w:ascii="Times New Roman" w:eastAsia="Times New Roman" w:hAnsi="Times New Roman" w:cs="Times New Roman"/>
          <w:sz w:val="24"/>
          <w:szCs w:val="24"/>
        </w:rPr>
        <w:t>Etesevimab</w:t>
      </w:r>
      <w:proofErr w:type="spellEnd"/>
      <w:r w:rsidR="0005271A" w:rsidRPr="0005271A">
        <w:rPr>
          <w:rFonts w:ascii="Times New Roman" w:eastAsia="Times New Roman" w:hAnsi="Times New Roman" w:cs="Times New Roman"/>
          <w:sz w:val="24"/>
          <w:szCs w:val="24"/>
        </w:rPr>
        <w:t xml:space="preserve"> and REGEN-COV </w:t>
      </w:r>
      <w:r w:rsidR="0005271A">
        <w:rPr>
          <w:rFonts w:ascii="Times New Roman" w:eastAsia="Times New Roman" w:hAnsi="Times New Roman" w:cs="Times New Roman"/>
          <w:sz w:val="24"/>
          <w:szCs w:val="24"/>
        </w:rPr>
        <w:t>are</w:t>
      </w:r>
      <w:r w:rsidRPr="008F6E30">
        <w:rPr>
          <w:rFonts w:ascii="Times New Roman" w:eastAsia="Times New Roman" w:hAnsi="Times New Roman" w:cs="Times New Roman"/>
          <w:sz w:val="24"/>
          <w:szCs w:val="24"/>
        </w:rPr>
        <w:t xml:space="preserve"> not authorized for use in patient who are hospitalized, requiring oxygen therapy due to COVID-19 (pulse ox ≤ 93% on room air), or those on chronic oxygen who require an increase in baseline oxygen rate due to COVID-19. </w:t>
      </w:r>
    </w:p>
    <w:p w14:paraId="1EC2AB0F"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2D29318C" w14:textId="1064427C"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lastRenderedPageBreak/>
        <w:t xml:space="preserve">Patients who have been vaccinated against COVID-19 can receive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and REGEN-COV </w:t>
      </w:r>
      <w:r w:rsidRPr="008F6E30">
        <w:rPr>
          <w:rFonts w:ascii="Times New Roman" w:eastAsia="Times New Roman" w:hAnsi="Times New Roman" w:cs="Times New Roman"/>
          <w:sz w:val="24"/>
          <w:szCs w:val="24"/>
        </w:rPr>
        <w:t xml:space="preserve">. However if a patient has been treated with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or REGEN-COV </w:t>
      </w:r>
      <w:r w:rsidRPr="008F6E30">
        <w:rPr>
          <w:rFonts w:ascii="Times New Roman" w:eastAsia="Times New Roman" w:hAnsi="Times New Roman" w:cs="Times New Roman"/>
          <w:sz w:val="24"/>
          <w:szCs w:val="24"/>
        </w:rPr>
        <w:t xml:space="preserve">, current guidance recommends not vaccinating them against COVID-19 until they are 90 days from their onset of symptoms or date of COVID-19 diagnosis. </w:t>
      </w:r>
    </w:p>
    <w:p w14:paraId="205E8C32"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663526D0" w14:textId="159AF80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Patients with known hypersensitivity to any ingredient of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or REGEN-COV </w:t>
      </w:r>
      <w:r w:rsidRPr="008F6E30">
        <w:rPr>
          <w:rFonts w:ascii="Times New Roman" w:eastAsia="Times New Roman" w:hAnsi="Times New Roman" w:cs="Times New Roman"/>
          <w:sz w:val="24"/>
          <w:szCs w:val="24"/>
        </w:rPr>
        <w:t xml:space="preserve">must not receive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or REGEN-COV</w:t>
      </w:r>
      <w:r w:rsidRPr="008F6E30">
        <w:rPr>
          <w:rFonts w:ascii="Times New Roman" w:eastAsia="Times New Roman" w:hAnsi="Times New Roman" w:cs="Times New Roman"/>
          <w:sz w:val="24"/>
          <w:szCs w:val="24"/>
        </w:rPr>
        <w:t>.</w:t>
      </w:r>
    </w:p>
    <w:p w14:paraId="201EF2CC"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62425EC6" w14:textId="243E9BA3" w:rsidR="001621F4" w:rsidRPr="00600E02"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Patients or parents/caregivers should be communicated with about risks, benefits, alternatives, and the EUA-nature of the medication and provided with the Fact Sheet for Patients, Parents and Caregivers located at: </w:t>
      </w:r>
      <w:r w:rsidR="00600E02">
        <w:rPr>
          <w:rFonts w:ascii="Times New Roman" w:eastAsia="Times New Roman" w:hAnsi="Times New Roman" w:cs="Times New Roman"/>
          <w:sz w:val="24"/>
          <w:szCs w:val="24"/>
        </w:rPr>
        <w:br/>
      </w:r>
      <w:proofErr w:type="spellStart"/>
      <w:r w:rsidR="00554277" w:rsidRPr="00600E02">
        <w:rPr>
          <w:rFonts w:ascii="Times New Roman" w:eastAsia="Times New Roman" w:hAnsi="Times New Roman" w:cs="Times New Roman"/>
          <w:sz w:val="24"/>
          <w:szCs w:val="24"/>
        </w:rPr>
        <w:t>Bamlanivimab</w:t>
      </w:r>
      <w:proofErr w:type="spellEnd"/>
      <w:r w:rsidR="00554277" w:rsidRPr="00600E02">
        <w:rPr>
          <w:rFonts w:ascii="Times New Roman" w:eastAsia="Times New Roman" w:hAnsi="Times New Roman" w:cs="Times New Roman"/>
          <w:sz w:val="24"/>
          <w:szCs w:val="24"/>
        </w:rPr>
        <w:t xml:space="preserve"> and </w:t>
      </w:r>
      <w:proofErr w:type="spellStart"/>
      <w:r w:rsidR="00554277" w:rsidRPr="00600E02">
        <w:rPr>
          <w:rFonts w:ascii="Times New Roman" w:eastAsia="Times New Roman" w:hAnsi="Times New Roman" w:cs="Times New Roman"/>
          <w:sz w:val="24"/>
          <w:szCs w:val="24"/>
        </w:rPr>
        <w:t>Etesevimab</w:t>
      </w:r>
      <w:proofErr w:type="spellEnd"/>
      <w:r w:rsidR="00600E02" w:rsidRPr="00600E02">
        <w:rPr>
          <w:rFonts w:ascii="Times New Roman" w:eastAsia="Times New Roman" w:hAnsi="Times New Roman" w:cs="Times New Roman"/>
          <w:sz w:val="24"/>
          <w:szCs w:val="24"/>
        </w:rPr>
        <w:t>:</w:t>
      </w:r>
      <w:r w:rsidR="00554277" w:rsidRPr="00600E02">
        <w:rPr>
          <w:rFonts w:ascii="Times New Roman" w:eastAsia="Times New Roman" w:hAnsi="Times New Roman" w:cs="Times New Roman"/>
          <w:sz w:val="24"/>
          <w:szCs w:val="24"/>
        </w:rPr>
        <w:t xml:space="preserve"> </w:t>
      </w:r>
      <w:hyperlink r:id="rId11" w:history="1">
        <w:r w:rsidR="00600E02" w:rsidRPr="00600E02">
          <w:rPr>
            <w:rStyle w:val="Hyperlink"/>
            <w:rFonts w:ascii="Times New Roman" w:eastAsia="Times New Roman" w:hAnsi="Times New Roman" w:cs="Times New Roman"/>
            <w:sz w:val="24"/>
            <w:szCs w:val="24"/>
          </w:rPr>
          <w:t>https://www.fda.gov/media/145803/download</w:t>
        </w:r>
      </w:hyperlink>
      <w:r w:rsidR="00600E02" w:rsidRPr="00600E02">
        <w:rPr>
          <w:rFonts w:ascii="Times New Roman" w:eastAsia="Times New Roman" w:hAnsi="Times New Roman" w:cs="Times New Roman"/>
          <w:sz w:val="24"/>
          <w:szCs w:val="24"/>
        </w:rPr>
        <w:t xml:space="preserve"> </w:t>
      </w:r>
    </w:p>
    <w:p w14:paraId="5E5551E7" w14:textId="6C6F4757" w:rsidR="008F6E30" w:rsidRPr="00600E02" w:rsidRDefault="001621F4" w:rsidP="004C29E9">
      <w:pPr>
        <w:pStyle w:val="ListParagraph"/>
        <w:rPr>
          <w:rFonts w:ascii="Times New Roman" w:hAnsi="Times New Roman" w:cs="Times New Roman"/>
          <w:sz w:val="24"/>
          <w:szCs w:val="24"/>
        </w:rPr>
      </w:pPr>
      <w:r w:rsidRPr="00600E02">
        <w:rPr>
          <w:rFonts w:ascii="Times New Roman" w:hAnsi="Times New Roman" w:cs="Times New Roman"/>
          <w:sz w:val="24"/>
          <w:szCs w:val="24"/>
        </w:rPr>
        <w:t xml:space="preserve">REGEN-COV: </w:t>
      </w:r>
      <w:hyperlink r:id="rId12" w:history="1">
        <w:r w:rsidR="00600E02" w:rsidRPr="002F19CA">
          <w:rPr>
            <w:rStyle w:val="Hyperlink"/>
            <w:rFonts w:ascii="Times New Roman" w:hAnsi="Times New Roman" w:cs="Times New Roman"/>
            <w:sz w:val="24"/>
            <w:szCs w:val="24"/>
          </w:rPr>
          <w:t>https://www.fda.gov/media/145612/download</w:t>
        </w:r>
      </w:hyperlink>
      <w:r w:rsidR="00600E02">
        <w:rPr>
          <w:rFonts w:ascii="Times New Roman" w:hAnsi="Times New Roman" w:cs="Times New Roman"/>
          <w:sz w:val="24"/>
          <w:szCs w:val="24"/>
        </w:rPr>
        <w:br/>
      </w:r>
      <w:r w:rsidR="008F6E30" w:rsidRPr="00600E02">
        <w:rPr>
          <w:rFonts w:ascii="Times New Roman" w:eastAsia="Times New Roman" w:hAnsi="Times New Roman" w:cs="Times New Roman"/>
          <w:sz w:val="24"/>
          <w:szCs w:val="24"/>
        </w:rPr>
        <w:t xml:space="preserve">This communication and the consent to receive treatment should be documented in the patient’s medical record. </w:t>
      </w:r>
    </w:p>
    <w:p w14:paraId="0A33E3F0" w14:textId="77777777" w:rsidR="008F6E30" w:rsidRPr="008F6E30" w:rsidRDefault="008F6E30" w:rsidP="008F6E30">
      <w:pPr>
        <w:spacing w:after="0" w:line="240" w:lineRule="auto"/>
        <w:ind w:right="-43"/>
        <w:rPr>
          <w:rFonts w:ascii="Times New Roman" w:eastAsia="Times New Roman" w:hAnsi="Times New Roman" w:cs="Times New Roman"/>
          <w:sz w:val="24"/>
          <w:szCs w:val="24"/>
        </w:rPr>
      </w:pPr>
    </w:p>
    <w:p w14:paraId="03BC1993" w14:textId="77777777" w:rsidR="008F6E30" w:rsidRPr="008F6E30" w:rsidRDefault="008F6E30" w:rsidP="008F6E30">
      <w:pPr>
        <w:spacing w:after="0" w:line="240" w:lineRule="auto"/>
        <w:ind w:right="-43"/>
        <w:rPr>
          <w:rFonts w:ascii="Times New Roman" w:eastAsia="Times New Roman" w:hAnsi="Times New Roman" w:cs="Times New Roman"/>
          <w:b/>
          <w:bCs/>
          <w:sz w:val="24"/>
          <w:szCs w:val="24"/>
        </w:rPr>
      </w:pPr>
      <w:r w:rsidRPr="008F6E30">
        <w:rPr>
          <w:rFonts w:ascii="Times New Roman" w:eastAsia="Times New Roman" w:hAnsi="Times New Roman" w:cs="Times New Roman"/>
          <w:b/>
          <w:bCs/>
          <w:sz w:val="24"/>
          <w:szCs w:val="24"/>
        </w:rPr>
        <w:t>Infusion Logistics:</w:t>
      </w:r>
    </w:p>
    <w:p w14:paraId="622DD665" w14:textId="77777777" w:rsidR="008F6E30" w:rsidRPr="008F6E30" w:rsidRDefault="008F6E30" w:rsidP="008F6E30">
      <w:pPr>
        <w:spacing w:after="0" w:line="240" w:lineRule="auto"/>
        <w:jc w:val="both"/>
        <w:rPr>
          <w:rFonts w:ascii="Times New Roman" w:eastAsia="Times New Roman" w:hAnsi="Times New Roman" w:cs="Times New Roman"/>
          <w:bCs/>
          <w:sz w:val="24"/>
          <w:szCs w:val="24"/>
        </w:rPr>
      </w:pPr>
    </w:p>
    <w:p w14:paraId="1386D129" w14:textId="465CD833"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A single dose of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w:t>
      </w:r>
      <w:r w:rsidRPr="008F6E30">
        <w:rPr>
          <w:rFonts w:ascii="Times New Roman" w:eastAsia="Times New Roman" w:hAnsi="Times New Roman" w:cs="Times New Roman"/>
          <w:sz w:val="24"/>
          <w:szCs w:val="24"/>
        </w:rPr>
        <w:t xml:space="preserve">is to be delivered over at least </w:t>
      </w:r>
      <w:r w:rsidR="0005271A">
        <w:rPr>
          <w:rFonts w:ascii="Times New Roman" w:eastAsia="Times New Roman" w:hAnsi="Times New Roman" w:cs="Times New Roman"/>
          <w:sz w:val="24"/>
          <w:szCs w:val="24"/>
        </w:rPr>
        <w:t>15</w:t>
      </w:r>
      <w:r w:rsidR="0005271A" w:rsidRPr="008F6E30">
        <w:rPr>
          <w:rFonts w:ascii="Times New Roman" w:eastAsia="Times New Roman" w:hAnsi="Times New Roman" w:cs="Times New Roman"/>
          <w:sz w:val="24"/>
          <w:szCs w:val="24"/>
        </w:rPr>
        <w:t xml:space="preserve"> </w:t>
      </w:r>
      <w:r w:rsidRPr="008F6E30">
        <w:rPr>
          <w:rFonts w:ascii="Times New Roman" w:eastAsia="Times New Roman" w:hAnsi="Times New Roman" w:cs="Times New Roman"/>
          <w:sz w:val="24"/>
          <w:szCs w:val="24"/>
        </w:rPr>
        <w:t>minutes</w:t>
      </w:r>
      <w:r w:rsidR="001621F4">
        <w:rPr>
          <w:rFonts w:ascii="Times New Roman" w:eastAsia="Times New Roman" w:hAnsi="Times New Roman" w:cs="Times New Roman"/>
          <w:sz w:val="24"/>
          <w:szCs w:val="24"/>
        </w:rPr>
        <w:t xml:space="preserve"> and REGEN-COV is to be delivered over at least 60 minutes</w:t>
      </w:r>
      <w:r w:rsidRPr="008F6E30">
        <w:rPr>
          <w:rFonts w:ascii="Times New Roman" w:eastAsia="Times New Roman" w:hAnsi="Times New Roman" w:cs="Times New Roman"/>
          <w:sz w:val="24"/>
          <w:szCs w:val="24"/>
        </w:rPr>
        <w:t xml:space="preserve"> via pump (not IV drip to gravity).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and REGEN-COV</w:t>
      </w:r>
      <w:r w:rsidRPr="008F6E30">
        <w:rPr>
          <w:rFonts w:ascii="Times New Roman" w:eastAsia="Times New Roman" w:hAnsi="Times New Roman" w:cs="Times New Roman"/>
          <w:sz w:val="24"/>
          <w:szCs w:val="24"/>
        </w:rPr>
        <w:t xml:space="preserve"> </w:t>
      </w:r>
      <w:r w:rsidR="001621F4">
        <w:rPr>
          <w:rFonts w:ascii="Times New Roman" w:eastAsia="Times New Roman" w:hAnsi="Times New Roman" w:cs="Times New Roman"/>
          <w:sz w:val="24"/>
          <w:szCs w:val="24"/>
        </w:rPr>
        <w:t>are</w:t>
      </w:r>
      <w:r w:rsidR="001621F4" w:rsidRPr="008F6E30">
        <w:rPr>
          <w:rFonts w:ascii="Times New Roman" w:eastAsia="Times New Roman" w:hAnsi="Times New Roman" w:cs="Times New Roman"/>
          <w:sz w:val="24"/>
          <w:szCs w:val="24"/>
        </w:rPr>
        <w:t xml:space="preserve"> </w:t>
      </w:r>
      <w:r w:rsidRPr="008F6E30">
        <w:rPr>
          <w:rFonts w:ascii="Times New Roman" w:eastAsia="Times New Roman" w:hAnsi="Times New Roman" w:cs="Times New Roman"/>
          <w:sz w:val="24"/>
          <w:szCs w:val="24"/>
        </w:rPr>
        <w:t xml:space="preserve">available as a concentrated solution and requires dilution prior to administration. </w:t>
      </w:r>
    </w:p>
    <w:p w14:paraId="3612DE06"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0CDC54A4" w14:textId="72DEED4C"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Necessary supplies for infusion include IV pump, IV start kit with tubing and filters, IV catheters, infusion bag of 2 0.9% Sodium Chloride, normal saline flushes, alcohol swabs, and severe infusion reaction/anaphylaxis rescue medications as noted further below. </w:t>
      </w:r>
    </w:p>
    <w:p w14:paraId="7BA7BD7D"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1B2572BC"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06AF4E1F" w14:textId="63C881EF"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If immediate administration is not possible, store the diluted</w:t>
      </w:r>
      <w:r w:rsidR="001621F4">
        <w:rPr>
          <w:rFonts w:ascii="Times New Roman" w:eastAsia="Times New Roman" w:hAnsi="Times New Roman" w:cs="Times New Roman"/>
          <w:sz w:val="24"/>
          <w:szCs w:val="24"/>
        </w:rPr>
        <w:t xml:space="preserve"> </w:t>
      </w:r>
      <w:r w:rsidRPr="008F6E30">
        <w:rPr>
          <w:rFonts w:ascii="Times New Roman" w:eastAsia="Times New Roman" w:hAnsi="Times New Roman" w:cs="Times New Roman"/>
          <w:sz w:val="24"/>
          <w:szCs w:val="24"/>
        </w:rPr>
        <w:t>infusion solution for up to 24 hours at refrigerated temperature (2°C to 8°C [36°F to 46°F]) and up to 7 hours at room temperature (20°C to 25°C [68°F to 77°F]) including infusion time. If refrigerated, allow the infusion solution to equilibrate to room temperature for approximately 20 minutes prior to administration.</w:t>
      </w:r>
    </w:p>
    <w:p w14:paraId="0E54BB1B" w14:textId="77777777" w:rsidR="008F6E30" w:rsidRPr="008F6E30" w:rsidRDefault="008F6E30" w:rsidP="008F6E30">
      <w:p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 </w:t>
      </w:r>
    </w:p>
    <w:p w14:paraId="639AA4FE" w14:textId="7A81B2C5" w:rsidR="008F6E30" w:rsidRPr="008F6E30" w:rsidRDefault="008F6E30" w:rsidP="008F6E30">
      <w:pPr>
        <w:spacing w:after="0" w:line="240" w:lineRule="auto"/>
        <w:ind w:right="-43"/>
        <w:jc w:val="center"/>
        <w:rPr>
          <w:rFonts w:ascii="Times New Roman" w:eastAsia="Times New Roman" w:hAnsi="Times New Roman" w:cs="Times New Roman"/>
          <w:sz w:val="24"/>
          <w:szCs w:val="24"/>
        </w:rPr>
      </w:pPr>
    </w:p>
    <w:p w14:paraId="3EB8883A" w14:textId="77777777" w:rsidR="008F6E30" w:rsidRPr="008F6E30" w:rsidRDefault="008F6E30" w:rsidP="008F6E30">
      <w:pPr>
        <w:spacing w:after="0" w:line="240" w:lineRule="auto"/>
        <w:ind w:right="-43"/>
        <w:rPr>
          <w:rFonts w:ascii="Times New Roman" w:eastAsia="Times New Roman" w:hAnsi="Times New Roman" w:cs="Times New Roman"/>
          <w:sz w:val="24"/>
          <w:szCs w:val="24"/>
        </w:rPr>
      </w:pPr>
    </w:p>
    <w:p w14:paraId="484EFEBF" w14:textId="093757B2" w:rsidR="008F6E30" w:rsidRPr="008F6E30" w:rsidRDefault="0005271A" w:rsidP="008F6E30">
      <w:pPr>
        <w:numPr>
          <w:ilvl w:val="0"/>
          <w:numId w:val="1"/>
        </w:numPr>
        <w:spacing w:after="0" w:line="240" w:lineRule="auto"/>
        <w:ind w:right="-43"/>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Bamlanivimab</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Etesevimab</w:t>
      </w:r>
      <w:proofErr w:type="spellEnd"/>
      <w:r>
        <w:rPr>
          <w:rFonts w:ascii="Times New Roman" w:eastAsia="Times New Roman" w:hAnsi="Times New Roman" w:cs="Times New Roman"/>
          <w:sz w:val="24"/>
          <w:szCs w:val="24"/>
        </w:rPr>
        <w:t xml:space="preserve"> or REGEN-COV</w:t>
      </w:r>
      <w:r w:rsidR="008F6E30" w:rsidRPr="008F6E30">
        <w:rPr>
          <w:rFonts w:ascii="Times New Roman" w:eastAsia="Times New Roman" w:hAnsi="Times New Roman" w:cs="Times New Roman"/>
          <w:sz w:val="24"/>
          <w:szCs w:val="24"/>
        </w:rPr>
        <w:t xml:space="preserve"> infusion</w:t>
      </w:r>
      <w:r>
        <w:rPr>
          <w:rFonts w:ascii="Times New Roman" w:eastAsia="Times New Roman" w:hAnsi="Times New Roman" w:cs="Times New Roman"/>
          <w:sz w:val="24"/>
          <w:szCs w:val="24"/>
        </w:rPr>
        <w:t>s</w:t>
      </w:r>
      <w:r w:rsidR="008F6E30" w:rsidRPr="008F6E30">
        <w:rPr>
          <w:rFonts w:ascii="Times New Roman" w:eastAsia="Times New Roman" w:hAnsi="Times New Roman" w:cs="Times New Roman"/>
          <w:sz w:val="24"/>
          <w:szCs w:val="24"/>
        </w:rPr>
        <w:t xml:space="preserve"> should be administered by a </w:t>
      </w:r>
      <w:r w:rsidR="00820C17">
        <w:rPr>
          <w:rFonts w:ascii="Times New Roman" w:eastAsia="Times New Roman" w:hAnsi="Times New Roman" w:cs="Times New Roman"/>
          <w:sz w:val="24"/>
          <w:szCs w:val="24"/>
        </w:rPr>
        <w:t>nurse or other licensed independent provider</w:t>
      </w:r>
      <w:r w:rsidR="008F6E30" w:rsidRPr="008F6E30">
        <w:rPr>
          <w:rFonts w:ascii="Times New Roman" w:eastAsia="Times New Roman" w:hAnsi="Times New Roman" w:cs="Times New Roman"/>
          <w:sz w:val="24"/>
          <w:szCs w:val="24"/>
        </w:rPr>
        <w:t xml:space="preserve">. A polyvinyl chloride (PVC) or polyethylene (PE)-lined PVC infusion set should be utilized with use of an in-line or add-on 0.20/0.22 micron </w:t>
      </w:r>
      <w:proofErr w:type="spellStart"/>
      <w:r w:rsidR="008F6E30" w:rsidRPr="008F6E30">
        <w:rPr>
          <w:rFonts w:ascii="Times New Roman" w:eastAsia="Times New Roman" w:hAnsi="Times New Roman" w:cs="Times New Roman"/>
          <w:sz w:val="24"/>
          <w:szCs w:val="24"/>
        </w:rPr>
        <w:t>polyethersulfone</w:t>
      </w:r>
      <w:proofErr w:type="spellEnd"/>
      <w:r w:rsidR="008F6E30" w:rsidRPr="008F6E30">
        <w:rPr>
          <w:rFonts w:ascii="Times New Roman" w:eastAsia="Times New Roman" w:hAnsi="Times New Roman" w:cs="Times New Roman"/>
          <w:sz w:val="24"/>
          <w:szCs w:val="24"/>
        </w:rPr>
        <w:t xml:space="preserve"> (PES) filter. The infusion set should be attached to the IV bag, the infusion set primed, and the entire infusion administered via pump over at least </w:t>
      </w:r>
      <w:r>
        <w:rPr>
          <w:rFonts w:ascii="Times New Roman" w:eastAsia="Times New Roman" w:hAnsi="Times New Roman" w:cs="Times New Roman"/>
          <w:sz w:val="24"/>
          <w:szCs w:val="24"/>
        </w:rPr>
        <w:t>15</w:t>
      </w:r>
      <w:r w:rsidRPr="008F6E30">
        <w:rPr>
          <w:rFonts w:ascii="Times New Roman" w:eastAsia="Times New Roman" w:hAnsi="Times New Roman" w:cs="Times New Roman"/>
          <w:sz w:val="24"/>
          <w:szCs w:val="24"/>
        </w:rPr>
        <w:t xml:space="preserve"> </w:t>
      </w:r>
      <w:r w:rsidR="008F6E30" w:rsidRPr="008F6E30">
        <w:rPr>
          <w:rFonts w:ascii="Times New Roman" w:eastAsia="Times New Roman" w:hAnsi="Times New Roman" w:cs="Times New Roman"/>
          <w:sz w:val="24"/>
          <w:szCs w:val="24"/>
        </w:rPr>
        <w:t>minutes</w:t>
      </w:r>
      <w:r w:rsidR="001621F4">
        <w:rPr>
          <w:rFonts w:ascii="Times New Roman" w:eastAsia="Times New Roman" w:hAnsi="Times New Roman" w:cs="Times New Roman"/>
          <w:sz w:val="24"/>
          <w:szCs w:val="24"/>
        </w:rPr>
        <w:t xml:space="preserve"> for </w:t>
      </w:r>
      <w:proofErr w:type="spellStart"/>
      <w:r w:rsidR="001621F4">
        <w:rPr>
          <w:rFonts w:ascii="Times New Roman" w:eastAsia="Times New Roman" w:hAnsi="Times New Roman" w:cs="Times New Roman"/>
          <w:sz w:val="24"/>
          <w:szCs w:val="24"/>
        </w:rPr>
        <w:t>Bamlanivimab</w:t>
      </w:r>
      <w:proofErr w:type="spellEnd"/>
      <w:r w:rsidR="001621F4" w:rsidRPr="001621F4">
        <w:t xml:space="preserve"> </w:t>
      </w:r>
      <w:r w:rsidR="001621F4" w:rsidRPr="001621F4">
        <w:rPr>
          <w:rFonts w:ascii="Times New Roman" w:eastAsia="Times New Roman" w:hAnsi="Times New Roman" w:cs="Times New Roman"/>
          <w:sz w:val="24"/>
          <w:szCs w:val="24"/>
        </w:rPr>
        <w:t xml:space="preserve">and </w:t>
      </w:r>
      <w:proofErr w:type="spellStart"/>
      <w:r w:rsidR="001621F4" w:rsidRPr="001621F4">
        <w:rPr>
          <w:rFonts w:ascii="Times New Roman" w:eastAsia="Times New Roman" w:hAnsi="Times New Roman" w:cs="Times New Roman"/>
          <w:sz w:val="24"/>
          <w:szCs w:val="24"/>
        </w:rPr>
        <w:t>Etesevimab</w:t>
      </w:r>
      <w:proofErr w:type="spellEnd"/>
      <w:r w:rsidR="001621F4" w:rsidRPr="001621F4">
        <w:rPr>
          <w:rFonts w:ascii="Times New Roman" w:eastAsia="Times New Roman" w:hAnsi="Times New Roman" w:cs="Times New Roman"/>
          <w:sz w:val="24"/>
          <w:szCs w:val="24"/>
        </w:rPr>
        <w:t xml:space="preserve"> and </w:t>
      </w:r>
      <w:r w:rsidR="001621F4">
        <w:rPr>
          <w:rFonts w:ascii="Times New Roman" w:eastAsia="Times New Roman" w:hAnsi="Times New Roman" w:cs="Times New Roman"/>
          <w:sz w:val="24"/>
          <w:szCs w:val="24"/>
        </w:rPr>
        <w:t xml:space="preserve">at least 60 minutes for </w:t>
      </w:r>
      <w:r w:rsidR="001621F4" w:rsidRPr="001621F4">
        <w:rPr>
          <w:rFonts w:ascii="Times New Roman" w:eastAsia="Times New Roman" w:hAnsi="Times New Roman" w:cs="Times New Roman"/>
          <w:sz w:val="24"/>
          <w:szCs w:val="24"/>
        </w:rPr>
        <w:t>REGEN-COV</w:t>
      </w:r>
      <w:r w:rsidR="008F6E30" w:rsidRPr="008F6E30">
        <w:rPr>
          <w:rFonts w:ascii="Times New Roman" w:eastAsia="Times New Roman" w:hAnsi="Times New Roman" w:cs="Times New Roman"/>
          <w:sz w:val="24"/>
          <w:szCs w:val="24"/>
        </w:rPr>
        <w:t>.</w:t>
      </w:r>
      <w:r w:rsidR="008F6E30" w:rsidRPr="008F6E30">
        <w:rPr>
          <w:rFonts w:ascii="Arial (Body)" w:eastAsia="Times New Roman" w:hAnsi="Arial (Body)" w:cs="Arial"/>
          <w:color w:val="000000"/>
          <w:kern w:val="24"/>
          <w:sz w:val="32"/>
          <w:szCs w:val="32"/>
        </w:rPr>
        <w:t xml:space="preserve"> </w:t>
      </w:r>
      <w:r w:rsidR="008F6E30" w:rsidRPr="008F6E30">
        <w:rPr>
          <w:rFonts w:ascii="Times New Roman" w:eastAsia="Times New Roman" w:hAnsi="Times New Roman" w:cs="Times New Roman"/>
          <w:sz w:val="24"/>
          <w:szCs w:val="24"/>
        </w:rPr>
        <w:t>Once infusion is complete, flush infusion line with 10 mL of NS to ensure delivery of required dose</w:t>
      </w:r>
    </w:p>
    <w:p w14:paraId="198FD1E3"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3D73A58A" w14:textId="7777777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lastRenderedPageBreak/>
        <w:t xml:space="preserve">Patient should be monitored during administration and for at least 1 hour after infusion is complete. </w:t>
      </w:r>
    </w:p>
    <w:p w14:paraId="18A28231"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2D694A39" w14:textId="4F969989"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Infusion-related reactions have been observed with administration of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and REGEN-COV.</w:t>
      </w:r>
      <w:r w:rsidRPr="008F6E30">
        <w:rPr>
          <w:rFonts w:ascii="Times New Roman" w:eastAsia="Times New Roman" w:hAnsi="Times New Roman" w:cs="Times New Roman"/>
          <w:sz w:val="24"/>
          <w:szCs w:val="24"/>
        </w:rPr>
        <w:t xml:space="preserve"> Signs and symptoms of infusion related reactions may include: fever, chills, nausea, headache, bronchospasm, hypotension, angioedema, throat irritation, rash including urticaria, pruritus, myalgia, dizziness. If an infusion-related reaction occurs, consider slowing or stopping the infusion and administering appropriate medications and supportive care. Any unused product should be discarded.</w:t>
      </w:r>
    </w:p>
    <w:p w14:paraId="3E8CBB5F" w14:textId="77777777" w:rsidR="008F6E30" w:rsidRPr="008F6E30" w:rsidRDefault="008F6E30" w:rsidP="008F6E30">
      <w:pPr>
        <w:spacing w:after="0" w:line="240" w:lineRule="auto"/>
        <w:ind w:left="720" w:right="-43"/>
        <w:rPr>
          <w:rFonts w:ascii="Times New Roman" w:eastAsia="Times New Roman" w:hAnsi="Times New Roman" w:cs="Times New Roman"/>
          <w:sz w:val="24"/>
          <w:szCs w:val="24"/>
        </w:rPr>
      </w:pPr>
    </w:p>
    <w:p w14:paraId="37FCF504" w14:textId="77777777"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If signs and symptoms of a clinically significant hypersensitivity reaction or anaphylaxis occur, immediately discontinue administration and initiate appropriate medications and supportive therapy and contact higher levels of medical guidance. Significant hypersensitivity reactions include significant degrees of the infusion-related reactions above, or combinations of multiple symptoms, or unremitting occurrences of those symptoms. Anaphylaxis recognition requires clinical judgment and can include respiratory compromise such as wheezing, stridor, hypoxemia; reduced blood pressure; syncope; collapse; incontinence; persistent mucosal involvement such as hives, itching, angioedema; and persistent GI symptoms such as cramping abdominal pain and vomiting. </w:t>
      </w:r>
    </w:p>
    <w:p w14:paraId="7E507B8F" w14:textId="77777777" w:rsidR="008F6E30" w:rsidRPr="008F6E30" w:rsidRDefault="008F6E30" w:rsidP="008F6E30">
      <w:pPr>
        <w:spacing w:after="0" w:line="240" w:lineRule="auto"/>
        <w:ind w:left="720"/>
        <w:rPr>
          <w:rFonts w:ascii="Times New Roman" w:eastAsia="Times New Roman" w:hAnsi="Times New Roman" w:cs="Calibri"/>
          <w:sz w:val="24"/>
          <w:szCs w:val="24"/>
        </w:rPr>
      </w:pPr>
    </w:p>
    <w:p w14:paraId="70A1065F" w14:textId="5740EDD2"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Treatment of anaphylaxis and significant hypersensitivity reactions includes Epinephrine 1mg/ml amp (1:1000) delivered as 0.3mg intramuscular and able to </w:t>
      </w:r>
      <w:r w:rsidR="00600E02" w:rsidRPr="008F6E30">
        <w:rPr>
          <w:rFonts w:ascii="Times New Roman" w:eastAsia="Times New Roman" w:hAnsi="Times New Roman" w:cs="Times New Roman"/>
          <w:sz w:val="24"/>
          <w:szCs w:val="24"/>
        </w:rPr>
        <w:t>repeat</w:t>
      </w:r>
      <w:r w:rsidRPr="008F6E30">
        <w:rPr>
          <w:rFonts w:ascii="Times New Roman" w:eastAsia="Times New Roman" w:hAnsi="Times New Roman" w:cs="Times New Roman"/>
          <w:sz w:val="24"/>
          <w:szCs w:val="24"/>
        </w:rPr>
        <w:t xml:space="preserve"> as needed every 3 to 5 minutes, Diphenhydramine 50mg/mL vial delivered as 50mg via slow intravenous or intramuscular injection, Methylprednisolone delivered as 125mg intramuscularly, and Albuterol inhaler delivered as 90mcg/puff 1-2 puffs as needed. Sites are additionally encouraged to keep on hand oxygen, pulse oximeters, H2 anti-histamines such as Famotidine, and appropriate resuscitation materials inclusive of one-way CPR valves. Treatment and supportive care should be initiated and higher levels of care should be summoned for ongoing patient management. </w:t>
      </w:r>
      <w:r w:rsidRPr="008F6E30">
        <w:rPr>
          <w:rFonts w:ascii="Times New Roman" w:eastAsia="Times New Roman" w:hAnsi="Times New Roman" w:cs="Times New Roman"/>
          <w:sz w:val="24"/>
          <w:szCs w:val="24"/>
        </w:rPr>
        <w:br/>
      </w:r>
    </w:p>
    <w:p w14:paraId="57E0C873" w14:textId="4958EF91" w:rsidR="00820C17" w:rsidRDefault="00820C17" w:rsidP="00820C17">
      <w:pPr>
        <w:spacing w:after="0" w:line="240" w:lineRule="auto"/>
        <w:ind w:left="720" w:right="-43"/>
        <w:rPr>
          <w:rFonts w:ascii="Times New Roman" w:eastAsia="Times New Roman" w:hAnsi="Times New Roman" w:cs="Times New Roman"/>
          <w:b/>
          <w:sz w:val="24"/>
          <w:szCs w:val="24"/>
        </w:rPr>
      </w:pPr>
      <w:r w:rsidRPr="00820C17">
        <w:rPr>
          <w:rFonts w:ascii="Times New Roman" w:eastAsia="Times New Roman" w:hAnsi="Times New Roman" w:cs="Times New Roman"/>
          <w:b/>
          <w:sz w:val="24"/>
          <w:szCs w:val="24"/>
        </w:rPr>
        <w:t xml:space="preserve">Post Infusion Care: </w:t>
      </w:r>
    </w:p>
    <w:p w14:paraId="73EB69D6" w14:textId="77777777" w:rsidR="00820C17" w:rsidRPr="00820C17" w:rsidRDefault="00820C17" w:rsidP="00820C17">
      <w:pPr>
        <w:spacing w:after="0" w:line="240" w:lineRule="auto"/>
        <w:ind w:left="720" w:right="-43"/>
        <w:rPr>
          <w:rFonts w:ascii="Times New Roman" w:eastAsia="Times New Roman" w:hAnsi="Times New Roman" w:cs="Times New Roman"/>
          <w:b/>
          <w:sz w:val="24"/>
          <w:szCs w:val="24"/>
        </w:rPr>
      </w:pPr>
    </w:p>
    <w:p w14:paraId="6C7E5A3A" w14:textId="709DA080" w:rsidR="008F6E30" w:rsidRPr="008F6E30" w:rsidRDefault="008F6E30" w:rsidP="008F6E30">
      <w:pPr>
        <w:numPr>
          <w:ilvl w:val="0"/>
          <w:numId w:val="1"/>
        </w:numPr>
        <w:spacing w:after="0" w:line="240" w:lineRule="auto"/>
        <w:ind w:right="-43"/>
        <w:rPr>
          <w:rFonts w:ascii="Times New Roman" w:eastAsia="Times New Roman" w:hAnsi="Times New Roman" w:cs="Times New Roman"/>
          <w:sz w:val="24"/>
          <w:szCs w:val="24"/>
        </w:rPr>
      </w:pPr>
      <w:r w:rsidRPr="008F6E30">
        <w:rPr>
          <w:rFonts w:ascii="Times New Roman" w:eastAsia="Times New Roman" w:hAnsi="Times New Roman" w:cs="Times New Roman"/>
          <w:sz w:val="24"/>
          <w:szCs w:val="24"/>
        </w:rPr>
        <w:t xml:space="preserve">Patients treated with </w:t>
      </w:r>
      <w:proofErr w:type="spellStart"/>
      <w:r w:rsidR="0005271A">
        <w:rPr>
          <w:rFonts w:ascii="Times New Roman" w:eastAsia="Times New Roman" w:hAnsi="Times New Roman" w:cs="Times New Roman"/>
          <w:sz w:val="24"/>
          <w:szCs w:val="24"/>
        </w:rPr>
        <w:t>Bamlanivimab</w:t>
      </w:r>
      <w:proofErr w:type="spellEnd"/>
      <w:r w:rsidR="0005271A">
        <w:rPr>
          <w:rFonts w:ascii="Times New Roman" w:eastAsia="Times New Roman" w:hAnsi="Times New Roman" w:cs="Times New Roman"/>
          <w:sz w:val="24"/>
          <w:szCs w:val="24"/>
        </w:rPr>
        <w:t xml:space="preserve"> and </w:t>
      </w:r>
      <w:proofErr w:type="spellStart"/>
      <w:r w:rsidR="0005271A">
        <w:rPr>
          <w:rFonts w:ascii="Times New Roman" w:eastAsia="Times New Roman" w:hAnsi="Times New Roman" w:cs="Times New Roman"/>
          <w:sz w:val="24"/>
          <w:szCs w:val="24"/>
        </w:rPr>
        <w:t>Etesevimab</w:t>
      </w:r>
      <w:proofErr w:type="spellEnd"/>
      <w:r w:rsidR="0005271A">
        <w:rPr>
          <w:rFonts w:ascii="Times New Roman" w:eastAsia="Times New Roman" w:hAnsi="Times New Roman" w:cs="Times New Roman"/>
          <w:sz w:val="24"/>
          <w:szCs w:val="24"/>
        </w:rPr>
        <w:t xml:space="preserve"> or REGEN-COV</w:t>
      </w:r>
      <w:r w:rsidRPr="008F6E30">
        <w:rPr>
          <w:rFonts w:ascii="Times New Roman" w:eastAsia="Times New Roman" w:hAnsi="Times New Roman" w:cs="Times New Roman"/>
          <w:sz w:val="24"/>
          <w:szCs w:val="24"/>
        </w:rPr>
        <w:t xml:space="preserve">, after treatment, should continue to self-isolate and use infection control measures (e.g., wear </w:t>
      </w:r>
      <w:r w:rsidR="00820C17">
        <w:rPr>
          <w:rFonts w:ascii="Times New Roman" w:eastAsia="Times New Roman" w:hAnsi="Times New Roman" w:cs="Times New Roman"/>
          <w:sz w:val="24"/>
          <w:szCs w:val="24"/>
        </w:rPr>
        <w:t>face</w:t>
      </w:r>
      <w:r w:rsidRPr="008F6E30">
        <w:rPr>
          <w:rFonts w:ascii="Times New Roman" w:eastAsia="Times New Roman" w:hAnsi="Times New Roman" w:cs="Times New Roman"/>
          <w:sz w:val="24"/>
          <w:szCs w:val="24"/>
        </w:rPr>
        <w:t>mask, isolate, social distance, avoid sharing personal items, clean and disinfect “high touch” surfaces, and frequent handwashing) according to CDC guidelines.</w:t>
      </w:r>
    </w:p>
    <w:p w14:paraId="46585CAE" w14:textId="77777777" w:rsidR="008F6E30" w:rsidRPr="008F6E30" w:rsidRDefault="008F6E30" w:rsidP="008F6E30">
      <w:pPr>
        <w:spacing w:after="0" w:line="240" w:lineRule="auto"/>
        <w:ind w:left="360" w:right="-43"/>
        <w:rPr>
          <w:rFonts w:ascii="Times New Roman" w:eastAsia="Times New Roman" w:hAnsi="Times New Roman" w:cs="Times New Roman"/>
          <w:sz w:val="24"/>
          <w:szCs w:val="24"/>
        </w:rPr>
      </w:pPr>
    </w:p>
    <w:p w14:paraId="46E8518F" w14:textId="77777777" w:rsidR="008F6E30" w:rsidRPr="008F6E30" w:rsidRDefault="008F6E30" w:rsidP="008F6E30">
      <w:pPr>
        <w:spacing w:after="0" w:line="240" w:lineRule="auto"/>
        <w:ind w:left="360" w:right="-43"/>
        <w:rPr>
          <w:rFonts w:ascii="Times New Roman" w:eastAsia="Times New Roman" w:hAnsi="Times New Roman" w:cs="Times New Roman"/>
          <w:sz w:val="24"/>
          <w:szCs w:val="24"/>
        </w:rPr>
      </w:pPr>
    </w:p>
    <w:bookmarkEnd w:id="5"/>
    <w:p w14:paraId="598DA653" w14:textId="77777777" w:rsidR="008F6E30" w:rsidRPr="008F6E30" w:rsidRDefault="008F6E30" w:rsidP="008F6E30">
      <w:pPr>
        <w:spacing w:after="0" w:line="240" w:lineRule="auto"/>
        <w:rPr>
          <w:rFonts w:ascii="Times New Roman" w:eastAsia="Times New Roman" w:hAnsi="Times New Roman" w:cs="Times New Roman"/>
          <w:b/>
          <w:color w:val="000000"/>
          <w:sz w:val="24"/>
          <w:szCs w:val="24"/>
        </w:rPr>
      </w:pPr>
    </w:p>
    <w:p w14:paraId="2A32B404" w14:textId="77777777" w:rsidR="00D55929" w:rsidRDefault="00D55929"/>
    <w:sectPr w:rsidR="00D55929">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3F7E3" w14:textId="77777777" w:rsidR="00B1206C" w:rsidRDefault="00B1206C">
      <w:pPr>
        <w:spacing w:after="0" w:line="240" w:lineRule="auto"/>
      </w:pPr>
      <w:r>
        <w:separator/>
      </w:r>
    </w:p>
  </w:endnote>
  <w:endnote w:type="continuationSeparator" w:id="0">
    <w:p w14:paraId="391C15EB" w14:textId="77777777" w:rsidR="00B1206C" w:rsidRDefault="00B1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dy)">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97B66" w14:textId="5EF05DB1" w:rsidR="004C29E9" w:rsidRDefault="004C29E9">
    <w:pPr>
      <w:pStyle w:val="Footer"/>
    </w:pPr>
    <w:r>
      <w:t>Updated April 13, 2021</w:t>
    </w:r>
  </w:p>
  <w:p w14:paraId="7ED93995" w14:textId="61394BB0" w:rsidR="009557AF" w:rsidRDefault="00B1206C" w:rsidP="008434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A8A48" w14:textId="77777777" w:rsidR="00B1206C" w:rsidRDefault="00B1206C">
      <w:pPr>
        <w:spacing w:after="0" w:line="240" w:lineRule="auto"/>
      </w:pPr>
      <w:r>
        <w:separator/>
      </w:r>
    </w:p>
  </w:footnote>
  <w:footnote w:type="continuationSeparator" w:id="0">
    <w:p w14:paraId="74C9FCAF" w14:textId="77777777" w:rsidR="00B1206C" w:rsidRDefault="00B1206C">
      <w:pPr>
        <w:spacing w:after="0" w:line="240" w:lineRule="auto"/>
      </w:pPr>
      <w:r>
        <w:continuationSeparator/>
      </w:r>
    </w:p>
  </w:footnote>
  <w:footnote w:id="1">
    <w:p w14:paraId="29DFAFCB" w14:textId="3E644436" w:rsidR="00820C17" w:rsidRDefault="00820C17">
      <w:pPr>
        <w:pStyle w:val="FootnoteText"/>
      </w:pPr>
      <w:r>
        <w:rPr>
          <w:rStyle w:val="FootnoteReference"/>
        </w:rPr>
        <w:footnoteRef/>
      </w:r>
      <w:r>
        <w:t xml:space="preserve"> </w:t>
      </w:r>
      <w:r w:rsidRPr="00820C17">
        <w:t></w:t>
      </w:r>
      <w:r w:rsidRPr="00820C17">
        <w:tab/>
        <w:t>Those at higher risk of progression to severe COVID-19 include those with BMI ≥ 35, chronic kidney disease, diabetes, immunosuppressive disease, currently on immunosuppressive treatment, cardiovascular disease, hypertension, chronic obstructive pulmonary disease, other chronic respiratory disease, sickle cell disease, congenital or acquired heart disease, neurodevelopmental disorders, medical related technological dependence such as tracheostomy, asthma, reactive airway disease, or other chronic respiratory disease.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057D4"/>
    <w:multiLevelType w:val="hybridMultilevel"/>
    <w:tmpl w:val="97DA29F8"/>
    <w:lvl w:ilvl="0" w:tplc="BF56F1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30"/>
    <w:rsid w:val="000272A8"/>
    <w:rsid w:val="0005271A"/>
    <w:rsid w:val="000D1ACF"/>
    <w:rsid w:val="001621F4"/>
    <w:rsid w:val="00203870"/>
    <w:rsid w:val="002C15B1"/>
    <w:rsid w:val="002C6BBB"/>
    <w:rsid w:val="003F275A"/>
    <w:rsid w:val="004C29E9"/>
    <w:rsid w:val="00554277"/>
    <w:rsid w:val="005B5F36"/>
    <w:rsid w:val="00600E02"/>
    <w:rsid w:val="00734A79"/>
    <w:rsid w:val="00820C17"/>
    <w:rsid w:val="008F6E30"/>
    <w:rsid w:val="00A85613"/>
    <w:rsid w:val="00AD772D"/>
    <w:rsid w:val="00B1206C"/>
    <w:rsid w:val="00B32D53"/>
    <w:rsid w:val="00D55929"/>
    <w:rsid w:val="00E73628"/>
    <w:rsid w:val="00EC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546F"/>
  <w15:chartTrackingRefBased/>
  <w15:docId w15:val="{D01CB53E-FA80-4F8A-A7A9-30EA4EE2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F6E30"/>
    <w:rPr>
      <w:sz w:val="16"/>
      <w:szCs w:val="16"/>
    </w:rPr>
  </w:style>
  <w:style w:type="paragraph" w:styleId="CommentText">
    <w:name w:val="annotation text"/>
    <w:basedOn w:val="Normal"/>
    <w:link w:val="CommentTextChar"/>
    <w:rsid w:val="008F6E3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F6E30"/>
    <w:rPr>
      <w:rFonts w:ascii="Times New Roman" w:eastAsia="Times New Roman" w:hAnsi="Times New Roman" w:cs="Times New Roman"/>
      <w:sz w:val="20"/>
      <w:szCs w:val="20"/>
    </w:rPr>
  </w:style>
  <w:style w:type="paragraph" w:styleId="Footer">
    <w:name w:val="footer"/>
    <w:basedOn w:val="Normal"/>
    <w:link w:val="FooterChar"/>
    <w:uiPriority w:val="99"/>
    <w:rsid w:val="008F6E30"/>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F6E3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F6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E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362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7362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20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C17"/>
    <w:rPr>
      <w:sz w:val="20"/>
      <w:szCs w:val="20"/>
    </w:rPr>
  </w:style>
  <w:style w:type="character" w:styleId="FootnoteReference">
    <w:name w:val="footnote reference"/>
    <w:basedOn w:val="DefaultParagraphFont"/>
    <w:uiPriority w:val="99"/>
    <w:semiHidden/>
    <w:unhideWhenUsed/>
    <w:rsid w:val="00820C17"/>
    <w:rPr>
      <w:vertAlign w:val="superscript"/>
    </w:rPr>
  </w:style>
  <w:style w:type="paragraph" w:styleId="ListParagraph">
    <w:name w:val="List Paragraph"/>
    <w:basedOn w:val="Normal"/>
    <w:uiPriority w:val="34"/>
    <w:qFormat/>
    <w:rsid w:val="00AD772D"/>
    <w:pPr>
      <w:ind w:left="720"/>
      <w:contextualSpacing/>
    </w:pPr>
  </w:style>
  <w:style w:type="character" w:styleId="Hyperlink">
    <w:name w:val="Hyperlink"/>
    <w:basedOn w:val="DefaultParagraphFont"/>
    <w:uiPriority w:val="99"/>
    <w:unhideWhenUsed/>
    <w:rsid w:val="001621F4"/>
    <w:rPr>
      <w:color w:val="0563C1" w:themeColor="hyperlink"/>
      <w:u w:val="single"/>
    </w:rPr>
  </w:style>
  <w:style w:type="character" w:styleId="UnresolvedMention">
    <w:name w:val="Unresolved Mention"/>
    <w:basedOn w:val="DefaultParagraphFont"/>
    <w:uiPriority w:val="99"/>
    <w:semiHidden/>
    <w:unhideWhenUsed/>
    <w:rsid w:val="001621F4"/>
    <w:rPr>
      <w:color w:val="605E5C"/>
      <w:shd w:val="clear" w:color="auto" w:fill="E1DFDD"/>
    </w:rPr>
  </w:style>
  <w:style w:type="paragraph" w:styleId="Header">
    <w:name w:val="header"/>
    <w:basedOn w:val="Normal"/>
    <w:link w:val="HeaderChar"/>
    <w:uiPriority w:val="99"/>
    <w:unhideWhenUsed/>
    <w:rsid w:val="004C29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45801/downloa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da.gov/media/145612/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45803/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da.gov/medwatch/report.htm" TargetMode="External"/><Relationship Id="rId4" Type="http://schemas.openxmlformats.org/officeDocument/2006/relationships/settings" Target="settings.xml"/><Relationship Id="rId9" Type="http://schemas.openxmlformats.org/officeDocument/2006/relationships/hyperlink" Target="https://www.fda.gov/media/143892/downlo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627C6-10CB-446B-AD9A-73434D9B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 Katherine (DPH);MoDaR (EOHHS)</dc:creator>
  <cp:keywords/>
  <dc:description/>
  <cp:lastModifiedBy>Bichelman, Jamie E (DPH)</cp:lastModifiedBy>
  <cp:revision>4</cp:revision>
  <dcterms:created xsi:type="dcterms:W3CDTF">2021-04-13T20:19:00Z</dcterms:created>
  <dcterms:modified xsi:type="dcterms:W3CDTF">2021-04-13T20:35:00Z</dcterms:modified>
</cp:coreProperties>
</file>