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2FB33466" w14:textId="77777777" w:rsidR="00033154" w:rsidRDefault="00033154" w:rsidP="0072610D"/>
    <w:p w14:paraId="057F29FA" w14:textId="77777777" w:rsidR="00F059B3" w:rsidRPr="00F051AC" w:rsidRDefault="00F059B3" w:rsidP="00F059B3">
      <w:pPr>
        <w:jc w:val="center"/>
        <w:rPr>
          <w:rFonts w:ascii="Arial" w:hAnsi="Arial" w:cs="Arial"/>
          <w:b/>
          <w:u w:val="single"/>
        </w:rPr>
      </w:pPr>
    </w:p>
    <w:p w14:paraId="7A7A07BA" w14:textId="77777777" w:rsidR="00F059B3" w:rsidRPr="00F051AC" w:rsidRDefault="00F059B3" w:rsidP="00F059B3">
      <w:pPr>
        <w:jc w:val="center"/>
        <w:rPr>
          <w:rFonts w:ascii="Arial" w:hAnsi="Arial" w:cs="Arial"/>
          <w:b/>
          <w:u w:val="single"/>
        </w:rPr>
      </w:pPr>
    </w:p>
    <w:p w14:paraId="36875558" w14:textId="223BB57E" w:rsidR="00F059B3" w:rsidRPr="00F051AC" w:rsidRDefault="00F059B3" w:rsidP="00F059B3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TO: </w:t>
      </w:r>
      <w:r w:rsidR="00551F42" w:rsidRPr="00551F42">
        <w:rPr>
          <w:rFonts w:ascii="Arial" w:hAnsi="Arial" w:cs="Arial"/>
        </w:rPr>
        <w:t>Institutional Sterile Compounding Pharmac</w:t>
      </w:r>
      <w:r w:rsidR="00551F42">
        <w:rPr>
          <w:rFonts w:ascii="Arial" w:hAnsi="Arial" w:cs="Arial"/>
        </w:rPr>
        <w:t>ies</w:t>
      </w:r>
    </w:p>
    <w:p w14:paraId="00E1E4AB" w14:textId="77777777" w:rsidR="00F059B3" w:rsidRPr="00F051AC" w:rsidRDefault="00F059B3" w:rsidP="00F059B3">
      <w:pPr>
        <w:jc w:val="both"/>
        <w:rPr>
          <w:rFonts w:ascii="Arial" w:hAnsi="Arial" w:cs="Arial"/>
        </w:rPr>
      </w:pPr>
    </w:p>
    <w:p w14:paraId="750E2379" w14:textId="7950D872" w:rsidR="00F059B3" w:rsidRDefault="00F059B3" w:rsidP="00551F42">
      <w:pPr>
        <w:spacing w:line="276" w:lineRule="auto"/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FROM: </w:t>
      </w:r>
      <w:r w:rsidR="00551F42" w:rsidRPr="00551F42">
        <w:rPr>
          <w:rFonts w:ascii="Arial" w:hAnsi="Arial" w:cs="Arial"/>
        </w:rPr>
        <w:t>Drug Control Program</w:t>
      </w:r>
    </w:p>
    <w:p w14:paraId="009B20C2" w14:textId="6780D7BB" w:rsidR="00551F42" w:rsidRDefault="00551F42" w:rsidP="00551F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bookmarkStart w:id="0" w:name="_Hlk185514771"/>
      <w:r w:rsidRPr="00551F42">
        <w:rPr>
          <w:rFonts w:ascii="Arial" w:hAnsi="Arial" w:cs="Arial"/>
        </w:rPr>
        <w:t>Division of Health Care Facility Licensure and Certification</w:t>
      </w:r>
      <w:bookmarkEnd w:id="0"/>
    </w:p>
    <w:p w14:paraId="586E4AAB" w14:textId="52E45ECE" w:rsidR="00551F42" w:rsidRPr="00F051AC" w:rsidRDefault="00551F42" w:rsidP="00551F4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551F42">
        <w:rPr>
          <w:rFonts w:ascii="Arial" w:hAnsi="Arial" w:cs="Arial"/>
        </w:rPr>
        <w:t>Board of Registration in Pharmacy</w:t>
      </w:r>
    </w:p>
    <w:p w14:paraId="3A73D15E" w14:textId="77777777" w:rsidR="00F059B3" w:rsidRPr="00F051AC" w:rsidRDefault="00F059B3" w:rsidP="00551F42">
      <w:pPr>
        <w:spacing w:line="276" w:lineRule="auto"/>
        <w:jc w:val="both"/>
        <w:rPr>
          <w:rFonts w:ascii="Arial" w:hAnsi="Arial" w:cs="Arial"/>
        </w:rPr>
      </w:pPr>
    </w:p>
    <w:p w14:paraId="0833E4A2" w14:textId="542AC247" w:rsidR="00F059B3" w:rsidRPr="00F051AC" w:rsidRDefault="00F059B3" w:rsidP="00551F42">
      <w:pPr>
        <w:spacing w:line="276" w:lineRule="auto"/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DATE: </w:t>
      </w:r>
      <w:r w:rsidR="00551F42">
        <w:rPr>
          <w:rFonts w:ascii="Arial" w:hAnsi="Arial" w:cs="Arial"/>
        </w:rPr>
        <w:t>December 18, 2024</w:t>
      </w:r>
    </w:p>
    <w:p w14:paraId="49D6DA64" w14:textId="77777777" w:rsidR="00F059B3" w:rsidRPr="00F051AC" w:rsidRDefault="00F059B3" w:rsidP="00551F42">
      <w:pPr>
        <w:spacing w:line="276" w:lineRule="auto"/>
        <w:jc w:val="both"/>
        <w:rPr>
          <w:rFonts w:ascii="Arial" w:hAnsi="Arial" w:cs="Arial"/>
        </w:rPr>
      </w:pPr>
    </w:p>
    <w:p w14:paraId="5285095D" w14:textId="340079F2" w:rsidR="00F059B3" w:rsidRDefault="00F059B3" w:rsidP="00551F4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 xml:space="preserve">SUBJECT: </w:t>
      </w:r>
      <w:r w:rsidR="00F95051" w:rsidRPr="00F95051">
        <w:rPr>
          <w:rFonts w:ascii="Arial" w:hAnsi="Arial" w:cs="Arial"/>
        </w:rPr>
        <w:t>Continuity of Care Guidance</w:t>
      </w:r>
    </w:p>
    <w:p w14:paraId="54C52939" w14:textId="77777777" w:rsidR="00F059B3" w:rsidRPr="00F051AC" w:rsidRDefault="00F059B3" w:rsidP="00551F4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</w:rPr>
      </w:pPr>
    </w:p>
    <w:p w14:paraId="2ACB53E3" w14:textId="77777777" w:rsidR="00F059B3" w:rsidRPr="00122A16" w:rsidRDefault="00F059B3" w:rsidP="00551F4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8F60BA9" w14:textId="77777777" w:rsidR="00F95051" w:rsidRPr="003A3AD1" w:rsidRDefault="00F95051" w:rsidP="00551F42">
      <w:pPr>
        <w:spacing w:line="276" w:lineRule="auto"/>
        <w:jc w:val="both"/>
        <w:rPr>
          <w:rFonts w:ascii="Arial" w:hAnsi="Arial" w:cs="Arial"/>
          <w:szCs w:val="24"/>
        </w:rPr>
      </w:pPr>
      <w:r w:rsidRPr="003A3AD1">
        <w:rPr>
          <w:rFonts w:ascii="Arial" w:hAnsi="Arial" w:cs="Arial"/>
          <w:szCs w:val="24"/>
        </w:rPr>
        <w:t>The Massachusetts Department of Public Health, through the Board of Registration in Pharmacy (Board), Drug Control Program (DCP), and Division of Health Care Facility Licensure and Certification (DHCFLC) adopts this</w:t>
      </w:r>
      <w:r>
        <w:rPr>
          <w:rFonts w:ascii="Arial" w:hAnsi="Arial" w:cs="Arial"/>
          <w:szCs w:val="24"/>
        </w:rPr>
        <w:t xml:space="preserve"> joint guidance to address</w:t>
      </w:r>
      <w:r w:rsidRPr="003A3A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options available</w:t>
      </w:r>
      <w:r w:rsidRPr="003A3AD1">
        <w:rPr>
          <w:rFonts w:ascii="Arial" w:hAnsi="Arial" w:cs="Arial"/>
          <w:szCs w:val="24"/>
        </w:rPr>
        <w:t xml:space="preserve"> </w:t>
      </w:r>
      <w:r w:rsidRPr="00403F77">
        <w:rPr>
          <w:rFonts w:ascii="Arial" w:hAnsi="Arial" w:cs="Arial"/>
          <w:szCs w:val="24"/>
        </w:rPr>
        <w:t>whe</w:t>
      </w:r>
      <w:r>
        <w:rPr>
          <w:rFonts w:ascii="Arial" w:hAnsi="Arial" w:cs="Arial"/>
          <w:szCs w:val="24"/>
        </w:rPr>
        <w:t>n</w:t>
      </w:r>
      <w:r w:rsidRPr="00403F77">
        <w:rPr>
          <w:rFonts w:ascii="Arial" w:hAnsi="Arial" w:cs="Arial"/>
          <w:szCs w:val="24"/>
        </w:rPr>
        <w:t xml:space="preserve"> a specific institutional sterile compounding pharmacy </w:t>
      </w:r>
      <w:r>
        <w:rPr>
          <w:rFonts w:ascii="Arial" w:hAnsi="Arial" w:cs="Arial"/>
          <w:szCs w:val="24"/>
        </w:rPr>
        <w:t xml:space="preserve">temporarily cannot </w:t>
      </w:r>
      <w:r w:rsidRPr="00403F77">
        <w:rPr>
          <w:rFonts w:ascii="Arial" w:hAnsi="Arial" w:cs="Arial"/>
          <w:szCs w:val="24"/>
        </w:rPr>
        <w:t>meet the compounded sterile preparation (CSP) needs</w:t>
      </w:r>
      <w:r>
        <w:rPr>
          <w:rFonts w:ascii="Arial" w:hAnsi="Arial" w:cs="Arial"/>
          <w:szCs w:val="24"/>
        </w:rPr>
        <w:t xml:space="preserve"> of their patients. Such temporary incapacity can </w:t>
      </w:r>
      <w:r w:rsidRPr="00403F77">
        <w:rPr>
          <w:rFonts w:ascii="Arial" w:hAnsi="Arial" w:cs="Arial"/>
          <w:szCs w:val="24"/>
        </w:rPr>
        <w:t>include, but is not limited to</w:t>
      </w:r>
      <w:r>
        <w:rPr>
          <w:rFonts w:ascii="Arial" w:hAnsi="Arial" w:cs="Arial"/>
          <w:szCs w:val="24"/>
        </w:rPr>
        <w:t>, clean room</w:t>
      </w:r>
      <w:r w:rsidRPr="00403F77">
        <w:rPr>
          <w:rFonts w:ascii="Arial" w:hAnsi="Arial" w:cs="Arial"/>
          <w:szCs w:val="24"/>
        </w:rPr>
        <w:t xml:space="preserve"> renovations</w:t>
      </w:r>
      <w:r>
        <w:rPr>
          <w:rFonts w:ascii="Arial" w:hAnsi="Arial" w:cs="Arial"/>
          <w:szCs w:val="24"/>
        </w:rPr>
        <w:t>, HVAC failure, gross contamination, etc</w:t>
      </w:r>
      <w:r w:rsidRPr="003A3AD1">
        <w:rPr>
          <w:rFonts w:ascii="Arial" w:hAnsi="Arial" w:cs="Arial"/>
          <w:szCs w:val="24"/>
        </w:rPr>
        <w:t xml:space="preserve">. </w:t>
      </w:r>
    </w:p>
    <w:p w14:paraId="722A428F" w14:textId="77777777" w:rsidR="00F95051" w:rsidRPr="003A3AD1" w:rsidRDefault="00F95051" w:rsidP="00551F42">
      <w:pPr>
        <w:spacing w:line="276" w:lineRule="auto"/>
        <w:jc w:val="both"/>
        <w:rPr>
          <w:rFonts w:ascii="Arial" w:hAnsi="Arial" w:cs="Arial"/>
          <w:szCs w:val="24"/>
        </w:rPr>
      </w:pPr>
    </w:p>
    <w:p w14:paraId="5A4864EE" w14:textId="77777777" w:rsidR="00F95051" w:rsidRPr="003A3AD1" w:rsidRDefault="00F95051" w:rsidP="00551F42">
      <w:pPr>
        <w:spacing w:line="276" w:lineRule="auto"/>
        <w:jc w:val="both"/>
        <w:rPr>
          <w:rFonts w:ascii="Arial" w:hAnsi="Arial" w:cs="Arial"/>
          <w:szCs w:val="24"/>
        </w:rPr>
      </w:pPr>
      <w:r w:rsidRPr="003A3AD1">
        <w:rPr>
          <w:rFonts w:ascii="Arial" w:hAnsi="Arial" w:cs="Arial"/>
          <w:szCs w:val="24"/>
        </w:rPr>
        <w:t xml:space="preserve">All licensees must maintain full compliance with all federal and state laws, regulations, and policies, including, but not limited to 105 CMR 700.00, 247 CMR 2.00, </w:t>
      </w:r>
      <w:r w:rsidRPr="003A3AD1">
        <w:rPr>
          <w:rFonts w:ascii="Arial" w:hAnsi="Arial" w:cs="Arial"/>
          <w:i/>
          <w:iCs/>
          <w:szCs w:val="24"/>
        </w:rPr>
        <w:t>et seq</w:t>
      </w:r>
      <w:r w:rsidRPr="003A3AD1">
        <w:rPr>
          <w:rFonts w:ascii="Arial" w:hAnsi="Arial" w:cs="Arial"/>
          <w:szCs w:val="24"/>
        </w:rPr>
        <w:t>., United States Pharmacopeia (USP), and M.G.L. c.</w:t>
      </w:r>
      <w:r>
        <w:rPr>
          <w:rFonts w:ascii="Arial" w:hAnsi="Arial" w:cs="Arial"/>
          <w:szCs w:val="24"/>
        </w:rPr>
        <w:t>94C and 112</w:t>
      </w:r>
      <w:r w:rsidRPr="00FB117A">
        <w:rPr>
          <w:rFonts w:ascii="Arial" w:hAnsi="Arial" w:cs="Arial"/>
          <w:szCs w:val="24"/>
        </w:rPr>
        <w:t>.</w:t>
      </w:r>
    </w:p>
    <w:p w14:paraId="2654D767" w14:textId="77777777" w:rsidR="00F95051" w:rsidRPr="003A3AD1" w:rsidRDefault="00F95051" w:rsidP="00551F42">
      <w:pPr>
        <w:spacing w:line="276" w:lineRule="auto"/>
        <w:jc w:val="both"/>
        <w:rPr>
          <w:rFonts w:ascii="Arial" w:hAnsi="Arial" w:cs="Arial"/>
          <w:szCs w:val="24"/>
        </w:rPr>
      </w:pPr>
    </w:p>
    <w:p w14:paraId="1FD85533" w14:textId="77777777" w:rsidR="00F95051" w:rsidRPr="003A3AD1" w:rsidRDefault="00F95051" w:rsidP="00551F4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3AD1">
        <w:rPr>
          <w:rFonts w:ascii="Arial" w:hAnsi="Arial" w:cs="Arial"/>
          <w:b/>
          <w:bCs/>
          <w:sz w:val="24"/>
          <w:szCs w:val="24"/>
        </w:rPr>
        <w:t xml:space="preserve">Definitions </w:t>
      </w:r>
    </w:p>
    <w:p w14:paraId="494943A5" w14:textId="77777777" w:rsidR="00F95051" w:rsidRPr="003A3AD1" w:rsidRDefault="00F95051" w:rsidP="00551F42">
      <w:pPr>
        <w:pStyle w:val="ListParagraph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B4DAAC" w14:textId="77777777" w:rsidR="00F95051" w:rsidRPr="003A3AD1" w:rsidRDefault="00F95051" w:rsidP="00551F42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3AD1">
        <w:rPr>
          <w:rFonts w:ascii="Arial" w:hAnsi="Arial" w:cs="Arial"/>
          <w:sz w:val="24"/>
          <w:szCs w:val="24"/>
        </w:rPr>
        <w:t xml:space="preserve">An </w:t>
      </w:r>
      <w:r w:rsidRPr="003A3AD1">
        <w:rPr>
          <w:rFonts w:ascii="Arial" w:hAnsi="Arial" w:cs="Arial"/>
          <w:b/>
          <w:bCs/>
          <w:sz w:val="24"/>
          <w:szCs w:val="24"/>
        </w:rPr>
        <w:t>institutional sterile compounding pharmacy</w:t>
      </w:r>
      <w:r w:rsidRPr="003A3AD1">
        <w:rPr>
          <w:rFonts w:ascii="Arial" w:hAnsi="Arial" w:cs="Arial"/>
          <w:sz w:val="24"/>
          <w:szCs w:val="24"/>
        </w:rPr>
        <w:t xml:space="preserve"> is defined as a sterile compounding pharmacy located in a health care facility and is licensed pursuant to </w:t>
      </w:r>
      <w:hyperlink r:id="rId11" w:history="1">
        <w:r w:rsidRPr="003A3AD1">
          <w:rPr>
            <w:rStyle w:val="Hyperlink"/>
            <w:rFonts w:ascii="Arial" w:hAnsi="Arial" w:cs="Arial"/>
            <w:sz w:val="24"/>
            <w:szCs w:val="24"/>
          </w:rPr>
          <w:t>M.G.L. c. 112 § 39I</w:t>
        </w:r>
      </w:hyperlink>
      <w:r w:rsidRPr="003A3AD1">
        <w:rPr>
          <w:rFonts w:ascii="Arial" w:hAnsi="Arial" w:cs="Arial"/>
          <w:sz w:val="24"/>
          <w:szCs w:val="24"/>
        </w:rPr>
        <w:t>.</w:t>
      </w:r>
    </w:p>
    <w:p w14:paraId="2735C823" w14:textId="77777777" w:rsidR="00F95051" w:rsidRPr="003A3AD1" w:rsidRDefault="00F95051" w:rsidP="00551F42">
      <w:pPr>
        <w:pStyle w:val="ListParagraph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54B9D69" w14:textId="77777777" w:rsidR="00F95051" w:rsidRPr="003A3AD1" w:rsidRDefault="00F95051" w:rsidP="00551F42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3AD1">
        <w:rPr>
          <w:rFonts w:ascii="Arial" w:hAnsi="Arial" w:cs="Arial"/>
          <w:sz w:val="24"/>
          <w:szCs w:val="24"/>
        </w:rPr>
        <w:t xml:space="preserve">A </w:t>
      </w:r>
      <w:r w:rsidRPr="003A3AD1">
        <w:rPr>
          <w:rFonts w:ascii="Arial" w:hAnsi="Arial" w:cs="Arial"/>
          <w:b/>
          <w:bCs/>
          <w:sz w:val="24"/>
          <w:szCs w:val="24"/>
        </w:rPr>
        <w:t>health care facility</w:t>
      </w:r>
      <w:r w:rsidRPr="003A3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includes, but is not limited to, </w:t>
      </w:r>
      <w:r w:rsidRPr="003A3AD1">
        <w:rPr>
          <w:rFonts w:ascii="Arial" w:hAnsi="Arial" w:cs="Arial"/>
          <w:sz w:val="24"/>
          <w:szCs w:val="24"/>
        </w:rPr>
        <w:t>a Massachusetts-located hospital, health maintenance organization, or outpatient clinic licensed by DHCFLC.</w:t>
      </w:r>
    </w:p>
    <w:p w14:paraId="246993A6" w14:textId="77777777" w:rsidR="00F95051" w:rsidRPr="003A3AD1" w:rsidRDefault="00F95051" w:rsidP="00551F42">
      <w:pPr>
        <w:pStyle w:val="paragraph"/>
        <w:numPr>
          <w:ilvl w:val="0"/>
          <w:numId w:val="1"/>
        </w:numPr>
        <w:spacing w:line="276" w:lineRule="auto"/>
        <w:jc w:val="both"/>
        <w:textAlignment w:val="baseline"/>
        <w:rPr>
          <w:rStyle w:val="normaltextrun1"/>
          <w:rFonts w:ascii="Arial" w:eastAsia="Times New Roman" w:hAnsi="Arial" w:cs="Arial"/>
          <w:b/>
          <w:bCs/>
          <w:sz w:val="24"/>
          <w:szCs w:val="24"/>
        </w:rPr>
      </w:pPr>
      <w:r w:rsidRPr="003A3AD1">
        <w:rPr>
          <w:rStyle w:val="normaltextrun1"/>
          <w:rFonts w:ascii="Arial" w:eastAsia="Times New Roman" w:hAnsi="Arial" w:cs="Arial"/>
          <w:b/>
          <w:bCs/>
          <w:sz w:val="24"/>
          <w:szCs w:val="24"/>
        </w:rPr>
        <w:lastRenderedPageBreak/>
        <w:t>Utilizing the Sterile Compounding Pharmacy of Another Health Care Facility</w:t>
      </w:r>
    </w:p>
    <w:p w14:paraId="0151FF48" w14:textId="77777777" w:rsidR="00F95051" w:rsidRPr="003A3AD1" w:rsidRDefault="00F95051" w:rsidP="00551F42">
      <w:pPr>
        <w:pStyle w:val="paragraph"/>
        <w:spacing w:line="276" w:lineRule="auto"/>
        <w:ind w:left="720"/>
        <w:jc w:val="both"/>
        <w:textAlignment w:val="baseline"/>
        <w:rPr>
          <w:rStyle w:val="normaltextrun1"/>
          <w:rFonts w:ascii="Arial" w:eastAsia="Times New Roman" w:hAnsi="Arial" w:cs="Arial"/>
          <w:b/>
          <w:bCs/>
          <w:sz w:val="24"/>
          <w:szCs w:val="24"/>
        </w:rPr>
      </w:pPr>
    </w:p>
    <w:p w14:paraId="41BB1492" w14:textId="77777777" w:rsidR="00F95051" w:rsidRPr="003A3AD1" w:rsidRDefault="00F95051" w:rsidP="00551F42">
      <w:pPr>
        <w:pStyle w:val="paragraph"/>
        <w:spacing w:line="276" w:lineRule="auto"/>
        <w:ind w:left="720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  <w:r w:rsidRPr="006E703E">
        <w:rPr>
          <w:rStyle w:val="normaltextrun1"/>
          <w:rFonts w:ascii="Arial" w:eastAsia="Times New Roman" w:hAnsi="Arial" w:cs="Arial"/>
          <w:sz w:val="24"/>
          <w:szCs w:val="24"/>
        </w:rPr>
        <w:t>Unless otherwise authorized or prohibited</w:t>
      </w:r>
      <w:r>
        <w:rPr>
          <w:rStyle w:val="normaltextrun1"/>
          <w:rFonts w:ascii="Arial" w:eastAsia="Times New Roman" w:hAnsi="Arial" w:cs="Arial"/>
          <w:sz w:val="24"/>
          <w:szCs w:val="24"/>
        </w:rPr>
        <w:t>,</w:t>
      </w:r>
      <w:r w:rsidRPr="006E703E">
        <w:rPr>
          <w:rStyle w:val="normaltextrun1"/>
          <w:rFonts w:ascii="Arial" w:eastAsia="Times New Roman" w:hAnsi="Arial" w:cs="Arial"/>
          <w:sz w:val="24"/>
          <w:szCs w:val="24"/>
        </w:rPr>
        <w:t xml:space="preserve"> </w:t>
      </w:r>
      <w:r>
        <w:rPr>
          <w:rStyle w:val="normaltextrun1"/>
          <w:rFonts w:ascii="Arial" w:eastAsia="Times New Roman" w:hAnsi="Arial" w:cs="Arial"/>
          <w:sz w:val="24"/>
          <w:szCs w:val="24"/>
        </w:rPr>
        <w:t>a health care facility’s u</w:t>
      </w: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se of another health care facility’s sterile compounding pharmacy may be permitted as a </w:t>
      </w:r>
      <w:r>
        <w:rPr>
          <w:rStyle w:val="normaltextrun1"/>
          <w:rFonts w:ascii="Arial" w:eastAsia="Times New Roman" w:hAnsi="Arial" w:cs="Arial"/>
          <w:sz w:val="24"/>
          <w:szCs w:val="24"/>
        </w:rPr>
        <w:t xml:space="preserve">temporary </w:t>
      </w: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continuity of care plan under </w:t>
      </w:r>
      <w:r>
        <w:rPr>
          <w:rStyle w:val="normaltextrun1"/>
          <w:rFonts w:ascii="Arial" w:eastAsia="Times New Roman" w:hAnsi="Arial" w:cs="Arial"/>
          <w:sz w:val="24"/>
          <w:szCs w:val="24"/>
        </w:rPr>
        <w:t>the following</w:t>
      </w: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 conditions:</w:t>
      </w:r>
    </w:p>
    <w:p w14:paraId="4110ED59" w14:textId="77777777" w:rsidR="00F95051" w:rsidRPr="003A3AD1" w:rsidRDefault="00F95051" w:rsidP="00551F42">
      <w:pPr>
        <w:pStyle w:val="paragraph"/>
        <w:spacing w:line="276" w:lineRule="auto"/>
        <w:ind w:left="720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</w:p>
    <w:p w14:paraId="416E3923" w14:textId="77777777" w:rsidR="00F95051" w:rsidRPr="003A3AD1" w:rsidRDefault="00F95051" w:rsidP="00551F42">
      <w:pPr>
        <w:pStyle w:val="paragraph"/>
        <w:numPr>
          <w:ilvl w:val="1"/>
          <w:numId w:val="1"/>
        </w:numPr>
        <w:spacing w:line="276" w:lineRule="auto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A health care facility (renter) wishing to utilize the sterile compounding pharmacy in another health care facility (host) must implement a contract / agreement to use their compounding area and staff, as applicable. The contract / agreement </w:t>
      </w:r>
      <w:r>
        <w:rPr>
          <w:rStyle w:val="normaltextrun1"/>
          <w:rFonts w:ascii="Arial" w:eastAsia="Times New Roman" w:hAnsi="Arial" w:cs="Arial"/>
          <w:sz w:val="24"/>
          <w:szCs w:val="24"/>
        </w:rPr>
        <w:t>shall</w:t>
      </w: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 address, at a minimum:</w:t>
      </w:r>
    </w:p>
    <w:p w14:paraId="3C92CA55" w14:textId="77777777" w:rsidR="00F95051" w:rsidRPr="003A3AD1" w:rsidRDefault="00F95051" w:rsidP="00551F42">
      <w:pPr>
        <w:pStyle w:val="paragraph"/>
        <w:numPr>
          <w:ilvl w:val="2"/>
          <w:numId w:val="1"/>
        </w:numPr>
        <w:spacing w:line="276" w:lineRule="auto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>Estimated time the renter will need use of the space</w:t>
      </w:r>
      <w:r>
        <w:rPr>
          <w:rStyle w:val="normaltextrun1"/>
          <w:rFonts w:ascii="Arial" w:eastAsia="Times New Roman" w:hAnsi="Arial" w:cs="Arial"/>
          <w:sz w:val="24"/>
          <w:szCs w:val="24"/>
        </w:rPr>
        <w:t>.  The maximum duration shall not exceed six (6) months.</w:t>
      </w:r>
    </w:p>
    <w:p w14:paraId="6668F7D1" w14:textId="77777777" w:rsidR="00F95051" w:rsidRPr="003A3AD1" w:rsidRDefault="00F95051" w:rsidP="00551F42">
      <w:pPr>
        <w:pStyle w:val="paragraph"/>
        <w:numPr>
          <w:ilvl w:val="2"/>
          <w:numId w:val="1"/>
        </w:numPr>
        <w:spacing w:line="276" w:lineRule="auto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>Each pharmacy’s responsibilities for cleaning, environmental monitoring, etc.</w:t>
      </w:r>
    </w:p>
    <w:p w14:paraId="63F7FE11" w14:textId="77777777" w:rsidR="00F95051" w:rsidRPr="003A3AD1" w:rsidRDefault="00F95051" w:rsidP="00551F42">
      <w:pPr>
        <w:pStyle w:val="ListParagraph"/>
        <w:numPr>
          <w:ilvl w:val="2"/>
          <w:numId w:val="1"/>
        </w:numPr>
        <w:spacing w:line="276" w:lineRule="auto"/>
        <w:jc w:val="both"/>
        <w:rPr>
          <w:rStyle w:val="normaltextrun1"/>
          <w:rFonts w:ascii="Arial" w:eastAsia="Times New Roman" w:hAnsi="Arial" w:cs="Arial"/>
          <w:sz w:val="24"/>
          <w:szCs w:val="24"/>
        </w:rPr>
      </w:pP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>If the host allows access for the renter’s staff to enter their pharmacy, address the times it is allowed as well as security measures</w:t>
      </w:r>
      <w:r>
        <w:rPr>
          <w:rStyle w:val="normaltextrun1"/>
          <w:rFonts w:ascii="Arial" w:eastAsia="Times New Roman" w:hAnsi="Arial" w:cs="Arial"/>
          <w:sz w:val="24"/>
          <w:szCs w:val="24"/>
        </w:rPr>
        <w:t>.</w:t>
      </w:r>
    </w:p>
    <w:p w14:paraId="3BDAB6A8" w14:textId="77777777" w:rsidR="00F95051" w:rsidRPr="003A3AD1" w:rsidRDefault="00F95051" w:rsidP="00551F42">
      <w:pPr>
        <w:pStyle w:val="paragraph"/>
        <w:numPr>
          <w:ilvl w:val="2"/>
          <w:numId w:val="1"/>
        </w:numPr>
        <w:spacing w:line="276" w:lineRule="auto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>Renter staff responsibilities for glove/fingertip testing, media fill, etc.</w:t>
      </w:r>
    </w:p>
    <w:p w14:paraId="509E14C3" w14:textId="77777777" w:rsidR="00F95051" w:rsidRPr="003A3AD1" w:rsidRDefault="00F95051" w:rsidP="00551F42">
      <w:pPr>
        <w:pStyle w:val="ListParagraph"/>
        <w:numPr>
          <w:ilvl w:val="2"/>
          <w:numId w:val="1"/>
        </w:numPr>
        <w:spacing w:line="276" w:lineRule="auto"/>
        <w:jc w:val="both"/>
        <w:rPr>
          <w:rStyle w:val="normaltextrun1"/>
          <w:rFonts w:ascii="Arial" w:eastAsia="Times New Roman" w:hAnsi="Arial" w:cs="Arial"/>
          <w:sz w:val="24"/>
          <w:szCs w:val="24"/>
        </w:rPr>
      </w:pP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>Transport of medications and the finished CSPs, including temperature monitoring / controls</w:t>
      </w:r>
      <w:r>
        <w:rPr>
          <w:rStyle w:val="normaltextrun1"/>
          <w:rFonts w:ascii="Arial" w:eastAsia="Times New Roman" w:hAnsi="Arial" w:cs="Arial"/>
          <w:sz w:val="24"/>
          <w:szCs w:val="24"/>
        </w:rPr>
        <w:t>.</w:t>
      </w:r>
    </w:p>
    <w:p w14:paraId="5B8F4C7D" w14:textId="77777777" w:rsidR="00F95051" w:rsidRPr="003A3AD1" w:rsidRDefault="00F95051" w:rsidP="00551F42">
      <w:pPr>
        <w:pStyle w:val="paragraph"/>
        <w:spacing w:line="276" w:lineRule="auto"/>
        <w:ind w:left="1440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</w:p>
    <w:p w14:paraId="23763479" w14:textId="77777777" w:rsidR="00F95051" w:rsidRPr="003A3AD1" w:rsidRDefault="00F95051" w:rsidP="00551F42">
      <w:pPr>
        <w:pStyle w:val="paragraph"/>
        <w:numPr>
          <w:ilvl w:val="1"/>
          <w:numId w:val="1"/>
        </w:numPr>
        <w:spacing w:line="276" w:lineRule="auto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  <w:bookmarkStart w:id="1" w:name="_Hlk164756938"/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In the scenario where </w:t>
      </w:r>
      <w:bookmarkEnd w:id="1"/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the host’s pharmacy staff compound for the renter, </w:t>
      </w:r>
      <w:r>
        <w:rPr>
          <w:rStyle w:val="normaltextrun1"/>
          <w:rFonts w:ascii="Arial" w:eastAsia="Times New Roman" w:hAnsi="Arial" w:cs="Arial"/>
          <w:sz w:val="24"/>
          <w:szCs w:val="24"/>
        </w:rPr>
        <w:t xml:space="preserve">the contract/agreement between renter and host must ensure that </w:t>
      </w: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>they become agents of the renter</w:t>
      </w:r>
      <w:r>
        <w:rPr>
          <w:rStyle w:val="normaltextrun1"/>
          <w:rFonts w:ascii="Arial" w:eastAsia="Times New Roman" w:hAnsi="Arial" w:cs="Arial"/>
          <w:sz w:val="24"/>
          <w:szCs w:val="24"/>
        </w:rPr>
        <w:t xml:space="preserve"> for those purposes</w:t>
      </w: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. Procedures must be in place so that </w:t>
      </w:r>
      <w:r>
        <w:rPr>
          <w:rStyle w:val="normaltextrun1"/>
          <w:rFonts w:ascii="Arial" w:eastAsia="Times New Roman" w:hAnsi="Arial" w:cs="Arial"/>
          <w:sz w:val="24"/>
          <w:szCs w:val="24"/>
        </w:rPr>
        <w:t>the host’s pharmacy</w:t>
      </w: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 staff person clearly understands when they are working either for the host or the renter. </w:t>
      </w:r>
    </w:p>
    <w:p w14:paraId="08C7D05D" w14:textId="77777777" w:rsidR="00F95051" w:rsidRPr="003A3AD1" w:rsidRDefault="00F95051" w:rsidP="00551F42">
      <w:pPr>
        <w:pStyle w:val="paragraph"/>
        <w:spacing w:line="276" w:lineRule="auto"/>
        <w:ind w:left="1440"/>
        <w:jc w:val="both"/>
        <w:textAlignment w:val="baseline"/>
        <w:rPr>
          <w:rStyle w:val="normaltextrun1"/>
          <w:rFonts w:ascii="Arial" w:eastAsia="Times New Roman" w:hAnsi="Arial" w:cs="Arial"/>
          <w:sz w:val="24"/>
          <w:szCs w:val="24"/>
        </w:rPr>
      </w:pPr>
    </w:p>
    <w:p w14:paraId="7491416B" w14:textId="77777777" w:rsidR="00F95051" w:rsidRPr="003A3AD1" w:rsidRDefault="00F95051" w:rsidP="00551F42">
      <w:pPr>
        <w:pStyle w:val="ListParagraph"/>
        <w:numPr>
          <w:ilvl w:val="1"/>
          <w:numId w:val="1"/>
        </w:numPr>
        <w:spacing w:line="276" w:lineRule="auto"/>
        <w:jc w:val="both"/>
        <w:rPr>
          <w:rStyle w:val="normaltextrun1"/>
          <w:rFonts w:ascii="Arial" w:eastAsia="Times New Roman" w:hAnsi="Arial" w:cs="Arial"/>
          <w:sz w:val="24"/>
          <w:szCs w:val="24"/>
        </w:rPr>
      </w:pPr>
      <w:r w:rsidRPr="003A3AD1">
        <w:rPr>
          <w:rStyle w:val="normaltextrun1"/>
          <w:rFonts w:ascii="Arial" w:eastAsia="Times New Roman" w:hAnsi="Arial" w:cs="Arial"/>
          <w:sz w:val="24"/>
          <w:szCs w:val="24"/>
        </w:rPr>
        <w:t xml:space="preserve">Procedures must be implemented to track and keep the renter’s drugs, components, and CSPs physically and visually separated. Consider a separate storage space, separate refrigerated space, color coding, labeling, etc. </w:t>
      </w:r>
    </w:p>
    <w:p w14:paraId="0387AA93" w14:textId="77777777" w:rsidR="00F95051" w:rsidRDefault="00F95051" w:rsidP="00551F42">
      <w:pPr>
        <w:spacing w:line="276" w:lineRule="auto"/>
        <w:jc w:val="both"/>
        <w:rPr>
          <w:rFonts w:ascii="Arial" w:hAnsi="Arial" w:cs="Arial"/>
          <w:szCs w:val="24"/>
        </w:rPr>
      </w:pPr>
    </w:p>
    <w:p w14:paraId="597D26C9" w14:textId="77777777" w:rsidR="00BD65F1" w:rsidRDefault="00BD65F1" w:rsidP="00551F42">
      <w:pPr>
        <w:spacing w:line="276" w:lineRule="auto"/>
        <w:jc w:val="both"/>
        <w:rPr>
          <w:rFonts w:ascii="Arial" w:hAnsi="Arial" w:cs="Arial"/>
          <w:szCs w:val="24"/>
        </w:rPr>
      </w:pPr>
    </w:p>
    <w:p w14:paraId="1AAAA48A" w14:textId="77777777" w:rsidR="00BD65F1" w:rsidRDefault="00BD65F1" w:rsidP="00BD65F1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BD65F1">
        <w:rPr>
          <w:rFonts w:ascii="Arial" w:hAnsi="Arial" w:cs="Arial"/>
          <w:b/>
          <w:bCs/>
          <w:szCs w:val="24"/>
        </w:rPr>
        <w:t xml:space="preserve">Please direct any questions to: </w:t>
      </w:r>
    </w:p>
    <w:p w14:paraId="70B5AFE3" w14:textId="70169E7C" w:rsidR="00BD65F1" w:rsidRDefault="00BD65F1" w:rsidP="00BD65F1">
      <w:pPr>
        <w:spacing w:line="276" w:lineRule="auto"/>
        <w:ind w:firstLine="720"/>
        <w:jc w:val="both"/>
        <w:rPr>
          <w:rFonts w:ascii="Arial" w:hAnsi="Arial" w:cs="Arial"/>
          <w:b/>
          <w:bCs/>
          <w:szCs w:val="24"/>
        </w:rPr>
      </w:pPr>
      <w:hyperlink r:id="rId12" w:history="1">
        <w:r w:rsidRPr="004963E6">
          <w:rPr>
            <w:rStyle w:val="Hyperlink"/>
            <w:rFonts w:ascii="Arial" w:hAnsi="Arial" w:cs="Arial"/>
            <w:b/>
            <w:bCs/>
            <w:szCs w:val="24"/>
          </w:rPr>
          <w:t>dcp.dph@mass.gov</w:t>
        </w:r>
      </w:hyperlink>
      <w:r>
        <w:rPr>
          <w:rFonts w:ascii="Arial" w:hAnsi="Arial" w:cs="Arial"/>
          <w:b/>
          <w:bCs/>
          <w:szCs w:val="24"/>
        </w:rPr>
        <w:t xml:space="preserve">  </w:t>
      </w:r>
    </w:p>
    <w:p w14:paraId="02ACF786" w14:textId="265E7939" w:rsidR="00BD65F1" w:rsidRPr="003A3AD1" w:rsidRDefault="00BD65F1" w:rsidP="00BD65F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hyperlink r:id="rId13" w:history="1">
        <w:r w:rsidRPr="00BD65F1">
          <w:rPr>
            <w:rStyle w:val="Hyperlink"/>
            <w:rFonts w:ascii="Arial" w:hAnsi="Arial" w:cs="Arial"/>
            <w:b/>
            <w:bCs/>
            <w:szCs w:val="24"/>
          </w:rPr>
          <w:t>Division of Health Care Facility Licensure and Certification</w:t>
        </w:r>
      </w:hyperlink>
    </w:p>
    <w:p w14:paraId="06A770E5" w14:textId="77777777" w:rsidR="00F95051" w:rsidRPr="003A3AD1" w:rsidRDefault="00F95051" w:rsidP="00551F42">
      <w:pPr>
        <w:spacing w:line="276" w:lineRule="auto"/>
        <w:jc w:val="both"/>
        <w:rPr>
          <w:rFonts w:ascii="Arial" w:hAnsi="Arial" w:cs="Arial"/>
          <w:szCs w:val="24"/>
        </w:rPr>
      </w:pPr>
    </w:p>
    <w:p w14:paraId="245D6C1B" w14:textId="77777777" w:rsidR="00F059B3" w:rsidRDefault="00F059B3" w:rsidP="00551F42">
      <w:pPr>
        <w:spacing w:line="276" w:lineRule="auto"/>
        <w:jc w:val="both"/>
      </w:pPr>
    </w:p>
    <w:p w14:paraId="2F090B2C" w14:textId="77777777" w:rsidR="00F059B3" w:rsidRDefault="00F059B3" w:rsidP="00551F42">
      <w:pPr>
        <w:spacing w:line="276" w:lineRule="auto"/>
        <w:jc w:val="both"/>
      </w:pPr>
    </w:p>
    <w:p w14:paraId="08FE55C7" w14:textId="77777777" w:rsidR="00F059B3" w:rsidRDefault="00F059B3" w:rsidP="00551F42">
      <w:pPr>
        <w:spacing w:line="276" w:lineRule="auto"/>
        <w:jc w:val="both"/>
      </w:pPr>
    </w:p>
    <w:p w14:paraId="08EDF823" w14:textId="77777777" w:rsidR="00033154" w:rsidRDefault="00033154" w:rsidP="0072610D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BD49B" w14:textId="77777777" w:rsidR="00C432E3" w:rsidRDefault="00C432E3" w:rsidP="00C432E3">
      <w:r>
        <w:separator/>
      </w:r>
    </w:p>
  </w:endnote>
  <w:endnote w:type="continuationSeparator" w:id="0">
    <w:p w14:paraId="4B391024" w14:textId="77777777" w:rsidR="00C432E3" w:rsidRDefault="00C432E3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</w:rPr>
      <w:id w:val="17188533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9113442" w14:textId="776AEB2B" w:rsidR="00C432E3" w:rsidRPr="00C432E3" w:rsidRDefault="00C432E3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C432E3">
              <w:rPr>
                <w:rFonts w:ascii="Arial" w:hAnsi="Arial" w:cs="Arial"/>
                <w:sz w:val="20"/>
              </w:rPr>
              <w:t xml:space="preserve">Page </w:t>
            </w:r>
            <w:r w:rsidRPr="00C432E3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C432E3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C432E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432E3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C432E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432E3">
              <w:rPr>
                <w:rFonts w:ascii="Arial" w:hAnsi="Arial" w:cs="Arial"/>
                <w:sz w:val="20"/>
              </w:rPr>
              <w:t xml:space="preserve"> of </w:t>
            </w:r>
            <w:r w:rsidRPr="00C432E3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C432E3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C432E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432E3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C432E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E9D5F72" w14:textId="77777777" w:rsidR="00C432E3" w:rsidRDefault="00C4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3F956" w14:textId="77777777" w:rsidR="00C432E3" w:rsidRDefault="00C432E3" w:rsidP="00C432E3">
      <w:r>
        <w:separator/>
      </w:r>
    </w:p>
  </w:footnote>
  <w:footnote w:type="continuationSeparator" w:id="0">
    <w:p w14:paraId="0A0E9509" w14:textId="77777777" w:rsidR="00C432E3" w:rsidRDefault="00C432E3" w:rsidP="00C4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14B88"/>
    <w:multiLevelType w:val="hybridMultilevel"/>
    <w:tmpl w:val="82E03520"/>
    <w:lvl w:ilvl="0" w:tplc="F78ECB9A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1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0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681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1C62EC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51F42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74BE1"/>
    <w:rsid w:val="0087702A"/>
    <w:rsid w:val="009730E5"/>
    <w:rsid w:val="009908FF"/>
    <w:rsid w:val="00995505"/>
    <w:rsid w:val="009C4428"/>
    <w:rsid w:val="009D48CD"/>
    <w:rsid w:val="00A65101"/>
    <w:rsid w:val="00B403BF"/>
    <w:rsid w:val="00B608D9"/>
    <w:rsid w:val="00BA4055"/>
    <w:rsid w:val="00BA7FB6"/>
    <w:rsid w:val="00BD65F1"/>
    <w:rsid w:val="00BF1BDF"/>
    <w:rsid w:val="00C20BFE"/>
    <w:rsid w:val="00C432E3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059B3"/>
    <w:rsid w:val="00F43932"/>
    <w:rsid w:val="00F95051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5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59B3"/>
  </w:style>
  <w:style w:type="character" w:styleId="CommentReference">
    <w:name w:val="annotation reference"/>
    <w:unhideWhenUsed/>
    <w:rsid w:val="00F059B3"/>
    <w:rPr>
      <w:sz w:val="16"/>
      <w:szCs w:val="16"/>
    </w:rPr>
  </w:style>
  <w:style w:type="paragraph" w:customStyle="1" w:styleId="paragraph">
    <w:name w:val="paragraph"/>
    <w:basedOn w:val="Normal"/>
    <w:rsid w:val="00F95051"/>
    <w:rPr>
      <w:rFonts w:ascii="Calibri" w:eastAsiaTheme="minorHAnsi" w:hAnsi="Calibri"/>
      <w:sz w:val="22"/>
      <w:szCs w:val="22"/>
    </w:rPr>
  </w:style>
  <w:style w:type="character" w:customStyle="1" w:styleId="normaltextrun1">
    <w:name w:val="normaltextrun1"/>
    <w:basedOn w:val="DefaultParagraphFont"/>
    <w:rsid w:val="00F95051"/>
  </w:style>
  <w:style w:type="paragraph" w:styleId="ListParagraph">
    <w:name w:val="List Paragraph"/>
    <w:basedOn w:val="Normal"/>
    <w:uiPriority w:val="34"/>
    <w:qFormat/>
    <w:rsid w:val="00F95051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D65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43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32E3"/>
    <w:rPr>
      <w:sz w:val="24"/>
    </w:rPr>
  </w:style>
  <w:style w:type="paragraph" w:styleId="Footer">
    <w:name w:val="footer"/>
    <w:basedOn w:val="Normal"/>
    <w:link w:val="FooterChar"/>
    <w:uiPriority w:val="99"/>
    <w:rsid w:val="00C43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2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orgs/division-of-health-care-facility-licensure-and-certific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cp.dph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legislature.gov/Laws/GeneralLaws/PartI/TitleXVI/Chapter112/Section39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19</TotalTime>
  <Pages>2</Pages>
  <Words>480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Chan, Michelle (DPH)</cp:lastModifiedBy>
  <cp:revision>5</cp:revision>
  <cp:lastPrinted>2015-01-29T14:50:00Z</cp:lastPrinted>
  <dcterms:created xsi:type="dcterms:W3CDTF">2024-12-19T20:16:00Z</dcterms:created>
  <dcterms:modified xsi:type="dcterms:W3CDTF">2024-12-19T20:34:00Z</dcterms:modified>
</cp:coreProperties>
</file>