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8099C" w14:textId="77777777" w:rsidR="005C50E7" w:rsidRPr="00F97451" w:rsidRDefault="005C50E7" w:rsidP="00262E3E">
      <w:pPr>
        <w:pStyle w:val="head2upd"/>
        <w:jc w:val="center"/>
        <w:rPr>
          <w:rFonts w:asciiTheme="minorHAnsi" w:hAnsiTheme="minorHAnsi"/>
        </w:rPr>
      </w:pPr>
      <w:r w:rsidRPr="0076260E">
        <w:fldChar w:fldCharType="begin"/>
      </w:r>
      <w:r w:rsidRPr="0076260E">
        <w:instrText xml:space="preserve"> INCLUDEPICTURE "C:\\Users\\sweber\\OneDriveCloudTemp\\XVVP2RVF\\2935041275-massdep_logo.png" \* MERGEFORMATINET </w:instrText>
      </w:r>
      <w:r w:rsidRPr="0076260E">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fldChar w:fldCharType="begin"/>
      </w:r>
      <w:r>
        <w:instrText xml:space="preserve"> INCLUDEPICTURE  "C:\\Users\\sweber\\OneDriveCloudTemp\\XVVP2RVF\\2935041275-massdep_logo.png" \* MERGEFORMATINET </w:instrText>
      </w:r>
      <w:r>
        <w:fldChar w:fldCharType="separate"/>
      </w:r>
      <w:r w:rsidR="00F96932">
        <w:fldChar w:fldCharType="begin"/>
      </w:r>
      <w:r w:rsidR="00F96932">
        <w:instrText xml:space="preserve"> INCLUDEPICTURE  "C:\\Users\\sweber\\OneDriveCloudTemp\\XVVP2RVF\\2935041275-massdep_logo.png" \* MERGEFORMATINET </w:instrText>
      </w:r>
      <w:r w:rsidR="00F96932">
        <w:fldChar w:fldCharType="separate"/>
      </w:r>
      <w:r w:rsidR="00000000">
        <w:fldChar w:fldCharType="begin"/>
      </w:r>
      <w:r w:rsidR="00000000">
        <w:instrText xml:space="preserve"> INCLUDEPICTURE  "C:\\Users\\sweber\\OneDriveCloudTemp\\XVVP2RVF\\2935041275-massdep_logo.png" \* MERGEFORMATINET </w:instrText>
      </w:r>
      <w:r w:rsidR="00000000">
        <w:fldChar w:fldCharType="separate"/>
      </w:r>
      <w:r w:rsidR="00000000">
        <w:pict w14:anchorId="37496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ssDEP leaf logo" style="width:54.7pt;height:1in;mso-position-horizontal:absolute;mso-position-horizontal-relative:text;mso-position-vertical:absolute;mso-position-vertical-relative:text;mso-width-relative:page;mso-height-relative:page">
            <v:imagedata r:id="rId10" r:href="rId11"/>
          </v:shape>
        </w:pict>
      </w:r>
      <w:r w:rsidR="00000000">
        <w:fldChar w:fldCharType="end"/>
      </w:r>
      <w:r w:rsidR="00F9693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76260E">
        <w:fldChar w:fldCharType="end"/>
      </w:r>
    </w:p>
    <w:p w14:paraId="10357686" w14:textId="77777777" w:rsidR="005C50E7" w:rsidRPr="004C452E" w:rsidRDefault="005C50E7" w:rsidP="00262E3E">
      <w:pPr>
        <w:pStyle w:val="head2upd"/>
        <w:jc w:val="center"/>
        <w:rPr>
          <w:rFonts w:asciiTheme="minorHAnsi" w:hAnsiTheme="minorHAnsi"/>
        </w:rPr>
      </w:pPr>
      <w:r w:rsidRPr="004C452E">
        <w:rPr>
          <w:rFonts w:asciiTheme="minorHAnsi" w:hAnsiTheme="minorHAnsi"/>
        </w:rPr>
        <w:t>Massachusetts Department of Environmental Protection</w:t>
      </w:r>
    </w:p>
    <w:p w14:paraId="6E10A5C7" w14:textId="77777777" w:rsidR="005C50E7" w:rsidRDefault="005C50E7" w:rsidP="00262E3E">
      <w:pPr>
        <w:pStyle w:val="formtitleupd"/>
        <w:jc w:val="center"/>
        <w:rPr>
          <w:rFonts w:asciiTheme="minorHAnsi" w:hAnsiTheme="minorHAnsi"/>
          <w:b w:val="0"/>
          <w:sz w:val="22"/>
          <w:szCs w:val="22"/>
        </w:rPr>
      </w:pPr>
      <w:r w:rsidRPr="004C452E">
        <w:rPr>
          <w:rFonts w:asciiTheme="minorHAnsi" w:hAnsiTheme="minorHAnsi"/>
          <w:b w:val="0"/>
          <w:sz w:val="22"/>
          <w:szCs w:val="22"/>
        </w:rPr>
        <w:t>Bureau of Air and Waste</w:t>
      </w:r>
    </w:p>
    <w:p w14:paraId="162A9B48" w14:textId="3B833BBD" w:rsidR="00B221A2" w:rsidRPr="00B221A2" w:rsidRDefault="00B221A2" w:rsidP="00262E3E">
      <w:pPr>
        <w:pStyle w:val="Heading1"/>
        <w:rPr>
          <w:b/>
          <w:bCs/>
          <w:color w:val="auto"/>
          <w:sz w:val="28"/>
          <w:szCs w:val="28"/>
        </w:rPr>
      </w:pPr>
      <w:r w:rsidRPr="00B221A2">
        <w:rPr>
          <w:b/>
          <w:bCs/>
          <w:color w:val="auto"/>
          <w:sz w:val="28"/>
          <w:szCs w:val="28"/>
        </w:rPr>
        <w:t>Instructions for Retails Sellers of Electricity Reporting their GHG Emissions on the AQ32 Form and Spreadsheet</w:t>
      </w:r>
    </w:p>
    <w:p w14:paraId="707FD09E" w14:textId="44F01FCE" w:rsidR="00E3779D" w:rsidRPr="00B221A2" w:rsidRDefault="00E3779D" w:rsidP="00262E3E">
      <w:pPr>
        <w:pStyle w:val="Heading2"/>
        <w:rPr>
          <w:b/>
          <w:bCs/>
          <w:color w:val="auto"/>
          <w:sz w:val="24"/>
          <w:szCs w:val="24"/>
        </w:rPr>
      </w:pPr>
      <w:r w:rsidRPr="00B221A2">
        <w:rPr>
          <w:b/>
          <w:bCs/>
          <w:color w:val="auto"/>
          <w:sz w:val="24"/>
          <w:szCs w:val="24"/>
        </w:rPr>
        <w:t>1.</w:t>
      </w:r>
      <w:r w:rsidR="00B221A2">
        <w:rPr>
          <w:b/>
          <w:bCs/>
          <w:color w:val="auto"/>
          <w:sz w:val="24"/>
          <w:szCs w:val="24"/>
        </w:rPr>
        <w:t xml:space="preserve"> </w:t>
      </w:r>
      <w:r w:rsidRPr="00B221A2">
        <w:rPr>
          <w:b/>
          <w:bCs/>
          <w:color w:val="auto"/>
          <w:sz w:val="24"/>
          <w:szCs w:val="24"/>
        </w:rPr>
        <w:t xml:space="preserve">What is the purpose of this </w:t>
      </w:r>
      <w:r w:rsidRPr="00B221A2">
        <w:rPr>
          <w:rFonts w:eastAsia="Times New Roman"/>
          <w:b/>
          <w:bCs/>
          <w:iCs/>
          <w:color w:val="auto"/>
          <w:sz w:val="24"/>
          <w:szCs w:val="24"/>
        </w:rPr>
        <w:t>submittal</w:t>
      </w:r>
      <w:r w:rsidRPr="00B221A2">
        <w:rPr>
          <w:b/>
          <w:bCs/>
          <w:color w:val="auto"/>
          <w:sz w:val="24"/>
          <w:szCs w:val="24"/>
        </w:rPr>
        <w:t>?</w:t>
      </w:r>
    </w:p>
    <w:p w14:paraId="47C3392D" w14:textId="73A7B2AF" w:rsidR="00E3779D" w:rsidRPr="00B221A2" w:rsidRDefault="00E3779D" w:rsidP="00262E3E">
      <w:pPr>
        <w:pStyle w:val="texthang"/>
        <w:tabs>
          <w:tab w:val="clear" w:pos="360"/>
          <w:tab w:val="left" w:pos="0"/>
        </w:tabs>
        <w:ind w:left="0" w:firstLine="0"/>
        <w:rPr>
          <w:rFonts w:asciiTheme="minorHAnsi" w:hAnsiTheme="minorHAnsi"/>
          <w:sz w:val="24"/>
          <w:szCs w:val="24"/>
        </w:rPr>
      </w:pPr>
      <w:r w:rsidRPr="00B221A2">
        <w:rPr>
          <w:rFonts w:asciiTheme="minorHAnsi" w:hAnsiTheme="minorHAnsi"/>
          <w:bCs/>
          <w:sz w:val="24"/>
          <w:szCs w:val="24"/>
        </w:rPr>
        <w:t xml:space="preserve">The purpose of this mandatory AQ32 Form and Spreadsheet is to allow retail sellers of electricity subject to </w:t>
      </w:r>
      <w:r w:rsidR="00346548">
        <w:rPr>
          <w:rFonts w:asciiTheme="minorHAnsi" w:hAnsiTheme="minorHAnsi"/>
          <w:bCs/>
          <w:sz w:val="24"/>
          <w:szCs w:val="24"/>
        </w:rPr>
        <w:t>the Massachusetts Department of Environmental Protection (</w:t>
      </w:r>
      <w:r w:rsidR="00346548">
        <w:rPr>
          <w:rFonts w:asciiTheme="minorHAnsi" w:hAnsiTheme="minorHAnsi"/>
          <w:sz w:val="24"/>
          <w:szCs w:val="24"/>
        </w:rPr>
        <w:t>MassDEP)</w:t>
      </w:r>
      <w:r w:rsidRPr="00B221A2">
        <w:rPr>
          <w:rFonts w:asciiTheme="minorHAnsi" w:hAnsiTheme="minorHAnsi"/>
          <w:sz w:val="24"/>
          <w:szCs w:val="24"/>
        </w:rPr>
        <w:t xml:space="preserve"> regulation 310 CMR 7.75(9)(c) “Greenhouse Gas Emissions Reporting” to report their annual greenhouse gas (GHG) emissions released in the course of the generation of the electricity they sell. The AQ32 Form and Spreadsheet must be submitted by all retail sellers subject to MassDEP regulation 310 CMR 7.75(9).</w:t>
      </w:r>
    </w:p>
    <w:p w14:paraId="5B722CD9" w14:textId="242ECF2C" w:rsidR="00E3779D" w:rsidRPr="00B221A2" w:rsidRDefault="00E3779D" w:rsidP="00262E3E">
      <w:pPr>
        <w:pStyle w:val="Heading2"/>
        <w:rPr>
          <w:b/>
          <w:bCs/>
          <w:color w:val="auto"/>
          <w:sz w:val="24"/>
          <w:szCs w:val="24"/>
        </w:rPr>
      </w:pPr>
      <w:r w:rsidRPr="00B221A2">
        <w:rPr>
          <w:b/>
          <w:bCs/>
          <w:color w:val="auto"/>
          <w:sz w:val="24"/>
          <w:szCs w:val="24"/>
        </w:rPr>
        <w:t>2.</w:t>
      </w:r>
      <w:r w:rsidR="00B221A2">
        <w:rPr>
          <w:b/>
          <w:bCs/>
          <w:color w:val="auto"/>
          <w:sz w:val="24"/>
          <w:szCs w:val="24"/>
        </w:rPr>
        <w:t xml:space="preserve"> </w:t>
      </w:r>
      <w:r w:rsidRPr="00B221A2">
        <w:rPr>
          <w:b/>
          <w:bCs/>
          <w:color w:val="auto"/>
          <w:sz w:val="24"/>
          <w:szCs w:val="24"/>
        </w:rPr>
        <w:t>Who must submit?</w:t>
      </w:r>
    </w:p>
    <w:p w14:paraId="23823577" w14:textId="7ED9605C" w:rsidR="00E3779D" w:rsidRPr="00B221A2" w:rsidRDefault="00E3779D" w:rsidP="00262E3E">
      <w:pPr>
        <w:pStyle w:val="texthang"/>
        <w:tabs>
          <w:tab w:val="clear" w:pos="360"/>
          <w:tab w:val="left" w:pos="0"/>
        </w:tabs>
        <w:ind w:left="0" w:firstLine="0"/>
        <w:rPr>
          <w:rFonts w:asciiTheme="minorHAnsi" w:hAnsiTheme="minorHAnsi"/>
          <w:bCs/>
          <w:sz w:val="24"/>
          <w:szCs w:val="24"/>
        </w:rPr>
      </w:pPr>
      <w:r w:rsidRPr="00B221A2">
        <w:rPr>
          <w:rFonts w:asciiTheme="minorHAnsi" w:hAnsiTheme="minorHAnsi"/>
          <w:bCs/>
          <w:sz w:val="24"/>
          <w:szCs w:val="24"/>
        </w:rPr>
        <w:t>All retail sellers that sold electricity in Massachusetts during the reporting year must submit this Form and Spreadsheet. “Retail Seller” means a competitive supplier licensed by the Department of Public Utilities or, as each is defined in Massachusetts General Law (MGL) chapter 164A §1, an electric utility, municipal electric department or municipal light board.</w:t>
      </w:r>
    </w:p>
    <w:p w14:paraId="0F668168" w14:textId="3B1A9565" w:rsidR="00E3779D" w:rsidRPr="00B221A2" w:rsidRDefault="00E3779D" w:rsidP="00262E3E">
      <w:pPr>
        <w:pStyle w:val="Heading2"/>
        <w:rPr>
          <w:b/>
          <w:bCs/>
          <w:color w:val="auto"/>
          <w:sz w:val="24"/>
          <w:szCs w:val="24"/>
        </w:rPr>
      </w:pPr>
      <w:r w:rsidRPr="00B221A2">
        <w:rPr>
          <w:b/>
          <w:bCs/>
          <w:color w:val="auto"/>
          <w:sz w:val="24"/>
          <w:szCs w:val="24"/>
        </w:rPr>
        <w:t>3.</w:t>
      </w:r>
      <w:r w:rsidR="00B221A2">
        <w:rPr>
          <w:b/>
          <w:bCs/>
          <w:color w:val="auto"/>
          <w:sz w:val="24"/>
          <w:szCs w:val="24"/>
        </w:rPr>
        <w:t xml:space="preserve"> </w:t>
      </w:r>
      <w:r w:rsidRPr="00B221A2">
        <w:rPr>
          <w:b/>
          <w:bCs/>
          <w:color w:val="auto"/>
          <w:sz w:val="24"/>
          <w:szCs w:val="24"/>
        </w:rPr>
        <w:t>What is the overall process for retail sellers to determine their GHG emissions?</w:t>
      </w:r>
    </w:p>
    <w:p w14:paraId="2A9B0745" w14:textId="6AC88998" w:rsidR="00E3779D" w:rsidRPr="00B221A2" w:rsidRDefault="00E3779D" w:rsidP="00262E3E">
      <w:pPr>
        <w:pStyle w:val="texthang"/>
        <w:tabs>
          <w:tab w:val="clear" w:pos="360"/>
          <w:tab w:val="left" w:pos="0"/>
        </w:tabs>
        <w:ind w:left="0" w:firstLine="0"/>
        <w:rPr>
          <w:rFonts w:asciiTheme="minorHAnsi" w:hAnsiTheme="minorHAnsi"/>
          <w:bCs/>
          <w:sz w:val="24"/>
          <w:szCs w:val="24"/>
        </w:rPr>
      </w:pPr>
      <w:r w:rsidRPr="00B221A2">
        <w:rPr>
          <w:rFonts w:asciiTheme="minorHAnsi" w:hAnsiTheme="minorHAnsi"/>
          <w:bCs/>
          <w:sz w:val="24"/>
          <w:szCs w:val="24"/>
        </w:rPr>
        <w:t xml:space="preserve">Emission factors (EFs) will be posted by </w:t>
      </w:r>
      <w:r w:rsidR="00FC6076">
        <w:rPr>
          <w:rFonts w:asciiTheme="minorHAnsi" w:hAnsiTheme="minorHAnsi"/>
          <w:bCs/>
          <w:sz w:val="24"/>
          <w:szCs w:val="24"/>
        </w:rPr>
        <w:t xml:space="preserve">MassDEP </w:t>
      </w:r>
      <w:r w:rsidRPr="00B221A2">
        <w:rPr>
          <w:rFonts w:asciiTheme="minorHAnsi" w:hAnsiTheme="minorHAnsi"/>
          <w:bCs/>
          <w:sz w:val="24"/>
          <w:szCs w:val="24"/>
        </w:rPr>
        <w:t>for public comment each year. Emission factors will reflect average emission rates before and after accounting for ownership and/or use of unit-specific generation sources, as documented in the submittals of the GHG tab of the RPS/APS/CES Annual Compliance Workbook (Workbook) by distribution companies and competitive suppliers and the AQ31 Form and Spreadsheet by municipal electric departments and municipal light boards.</w:t>
      </w:r>
    </w:p>
    <w:p w14:paraId="1872BBC2" w14:textId="77777777" w:rsidR="00E3779D" w:rsidRPr="00B221A2" w:rsidRDefault="00E3779D" w:rsidP="00262E3E">
      <w:pPr>
        <w:pStyle w:val="texthang"/>
        <w:rPr>
          <w:rFonts w:asciiTheme="minorHAnsi" w:hAnsiTheme="minorHAnsi"/>
          <w:sz w:val="24"/>
          <w:szCs w:val="24"/>
        </w:rPr>
      </w:pPr>
    </w:p>
    <w:p w14:paraId="0499C537" w14:textId="286AAEF3" w:rsidR="00E3779D" w:rsidRPr="00B221A2" w:rsidRDefault="00E3779D" w:rsidP="00262E3E">
      <w:pPr>
        <w:pStyle w:val="texthang"/>
        <w:tabs>
          <w:tab w:val="clear" w:pos="360"/>
          <w:tab w:val="left" w:pos="0"/>
        </w:tabs>
        <w:ind w:left="0" w:firstLine="0"/>
        <w:rPr>
          <w:rFonts w:asciiTheme="minorHAnsi" w:hAnsiTheme="minorHAnsi"/>
          <w:bCs/>
          <w:sz w:val="24"/>
          <w:szCs w:val="24"/>
        </w:rPr>
      </w:pPr>
      <w:r w:rsidRPr="00B221A2">
        <w:rPr>
          <w:rFonts w:asciiTheme="minorHAnsi" w:hAnsiTheme="minorHAnsi"/>
          <w:bCs/>
          <w:sz w:val="24"/>
          <w:szCs w:val="24"/>
        </w:rPr>
        <w:t xml:space="preserve">Retail sellers must use the final EFs as posted by </w:t>
      </w:r>
      <w:r w:rsidR="006928FE">
        <w:rPr>
          <w:rFonts w:asciiTheme="minorHAnsi" w:hAnsiTheme="minorHAnsi"/>
          <w:bCs/>
          <w:sz w:val="24"/>
          <w:szCs w:val="24"/>
        </w:rPr>
        <w:t>MassDEP</w:t>
      </w:r>
      <w:r w:rsidRPr="00B221A2">
        <w:rPr>
          <w:rFonts w:asciiTheme="minorHAnsi" w:hAnsiTheme="minorHAnsi"/>
          <w:bCs/>
          <w:sz w:val="24"/>
          <w:szCs w:val="24"/>
        </w:rPr>
        <w:t xml:space="preserve"> in determining their annual GHG emissions to be reported on A</w:t>
      </w:r>
      <w:r w:rsidR="00B221A2">
        <w:rPr>
          <w:rFonts w:asciiTheme="minorHAnsi" w:hAnsiTheme="minorHAnsi"/>
          <w:bCs/>
          <w:sz w:val="24"/>
          <w:szCs w:val="24"/>
        </w:rPr>
        <w:t>Q</w:t>
      </w:r>
      <w:r w:rsidRPr="00B221A2">
        <w:rPr>
          <w:rFonts w:asciiTheme="minorHAnsi" w:hAnsiTheme="minorHAnsi"/>
          <w:bCs/>
          <w:sz w:val="24"/>
          <w:szCs w:val="24"/>
        </w:rPr>
        <w:t>32 “Mandatory Greenhouse Gas Emissions Reporting Form for Retail Sellers of Electricity.” These annual emission factors will be included each year in the AQ32 Spreadsheet. Retail sellers will determine GHG emissions (in short tons) by:</w:t>
      </w:r>
    </w:p>
    <w:p w14:paraId="1A2F8A40" w14:textId="77777777" w:rsidR="00E3779D" w:rsidRPr="00B221A2" w:rsidRDefault="00E3779D" w:rsidP="00262E3E">
      <w:pPr>
        <w:pStyle w:val="texthang"/>
        <w:numPr>
          <w:ilvl w:val="0"/>
          <w:numId w:val="1"/>
        </w:numPr>
        <w:rPr>
          <w:rFonts w:asciiTheme="minorHAnsi" w:hAnsiTheme="minorHAnsi"/>
          <w:sz w:val="24"/>
          <w:szCs w:val="24"/>
        </w:rPr>
      </w:pPr>
      <w:r w:rsidRPr="00B221A2">
        <w:rPr>
          <w:rFonts w:asciiTheme="minorHAnsi" w:hAnsiTheme="minorHAnsi"/>
          <w:sz w:val="24"/>
          <w:szCs w:val="24"/>
        </w:rPr>
        <w:t>multiplying:</w:t>
      </w:r>
    </w:p>
    <w:p w14:paraId="2CD786BA" w14:textId="44C85637" w:rsidR="00E3779D" w:rsidRPr="00B221A2" w:rsidRDefault="00E3779D" w:rsidP="00262E3E">
      <w:pPr>
        <w:pStyle w:val="texthang"/>
        <w:numPr>
          <w:ilvl w:val="0"/>
          <w:numId w:val="2"/>
        </w:numPr>
        <w:tabs>
          <w:tab w:val="clear" w:pos="720"/>
          <w:tab w:val="num" w:pos="1080"/>
        </w:tabs>
        <w:ind w:left="1080"/>
        <w:rPr>
          <w:rFonts w:asciiTheme="minorHAnsi" w:hAnsiTheme="minorHAnsi"/>
          <w:sz w:val="24"/>
          <w:szCs w:val="24"/>
        </w:rPr>
      </w:pPr>
      <w:r w:rsidRPr="00B221A2">
        <w:rPr>
          <w:rFonts w:asciiTheme="minorHAnsi" w:hAnsiTheme="minorHAnsi"/>
          <w:sz w:val="24"/>
          <w:szCs w:val="24"/>
        </w:rPr>
        <w:t>their total megawatt hours, (MWh)(less any non-emitting and emitting generation sources submitted</w:t>
      </w:r>
      <w:bookmarkStart w:id="0" w:name="_Hlk189811041"/>
      <w:r w:rsidRPr="00B221A2">
        <w:rPr>
          <w:rFonts w:asciiTheme="minorHAnsi" w:hAnsiTheme="minorHAnsi"/>
          <w:sz w:val="24"/>
          <w:szCs w:val="24"/>
        </w:rPr>
        <w:t xml:space="preserve"> on the GHG tab or the optional AQ31</w:t>
      </w:r>
      <w:bookmarkEnd w:id="0"/>
      <w:r w:rsidRPr="00B221A2">
        <w:rPr>
          <w:rFonts w:asciiTheme="minorHAnsi" w:hAnsiTheme="minorHAnsi"/>
          <w:sz w:val="24"/>
          <w:szCs w:val="24"/>
        </w:rPr>
        <w:t xml:space="preserve"> Form and Spreadsheet) </w:t>
      </w:r>
      <w:r w:rsidRPr="00B221A2">
        <w:rPr>
          <w:rFonts w:asciiTheme="minorHAnsi" w:hAnsiTheme="minorHAnsi"/>
          <w:sz w:val="24"/>
          <w:szCs w:val="24"/>
          <w:u w:val="single"/>
        </w:rPr>
        <w:t>by</w:t>
      </w:r>
    </w:p>
    <w:p w14:paraId="6358605D" w14:textId="77777777" w:rsidR="00E3779D" w:rsidRPr="00B221A2" w:rsidRDefault="00E3779D" w:rsidP="00262E3E">
      <w:pPr>
        <w:pStyle w:val="texthang"/>
        <w:numPr>
          <w:ilvl w:val="0"/>
          <w:numId w:val="2"/>
        </w:numPr>
        <w:tabs>
          <w:tab w:val="clear" w:pos="720"/>
          <w:tab w:val="num" w:pos="1080"/>
        </w:tabs>
        <w:ind w:left="1080"/>
        <w:rPr>
          <w:rFonts w:asciiTheme="minorHAnsi" w:hAnsiTheme="minorHAnsi"/>
          <w:sz w:val="24"/>
          <w:szCs w:val="24"/>
        </w:rPr>
      </w:pPr>
      <w:r w:rsidRPr="00B221A2">
        <w:rPr>
          <w:rFonts w:asciiTheme="minorHAnsi" w:hAnsiTheme="minorHAnsi"/>
          <w:sz w:val="24"/>
          <w:szCs w:val="24"/>
        </w:rPr>
        <w:t xml:space="preserve">final EFs (in pounds of GHG per megawatt hour, lb GHG/MWh) </w:t>
      </w:r>
      <w:r w:rsidRPr="00B221A2">
        <w:rPr>
          <w:rFonts w:asciiTheme="minorHAnsi" w:hAnsiTheme="minorHAnsi"/>
          <w:sz w:val="24"/>
          <w:szCs w:val="24"/>
          <w:u w:val="single"/>
        </w:rPr>
        <w:t>by</w:t>
      </w:r>
    </w:p>
    <w:p w14:paraId="5075C4F9" w14:textId="77777777" w:rsidR="00E3779D" w:rsidRPr="00B221A2" w:rsidRDefault="00E3779D" w:rsidP="00262E3E">
      <w:pPr>
        <w:pStyle w:val="texthang"/>
        <w:numPr>
          <w:ilvl w:val="0"/>
          <w:numId w:val="2"/>
        </w:numPr>
        <w:tabs>
          <w:tab w:val="clear" w:pos="720"/>
          <w:tab w:val="num" w:pos="1080"/>
        </w:tabs>
        <w:ind w:left="1080"/>
        <w:rPr>
          <w:rFonts w:asciiTheme="minorHAnsi" w:hAnsiTheme="minorHAnsi"/>
          <w:sz w:val="24"/>
          <w:szCs w:val="24"/>
        </w:rPr>
      </w:pPr>
      <w:r w:rsidRPr="00B221A2">
        <w:rPr>
          <w:rFonts w:asciiTheme="minorHAnsi" w:hAnsiTheme="minorHAnsi"/>
          <w:sz w:val="24"/>
          <w:szCs w:val="24"/>
        </w:rPr>
        <w:lastRenderedPageBreak/>
        <w:t>1 short ton per 2000 pounds</w:t>
      </w:r>
    </w:p>
    <w:p w14:paraId="51126198" w14:textId="54A06687" w:rsidR="00E3779D" w:rsidRPr="00B221A2" w:rsidRDefault="00E3779D" w:rsidP="00262E3E">
      <w:pPr>
        <w:pStyle w:val="texthang"/>
        <w:numPr>
          <w:ilvl w:val="0"/>
          <w:numId w:val="3"/>
        </w:numPr>
        <w:rPr>
          <w:rFonts w:asciiTheme="minorHAnsi" w:hAnsiTheme="minorHAnsi"/>
          <w:sz w:val="24"/>
          <w:szCs w:val="24"/>
        </w:rPr>
      </w:pPr>
      <w:bookmarkStart w:id="1" w:name="_Hlk189810951"/>
      <w:r w:rsidRPr="00B221A2">
        <w:rPr>
          <w:rFonts w:asciiTheme="minorHAnsi" w:hAnsiTheme="minorHAnsi"/>
          <w:sz w:val="24"/>
          <w:szCs w:val="24"/>
        </w:rPr>
        <w:t>and adding the emissions of any unit-specific generation sources submitted on the GHG tab or the optional AQ31 Form and Spreadsheet.</w:t>
      </w:r>
      <w:bookmarkEnd w:id="1"/>
    </w:p>
    <w:p w14:paraId="4936D597" w14:textId="77777777" w:rsidR="00E3779D" w:rsidRPr="00B221A2" w:rsidRDefault="00E3779D" w:rsidP="00262E3E">
      <w:pPr>
        <w:pStyle w:val="texthang"/>
        <w:rPr>
          <w:rFonts w:asciiTheme="minorHAnsi" w:hAnsiTheme="minorHAnsi"/>
          <w:sz w:val="24"/>
          <w:szCs w:val="24"/>
        </w:rPr>
      </w:pPr>
    </w:p>
    <w:p w14:paraId="57ACE5BC" w14:textId="1176D725"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The AQ32 Spreadsheet will perform the above calculation. Retail Sellers will need to complete the AQ32 Spreadsheet before completing the AQ32 Form.</w:t>
      </w:r>
    </w:p>
    <w:p w14:paraId="6768E2FA" w14:textId="531D786E" w:rsidR="00E3779D" w:rsidRPr="00B221A2" w:rsidRDefault="00E3779D" w:rsidP="00262E3E">
      <w:pPr>
        <w:pStyle w:val="Heading2"/>
        <w:rPr>
          <w:b/>
          <w:bCs/>
          <w:color w:val="auto"/>
          <w:sz w:val="24"/>
          <w:szCs w:val="24"/>
        </w:rPr>
      </w:pPr>
      <w:r w:rsidRPr="00B221A2">
        <w:rPr>
          <w:b/>
          <w:bCs/>
          <w:color w:val="auto"/>
          <w:sz w:val="24"/>
          <w:szCs w:val="24"/>
        </w:rPr>
        <w:t>4.</w:t>
      </w:r>
      <w:r w:rsidR="00B221A2">
        <w:rPr>
          <w:b/>
          <w:bCs/>
          <w:color w:val="auto"/>
          <w:sz w:val="24"/>
          <w:szCs w:val="24"/>
        </w:rPr>
        <w:t xml:space="preserve"> </w:t>
      </w:r>
      <w:r w:rsidRPr="00B221A2">
        <w:rPr>
          <w:b/>
          <w:bCs/>
          <w:color w:val="auto"/>
          <w:sz w:val="24"/>
          <w:szCs w:val="24"/>
        </w:rPr>
        <w:t>What is the submittal deadline for the AQ32 Form and Spreadsheet?</w:t>
      </w:r>
    </w:p>
    <w:p w14:paraId="38490477" w14:textId="73B0131D"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 xml:space="preserve">Retail sellers must submit the mandatory AQ32 Form and Spreadsheet no later than the fifteenth day of the second September following each calendar year. </w:t>
      </w:r>
      <w:r w:rsidR="006928FE">
        <w:rPr>
          <w:rFonts w:asciiTheme="minorHAnsi" w:hAnsiTheme="minorHAnsi"/>
          <w:bCs/>
          <w:sz w:val="24"/>
          <w:szCs w:val="24"/>
        </w:rPr>
        <w:t>MassDEP</w:t>
      </w:r>
      <w:r w:rsidRPr="001D60D4">
        <w:rPr>
          <w:rFonts w:asciiTheme="minorHAnsi" w:hAnsiTheme="minorHAnsi"/>
          <w:bCs/>
          <w:sz w:val="24"/>
          <w:szCs w:val="24"/>
        </w:rPr>
        <w:t xml:space="preserve"> shall post the final annual EFs on its website and notify retail sellers of the posting of the AQ32 Spreadsheet.</w:t>
      </w:r>
    </w:p>
    <w:p w14:paraId="168BB154" w14:textId="6A965F3C" w:rsidR="00E3779D" w:rsidRPr="00B221A2" w:rsidRDefault="00E3779D" w:rsidP="00262E3E">
      <w:pPr>
        <w:pStyle w:val="Heading2"/>
        <w:rPr>
          <w:b/>
          <w:bCs/>
          <w:color w:val="auto"/>
          <w:sz w:val="24"/>
          <w:szCs w:val="24"/>
        </w:rPr>
      </w:pPr>
      <w:r w:rsidRPr="00B221A2">
        <w:rPr>
          <w:b/>
          <w:bCs/>
          <w:color w:val="auto"/>
          <w:sz w:val="24"/>
          <w:szCs w:val="24"/>
        </w:rPr>
        <w:t>5.</w:t>
      </w:r>
      <w:r w:rsidR="00B221A2">
        <w:rPr>
          <w:b/>
          <w:bCs/>
          <w:color w:val="auto"/>
          <w:sz w:val="24"/>
          <w:szCs w:val="24"/>
        </w:rPr>
        <w:t xml:space="preserve"> </w:t>
      </w:r>
      <w:r w:rsidRPr="00B221A2">
        <w:rPr>
          <w:b/>
          <w:bCs/>
          <w:color w:val="auto"/>
          <w:sz w:val="24"/>
          <w:szCs w:val="24"/>
        </w:rPr>
        <w:t>How should I enter the information on the AQ32 Spreadsheet? (See question 9 for instructions on entering MWh and emissions on the AQ32 Form)</w:t>
      </w:r>
    </w:p>
    <w:p w14:paraId="1AA16848" w14:textId="483C6E10"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All Retail Sellers must enter their total MWh during the reporting year in Step 1 of the AQ32 Spreadsheet. For retail sellers subject to MassDEP’s Clean Energy Standard (CES), the MWh must be the same as the amount shown on the CES tab of the Workbook. For municipal electric departments and light boards, the MWh must be the same as the amount reported to the Massachusetts Department of Public Utilities in their “annual return” as ‘Total’ on page 57, line 15, after subtracting out any ‘Sales for resale’ from line 18.</w:t>
      </w:r>
    </w:p>
    <w:p w14:paraId="3D2A524C" w14:textId="77777777" w:rsidR="00E3779D" w:rsidRPr="001D60D4" w:rsidRDefault="00E3779D" w:rsidP="00262E3E">
      <w:pPr>
        <w:pStyle w:val="texthang"/>
        <w:tabs>
          <w:tab w:val="clear" w:pos="360"/>
          <w:tab w:val="left" w:pos="0"/>
        </w:tabs>
        <w:ind w:left="0" w:firstLine="0"/>
        <w:rPr>
          <w:rFonts w:asciiTheme="minorHAnsi" w:hAnsiTheme="minorHAnsi"/>
          <w:bCs/>
          <w:sz w:val="24"/>
          <w:szCs w:val="24"/>
        </w:rPr>
      </w:pPr>
    </w:p>
    <w:p w14:paraId="1BA3F3AB" w14:textId="35B78C28"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 xml:space="preserve">The Non-Emitting MWh in Step 2 of the AQ32 Spreadsheet must be filled out if the retail seller submitted </w:t>
      </w:r>
      <w:r w:rsidR="00993CC9">
        <w:rPr>
          <w:rFonts w:asciiTheme="minorHAnsi" w:hAnsiTheme="minorHAnsi"/>
          <w:bCs/>
          <w:sz w:val="24"/>
          <w:szCs w:val="24"/>
        </w:rPr>
        <w:t xml:space="preserve">unit-specific </w:t>
      </w:r>
      <w:r w:rsidRPr="001D60D4">
        <w:rPr>
          <w:rFonts w:asciiTheme="minorHAnsi" w:hAnsiTheme="minorHAnsi"/>
          <w:bCs/>
          <w:sz w:val="24"/>
          <w:szCs w:val="24"/>
        </w:rPr>
        <w:t>non-emitting MWh on the GHG tab or the optional AQ31 Form and Spreadsheet for the corresponding emissions year. If the AQ31 Form and Spreadsheet was submitted, the non-emitting MWh on the AQ31 Spreadsheet must be entered in Step 2 of the AQ32 Spreadsheet.</w:t>
      </w:r>
    </w:p>
    <w:p w14:paraId="7BC7BA96" w14:textId="77777777" w:rsidR="00E3779D" w:rsidRPr="001D60D4" w:rsidRDefault="00E3779D" w:rsidP="00262E3E">
      <w:pPr>
        <w:pStyle w:val="texthang"/>
        <w:tabs>
          <w:tab w:val="clear" w:pos="360"/>
          <w:tab w:val="left" w:pos="0"/>
        </w:tabs>
        <w:ind w:left="0" w:firstLine="0"/>
        <w:rPr>
          <w:rFonts w:asciiTheme="minorHAnsi" w:hAnsiTheme="minorHAnsi"/>
          <w:bCs/>
          <w:sz w:val="24"/>
          <w:szCs w:val="24"/>
        </w:rPr>
      </w:pPr>
    </w:p>
    <w:p w14:paraId="384E1A08" w14:textId="30448E5D"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 xml:space="preserve">Similarly, Step 3 of the AQ32 Spreadsheet for </w:t>
      </w:r>
      <w:r w:rsidR="00993CC9">
        <w:rPr>
          <w:rFonts w:asciiTheme="minorHAnsi" w:hAnsiTheme="minorHAnsi"/>
          <w:bCs/>
          <w:sz w:val="24"/>
          <w:szCs w:val="24"/>
        </w:rPr>
        <w:t>unit-specific e</w:t>
      </w:r>
      <w:r w:rsidRPr="001D60D4">
        <w:rPr>
          <w:rFonts w:asciiTheme="minorHAnsi" w:hAnsiTheme="minorHAnsi"/>
          <w:bCs/>
          <w:sz w:val="24"/>
          <w:szCs w:val="24"/>
        </w:rPr>
        <w:t>mitting MWh</w:t>
      </w:r>
      <w:r w:rsidR="00993CC9">
        <w:rPr>
          <w:rFonts w:asciiTheme="minorHAnsi" w:hAnsiTheme="minorHAnsi"/>
          <w:bCs/>
          <w:sz w:val="24"/>
          <w:szCs w:val="24"/>
        </w:rPr>
        <w:t>, n</w:t>
      </w:r>
      <w:r w:rsidRPr="001D60D4">
        <w:rPr>
          <w:rFonts w:asciiTheme="minorHAnsi" w:hAnsiTheme="minorHAnsi"/>
          <w:bCs/>
          <w:sz w:val="24"/>
          <w:szCs w:val="24"/>
        </w:rPr>
        <w:t>on-</w:t>
      </w:r>
      <w:r w:rsidR="00993CC9">
        <w:rPr>
          <w:rFonts w:asciiTheme="minorHAnsi" w:hAnsiTheme="minorHAnsi"/>
          <w:bCs/>
          <w:sz w:val="24"/>
          <w:szCs w:val="24"/>
        </w:rPr>
        <w:t>b</w:t>
      </w:r>
      <w:r w:rsidRPr="001D60D4">
        <w:rPr>
          <w:rFonts w:asciiTheme="minorHAnsi" w:hAnsiTheme="minorHAnsi"/>
          <w:bCs/>
          <w:sz w:val="24"/>
          <w:szCs w:val="24"/>
        </w:rPr>
        <w:t xml:space="preserve">iogenic </w:t>
      </w:r>
      <w:r w:rsidR="00337C5F" w:rsidRPr="001D60D4">
        <w:rPr>
          <w:rFonts w:asciiTheme="minorHAnsi" w:hAnsiTheme="minorHAnsi"/>
          <w:bCs/>
          <w:sz w:val="24"/>
          <w:szCs w:val="24"/>
        </w:rPr>
        <w:t>CO</w:t>
      </w:r>
      <w:r w:rsidR="00337C5F" w:rsidRPr="00337C5F">
        <w:rPr>
          <w:rFonts w:asciiTheme="minorHAnsi" w:hAnsiTheme="minorHAnsi"/>
          <w:bCs/>
          <w:sz w:val="24"/>
          <w:szCs w:val="24"/>
          <w:vertAlign w:val="subscript"/>
        </w:rPr>
        <w:t>2</w:t>
      </w:r>
      <w:r w:rsidR="00337C5F" w:rsidRPr="001D60D4">
        <w:rPr>
          <w:rFonts w:asciiTheme="minorHAnsi" w:hAnsiTheme="minorHAnsi"/>
          <w:bCs/>
          <w:sz w:val="24"/>
          <w:szCs w:val="24"/>
        </w:rPr>
        <w:t xml:space="preserve">e </w:t>
      </w:r>
      <w:r w:rsidR="00993CC9">
        <w:rPr>
          <w:rFonts w:asciiTheme="minorHAnsi" w:hAnsiTheme="minorHAnsi"/>
          <w:bCs/>
          <w:sz w:val="24"/>
          <w:szCs w:val="24"/>
        </w:rPr>
        <w:t xml:space="preserve">emissions, </w:t>
      </w:r>
      <w:r w:rsidRPr="001D60D4">
        <w:rPr>
          <w:rFonts w:asciiTheme="minorHAnsi" w:hAnsiTheme="minorHAnsi"/>
          <w:bCs/>
          <w:sz w:val="24"/>
          <w:szCs w:val="24"/>
        </w:rPr>
        <w:t xml:space="preserve">and </w:t>
      </w:r>
      <w:r w:rsidR="00993CC9">
        <w:rPr>
          <w:rFonts w:asciiTheme="minorHAnsi" w:hAnsiTheme="minorHAnsi"/>
          <w:bCs/>
          <w:sz w:val="24"/>
          <w:szCs w:val="24"/>
        </w:rPr>
        <w:t>b</w:t>
      </w:r>
      <w:r w:rsidRPr="001D60D4">
        <w:rPr>
          <w:rFonts w:asciiTheme="minorHAnsi" w:hAnsiTheme="minorHAnsi"/>
          <w:bCs/>
          <w:sz w:val="24"/>
          <w:szCs w:val="24"/>
        </w:rPr>
        <w:t xml:space="preserve">iogenic </w:t>
      </w:r>
      <w:r w:rsidR="00337C5F" w:rsidRPr="001D60D4">
        <w:rPr>
          <w:rFonts w:asciiTheme="minorHAnsi" w:hAnsiTheme="minorHAnsi"/>
          <w:bCs/>
          <w:sz w:val="24"/>
          <w:szCs w:val="24"/>
        </w:rPr>
        <w:t>CO</w:t>
      </w:r>
      <w:r w:rsidR="00337C5F" w:rsidRPr="00337C5F">
        <w:rPr>
          <w:rFonts w:asciiTheme="minorHAnsi" w:hAnsiTheme="minorHAnsi"/>
          <w:bCs/>
          <w:sz w:val="24"/>
          <w:szCs w:val="24"/>
          <w:vertAlign w:val="subscript"/>
        </w:rPr>
        <w:t>2</w:t>
      </w:r>
      <w:r w:rsidR="00337C5F">
        <w:rPr>
          <w:rFonts w:asciiTheme="minorHAnsi" w:hAnsiTheme="minorHAnsi"/>
          <w:bCs/>
          <w:sz w:val="24"/>
          <w:szCs w:val="24"/>
        </w:rPr>
        <w:t xml:space="preserve"> e</w:t>
      </w:r>
      <w:r w:rsidRPr="001D60D4">
        <w:rPr>
          <w:rFonts w:asciiTheme="minorHAnsi" w:hAnsiTheme="minorHAnsi"/>
          <w:bCs/>
          <w:sz w:val="24"/>
          <w:szCs w:val="24"/>
        </w:rPr>
        <w:t xml:space="preserve">missions must be completed if the retail seller submitted </w:t>
      </w:r>
      <w:r w:rsidR="00993CC9">
        <w:rPr>
          <w:rFonts w:asciiTheme="minorHAnsi" w:hAnsiTheme="minorHAnsi"/>
          <w:bCs/>
          <w:sz w:val="24"/>
          <w:szCs w:val="24"/>
        </w:rPr>
        <w:t xml:space="preserve">unit-specific </w:t>
      </w:r>
      <w:r w:rsidRPr="001D60D4">
        <w:rPr>
          <w:rFonts w:asciiTheme="minorHAnsi" w:hAnsiTheme="minorHAnsi"/>
          <w:bCs/>
          <w:sz w:val="24"/>
          <w:szCs w:val="24"/>
        </w:rPr>
        <w:t>emitting MWh and emissions on the GHG tab or the optional AQ31 Form and Spreadsheet for the corresponding emissions year. If the AQ31 Form and Spreadsheet was submitted, the emitting MWh, non-biogenic CO</w:t>
      </w:r>
      <w:r w:rsidRPr="00337C5F">
        <w:rPr>
          <w:rFonts w:asciiTheme="minorHAnsi" w:hAnsiTheme="minorHAnsi"/>
          <w:bCs/>
          <w:sz w:val="24"/>
          <w:szCs w:val="24"/>
          <w:vertAlign w:val="subscript"/>
        </w:rPr>
        <w:t>2</w:t>
      </w:r>
      <w:r w:rsidRPr="001D60D4">
        <w:rPr>
          <w:rFonts w:asciiTheme="minorHAnsi" w:hAnsiTheme="minorHAnsi"/>
          <w:bCs/>
          <w:sz w:val="24"/>
          <w:szCs w:val="24"/>
        </w:rPr>
        <w:t>e emissions, and biogenic CO</w:t>
      </w:r>
      <w:r w:rsidRPr="00337C5F">
        <w:rPr>
          <w:rFonts w:asciiTheme="minorHAnsi" w:hAnsiTheme="minorHAnsi"/>
          <w:bCs/>
          <w:sz w:val="24"/>
          <w:szCs w:val="24"/>
          <w:vertAlign w:val="subscript"/>
        </w:rPr>
        <w:t>2</w:t>
      </w:r>
      <w:r w:rsidR="00337C5F">
        <w:rPr>
          <w:rFonts w:asciiTheme="minorHAnsi" w:hAnsiTheme="minorHAnsi"/>
          <w:bCs/>
          <w:sz w:val="24"/>
          <w:szCs w:val="24"/>
        </w:rPr>
        <w:t xml:space="preserve"> </w:t>
      </w:r>
      <w:r w:rsidRPr="001D60D4">
        <w:rPr>
          <w:rFonts w:asciiTheme="minorHAnsi" w:hAnsiTheme="minorHAnsi"/>
          <w:bCs/>
          <w:sz w:val="24"/>
          <w:szCs w:val="24"/>
        </w:rPr>
        <w:t xml:space="preserve">emissions on the A31 Spreadsheet must be entered in Step </w:t>
      </w:r>
      <w:r w:rsidR="00993CC9">
        <w:rPr>
          <w:rFonts w:asciiTheme="minorHAnsi" w:hAnsiTheme="minorHAnsi"/>
          <w:bCs/>
          <w:sz w:val="24"/>
          <w:szCs w:val="24"/>
        </w:rPr>
        <w:t>3</w:t>
      </w:r>
      <w:r w:rsidRPr="001D60D4">
        <w:rPr>
          <w:rFonts w:asciiTheme="minorHAnsi" w:hAnsiTheme="minorHAnsi"/>
          <w:bCs/>
          <w:sz w:val="24"/>
          <w:szCs w:val="24"/>
        </w:rPr>
        <w:t xml:space="preserve"> of the AQ32 Spreadsheet.</w:t>
      </w:r>
    </w:p>
    <w:p w14:paraId="27498365" w14:textId="77777777" w:rsidR="00E3779D" w:rsidRPr="001D60D4" w:rsidRDefault="00E3779D" w:rsidP="00262E3E">
      <w:pPr>
        <w:pStyle w:val="texthang"/>
        <w:tabs>
          <w:tab w:val="clear" w:pos="360"/>
          <w:tab w:val="left" w:pos="0"/>
        </w:tabs>
        <w:ind w:left="0" w:firstLine="0"/>
        <w:rPr>
          <w:rFonts w:asciiTheme="minorHAnsi" w:hAnsiTheme="minorHAnsi"/>
          <w:bCs/>
          <w:sz w:val="24"/>
          <w:szCs w:val="24"/>
        </w:rPr>
      </w:pPr>
    </w:p>
    <w:p w14:paraId="4A426F0A" w14:textId="3C0E0BF9"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If non-emitting and/or emitting MWh were not submitted on the GHG tab or the AQ31 Form and Spreadsheet for the corresponding reporting year, please</w:t>
      </w:r>
      <w:r w:rsidR="00337C5F">
        <w:rPr>
          <w:rFonts w:asciiTheme="minorHAnsi" w:hAnsiTheme="minorHAnsi"/>
          <w:bCs/>
          <w:sz w:val="24"/>
          <w:szCs w:val="24"/>
        </w:rPr>
        <w:t xml:space="preserve"> put zeroes</w:t>
      </w:r>
      <w:r w:rsidRPr="001D60D4">
        <w:rPr>
          <w:rFonts w:asciiTheme="minorHAnsi" w:hAnsiTheme="minorHAnsi"/>
          <w:bCs/>
          <w:sz w:val="24"/>
          <w:szCs w:val="24"/>
        </w:rPr>
        <w:t xml:space="preserve"> in Step 2 and/or Step 3 blank, as appropriate.</w:t>
      </w:r>
    </w:p>
    <w:p w14:paraId="71C9F667" w14:textId="790AB894" w:rsidR="00E3779D" w:rsidRPr="00B221A2" w:rsidRDefault="00E3779D" w:rsidP="00262E3E">
      <w:pPr>
        <w:pStyle w:val="Heading2"/>
        <w:rPr>
          <w:b/>
          <w:bCs/>
          <w:color w:val="auto"/>
          <w:sz w:val="24"/>
          <w:szCs w:val="24"/>
        </w:rPr>
      </w:pPr>
      <w:r w:rsidRPr="00B221A2">
        <w:rPr>
          <w:b/>
          <w:bCs/>
          <w:color w:val="auto"/>
          <w:sz w:val="24"/>
          <w:szCs w:val="24"/>
        </w:rPr>
        <w:lastRenderedPageBreak/>
        <w:t>6.</w:t>
      </w:r>
      <w:r w:rsidR="00B221A2">
        <w:rPr>
          <w:b/>
          <w:bCs/>
          <w:color w:val="auto"/>
          <w:sz w:val="24"/>
          <w:szCs w:val="24"/>
        </w:rPr>
        <w:t xml:space="preserve"> </w:t>
      </w:r>
      <w:r w:rsidRPr="00B221A2">
        <w:rPr>
          <w:b/>
          <w:bCs/>
          <w:color w:val="auto"/>
          <w:sz w:val="24"/>
          <w:szCs w:val="24"/>
        </w:rPr>
        <w:t>If I did not submit the optional AQ31 Form and Spreadsheet, may I still include my non-emitting and emitting MWh on the AQ32 Spreadsheet?</w:t>
      </w:r>
    </w:p>
    <w:p w14:paraId="27E9CCAF" w14:textId="10504460" w:rsidR="00E3779D" w:rsidRPr="001D60D4" w:rsidRDefault="00E3779D" w:rsidP="00262E3E">
      <w:pPr>
        <w:pStyle w:val="texthang"/>
        <w:tabs>
          <w:tab w:val="clear" w:pos="360"/>
          <w:tab w:val="left" w:pos="0"/>
        </w:tabs>
        <w:ind w:left="0" w:firstLine="0"/>
        <w:rPr>
          <w:rFonts w:asciiTheme="minorHAnsi" w:hAnsiTheme="minorHAnsi"/>
          <w:bCs/>
          <w:sz w:val="24"/>
          <w:szCs w:val="24"/>
        </w:rPr>
      </w:pPr>
      <w:r w:rsidRPr="001D60D4">
        <w:rPr>
          <w:rFonts w:asciiTheme="minorHAnsi" w:hAnsiTheme="minorHAnsi"/>
          <w:bCs/>
          <w:sz w:val="24"/>
          <w:szCs w:val="24"/>
        </w:rPr>
        <w:t>No. Because the final EFs account for AQ31 submittals, you may only include non-emitting or emitting MWhs on the AQ32 Spreadsheet if those MWhs were submitted on the AQ31 Form and Spreadsheet for that reporting year.</w:t>
      </w:r>
    </w:p>
    <w:p w14:paraId="65EA0541" w14:textId="5D0A86CA" w:rsidR="00E3779D" w:rsidRPr="00B221A2" w:rsidRDefault="00E3779D" w:rsidP="00262E3E">
      <w:pPr>
        <w:pStyle w:val="Heading2"/>
        <w:rPr>
          <w:b/>
          <w:bCs/>
          <w:color w:val="auto"/>
          <w:sz w:val="24"/>
          <w:szCs w:val="24"/>
        </w:rPr>
      </w:pPr>
      <w:r w:rsidRPr="00B221A2">
        <w:rPr>
          <w:b/>
          <w:bCs/>
          <w:color w:val="auto"/>
          <w:sz w:val="24"/>
          <w:szCs w:val="24"/>
        </w:rPr>
        <w:t>7.</w:t>
      </w:r>
      <w:r w:rsidR="00B221A2">
        <w:rPr>
          <w:b/>
          <w:bCs/>
          <w:color w:val="auto"/>
          <w:sz w:val="24"/>
          <w:szCs w:val="24"/>
        </w:rPr>
        <w:t xml:space="preserve"> </w:t>
      </w:r>
      <w:r w:rsidRPr="00B221A2">
        <w:rPr>
          <w:b/>
          <w:bCs/>
          <w:color w:val="auto"/>
          <w:sz w:val="24"/>
          <w:szCs w:val="24"/>
        </w:rPr>
        <w:t>If I am a competitive supplier, where do I find my Massachusetts Department of Public Utilities (MassDPU) license number to enter in Part A of the AQ32 Form?</w:t>
      </w:r>
    </w:p>
    <w:p w14:paraId="55569757" w14:textId="5E14419B" w:rsidR="00E3779D" w:rsidRPr="00B221A2" w:rsidRDefault="00E3779D" w:rsidP="00262E3E">
      <w:pPr>
        <w:pStyle w:val="texthang"/>
        <w:tabs>
          <w:tab w:val="clear" w:pos="360"/>
          <w:tab w:val="left" w:pos="0"/>
        </w:tabs>
        <w:ind w:left="0" w:firstLine="0"/>
        <w:rPr>
          <w:rFonts w:asciiTheme="minorHAnsi" w:hAnsiTheme="minorHAnsi"/>
          <w:bCs/>
          <w:sz w:val="24"/>
          <w:szCs w:val="24"/>
        </w:rPr>
      </w:pPr>
      <w:r w:rsidRPr="00B221A2">
        <w:rPr>
          <w:rFonts w:asciiTheme="minorHAnsi" w:hAnsiTheme="minorHAnsi"/>
          <w:bCs/>
          <w:sz w:val="24"/>
          <w:szCs w:val="24"/>
        </w:rPr>
        <w:t>The Massachusetts Department of Public Utilities (MassDPU) license number can be found on the “</w:t>
      </w:r>
      <w:r w:rsidRPr="001D60D4">
        <w:rPr>
          <w:rFonts w:asciiTheme="minorHAnsi" w:hAnsiTheme="minorHAnsi"/>
          <w:bCs/>
          <w:sz w:val="24"/>
          <w:szCs w:val="24"/>
        </w:rPr>
        <w:t xml:space="preserve">List of licensed competitive suppliers and electricity brokers” </w:t>
      </w:r>
      <w:r w:rsidRPr="00B221A2">
        <w:rPr>
          <w:rFonts w:asciiTheme="minorHAnsi" w:hAnsiTheme="minorHAnsi"/>
          <w:bCs/>
          <w:sz w:val="24"/>
          <w:szCs w:val="24"/>
        </w:rPr>
        <w:t>at</w:t>
      </w:r>
      <w:r w:rsidRPr="00B221A2">
        <w:rPr>
          <w:rFonts w:asciiTheme="minorHAnsi" w:hAnsiTheme="minorHAnsi"/>
          <w:sz w:val="24"/>
          <w:szCs w:val="24"/>
        </w:rPr>
        <w:t xml:space="preserve"> </w:t>
      </w:r>
      <w:hyperlink r:id="rId12" w:history="1">
        <w:r w:rsidR="0018129C">
          <w:rPr>
            <w:rStyle w:val="Hyperlink"/>
            <w:rFonts w:asciiTheme="minorHAnsi" w:hAnsiTheme="minorHAnsi"/>
            <w:sz w:val="24"/>
            <w:szCs w:val="24"/>
          </w:rPr>
          <w:t>Information for Competitive Suppliers and Electricity Brokers</w:t>
        </w:r>
      </w:hyperlink>
      <w:r w:rsidRPr="00B221A2">
        <w:rPr>
          <w:rFonts w:asciiTheme="minorHAnsi" w:hAnsiTheme="minorHAnsi"/>
          <w:sz w:val="24"/>
          <w:szCs w:val="24"/>
        </w:rPr>
        <w:t>.</w:t>
      </w:r>
    </w:p>
    <w:p w14:paraId="66AE3F0B" w14:textId="18BB004C" w:rsidR="00E3779D" w:rsidRPr="00B221A2" w:rsidRDefault="00E3779D" w:rsidP="00262E3E">
      <w:pPr>
        <w:pStyle w:val="Heading2"/>
        <w:rPr>
          <w:b/>
          <w:bCs/>
          <w:color w:val="auto"/>
          <w:sz w:val="24"/>
          <w:szCs w:val="24"/>
        </w:rPr>
      </w:pPr>
      <w:r w:rsidRPr="00B221A2">
        <w:rPr>
          <w:b/>
          <w:bCs/>
          <w:color w:val="auto"/>
          <w:sz w:val="24"/>
          <w:szCs w:val="24"/>
        </w:rPr>
        <w:t>8.</w:t>
      </w:r>
      <w:r w:rsidR="00B221A2">
        <w:rPr>
          <w:b/>
          <w:bCs/>
          <w:color w:val="auto"/>
          <w:sz w:val="24"/>
          <w:szCs w:val="24"/>
        </w:rPr>
        <w:t xml:space="preserve"> </w:t>
      </w:r>
      <w:r w:rsidRPr="00B221A2">
        <w:rPr>
          <w:b/>
          <w:bCs/>
          <w:color w:val="auto"/>
          <w:sz w:val="24"/>
          <w:szCs w:val="24"/>
        </w:rPr>
        <w:t>If I am a municipal retail seller, which sections of my Annual Return to MassDPU must I submit, and in what format do I submit them?</w:t>
      </w:r>
    </w:p>
    <w:p w14:paraId="5EED4BC0" w14:textId="6C1FAB4E" w:rsidR="00E3779D" w:rsidRPr="00B221A2" w:rsidRDefault="00E3779D" w:rsidP="00262E3E">
      <w:pPr>
        <w:pStyle w:val="texthang"/>
        <w:tabs>
          <w:tab w:val="clear" w:pos="360"/>
          <w:tab w:val="left" w:pos="0"/>
        </w:tabs>
        <w:ind w:left="0" w:firstLine="0"/>
        <w:rPr>
          <w:rFonts w:asciiTheme="minorHAnsi" w:hAnsiTheme="minorHAnsi"/>
          <w:sz w:val="24"/>
          <w:szCs w:val="24"/>
        </w:rPr>
      </w:pPr>
      <w:r w:rsidRPr="00B221A2">
        <w:rPr>
          <w:rFonts w:asciiTheme="minorHAnsi" w:hAnsiTheme="minorHAnsi"/>
          <w:sz w:val="24"/>
          <w:szCs w:val="24"/>
        </w:rPr>
        <w:t xml:space="preserve">Municipal retail sellers must submit the “Electric Energy Account” page 57 of their Annual Return unless the Return has been posted on the MassDPU webpage at </w:t>
      </w:r>
      <w:hyperlink r:id="rId13" w:history="1">
        <w:r w:rsidR="005615D5">
          <w:rPr>
            <w:rStyle w:val="Hyperlink"/>
            <w:rFonts w:asciiTheme="minorHAnsi" w:hAnsiTheme="minorHAnsi"/>
            <w:sz w:val="24"/>
            <w:szCs w:val="24"/>
          </w:rPr>
          <w:t>Find an MLP annual return</w:t>
        </w:r>
      </w:hyperlink>
      <w:r w:rsidRPr="00B221A2">
        <w:rPr>
          <w:rFonts w:asciiTheme="minorHAnsi" w:hAnsiTheme="minorHAnsi"/>
          <w:sz w:val="24"/>
          <w:szCs w:val="24"/>
        </w:rPr>
        <w:t>.</w:t>
      </w:r>
    </w:p>
    <w:p w14:paraId="73023107" w14:textId="77777777" w:rsidR="009C60D2" w:rsidRDefault="00E3779D" w:rsidP="00262E3E">
      <w:pPr>
        <w:pStyle w:val="Heading2"/>
        <w:rPr>
          <w:b/>
          <w:bCs/>
          <w:color w:val="auto"/>
          <w:sz w:val="24"/>
          <w:szCs w:val="24"/>
        </w:rPr>
      </w:pPr>
      <w:r w:rsidRPr="00B221A2">
        <w:rPr>
          <w:b/>
          <w:bCs/>
          <w:color w:val="auto"/>
          <w:sz w:val="24"/>
          <w:szCs w:val="24"/>
        </w:rPr>
        <w:t>9.</w:t>
      </w:r>
      <w:r w:rsidR="00B221A2">
        <w:rPr>
          <w:b/>
          <w:bCs/>
          <w:color w:val="auto"/>
          <w:sz w:val="24"/>
          <w:szCs w:val="24"/>
        </w:rPr>
        <w:t xml:space="preserve"> </w:t>
      </w:r>
      <w:r w:rsidRPr="00B221A2">
        <w:rPr>
          <w:b/>
          <w:bCs/>
          <w:color w:val="auto"/>
          <w:sz w:val="24"/>
          <w:szCs w:val="24"/>
        </w:rPr>
        <w:t>How do I complete the boxes for MWh, Non-biogenic and Biogenic Emissions on the AQ32 Form?</w:t>
      </w:r>
    </w:p>
    <w:p w14:paraId="574472BD" w14:textId="2FAB7369" w:rsidR="009C60D2" w:rsidRPr="009C60D2" w:rsidRDefault="00E3779D" w:rsidP="00262E3E">
      <w:pPr>
        <w:rPr>
          <w:rFonts w:asciiTheme="minorHAnsi" w:hAnsiTheme="minorHAnsi"/>
          <w:sz w:val="24"/>
          <w:szCs w:val="24"/>
        </w:rPr>
      </w:pPr>
      <w:r w:rsidRPr="009C60D2">
        <w:rPr>
          <w:rFonts w:asciiTheme="minorHAnsi" w:hAnsiTheme="minorHAnsi"/>
          <w:sz w:val="24"/>
          <w:szCs w:val="24"/>
        </w:rPr>
        <w:t>Retail Sellers must enter</w:t>
      </w:r>
      <w:r w:rsidR="009C60D2">
        <w:rPr>
          <w:rFonts w:asciiTheme="minorHAnsi" w:hAnsiTheme="minorHAnsi"/>
          <w:sz w:val="24"/>
          <w:szCs w:val="24"/>
        </w:rPr>
        <w:t>:</w:t>
      </w:r>
    </w:p>
    <w:p w14:paraId="37B5F932" w14:textId="4DEE4B0C" w:rsidR="00E3779D" w:rsidRPr="00B221A2" w:rsidRDefault="00E3779D" w:rsidP="00262E3E">
      <w:pPr>
        <w:numPr>
          <w:ilvl w:val="0"/>
          <w:numId w:val="4"/>
        </w:numPr>
        <w:rPr>
          <w:rFonts w:asciiTheme="minorHAnsi" w:hAnsiTheme="minorHAnsi"/>
          <w:sz w:val="24"/>
          <w:szCs w:val="24"/>
        </w:rPr>
      </w:pPr>
      <w:r w:rsidRPr="00B221A2">
        <w:rPr>
          <w:rFonts w:asciiTheme="minorHAnsi" w:hAnsiTheme="minorHAnsi"/>
          <w:sz w:val="24"/>
          <w:szCs w:val="24"/>
        </w:rPr>
        <w:t>the Emissions Reporting Year</w:t>
      </w:r>
      <w:r w:rsidR="009C60D2">
        <w:rPr>
          <w:rFonts w:asciiTheme="minorHAnsi" w:hAnsiTheme="minorHAnsi"/>
          <w:sz w:val="24"/>
          <w:szCs w:val="24"/>
        </w:rPr>
        <w:t>;</w:t>
      </w:r>
    </w:p>
    <w:p w14:paraId="5ABC2F0B" w14:textId="61D0BA5D" w:rsidR="009C60D2" w:rsidRDefault="009C60D2" w:rsidP="00262E3E">
      <w:pPr>
        <w:numPr>
          <w:ilvl w:val="0"/>
          <w:numId w:val="4"/>
        </w:numPr>
        <w:rPr>
          <w:rFonts w:asciiTheme="minorHAnsi" w:hAnsiTheme="minorHAnsi"/>
          <w:sz w:val="24"/>
          <w:szCs w:val="24"/>
        </w:rPr>
      </w:pPr>
      <w:r>
        <w:rPr>
          <w:rFonts w:asciiTheme="minorHAnsi" w:hAnsiTheme="minorHAnsi"/>
          <w:sz w:val="24"/>
          <w:szCs w:val="24"/>
        </w:rPr>
        <w:t>t</w:t>
      </w:r>
      <w:r w:rsidR="00E3779D" w:rsidRPr="00B221A2">
        <w:rPr>
          <w:rFonts w:asciiTheme="minorHAnsi" w:hAnsiTheme="minorHAnsi"/>
          <w:sz w:val="24"/>
          <w:szCs w:val="24"/>
        </w:rPr>
        <w:t>he Total MWh (as entered in Step 1 of the A</w:t>
      </w:r>
      <w:r>
        <w:rPr>
          <w:rFonts w:asciiTheme="minorHAnsi" w:hAnsiTheme="minorHAnsi"/>
          <w:sz w:val="24"/>
          <w:szCs w:val="24"/>
        </w:rPr>
        <w:t>Q</w:t>
      </w:r>
      <w:r w:rsidR="00E3779D" w:rsidRPr="00B221A2">
        <w:rPr>
          <w:rFonts w:asciiTheme="minorHAnsi" w:hAnsiTheme="minorHAnsi"/>
          <w:sz w:val="24"/>
          <w:szCs w:val="24"/>
        </w:rPr>
        <w:t>32 Spreadsheet)</w:t>
      </w:r>
      <w:r>
        <w:rPr>
          <w:rFonts w:asciiTheme="minorHAnsi" w:hAnsiTheme="minorHAnsi"/>
          <w:sz w:val="24"/>
          <w:szCs w:val="24"/>
        </w:rPr>
        <w:t>;</w:t>
      </w:r>
      <w:r w:rsidR="00E3779D" w:rsidRPr="009C60D2">
        <w:rPr>
          <w:rFonts w:asciiTheme="minorHAnsi" w:hAnsiTheme="minorHAnsi"/>
          <w:sz w:val="24"/>
          <w:szCs w:val="24"/>
        </w:rPr>
        <w:t xml:space="preserve"> and</w:t>
      </w:r>
    </w:p>
    <w:p w14:paraId="5B25CA74" w14:textId="732E7510" w:rsidR="00E3779D" w:rsidRPr="009C60D2" w:rsidRDefault="00E3779D" w:rsidP="00262E3E">
      <w:pPr>
        <w:numPr>
          <w:ilvl w:val="0"/>
          <w:numId w:val="4"/>
        </w:numPr>
        <w:rPr>
          <w:rFonts w:asciiTheme="minorHAnsi" w:hAnsiTheme="minorHAnsi"/>
          <w:sz w:val="24"/>
          <w:szCs w:val="24"/>
        </w:rPr>
      </w:pPr>
      <w:r w:rsidRPr="009C60D2">
        <w:rPr>
          <w:rFonts w:asciiTheme="minorHAnsi" w:hAnsiTheme="minorHAnsi"/>
          <w:sz w:val="24"/>
          <w:szCs w:val="24"/>
        </w:rPr>
        <w:t xml:space="preserve">the </w:t>
      </w:r>
      <w:r w:rsidR="009C60D2">
        <w:rPr>
          <w:rFonts w:asciiTheme="minorHAnsi" w:hAnsiTheme="minorHAnsi"/>
          <w:sz w:val="24"/>
          <w:szCs w:val="24"/>
        </w:rPr>
        <w:t>N</w:t>
      </w:r>
      <w:r w:rsidRPr="009C60D2">
        <w:rPr>
          <w:rFonts w:asciiTheme="minorHAnsi" w:hAnsiTheme="minorHAnsi"/>
          <w:sz w:val="24"/>
          <w:szCs w:val="24"/>
        </w:rPr>
        <w:t>on-</w:t>
      </w:r>
      <w:r w:rsidR="009C60D2">
        <w:rPr>
          <w:rFonts w:asciiTheme="minorHAnsi" w:hAnsiTheme="minorHAnsi"/>
          <w:sz w:val="24"/>
          <w:szCs w:val="24"/>
        </w:rPr>
        <w:t>B</w:t>
      </w:r>
      <w:r w:rsidRPr="009C60D2">
        <w:rPr>
          <w:rFonts w:asciiTheme="minorHAnsi" w:hAnsiTheme="minorHAnsi"/>
          <w:sz w:val="24"/>
          <w:szCs w:val="24"/>
        </w:rPr>
        <w:t xml:space="preserve">iogenic </w:t>
      </w:r>
      <w:r w:rsidR="009C60D2">
        <w:rPr>
          <w:rFonts w:asciiTheme="minorHAnsi" w:hAnsiTheme="minorHAnsi"/>
          <w:sz w:val="24"/>
          <w:szCs w:val="24"/>
        </w:rPr>
        <w:t>CO</w:t>
      </w:r>
      <w:r w:rsidR="009C60D2" w:rsidRPr="009C60D2">
        <w:rPr>
          <w:rFonts w:asciiTheme="minorHAnsi" w:hAnsiTheme="minorHAnsi"/>
          <w:sz w:val="24"/>
          <w:szCs w:val="24"/>
          <w:vertAlign w:val="subscript"/>
        </w:rPr>
        <w:t>2</w:t>
      </w:r>
      <w:r w:rsidR="009C60D2">
        <w:rPr>
          <w:rFonts w:asciiTheme="minorHAnsi" w:hAnsiTheme="minorHAnsi"/>
          <w:sz w:val="24"/>
          <w:szCs w:val="24"/>
        </w:rPr>
        <w:t xml:space="preserve">e </w:t>
      </w:r>
      <w:r w:rsidRPr="009C60D2">
        <w:rPr>
          <w:rFonts w:asciiTheme="minorHAnsi" w:hAnsiTheme="minorHAnsi"/>
          <w:sz w:val="24"/>
          <w:szCs w:val="24"/>
        </w:rPr>
        <w:t xml:space="preserve">and </w:t>
      </w:r>
      <w:r w:rsidR="009C60D2">
        <w:rPr>
          <w:rFonts w:asciiTheme="minorHAnsi" w:hAnsiTheme="minorHAnsi"/>
          <w:sz w:val="24"/>
          <w:szCs w:val="24"/>
        </w:rPr>
        <w:t>B</w:t>
      </w:r>
      <w:r w:rsidRPr="009C60D2">
        <w:rPr>
          <w:rFonts w:asciiTheme="minorHAnsi" w:hAnsiTheme="minorHAnsi"/>
          <w:sz w:val="24"/>
          <w:szCs w:val="24"/>
        </w:rPr>
        <w:t>iogenic</w:t>
      </w:r>
      <w:r w:rsidR="009C60D2">
        <w:rPr>
          <w:rFonts w:asciiTheme="minorHAnsi" w:hAnsiTheme="minorHAnsi"/>
          <w:sz w:val="24"/>
          <w:szCs w:val="24"/>
        </w:rPr>
        <w:t xml:space="preserve"> CO</w:t>
      </w:r>
      <w:r w:rsidR="009C60D2" w:rsidRPr="009C60D2">
        <w:rPr>
          <w:rFonts w:asciiTheme="minorHAnsi" w:hAnsiTheme="minorHAnsi"/>
          <w:sz w:val="24"/>
          <w:szCs w:val="24"/>
          <w:vertAlign w:val="subscript"/>
        </w:rPr>
        <w:t>2</w:t>
      </w:r>
      <w:r w:rsidR="009C60D2">
        <w:rPr>
          <w:rFonts w:asciiTheme="minorHAnsi" w:hAnsiTheme="minorHAnsi"/>
          <w:sz w:val="24"/>
          <w:szCs w:val="24"/>
        </w:rPr>
        <w:t xml:space="preserve"> in short tons for</w:t>
      </w:r>
      <w:r w:rsidR="009C60D2" w:rsidRPr="009C60D2">
        <w:rPr>
          <w:rFonts w:asciiTheme="minorHAnsi" w:hAnsiTheme="minorHAnsi"/>
          <w:sz w:val="24"/>
          <w:szCs w:val="24"/>
        </w:rPr>
        <w:t xml:space="preserve"> M</w:t>
      </w:r>
      <w:r w:rsidR="009C60D2">
        <w:rPr>
          <w:rFonts w:asciiTheme="minorHAnsi" w:hAnsiTheme="minorHAnsi"/>
          <w:sz w:val="24"/>
          <w:szCs w:val="24"/>
        </w:rPr>
        <w:t>assachusetts</w:t>
      </w:r>
      <w:r w:rsidR="009C60D2" w:rsidRPr="009C60D2">
        <w:rPr>
          <w:rFonts w:asciiTheme="minorHAnsi" w:hAnsiTheme="minorHAnsi"/>
          <w:sz w:val="24"/>
          <w:szCs w:val="24"/>
        </w:rPr>
        <w:t>-</w:t>
      </w:r>
      <w:r w:rsidR="009C60D2">
        <w:rPr>
          <w:rFonts w:asciiTheme="minorHAnsi" w:hAnsiTheme="minorHAnsi"/>
          <w:sz w:val="24"/>
          <w:szCs w:val="24"/>
        </w:rPr>
        <w:t>b</w:t>
      </w:r>
      <w:r w:rsidR="009C60D2" w:rsidRPr="009C60D2">
        <w:rPr>
          <w:rFonts w:asciiTheme="minorHAnsi" w:hAnsiTheme="minorHAnsi"/>
          <w:sz w:val="24"/>
          <w:szCs w:val="24"/>
        </w:rPr>
        <w:t>ased</w:t>
      </w:r>
      <w:r w:rsidRPr="009C60D2">
        <w:rPr>
          <w:rFonts w:asciiTheme="minorHAnsi" w:hAnsiTheme="minorHAnsi"/>
          <w:sz w:val="24"/>
          <w:szCs w:val="24"/>
        </w:rPr>
        <w:t xml:space="preserve"> and Regional emissions </w:t>
      </w:r>
      <w:r w:rsidR="00CA5433">
        <w:rPr>
          <w:rFonts w:asciiTheme="minorHAnsi" w:hAnsiTheme="minorHAnsi"/>
          <w:sz w:val="24"/>
          <w:szCs w:val="24"/>
        </w:rPr>
        <w:t>(</w:t>
      </w:r>
      <w:r w:rsidR="00B55BB9">
        <w:rPr>
          <w:rFonts w:asciiTheme="minorHAnsi" w:hAnsiTheme="minorHAnsi"/>
          <w:sz w:val="24"/>
          <w:szCs w:val="24"/>
        </w:rPr>
        <w:t xml:space="preserve">as </w:t>
      </w:r>
      <w:r w:rsidR="00C62A3E">
        <w:rPr>
          <w:rFonts w:asciiTheme="minorHAnsi" w:hAnsiTheme="minorHAnsi"/>
          <w:sz w:val="24"/>
          <w:szCs w:val="24"/>
        </w:rPr>
        <w:t xml:space="preserve">automatically </w:t>
      </w:r>
      <w:r w:rsidR="00B55BB9">
        <w:rPr>
          <w:rFonts w:asciiTheme="minorHAnsi" w:hAnsiTheme="minorHAnsi"/>
          <w:sz w:val="24"/>
          <w:szCs w:val="24"/>
        </w:rPr>
        <w:t>cal</w:t>
      </w:r>
      <w:r w:rsidR="00CA5433">
        <w:rPr>
          <w:rFonts w:asciiTheme="minorHAnsi" w:hAnsiTheme="minorHAnsi"/>
          <w:sz w:val="24"/>
          <w:szCs w:val="24"/>
        </w:rPr>
        <w:t>c</w:t>
      </w:r>
      <w:r w:rsidR="00B55BB9">
        <w:rPr>
          <w:rFonts w:asciiTheme="minorHAnsi" w:hAnsiTheme="minorHAnsi"/>
          <w:sz w:val="24"/>
          <w:szCs w:val="24"/>
        </w:rPr>
        <w:t>ulated in</w:t>
      </w:r>
      <w:r w:rsidRPr="009C60D2">
        <w:rPr>
          <w:rFonts w:asciiTheme="minorHAnsi" w:hAnsiTheme="minorHAnsi"/>
          <w:sz w:val="24"/>
          <w:szCs w:val="24"/>
        </w:rPr>
        <w:t xml:space="preserve"> </w:t>
      </w:r>
      <w:r w:rsidR="009C60D2">
        <w:rPr>
          <w:rFonts w:asciiTheme="minorHAnsi" w:hAnsiTheme="minorHAnsi"/>
          <w:sz w:val="24"/>
          <w:szCs w:val="24"/>
        </w:rPr>
        <w:t xml:space="preserve">Step 4 of </w:t>
      </w:r>
      <w:r w:rsidRPr="009C60D2">
        <w:rPr>
          <w:rFonts w:asciiTheme="minorHAnsi" w:hAnsiTheme="minorHAnsi"/>
          <w:sz w:val="24"/>
          <w:szCs w:val="24"/>
        </w:rPr>
        <w:t>the AQ32 Spreadsheet</w:t>
      </w:r>
      <w:r w:rsidR="00CA5433">
        <w:rPr>
          <w:rFonts w:asciiTheme="minorHAnsi" w:hAnsiTheme="minorHAnsi"/>
          <w:sz w:val="24"/>
          <w:szCs w:val="24"/>
        </w:rPr>
        <w:t>)</w:t>
      </w:r>
      <w:r w:rsidRPr="009C60D2">
        <w:rPr>
          <w:rFonts w:asciiTheme="minorHAnsi" w:hAnsiTheme="minorHAnsi"/>
          <w:sz w:val="24"/>
          <w:szCs w:val="24"/>
        </w:rPr>
        <w:t>.</w:t>
      </w:r>
    </w:p>
    <w:p w14:paraId="53D4B56E" w14:textId="77777777" w:rsidR="00E3779D" w:rsidRPr="00B221A2" w:rsidRDefault="00E3779D" w:rsidP="00262E3E">
      <w:pPr>
        <w:rPr>
          <w:rFonts w:asciiTheme="minorHAnsi" w:hAnsiTheme="minorHAnsi"/>
          <w:sz w:val="24"/>
          <w:szCs w:val="24"/>
        </w:rPr>
      </w:pPr>
    </w:p>
    <w:p w14:paraId="22412F61" w14:textId="77777777" w:rsidR="00E3779D" w:rsidRPr="00B221A2" w:rsidRDefault="00E3779D" w:rsidP="00262E3E">
      <w:pPr>
        <w:rPr>
          <w:rFonts w:asciiTheme="minorHAnsi" w:hAnsiTheme="minorHAnsi"/>
          <w:sz w:val="24"/>
          <w:szCs w:val="24"/>
        </w:rPr>
      </w:pPr>
      <w:r w:rsidRPr="00B221A2">
        <w:rPr>
          <w:rFonts w:asciiTheme="minorHAnsi" w:hAnsiTheme="minorHAnsi"/>
          <w:sz w:val="24"/>
          <w:szCs w:val="24"/>
        </w:rPr>
        <w:t xml:space="preserve">Please note that the emission factors associated with consumption of electricity in Massachusetts change each year. Therefore, only the spreadsheet that corresponds to a particular reporting year can be used to calculate that year’s emissions. </w:t>
      </w:r>
      <w:r w:rsidRPr="00B221A2">
        <w:rPr>
          <w:rFonts w:asciiTheme="minorHAnsi" w:hAnsiTheme="minorHAnsi"/>
          <w:b/>
          <w:sz w:val="24"/>
          <w:szCs w:val="24"/>
        </w:rPr>
        <w:t>A revised spreadsheet will be posted for each reporting year.</w:t>
      </w:r>
    </w:p>
    <w:p w14:paraId="16EF78F9" w14:textId="35A60872" w:rsidR="00E3779D" w:rsidRPr="00B221A2" w:rsidRDefault="00E3779D" w:rsidP="00262E3E">
      <w:pPr>
        <w:pStyle w:val="Heading2"/>
        <w:rPr>
          <w:rFonts w:asciiTheme="minorHAnsi" w:hAnsiTheme="minorHAnsi"/>
          <w:sz w:val="24"/>
          <w:szCs w:val="24"/>
        </w:rPr>
      </w:pPr>
      <w:r w:rsidRPr="00B221A2">
        <w:rPr>
          <w:b/>
          <w:bCs/>
          <w:color w:val="auto"/>
          <w:sz w:val="24"/>
          <w:szCs w:val="24"/>
        </w:rPr>
        <w:t>10.</w:t>
      </w:r>
      <w:r w:rsidR="00B221A2">
        <w:rPr>
          <w:b/>
          <w:bCs/>
          <w:color w:val="auto"/>
          <w:sz w:val="24"/>
          <w:szCs w:val="24"/>
        </w:rPr>
        <w:t xml:space="preserve"> </w:t>
      </w:r>
      <w:r w:rsidRPr="00B221A2">
        <w:rPr>
          <w:b/>
          <w:bCs/>
          <w:color w:val="auto"/>
          <w:sz w:val="24"/>
          <w:szCs w:val="24"/>
        </w:rPr>
        <w:t>In what format and to whom do I send my AQ32 Form and Spreadsheet?</w:t>
      </w:r>
    </w:p>
    <w:p w14:paraId="3DD85818" w14:textId="6A9C9E7B" w:rsidR="00E3779D" w:rsidRPr="00B221A2" w:rsidRDefault="00E3779D" w:rsidP="00262E3E">
      <w:pPr>
        <w:pStyle w:val="texthang"/>
        <w:tabs>
          <w:tab w:val="clear" w:pos="360"/>
          <w:tab w:val="left" w:pos="0"/>
        </w:tabs>
        <w:ind w:left="0" w:firstLine="0"/>
        <w:rPr>
          <w:rFonts w:asciiTheme="minorHAnsi" w:hAnsiTheme="minorHAnsi"/>
          <w:sz w:val="24"/>
          <w:szCs w:val="24"/>
        </w:rPr>
      </w:pPr>
      <w:r w:rsidRPr="00B221A2">
        <w:rPr>
          <w:rFonts w:asciiTheme="minorHAnsi" w:hAnsiTheme="minorHAnsi"/>
          <w:sz w:val="24"/>
          <w:szCs w:val="24"/>
        </w:rPr>
        <w:t xml:space="preserve">You </w:t>
      </w:r>
      <w:r w:rsidR="00BE541A">
        <w:rPr>
          <w:rFonts w:asciiTheme="minorHAnsi" w:hAnsiTheme="minorHAnsi"/>
          <w:sz w:val="24"/>
          <w:szCs w:val="24"/>
        </w:rPr>
        <w:t>must</w:t>
      </w:r>
      <w:r w:rsidRPr="00B221A2">
        <w:rPr>
          <w:rFonts w:asciiTheme="minorHAnsi" w:hAnsiTheme="minorHAnsi"/>
          <w:sz w:val="24"/>
          <w:szCs w:val="24"/>
        </w:rPr>
        <w:t xml:space="preserve"> submit </w:t>
      </w:r>
      <w:r w:rsidR="009C60D2" w:rsidRPr="00B221A2">
        <w:rPr>
          <w:rFonts w:asciiTheme="minorHAnsi" w:hAnsiTheme="minorHAnsi"/>
          <w:sz w:val="24"/>
          <w:szCs w:val="24"/>
        </w:rPr>
        <w:t xml:space="preserve">electronic copies of the AQ32 Form </w:t>
      </w:r>
      <w:r w:rsidR="009C60D2">
        <w:rPr>
          <w:rFonts w:asciiTheme="minorHAnsi" w:hAnsiTheme="minorHAnsi"/>
          <w:sz w:val="24"/>
          <w:szCs w:val="24"/>
        </w:rPr>
        <w:t xml:space="preserve">in </w:t>
      </w:r>
      <w:r w:rsidR="009C60D2" w:rsidRPr="00B221A2">
        <w:rPr>
          <w:rFonts w:asciiTheme="minorHAnsi" w:hAnsiTheme="minorHAnsi"/>
          <w:sz w:val="24"/>
          <w:szCs w:val="24"/>
        </w:rPr>
        <w:t>Adobe format and the accompanying AQ</w:t>
      </w:r>
      <w:r w:rsidR="009C60D2">
        <w:rPr>
          <w:rFonts w:asciiTheme="minorHAnsi" w:hAnsiTheme="minorHAnsi"/>
          <w:sz w:val="24"/>
          <w:szCs w:val="24"/>
        </w:rPr>
        <w:t>3</w:t>
      </w:r>
      <w:r w:rsidR="009C60D2" w:rsidRPr="00B221A2">
        <w:rPr>
          <w:rFonts w:asciiTheme="minorHAnsi" w:hAnsiTheme="minorHAnsi"/>
          <w:sz w:val="24"/>
          <w:szCs w:val="24"/>
        </w:rPr>
        <w:t xml:space="preserve">2 Spreadsheet (in spreadsheet format, to show calculations) to MassDEP </w:t>
      </w:r>
      <w:r w:rsidR="009C60D2" w:rsidRPr="00B221A2">
        <w:rPr>
          <w:rFonts w:asciiTheme="minorHAnsi" w:hAnsiTheme="minorHAnsi"/>
          <w:sz w:val="24"/>
          <w:szCs w:val="24"/>
        </w:rPr>
        <w:t xml:space="preserve">by email to: </w:t>
      </w:r>
      <w:hyperlink r:id="rId14" w:history="1">
        <w:r w:rsidR="009C60D2" w:rsidRPr="00B221A2">
          <w:rPr>
            <w:rStyle w:val="Hyperlink"/>
            <w:rFonts w:asciiTheme="minorHAnsi" w:hAnsiTheme="minorHAnsi"/>
            <w:sz w:val="24"/>
            <w:szCs w:val="24"/>
          </w:rPr>
          <w:t>climate.strategies@mass.gov</w:t>
        </w:r>
      </w:hyperlink>
      <w:r w:rsidRPr="00B221A2">
        <w:rPr>
          <w:rFonts w:asciiTheme="minorHAnsi" w:hAnsiTheme="minorHAnsi"/>
          <w:sz w:val="24"/>
          <w:szCs w:val="24"/>
        </w:rPr>
        <w:t>.</w:t>
      </w:r>
    </w:p>
    <w:p w14:paraId="3F3E0214" w14:textId="1230DF81" w:rsidR="00E3779D" w:rsidRPr="00B221A2" w:rsidRDefault="00E3779D" w:rsidP="00262E3E">
      <w:pPr>
        <w:pStyle w:val="Heading2"/>
        <w:rPr>
          <w:b/>
          <w:bCs/>
          <w:color w:val="auto"/>
          <w:sz w:val="24"/>
          <w:szCs w:val="24"/>
        </w:rPr>
      </w:pPr>
      <w:r w:rsidRPr="00B221A2">
        <w:rPr>
          <w:b/>
          <w:bCs/>
          <w:color w:val="auto"/>
          <w:sz w:val="24"/>
          <w:szCs w:val="24"/>
        </w:rPr>
        <w:t>11.</w:t>
      </w:r>
      <w:r w:rsidR="00262E3E">
        <w:rPr>
          <w:b/>
          <w:bCs/>
          <w:color w:val="auto"/>
          <w:sz w:val="24"/>
          <w:szCs w:val="24"/>
        </w:rPr>
        <w:t xml:space="preserve"> </w:t>
      </w:r>
      <w:r w:rsidRPr="00B221A2">
        <w:rPr>
          <w:b/>
          <w:bCs/>
          <w:color w:val="auto"/>
          <w:sz w:val="24"/>
          <w:szCs w:val="24"/>
        </w:rPr>
        <w:t>What are the reporting fees and timelines?</w:t>
      </w:r>
    </w:p>
    <w:p w14:paraId="35A87633" w14:textId="2CB61C68" w:rsidR="00E3779D" w:rsidRPr="00B221A2" w:rsidRDefault="00E3779D" w:rsidP="00262E3E">
      <w:pPr>
        <w:pStyle w:val="texthang"/>
        <w:tabs>
          <w:tab w:val="clear" w:pos="360"/>
          <w:tab w:val="left" w:pos="0"/>
        </w:tabs>
        <w:ind w:left="0" w:firstLine="0"/>
        <w:rPr>
          <w:rFonts w:asciiTheme="minorHAnsi" w:hAnsiTheme="minorHAnsi"/>
          <w:sz w:val="24"/>
          <w:szCs w:val="24"/>
        </w:rPr>
      </w:pPr>
      <w:r w:rsidRPr="00B221A2">
        <w:rPr>
          <w:rFonts w:asciiTheme="minorHAnsi" w:hAnsiTheme="minorHAnsi"/>
          <w:sz w:val="24"/>
          <w:szCs w:val="24"/>
        </w:rPr>
        <w:t>As of April 1, 202</w:t>
      </w:r>
      <w:r w:rsidR="00D115EC">
        <w:rPr>
          <w:rFonts w:asciiTheme="minorHAnsi" w:hAnsiTheme="minorHAnsi"/>
          <w:sz w:val="24"/>
          <w:szCs w:val="24"/>
        </w:rPr>
        <w:t>6</w:t>
      </w:r>
      <w:r w:rsidRPr="00B221A2">
        <w:rPr>
          <w:rFonts w:asciiTheme="minorHAnsi" w:hAnsiTheme="minorHAnsi"/>
          <w:sz w:val="24"/>
          <w:szCs w:val="24"/>
        </w:rPr>
        <w:t>, reporting under AQ32 “Mandatory Greenhouse Gas Emissions Reporting Form and Spreadsheet for Retail Sellers of Electricity” is not subject to 310 CMR 4.00 and therefore is not subject to fees and review timelines established under that regulation.</w:t>
      </w:r>
    </w:p>
    <w:p w14:paraId="04F1475A" w14:textId="112456A0" w:rsidR="00E3779D" w:rsidRPr="00B221A2" w:rsidRDefault="00E3779D" w:rsidP="00262E3E">
      <w:pPr>
        <w:pStyle w:val="Heading2"/>
        <w:rPr>
          <w:b/>
          <w:bCs/>
          <w:color w:val="auto"/>
          <w:sz w:val="24"/>
          <w:szCs w:val="24"/>
        </w:rPr>
      </w:pPr>
      <w:r w:rsidRPr="00B221A2">
        <w:rPr>
          <w:b/>
          <w:bCs/>
          <w:color w:val="auto"/>
          <w:sz w:val="24"/>
          <w:szCs w:val="24"/>
        </w:rPr>
        <w:t>12.</w:t>
      </w:r>
      <w:r w:rsidR="00B221A2">
        <w:rPr>
          <w:b/>
          <w:bCs/>
          <w:color w:val="auto"/>
          <w:sz w:val="24"/>
          <w:szCs w:val="24"/>
        </w:rPr>
        <w:t xml:space="preserve"> </w:t>
      </w:r>
      <w:r w:rsidRPr="00B221A2">
        <w:rPr>
          <w:b/>
          <w:bCs/>
          <w:color w:val="auto"/>
          <w:sz w:val="24"/>
          <w:szCs w:val="24"/>
        </w:rPr>
        <w:t>What is the annual compliance fee?</w:t>
      </w:r>
    </w:p>
    <w:p w14:paraId="53C62AD1" w14:textId="4D0163CB" w:rsidR="00E3779D" w:rsidRPr="00B221A2" w:rsidRDefault="00E3779D" w:rsidP="00262E3E">
      <w:pPr>
        <w:pStyle w:val="texthang"/>
        <w:rPr>
          <w:rFonts w:asciiTheme="minorHAnsi" w:hAnsiTheme="minorHAnsi"/>
          <w:sz w:val="24"/>
          <w:szCs w:val="24"/>
        </w:rPr>
      </w:pPr>
      <w:r w:rsidRPr="00B221A2">
        <w:rPr>
          <w:rFonts w:asciiTheme="minorHAnsi" w:hAnsiTheme="minorHAnsi"/>
          <w:sz w:val="24"/>
          <w:szCs w:val="24"/>
        </w:rPr>
        <w:t>As of April 1, 202</w:t>
      </w:r>
      <w:r w:rsidR="008E7235" w:rsidRPr="00B221A2">
        <w:rPr>
          <w:rFonts w:asciiTheme="minorHAnsi" w:hAnsiTheme="minorHAnsi"/>
          <w:sz w:val="24"/>
          <w:szCs w:val="24"/>
        </w:rPr>
        <w:t>6</w:t>
      </w:r>
      <w:r w:rsidRPr="00B221A2">
        <w:rPr>
          <w:rFonts w:asciiTheme="minorHAnsi" w:hAnsiTheme="minorHAnsi"/>
          <w:sz w:val="24"/>
          <w:szCs w:val="24"/>
        </w:rPr>
        <w:t>, there is no annual compliance fee specifically for this program.</w:t>
      </w:r>
    </w:p>
    <w:p w14:paraId="75080927" w14:textId="2CF009A2" w:rsidR="00E3779D" w:rsidRPr="00B221A2" w:rsidRDefault="00E3779D" w:rsidP="00262E3E">
      <w:pPr>
        <w:pStyle w:val="Heading2"/>
        <w:rPr>
          <w:b/>
          <w:bCs/>
          <w:color w:val="auto"/>
          <w:sz w:val="24"/>
          <w:szCs w:val="24"/>
        </w:rPr>
      </w:pPr>
      <w:r w:rsidRPr="00B221A2">
        <w:rPr>
          <w:b/>
          <w:bCs/>
          <w:color w:val="auto"/>
          <w:sz w:val="24"/>
          <w:szCs w:val="24"/>
        </w:rPr>
        <w:lastRenderedPageBreak/>
        <w:t>13.</w:t>
      </w:r>
      <w:r w:rsidR="00B221A2">
        <w:rPr>
          <w:b/>
          <w:bCs/>
          <w:color w:val="auto"/>
          <w:sz w:val="24"/>
          <w:szCs w:val="24"/>
        </w:rPr>
        <w:t xml:space="preserve"> </w:t>
      </w:r>
      <w:r w:rsidRPr="00B221A2">
        <w:rPr>
          <w:b/>
          <w:bCs/>
          <w:color w:val="auto"/>
          <w:sz w:val="24"/>
          <w:szCs w:val="24"/>
        </w:rPr>
        <w:t>What are the regulations that apply to these submittals? Where can I get copies?</w:t>
      </w:r>
    </w:p>
    <w:p w14:paraId="44E3A3AC" w14:textId="2BC92441" w:rsidR="00E3779D" w:rsidRPr="00B221A2" w:rsidRDefault="00E3779D" w:rsidP="00262E3E">
      <w:pPr>
        <w:pStyle w:val="texthang"/>
        <w:rPr>
          <w:rFonts w:asciiTheme="minorHAnsi" w:hAnsiTheme="minorHAnsi"/>
          <w:sz w:val="24"/>
          <w:szCs w:val="24"/>
        </w:rPr>
      </w:pPr>
      <w:r w:rsidRPr="00B221A2">
        <w:rPr>
          <w:rFonts w:asciiTheme="minorHAnsi" w:hAnsiTheme="minorHAnsi"/>
          <w:sz w:val="24"/>
          <w:szCs w:val="24"/>
        </w:rPr>
        <w:t>The applicable regulations include, but are not limited to:</w:t>
      </w:r>
    </w:p>
    <w:p w14:paraId="79B95CE1" w14:textId="33A2D3C5" w:rsidR="00E3779D" w:rsidRPr="00B221A2" w:rsidRDefault="00E3779D" w:rsidP="00262E3E">
      <w:pPr>
        <w:pStyle w:val="texthang"/>
        <w:tabs>
          <w:tab w:val="clear" w:pos="360"/>
          <w:tab w:val="left" w:pos="0"/>
        </w:tabs>
        <w:ind w:left="0" w:firstLine="0"/>
        <w:rPr>
          <w:rFonts w:asciiTheme="minorHAnsi" w:hAnsiTheme="minorHAnsi"/>
          <w:sz w:val="24"/>
          <w:szCs w:val="24"/>
        </w:rPr>
      </w:pPr>
      <w:r w:rsidRPr="00B221A2">
        <w:rPr>
          <w:rFonts w:asciiTheme="minorHAnsi" w:hAnsiTheme="minorHAnsi"/>
          <w:sz w:val="24"/>
          <w:szCs w:val="24"/>
        </w:rPr>
        <w:t>Massachusetts Air Quality Regulations, 310 CMR 7.00. The specific requirement for retail electricity sellers to report greenhouse gas emissions is at 310 CMR 7.75(9).</w:t>
      </w:r>
    </w:p>
    <w:p w14:paraId="76A98A3F" w14:textId="08A3061C" w:rsidR="00E3779D" w:rsidRPr="00B221A2" w:rsidRDefault="00E3779D" w:rsidP="00262E3E">
      <w:pPr>
        <w:pStyle w:val="texthang"/>
        <w:rPr>
          <w:rFonts w:asciiTheme="minorHAnsi" w:hAnsiTheme="minorHAnsi"/>
          <w:sz w:val="24"/>
          <w:szCs w:val="24"/>
        </w:rPr>
      </w:pPr>
      <w:r w:rsidRPr="00B221A2">
        <w:rPr>
          <w:rFonts w:asciiTheme="minorHAnsi" w:hAnsiTheme="minorHAnsi"/>
          <w:sz w:val="24"/>
          <w:szCs w:val="24"/>
        </w:rPr>
        <w:t xml:space="preserve">The state regulations may be purchased online at </w:t>
      </w:r>
      <w:hyperlink r:id="rId15" w:history="1">
        <w:r w:rsidRPr="00B221A2">
          <w:rPr>
            <w:rStyle w:val="Hyperlink"/>
            <w:rFonts w:asciiTheme="minorHAnsi" w:hAnsiTheme="minorHAnsi"/>
            <w:sz w:val="24"/>
            <w:szCs w:val="24"/>
          </w:rPr>
          <w:t>Massachusetts State Bookstore</w:t>
        </w:r>
      </w:hyperlink>
      <w:r w:rsidRPr="00B221A2">
        <w:rPr>
          <w:rFonts w:asciiTheme="minorHAnsi" w:hAnsiTheme="minorHAnsi"/>
          <w:sz w:val="24"/>
          <w:szCs w:val="24"/>
        </w:rPr>
        <w:t xml:space="preserve"> or at:</w:t>
      </w:r>
    </w:p>
    <w:p w14:paraId="7244A505" w14:textId="77777777" w:rsidR="00914D97" w:rsidRPr="00B221A2" w:rsidRDefault="00914D97" w:rsidP="00262E3E">
      <w:pPr>
        <w:pStyle w:val="texthang"/>
        <w:rPr>
          <w:rFonts w:asciiTheme="minorHAnsi" w:hAnsiTheme="minorHAnsi"/>
          <w:sz w:val="24"/>
          <w:szCs w:val="24"/>
        </w:rPr>
      </w:pPr>
    </w:p>
    <w:p w14:paraId="6129945C" w14:textId="647E5B55" w:rsidR="00E3779D" w:rsidRPr="00455BA4" w:rsidRDefault="00914D97" w:rsidP="00262E3E">
      <w:pPr>
        <w:pStyle w:val="texthang"/>
        <w:numPr>
          <w:ilvl w:val="0"/>
          <w:numId w:val="6"/>
        </w:numPr>
        <w:rPr>
          <w:rFonts w:asciiTheme="minorHAnsi" w:hAnsiTheme="minorHAnsi"/>
          <w:sz w:val="24"/>
          <w:szCs w:val="24"/>
        </w:rPr>
      </w:pPr>
      <w:r w:rsidRPr="00455BA4">
        <w:rPr>
          <w:rFonts w:asciiTheme="minorHAnsi" w:hAnsiTheme="minorHAnsi"/>
          <w:sz w:val="24"/>
          <w:szCs w:val="24"/>
        </w:rPr>
        <w:t>State Bookstore (in State House)</w:t>
      </w:r>
      <w:r w:rsidR="00D115EC" w:rsidRPr="00455BA4">
        <w:rPr>
          <w:rFonts w:asciiTheme="minorHAnsi" w:hAnsiTheme="minorHAnsi"/>
          <w:sz w:val="24"/>
          <w:szCs w:val="24"/>
        </w:rPr>
        <w:t xml:space="preserve">, </w:t>
      </w:r>
      <w:r w:rsidRPr="00455BA4">
        <w:rPr>
          <w:rFonts w:asciiTheme="minorHAnsi" w:hAnsiTheme="minorHAnsi"/>
          <w:sz w:val="24"/>
          <w:szCs w:val="24"/>
        </w:rPr>
        <w:t>Room 116</w:t>
      </w:r>
      <w:r w:rsidR="00D115EC" w:rsidRPr="00455BA4">
        <w:rPr>
          <w:rFonts w:asciiTheme="minorHAnsi" w:hAnsiTheme="minorHAnsi"/>
          <w:sz w:val="24"/>
          <w:szCs w:val="24"/>
        </w:rPr>
        <w:t xml:space="preserve">, </w:t>
      </w:r>
      <w:r w:rsidRPr="00455BA4">
        <w:rPr>
          <w:rFonts w:asciiTheme="minorHAnsi" w:hAnsiTheme="minorHAnsi"/>
          <w:sz w:val="24"/>
          <w:szCs w:val="24"/>
        </w:rPr>
        <w:t>Boston, MA 02133</w:t>
      </w:r>
      <w:r w:rsidR="00455BA4" w:rsidRPr="00455BA4">
        <w:rPr>
          <w:rFonts w:asciiTheme="minorHAnsi" w:hAnsiTheme="minorHAnsi"/>
          <w:sz w:val="24"/>
          <w:szCs w:val="24"/>
        </w:rPr>
        <w:t>,</w:t>
      </w:r>
      <w:r w:rsidR="00455BA4">
        <w:rPr>
          <w:rFonts w:asciiTheme="minorHAnsi" w:hAnsiTheme="minorHAnsi"/>
          <w:sz w:val="24"/>
          <w:szCs w:val="24"/>
        </w:rPr>
        <w:t xml:space="preserve"> </w:t>
      </w:r>
      <w:r w:rsidR="00D115EC" w:rsidRPr="00455BA4">
        <w:rPr>
          <w:rFonts w:asciiTheme="minorHAnsi" w:hAnsiTheme="minorHAnsi"/>
          <w:sz w:val="24"/>
          <w:szCs w:val="24"/>
        </w:rPr>
        <w:t xml:space="preserve">Phone Number: </w:t>
      </w:r>
      <w:r w:rsidRPr="00455BA4">
        <w:rPr>
          <w:rFonts w:asciiTheme="minorHAnsi" w:hAnsiTheme="minorHAnsi"/>
          <w:sz w:val="24"/>
          <w:szCs w:val="24"/>
        </w:rPr>
        <w:t>617-727-2834</w:t>
      </w:r>
    </w:p>
    <w:p w14:paraId="10837591" w14:textId="599A9268" w:rsidR="00914D97" w:rsidRPr="00455BA4" w:rsidRDefault="00914D97" w:rsidP="00262E3E">
      <w:pPr>
        <w:pStyle w:val="texthang"/>
        <w:numPr>
          <w:ilvl w:val="0"/>
          <w:numId w:val="6"/>
        </w:numPr>
        <w:rPr>
          <w:rFonts w:asciiTheme="minorHAnsi" w:hAnsiTheme="minorHAnsi"/>
          <w:sz w:val="24"/>
          <w:szCs w:val="24"/>
        </w:rPr>
      </w:pPr>
      <w:r w:rsidRPr="00455BA4">
        <w:rPr>
          <w:rFonts w:asciiTheme="minorHAnsi" w:hAnsiTheme="minorHAnsi"/>
          <w:sz w:val="24"/>
          <w:szCs w:val="24"/>
        </w:rPr>
        <w:t>State House West Bookstore</w:t>
      </w:r>
      <w:r w:rsidR="00D115EC" w:rsidRPr="00455BA4">
        <w:rPr>
          <w:rFonts w:asciiTheme="minorHAnsi" w:hAnsiTheme="minorHAnsi"/>
          <w:sz w:val="24"/>
          <w:szCs w:val="24"/>
        </w:rPr>
        <w:t xml:space="preserve">, </w:t>
      </w:r>
      <w:r w:rsidRPr="00455BA4">
        <w:rPr>
          <w:rFonts w:asciiTheme="minorHAnsi" w:hAnsiTheme="minorHAnsi"/>
          <w:sz w:val="24"/>
          <w:szCs w:val="24"/>
        </w:rPr>
        <w:t>436 Dwight Street, Room 102</w:t>
      </w:r>
      <w:r w:rsidR="00D115EC" w:rsidRPr="00455BA4">
        <w:rPr>
          <w:rFonts w:asciiTheme="minorHAnsi" w:hAnsiTheme="minorHAnsi"/>
          <w:sz w:val="24"/>
          <w:szCs w:val="24"/>
        </w:rPr>
        <w:t xml:space="preserve">, </w:t>
      </w:r>
      <w:r w:rsidRPr="00455BA4">
        <w:rPr>
          <w:rFonts w:asciiTheme="minorHAnsi" w:hAnsiTheme="minorHAnsi"/>
          <w:sz w:val="24"/>
          <w:szCs w:val="24"/>
        </w:rPr>
        <w:t>Springfield, MA 01103</w:t>
      </w:r>
      <w:r w:rsidR="00455BA4" w:rsidRPr="00455BA4">
        <w:rPr>
          <w:rFonts w:asciiTheme="minorHAnsi" w:hAnsiTheme="minorHAnsi"/>
          <w:sz w:val="24"/>
          <w:szCs w:val="24"/>
        </w:rPr>
        <w:t>,</w:t>
      </w:r>
      <w:r w:rsidR="00455BA4">
        <w:rPr>
          <w:rFonts w:asciiTheme="minorHAnsi" w:hAnsiTheme="minorHAnsi"/>
          <w:sz w:val="24"/>
          <w:szCs w:val="24"/>
        </w:rPr>
        <w:t xml:space="preserve"> </w:t>
      </w:r>
      <w:r w:rsidR="00D115EC" w:rsidRPr="00455BA4">
        <w:rPr>
          <w:rFonts w:asciiTheme="minorHAnsi" w:hAnsiTheme="minorHAnsi"/>
          <w:sz w:val="24"/>
          <w:szCs w:val="24"/>
        </w:rPr>
        <w:t xml:space="preserve">Phone Number: </w:t>
      </w:r>
      <w:r w:rsidRPr="00455BA4">
        <w:rPr>
          <w:rFonts w:asciiTheme="minorHAnsi" w:hAnsiTheme="minorHAnsi"/>
          <w:sz w:val="24"/>
          <w:szCs w:val="24"/>
        </w:rPr>
        <w:t>413-784-1376</w:t>
      </w:r>
    </w:p>
    <w:p w14:paraId="14F8FDC8" w14:textId="77777777" w:rsidR="00E3779D" w:rsidRPr="00B221A2" w:rsidRDefault="00E3779D" w:rsidP="00262E3E">
      <w:pPr>
        <w:pStyle w:val="texthang"/>
        <w:rPr>
          <w:rFonts w:asciiTheme="minorHAnsi" w:hAnsiTheme="minorHAnsi"/>
          <w:sz w:val="24"/>
          <w:szCs w:val="24"/>
        </w:rPr>
      </w:pPr>
    </w:p>
    <w:p w14:paraId="01797876" w14:textId="64A8A391" w:rsidR="00E26F23" w:rsidRPr="00B221A2" w:rsidRDefault="00D115EC" w:rsidP="00262E3E">
      <w:pPr>
        <w:pStyle w:val="texthang"/>
        <w:tabs>
          <w:tab w:val="clear" w:pos="360"/>
          <w:tab w:val="left" w:pos="0"/>
        </w:tabs>
        <w:ind w:left="0" w:firstLine="0"/>
        <w:rPr>
          <w:rFonts w:asciiTheme="minorHAnsi" w:hAnsiTheme="minorHAnsi"/>
          <w:sz w:val="24"/>
          <w:szCs w:val="24"/>
        </w:rPr>
      </w:pPr>
      <w:r>
        <w:rPr>
          <w:rFonts w:asciiTheme="minorHAnsi" w:hAnsiTheme="minorHAnsi"/>
          <w:caps/>
          <w:sz w:val="24"/>
          <w:szCs w:val="24"/>
        </w:rPr>
        <w:t>A</w:t>
      </w:r>
      <w:r w:rsidR="00E3779D" w:rsidRPr="00B221A2">
        <w:rPr>
          <w:rFonts w:asciiTheme="minorHAnsi" w:hAnsiTheme="minorHAnsi"/>
          <w:sz w:val="24"/>
          <w:szCs w:val="24"/>
        </w:rPr>
        <w:t xml:space="preserve">n unofficial copy of these regulations may also be obtained at </w:t>
      </w:r>
      <w:hyperlink r:id="rId16" w:history="1">
        <w:r w:rsidR="0018129C">
          <w:rPr>
            <w:rStyle w:val="Hyperlink"/>
            <w:rFonts w:asciiTheme="minorHAnsi" w:hAnsiTheme="minorHAnsi"/>
            <w:sz w:val="24"/>
            <w:szCs w:val="24"/>
          </w:rPr>
          <w:t>310 CMR 7.00: Air Pollution Control</w:t>
        </w:r>
      </w:hyperlink>
      <w:r>
        <w:rPr>
          <w:rFonts w:asciiTheme="minorHAnsi" w:hAnsiTheme="minorHAnsi"/>
          <w:sz w:val="24"/>
          <w:szCs w:val="24"/>
        </w:rPr>
        <w:t>.</w:t>
      </w:r>
    </w:p>
    <w:sectPr w:rsidR="00E26F23" w:rsidRPr="00B221A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8955" w14:textId="77777777" w:rsidR="005F7AC1" w:rsidRDefault="005F7AC1" w:rsidP="00B869A3">
      <w:r>
        <w:separator/>
      </w:r>
    </w:p>
  </w:endnote>
  <w:endnote w:type="continuationSeparator" w:id="0">
    <w:p w14:paraId="03E4DA0F" w14:textId="77777777" w:rsidR="005F7AC1" w:rsidRDefault="005F7AC1" w:rsidP="00B86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007596"/>
      <w:docPartObj>
        <w:docPartGallery w:val="Page Numbers (Bottom of Page)"/>
        <w:docPartUnique/>
      </w:docPartObj>
    </w:sdtPr>
    <w:sdtContent>
      <w:sdt>
        <w:sdtPr>
          <w:id w:val="-1769616900"/>
          <w:docPartObj>
            <w:docPartGallery w:val="Page Numbers (Top of Page)"/>
            <w:docPartUnique/>
          </w:docPartObj>
        </w:sdtPr>
        <w:sdtContent>
          <w:p w14:paraId="229A66E0" w14:textId="6311CC34" w:rsidR="00B869A3" w:rsidRPr="00B869A3" w:rsidRDefault="00B869A3">
            <w:pPr>
              <w:pStyle w:val="Footer"/>
              <w:jc w:val="right"/>
            </w:pPr>
            <w:r w:rsidRPr="00B869A3">
              <w:t xml:space="preserve">Page </w:t>
            </w:r>
            <w:r w:rsidRPr="00B869A3">
              <w:rPr>
                <w:sz w:val="24"/>
                <w:szCs w:val="24"/>
              </w:rPr>
              <w:fldChar w:fldCharType="begin"/>
            </w:r>
            <w:r w:rsidRPr="00B869A3">
              <w:instrText xml:space="preserve"> PAGE </w:instrText>
            </w:r>
            <w:r w:rsidRPr="00B869A3">
              <w:rPr>
                <w:sz w:val="24"/>
                <w:szCs w:val="24"/>
              </w:rPr>
              <w:fldChar w:fldCharType="separate"/>
            </w:r>
            <w:r w:rsidRPr="00B869A3">
              <w:rPr>
                <w:noProof/>
              </w:rPr>
              <w:t>2</w:t>
            </w:r>
            <w:r w:rsidRPr="00B869A3">
              <w:rPr>
                <w:sz w:val="24"/>
                <w:szCs w:val="24"/>
              </w:rPr>
              <w:fldChar w:fldCharType="end"/>
            </w:r>
            <w:r w:rsidRPr="00B869A3">
              <w:t xml:space="preserve"> of </w:t>
            </w:r>
            <w:fldSimple w:instr=" NUMPAGES  ">
              <w:r w:rsidRPr="00B869A3">
                <w:rPr>
                  <w:noProof/>
                </w:rPr>
                <w:t>2</w:t>
              </w:r>
            </w:fldSimple>
          </w:p>
        </w:sdtContent>
      </w:sdt>
    </w:sdtContent>
  </w:sdt>
  <w:p w14:paraId="389C3ECA" w14:textId="71AAEF42" w:rsidR="00B869A3" w:rsidRDefault="00B869A3">
    <w:pPr>
      <w:pStyle w:val="Footer"/>
    </w:pPr>
    <w:r>
      <w:t>AQ32 Instructions 7</w:t>
    </w:r>
    <w:r>
      <w:t>/</w:t>
    </w:r>
    <w:r w:rsidR="009B1A9A">
      <w:t>6</w:t>
    </w:r>
    <w:r>
      <w:t>/</w:t>
    </w:r>
    <w:r w:rsidR="009B1A9A">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E3F97" w14:textId="77777777" w:rsidR="005F7AC1" w:rsidRDefault="005F7AC1" w:rsidP="00B869A3">
      <w:r>
        <w:separator/>
      </w:r>
    </w:p>
  </w:footnote>
  <w:footnote w:type="continuationSeparator" w:id="0">
    <w:p w14:paraId="30B12A41" w14:textId="77777777" w:rsidR="005F7AC1" w:rsidRDefault="005F7AC1" w:rsidP="00B86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4E91"/>
    <w:multiLevelType w:val="hybridMultilevel"/>
    <w:tmpl w:val="C02036AC"/>
    <w:lvl w:ilvl="0" w:tplc="C81C73A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4B07EC"/>
    <w:multiLevelType w:val="hybridMultilevel"/>
    <w:tmpl w:val="E57C53AA"/>
    <w:lvl w:ilvl="0" w:tplc="CC463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EC2C64"/>
    <w:multiLevelType w:val="hybridMultilevel"/>
    <w:tmpl w:val="FE50C6FE"/>
    <w:lvl w:ilvl="0" w:tplc="C81C73A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305FE2"/>
    <w:multiLevelType w:val="hybridMultilevel"/>
    <w:tmpl w:val="6BB46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522018"/>
    <w:multiLevelType w:val="hybridMultilevel"/>
    <w:tmpl w:val="160C216A"/>
    <w:lvl w:ilvl="0" w:tplc="1166E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712C26"/>
    <w:multiLevelType w:val="hybridMultilevel"/>
    <w:tmpl w:val="BAC47200"/>
    <w:lvl w:ilvl="0" w:tplc="04090003">
      <w:start w:val="1"/>
      <w:numFmt w:val="bullet"/>
      <w:lvlText w:val="o"/>
      <w:lvlJc w:val="left"/>
      <w:pPr>
        <w:tabs>
          <w:tab w:val="num" w:pos="720"/>
        </w:tabs>
        <w:ind w:left="720" w:hanging="360"/>
      </w:pPr>
      <w:rPr>
        <w:rFonts w:ascii="Courier New" w:hAnsi="Courier New" w:cs="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843562">
    <w:abstractNumId w:val="2"/>
  </w:num>
  <w:num w:numId="2" w16cid:durableId="1835145520">
    <w:abstractNumId w:val="5"/>
  </w:num>
  <w:num w:numId="3" w16cid:durableId="524442910">
    <w:abstractNumId w:val="0"/>
  </w:num>
  <w:num w:numId="4" w16cid:durableId="1018003093">
    <w:abstractNumId w:val="4"/>
  </w:num>
  <w:num w:numId="5" w16cid:durableId="2049136947">
    <w:abstractNumId w:val="1"/>
  </w:num>
  <w:num w:numId="6" w16cid:durableId="1994798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9D"/>
    <w:rsid w:val="0009104C"/>
    <w:rsid w:val="0018129C"/>
    <w:rsid w:val="0019335D"/>
    <w:rsid w:val="001D1589"/>
    <w:rsid w:val="001D60D4"/>
    <w:rsid w:val="0026232B"/>
    <w:rsid w:val="00262E3E"/>
    <w:rsid w:val="00263F0E"/>
    <w:rsid w:val="0029681A"/>
    <w:rsid w:val="00337C5F"/>
    <w:rsid w:val="00346548"/>
    <w:rsid w:val="00455BA4"/>
    <w:rsid w:val="00480511"/>
    <w:rsid w:val="004C662B"/>
    <w:rsid w:val="005615D5"/>
    <w:rsid w:val="005C50E7"/>
    <w:rsid w:val="005F7AC1"/>
    <w:rsid w:val="006928FE"/>
    <w:rsid w:val="006D495F"/>
    <w:rsid w:val="007F1674"/>
    <w:rsid w:val="008D6BD7"/>
    <w:rsid w:val="008E7235"/>
    <w:rsid w:val="00914D97"/>
    <w:rsid w:val="00941625"/>
    <w:rsid w:val="00993CC9"/>
    <w:rsid w:val="009B1A9A"/>
    <w:rsid w:val="009C60D2"/>
    <w:rsid w:val="00AC5F69"/>
    <w:rsid w:val="00B221A2"/>
    <w:rsid w:val="00B55BB9"/>
    <w:rsid w:val="00B7564C"/>
    <w:rsid w:val="00B869A3"/>
    <w:rsid w:val="00BE541A"/>
    <w:rsid w:val="00C62A3E"/>
    <w:rsid w:val="00CA5433"/>
    <w:rsid w:val="00CE24E4"/>
    <w:rsid w:val="00D115EC"/>
    <w:rsid w:val="00E26F23"/>
    <w:rsid w:val="00E3779D"/>
    <w:rsid w:val="00ED0960"/>
    <w:rsid w:val="00ED4DC2"/>
    <w:rsid w:val="00F96932"/>
    <w:rsid w:val="00FC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1A5F6"/>
  <w15:chartTrackingRefBased/>
  <w15:docId w15:val="{63BC95BD-0607-4DCA-A29E-80E0873C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79D"/>
    <w:pPr>
      <w:spacing w:after="0" w:line="240" w:lineRule="auto"/>
    </w:pPr>
    <w:rPr>
      <w:rFonts w:ascii="Arial" w:eastAsia="Times" w:hAnsi="Arial" w:cs="Times New Roman"/>
      <w:kern w:val="0"/>
      <w:sz w:val="20"/>
      <w:szCs w:val="20"/>
      <w14:ligatures w14:val="none"/>
    </w:rPr>
  </w:style>
  <w:style w:type="paragraph" w:styleId="Heading1">
    <w:name w:val="heading 1"/>
    <w:basedOn w:val="Normal"/>
    <w:next w:val="Normal"/>
    <w:link w:val="Heading1Char"/>
    <w:uiPriority w:val="9"/>
    <w:qFormat/>
    <w:rsid w:val="00E37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7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7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7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7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7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79D"/>
    <w:rPr>
      <w:rFonts w:eastAsiaTheme="majorEastAsia" w:cstheme="majorBidi"/>
      <w:color w:val="272727" w:themeColor="text1" w:themeTint="D8"/>
    </w:rPr>
  </w:style>
  <w:style w:type="paragraph" w:styleId="Title">
    <w:name w:val="Title"/>
    <w:basedOn w:val="Normal"/>
    <w:next w:val="Normal"/>
    <w:link w:val="TitleChar"/>
    <w:uiPriority w:val="10"/>
    <w:qFormat/>
    <w:rsid w:val="00E377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79D"/>
    <w:pPr>
      <w:spacing w:before="160"/>
      <w:jc w:val="center"/>
    </w:pPr>
    <w:rPr>
      <w:i/>
      <w:iCs/>
      <w:color w:val="404040" w:themeColor="text1" w:themeTint="BF"/>
    </w:rPr>
  </w:style>
  <w:style w:type="character" w:customStyle="1" w:styleId="QuoteChar">
    <w:name w:val="Quote Char"/>
    <w:basedOn w:val="DefaultParagraphFont"/>
    <w:link w:val="Quote"/>
    <w:uiPriority w:val="29"/>
    <w:rsid w:val="00E3779D"/>
    <w:rPr>
      <w:i/>
      <w:iCs/>
      <w:color w:val="404040" w:themeColor="text1" w:themeTint="BF"/>
    </w:rPr>
  </w:style>
  <w:style w:type="paragraph" w:styleId="ListParagraph">
    <w:name w:val="List Paragraph"/>
    <w:basedOn w:val="Normal"/>
    <w:uiPriority w:val="34"/>
    <w:qFormat/>
    <w:rsid w:val="00E3779D"/>
    <w:pPr>
      <w:ind w:left="720"/>
      <w:contextualSpacing/>
    </w:pPr>
  </w:style>
  <w:style w:type="character" w:styleId="IntenseEmphasis">
    <w:name w:val="Intense Emphasis"/>
    <w:basedOn w:val="DefaultParagraphFont"/>
    <w:uiPriority w:val="21"/>
    <w:qFormat/>
    <w:rsid w:val="00E3779D"/>
    <w:rPr>
      <w:i/>
      <w:iCs/>
      <w:color w:val="0F4761" w:themeColor="accent1" w:themeShade="BF"/>
    </w:rPr>
  </w:style>
  <w:style w:type="paragraph" w:styleId="IntenseQuote">
    <w:name w:val="Intense Quote"/>
    <w:basedOn w:val="Normal"/>
    <w:next w:val="Normal"/>
    <w:link w:val="IntenseQuoteChar"/>
    <w:uiPriority w:val="30"/>
    <w:qFormat/>
    <w:rsid w:val="00E37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79D"/>
    <w:rPr>
      <w:i/>
      <w:iCs/>
      <w:color w:val="0F4761" w:themeColor="accent1" w:themeShade="BF"/>
    </w:rPr>
  </w:style>
  <w:style w:type="character" w:styleId="IntenseReference">
    <w:name w:val="Intense Reference"/>
    <w:basedOn w:val="DefaultParagraphFont"/>
    <w:uiPriority w:val="32"/>
    <w:qFormat/>
    <w:rsid w:val="00E3779D"/>
    <w:rPr>
      <w:b/>
      <w:bCs/>
      <w:smallCaps/>
      <w:color w:val="0F4761" w:themeColor="accent1" w:themeShade="BF"/>
      <w:spacing w:val="5"/>
    </w:rPr>
  </w:style>
  <w:style w:type="paragraph" w:customStyle="1" w:styleId="texthang">
    <w:name w:val="text hang"/>
    <w:basedOn w:val="Normal"/>
    <w:rsid w:val="00E3779D"/>
    <w:pPr>
      <w:tabs>
        <w:tab w:val="left" w:pos="360"/>
      </w:tabs>
      <w:ind w:left="360" w:hanging="360"/>
    </w:pPr>
  </w:style>
  <w:style w:type="character" w:styleId="Hyperlink">
    <w:name w:val="Hyperlink"/>
    <w:rsid w:val="00E3779D"/>
    <w:rPr>
      <w:color w:val="0000FF"/>
      <w:u w:val="single"/>
    </w:rPr>
  </w:style>
  <w:style w:type="character" w:styleId="FollowedHyperlink">
    <w:name w:val="FollowedHyperlink"/>
    <w:basedOn w:val="DefaultParagraphFont"/>
    <w:uiPriority w:val="99"/>
    <w:semiHidden/>
    <w:unhideWhenUsed/>
    <w:rsid w:val="00D115EC"/>
    <w:rPr>
      <w:color w:val="96607D" w:themeColor="followedHyperlink"/>
      <w:u w:val="single"/>
    </w:rPr>
  </w:style>
  <w:style w:type="character" w:styleId="UnresolvedMention">
    <w:name w:val="Unresolved Mention"/>
    <w:basedOn w:val="DefaultParagraphFont"/>
    <w:uiPriority w:val="99"/>
    <w:semiHidden/>
    <w:unhideWhenUsed/>
    <w:rsid w:val="00D115EC"/>
    <w:rPr>
      <w:color w:val="605E5C"/>
      <w:shd w:val="clear" w:color="auto" w:fill="E1DFDD"/>
    </w:rPr>
  </w:style>
  <w:style w:type="paragraph" w:styleId="Revision">
    <w:name w:val="Revision"/>
    <w:hidden/>
    <w:uiPriority w:val="99"/>
    <w:semiHidden/>
    <w:rsid w:val="00D115EC"/>
    <w:pPr>
      <w:spacing w:after="0" w:line="240" w:lineRule="auto"/>
    </w:pPr>
    <w:rPr>
      <w:rFonts w:ascii="Arial" w:eastAsia="Times" w:hAnsi="Arial" w:cs="Times New Roman"/>
      <w:kern w:val="0"/>
      <w:sz w:val="20"/>
      <w:szCs w:val="20"/>
      <w14:ligatures w14:val="none"/>
    </w:rPr>
  </w:style>
  <w:style w:type="paragraph" w:customStyle="1" w:styleId="head2upd">
    <w:name w:val="head 2 upd"/>
    <w:basedOn w:val="BodyText"/>
    <w:rsid w:val="005C50E7"/>
    <w:pPr>
      <w:spacing w:after="0"/>
      <w:ind w:right="-720"/>
    </w:pPr>
    <w:rPr>
      <w:rFonts w:eastAsia="Times New Roman"/>
      <w:b/>
      <w:sz w:val="24"/>
    </w:rPr>
  </w:style>
  <w:style w:type="paragraph" w:customStyle="1" w:styleId="formtitleupd">
    <w:name w:val="form title upd"/>
    <w:basedOn w:val="Normal"/>
    <w:rsid w:val="005C50E7"/>
    <w:pPr>
      <w:ind w:left="2160" w:hanging="2160"/>
    </w:pPr>
    <w:rPr>
      <w:b/>
      <w:sz w:val="48"/>
    </w:rPr>
  </w:style>
  <w:style w:type="paragraph" w:styleId="BodyText">
    <w:name w:val="Body Text"/>
    <w:basedOn w:val="Normal"/>
    <w:link w:val="BodyTextChar"/>
    <w:uiPriority w:val="99"/>
    <w:semiHidden/>
    <w:unhideWhenUsed/>
    <w:rsid w:val="005C50E7"/>
    <w:pPr>
      <w:spacing w:after="120"/>
    </w:pPr>
  </w:style>
  <w:style w:type="character" w:customStyle="1" w:styleId="BodyTextChar">
    <w:name w:val="Body Text Char"/>
    <w:basedOn w:val="DefaultParagraphFont"/>
    <w:link w:val="BodyText"/>
    <w:uiPriority w:val="99"/>
    <w:semiHidden/>
    <w:rsid w:val="005C50E7"/>
    <w:rPr>
      <w:rFonts w:ascii="Arial" w:eastAsia="Times" w:hAnsi="Arial" w:cs="Times New Roman"/>
      <w:kern w:val="0"/>
      <w:sz w:val="20"/>
      <w:szCs w:val="20"/>
      <w14:ligatures w14:val="none"/>
    </w:rPr>
  </w:style>
  <w:style w:type="paragraph" w:styleId="Header">
    <w:name w:val="header"/>
    <w:basedOn w:val="Normal"/>
    <w:link w:val="HeaderChar"/>
    <w:uiPriority w:val="99"/>
    <w:unhideWhenUsed/>
    <w:rsid w:val="00B869A3"/>
    <w:pPr>
      <w:tabs>
        <w:tab w:val="center" w:pos="4680"/>
        <w:tab w:val="right" w:pos="9360"/>
      </w:tabs>
    </w:pPr>
  </w:style>
  <w:style w:type="character" w:customStyle="1" w:styleId="HeaderChar">
    <w:name w:val="Header Char"/>
    <w:basedOn w:val="DefaultParagraphFont"/>
    <w:link w:val="Header"/>
    <w:uiPriority w:val="99"/>
    <w:rsid w:val="00B869A3"/>
    <w:rPr>
      <w:rFonts w:ascii="Arial" w:eastAsia="Times" w:hAnsi="Arial" w:cs="Times New Roman"/>
      <w:kern w:val="0"/>
      <w:sz w:val="20"/>
      <w:szCs w:val="20"/>
      <w14:ligatures w14:val="none"/>
    </w:rPr>
  </w:style>
  <w:style w:type="paragraph" w:styleId="Footer">
    <w:name w:val="footer"/>
    <w:basedOn w:val="Normal"/>
    <w:link w:val="FooterChar"/>
    <w:uiPriority w:val="99"/>
    <w:unhideWhenUsed/>
    <w:rsid w:val="00B869A3"/>
    <w:pPr>
      <w:tabs>
        <w:tab w:val="center" w:pos="4680"/>
        <w:tab w:val="right" w:pos="9360"/>
      </w:tabs>
    </w:pPr>
  </w:style>
  <w:style w:type="character" w:customStyle="1" w:styleId="FooterChar">
    <w:name w:val="Footer Char"/>
    <w:basedOn w:val="DefaultParagraphFont"/>
    <w:link w:val="Footer"/>
    <w:uiPriority w:val="99"/>
    <w:rsid w:val="00B869A3"/>
    <w:rPr>
      <w:rFonts w:ascii="Arial" w:eastAsia="Times"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find-an-mlp-annual-return?_ga=2.14452407.1426725272.1781203512-577175114.1781203512&amp;_gl=1*mh1esb*_ga*NTc3MTc1MTE0LjE3ODEyMDM1MTI.*_ga_MCLPEGW7WM*czE3ODEyMDM1MTgkbzEkZzEkdDE3ODEyMDM1MTgkajYwJGwwJGg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rmation-for-competitive-suppliers-and-electricity-brokers?_gl=1*rjba0i*_ga*MTEwOTI1ODI4MC4xNzQ3MjQyMzk1*_ga_MCLPEGW7WM*czE3NDczMjI0MTAkbzEkZzEkdDE3NDczMjI1NTAkajAkbDAkaD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ss.gov/regulations/310-CMR-700-air-pollution-contro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file:///C:\Users\sweber\OneDriveCloudTemp\XVVP2RVF\2935041275-massdep_logo.png" TargetMode="External"/><Relationship Id="rId5" Type="http://schemas.openxmlformats.org/officeDocument/2006/relationships/styles" Target="styles.xml"/><Relationship Id="rId15" Type="http://schemas.openxmlformats.org/officeDocument/2006/relationships/hyperlink" Target="https://www.sec.state.ma.us/divisions/bookstore/bookstore.ht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limate.strategie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c241f7-0c18-4008-861b-5a676167a037">
      <Terms xmlns="http://schemas.microsoft.com/office/infopath/2007/PartnerControls"/>
    </lcf76f155ced4ddcb4097134ff3c332f>
    <TaxCatchAll xmlns="7b83dbe2-6fd2-449a-a932-0d75829bf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48B8951B32C44A8ABF1C6EE626DEA0" ma:contentTypeVersion="14" ma:contentTypeDescription="Create a new document." ma:contentTypeScope="" ma:versionID="1650441cba533cdd87d71197d4d38a1f">
  <xsd:schema xmlns:xsd="http://www.w3.org/2001/XMLSchema" xmlns:xs="http://www.w3.org/2001/XMLSchema" xmlns:p="http://schemas.microsoft.com/office/2006/metadata/properties" xmlns:ns2="97c241f7-0c18-4008-861b-5a676167a037" xmlns:ns3="7b83dbe2-6fd2-449a-a932-0d75829bf641" targetNamespace="http://schemas.microsoft.com/office/2006/metadata/properties" ma:root="true" ma:fieldsID="bf484b502aa0631730d63a6fcc4c17d9" ns2:_="" ns3:_="">
    <xsd:import namespace="97c241f7-0c18-4008-861b-5a676167a037"/>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41f7-0c18-4008-861b-5a676167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1eecbb-5736-4a27-a3d9-8cd4d931ca3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A6D33-322B-4DDF-BB1A-FE71EFB7F4F3}">
  <ds:schemaRefs>
    <ds:schemaRef ds:uri="http://schemas.microsoft.com/office/2006/metadata/properties"/>
    <ds:schemaRef ds:uri="http://schemas.microsoft.com/office/infopath/2007/PartnerControls"/>
    <ds:schemaRef ds:uri="97c241f7-0c18-4008-861b-5a676167a037"/>
    <ds:schemaRef ds:uri="7b83dbe2-6fd2-449a-a932-0d75829bf641"/>
  </ds:schemaRefs>
</ds:datastoreItem>
</file>

<file path=customXml/itemProps2.xml><?xml version="1.0" encoding="utf-8"?>
<ds:datastoreItem xmlns:ds="http://schemas.openxmlformats.org/officeDocument/2006/customXml" ds:itemID="{3A140569-7E7B-4846-919E-14C8AAA78F5B}">
  <ds:schemaRefs>
    <ds:schemaRef ds:uri="http://schemas.microsoft.com/sharepoint/v3/contenttype/forms"/>
  </ds:schemaRefs>
</ds:datastoreItem>
</file>

<file path=customXml/itemProps3.xml><?xml version="1.0" encoding="utf-8"?>
<ds:datastoreItem xmlns:ds="http://schemas.openxmlformats.org/officeDocument/2006/customXml" ds:itemID="{C42EA049-DC11-4348-8E6E-A0A990400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41f7-0c18-4008-861b-5a676167a037"/>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207</TotalTime>
  <Pages>4</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Sue Ann (DEP)</dc:creator>
  <cp:keywords/>
  <dc:description/>
  <cp:lastModifiedBy>Weber, Sharon (DEP)</cp:lastModifiedBy>
  <cp:revision>28</cp:revision>
  <dcterms:created xsi:type="dcterms:W3CDTF">2026-06-12T19:16:00Z</dcterms:created>
  <dcterms:modified xsi:type="dcterms:W3CDTF">2026-07-06T06:22:00Z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0x0101003F48B8951B32C44A8ABF1C6EE626DEA0</vt:lpwstr>
  </property>
  <property fmtid="{D5CDD505-2E9C-101B-9397-08002B2CF9AE}" pid="3" name="MediaServiceImageTags">
    <vt:lpwstr/>
  </property>
</Properties>
</file>