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E2984" w14:textId="77777777" w:rsidR="00596779" w:rsidRPr="008D42BC" w:rsidRDefault="00596779" w:rsidP="00596779">
      <w:p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right="-180"/>
        <w:rPr>
          <w:rFonts w:ascii="Times New Roman" w:hAnsi="Times New Roman"/>
        </w:rPr>
      </w:pPr>
    </w:p>
    <w:p w14:paraId="515B7050" w14:textId="1FDD6C2E" w:rsidR="00596779" w:rsidRPr="00EC79AD" w:rsidRDefault="00E629AE" w:rsidP="00596779">
      <w:pPr>
        <w:ind w:right="-18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STEP1 -</w:t>
      </w:r>
      <w:r w:rsidR="00596779">
        <w:rPr>
          <w:rFonts w:ascii="Times New Roman" w:hAnsi="Times New Roman"/>
          <w:b/>
          <w:szCs w:val="24"/>
        </w:rPr>
        <w:t xml:space="preserve"> </w:t>
      </w:r>
      <w:r w:rsidR="00596779" w:rsidRPr="008D42BC">
        <w:rPr>
          <w:rFonts w:ascii="Times New Roman" w:hAnsi="Times New Roman"/>
          <w:b/>
          <w:szCs w:val="24"/>
        </w:rPr>
        <w:t>Select Community Name from drop-down box on spreadsheet:</w:t>
      </w:r>
    </w:p>
    <w:p w14:paraId="3BF09238" w14:textId="70D6118A" w:rsidR="00596779" w:rsidRPr="00342F10" w:rsidRDefault="00564AA8" w:rsidP="00596779">
      <w:pPr>
        <w:ind w:right="-180"/>
        <w:jc w:val="center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5F6BD21E" wp14:editId="3CC733B5">
            <wp:extent cx="5469748" cy="3058795"/>
            <wp:effectExtent l="76200" t="76200" r="131445" b="141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9748" cy="30587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7264111" w14:textId="77777777" w:rsidR="00596779" w:rsidRPr="00342F10" w:rsidRDefault="00596779" w:rsidP="00596779">
      <w:pPr>
        <w:spacing w:before="120"/>
        <w:ind w:right="-187"/>
        <w:rPr>
          <w:rFonts w:ascii="Times New Roman" w:hAnsi="Times New Roman"/>
          <w:szCs w:val="24"/>
        </w:rPr>
      </w:pPr>
      <w:r w:rsidRPr="00342F10">
        <w:rPr>
          <w:rFonts w:ascii="Times New Roman" w:hAnsi="Times New Roman"/>
          <w:b/>
          <w:szCs w:val="24"/>
          <w:u w:val="single"/>
        </w:rPr>
        <w:t>STEP 2</w:t>
      </w:r>
      <w:r w:rsidRPr="00342F10">
        <w:rPr>
          <w:rFonts w:ascii="Times New Roman" w:hAnsi="Times New Roman"/>
          <w:b/>
          <w:szCs w:val="24"/>
        </w:rPr>
        <w:t xml:space="preserve"> - </w:t>
      </w:r>
      <w:r w:rsidRPr="00342F10">
        <w:rPr>
          <w:rFonts w:ascii="Times New Roman" w:hAnsi="Times New Roman"/>
          <w:b/>
          <w:szCs w:val="24"/>
          <w:u w:val="single"/>
        </w:rPr>
        <w:t>DETERMINE AND REPORT LEVY GROWTH FOR ALLOWABLE YEARS</w:t>
      </w:r>
    </w:p>
    <w:p w14:paraId="319AF109" w14:textId="77777777" w:rsidR="00596779" w:rsidRPr="00342F10" w:rsidRDefault="00596779" w:rsidP="00596779">
      <w:p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right="-180"/>
        <w:rPr>
          <w:rFonts w:ascii="Times New Roman" w:hAnsi="Times New Roman"/>
          <w:szCs w:val="24"/>
        </w:rPr>
      </w:pPr>
    </w:p>
    <w:p w14:paraId="201DA12A" w14:textId="77777777" w:rsidR="00596779" w:rsidRPr="00342F10" w:rsidRDefault="00596779" w:rsidP="00596779">
      <w:pPr>
        <w:ind w:right="-180"/>
        <w:rPr>
          <w:rFonts w:ascii="Times New Roman" w:hAnsi="Times New Roman"/>
          <w:szCs w:val="24"/>
        </w:rPr>
      </w:pPr>
      <w:r w:rsidRPr="008D42BC">
        <w:rPr>
          <w:rFonts w:ascii="Times New Roman" w:hAnsi="Times New Roman"/>
          <w:b/>
          <w:szCs w:val="24"/>
        </w:rPr>
        <w:t>Column A</w:t>
      </w:r>
      <w:r w:rsidR="00237CFD">
        <w:rPr>
          <w:rFonts w:ascii="Times New Roman" w:hAnsi="Times New Roman"/>
          <w:b/>
          <w:szCs w:val="24"/>
        </w:rPr>
        <w:t>:</w:t>
      </w:r>
      <w:r w:rsidRPr="008D42BC">
        <w:rPr>
          <w:rFonts w:ascii="Times New Roman" w:hAnsi="Times New Roman"/>
          <w:b/>
          <w:szCs w:val="24"/>
        </w:rPr>
        <w:t xml:space="preserve">  Fiscal Year </w:t>
      </w:r>
      <w:r w:rsidRPr="008D42BC">
        <w:rPr>
          <w:rFonts w:ascii="Times New Roman" w:hAnsi="Times New Roman"/>
          <w:szCs w:val="24"/>
        </w:rPr>
        <w:t>– This lists the fiscal years that can be included in the personal property audit, beginning with the earliest fiscal year.</w:t>
      </w:r>
    </w:p>
    <w:p w14:paraId="2BBC9942" w14:textId="77777777" w:rsidR="00596779" w:rsidRPr="00342F10" w:rsidRDefault="00596779" w:rsidP="00596779">
      <w:pPr>
        <w:ind w:right="-180"/>
        <w:rPr>
          <w:rFonts w:ascii="Times New Roman" w:hAnsi="Times New Roman"/>
          <w:szCs w:val="24"/>
        </w:rPr>
      </w:pPr>
    </w:p>
    <w:p w14:paraId="7D503A03" w14:textId="46115FF0" w:rsidR="00596779" w:rsidRPr="00342F10" w:rsidRDefault="00596779" w:rsidP="00596779">
      <w:pPr>
        <w:ind w:right="-180"/>
        <w:rPr>
          <w:rFonts w:ascii="Times New Roman" w:hAnsi="Times New Roman"/>
          <w:szCs w:val="24"/>
        </w:rPr>
      </w:pPr>
      <w:r w:rsidRPr="00342F10">
        <w:rPr>
          <w:rFonts w:ascii="Times New Roman" w:hAnsi="Times New Roman"/>
          <w:b/>
          <w:szCs w:val="24"/>
        </w:rPr>
        <w:t xml:space="preserve">Column B:  Assessed Valuation </w:t>
      </w:r>
      <w:r w:rsidRPr="00342F10">
        <w:rPr>
          <w:rFonts w:ascii="Times New Roman" w:hAnsi="Times New Roman"/>
          <w:szCs w:val="24"/>
        </w:rPr>
        <w:t xml:space="preserve">– Include the amount of additional assessed valuation for the fiscal year included in omitted and revised assessments made in </w:t>
      </w:r>
      <w:r w:rsidR="0047541C">
        <w:rPr>
          <w:rFonts w:ascii="Times New Roman" w:hAnsi="Times New Roman"/>
          <w:szCs w:val="24"/>
        </w:rPr>
        <w:t>FY</w:t>
      </w:r>
      <w:r w:rsidR="0047541C">
        <w:rPr>
          <w:rFonts w:ascii="Times New Roman" w:hAnsi="Times New Roman"/>
          <w:szCs w:val="24"/>
        </w:rPr>
        <w:t>21</w:t>
      </w:r>
      <w:r w:rsidR="0047541C" w:rsidRPr="00342F10">
        <w:rPr>
          <w:rFonts w:ascii="Times New Roman" w:hAnsi="Times New Roman"/>
          <w:szCs w:val="24"/>
        </w:rPr>
        <w:t xml:space="preserve"> </w:t>
      </w:r>
      <w:r w:rsidRPr="00342F10">
        <w:rPr>
          <w:rFonts w:ascii="Times New Roman" w:hAnsi="Times New Roman"/>
          <w:szCs w:val="24"/>
        </w:rPr>
        <w:t>for audited accounts.</w:t>
      </w:r>
    </w:p>
    <w:p w14:paraId="09CE7868" w14:textId="77777777" w:rsidR="00596779" w:rsidRPr="00342F10" w:rsidRDefault="00596779" w:rsidP="00596779">
      <w:pPr>
        <w:ind w:right="-180"/>
        <w:rPr>
          <w:rFonts w:ascii="Times New Roman" w:hAnsi="Times New Roman"/>
          <w:szCs w:val="24"/>
        </w:rPr>
      </w:pPr>
    </w:p>
    <w:p w14:paraId="50EDF63C" w14:textId="25EF2DE3" w:rsidR="00596779" w:rsidRPr="00342F10" w:rsidRDefault="00596779" w:rsidP="00596779">
      <w:pPr>
        <w:ind w:right="-180"/>
        <w:rPr>
          <w:rFonts w:ascii="Times New Roman" w:hAnsi="Times New Roman"/>
          <w:szCs w:val="24"/>
        </w:rPr>
      </w:pPr>
      <w:r w:rsidRPr="00342F10">
        <w:rPr>
          <w:rFonts w:ascii="Times New Roman" w:hAnsi="Times New Roman"/>
          <w:b/>
          <w:szCs w:val="24"/>
        </w:rPr>
        <w:t xml:space="preserve">Column C:  Portion Unassessed (Growth Assessed Value) </w:t>
      </w:r>
      <w:r w:rsidRPr="00342F10">
        <w:rPr>
          <w:rFonts w:ascii="Times New Roman" w:hAnsi="Times New Roman"/>
          <w:szCs w:val="24"/>
        </w:rPr>
        <w:t xml:space="preserve">– Include </w:t>
      </w:r>
      <w:r w:rsidRPr="00342F10">
        <w:rPr>
          <w:rFonts w:ascii="Times New Roman" w:hAnsi="Times New Roman"/>
          <w:szCs w:val="24"/>
          <w:u w:val="single"/>
        </w:rPr>
        <w:t>only</w:t>
      </w:r>
      <w:r w:rsidRPr="00342F10">
        <w:rPr>
          <w:rFonts w:ascii="Times New Roman" w:hAnsi="Times New Roman"/>
          <w:szCs w:val="24"/>
        </w:rPr>
        <w:t xml:space="preserve"> that amount of the additional assessed valuation for the fiscal year </w:t>
      </w:r>
      <w:r w:rsidRPr="00342F10">
        <w:rPr>
          <w:rFonts w:ascii="Times New Roman" w:hAnsi="Times New Roman"/>
          <w:szCs w:val="24"/>
          <w:u w:val="single"/>
        </w:rPr>
        <w:t>not already assessed</w:t>
      </w:r>
      <w:r w:rsidRPr="00342F10">
        <w:rPr>
          <w:rFonts w:ascii="Times New Roman" w:hAnsi="Times New Roman"/>
          <w:szCs w:val="24"/>
        </w:rPr>
        <w:t xml:space="preserve"> in an original or omitted or revised commitment for </w:t>
      </w:r>
      <w:r w:rsidR="0047541C">
        <w:rPr>
          <w:rFonts w:ascii="Times New Roman" w:hAnsi="Times New Roman"/>
          <w:szCs w:val="24"/>
        </w:rPr>
        <w:t>FY</w:t>
      </w:r>
      <w:r w:rsidR="0047541C">
        <w:rPr>
          <w:rFonts w:ascii="Times New Roman" w:hAnsi="Times New Roman"/>
          <w:szCs w:val="24"/>
        </w:rPr>
        <w:t>21</w:t>
      </w:r>
      <w:r w:rsidR="0047541C" w:rsidRPr="00342F10">
        <w:rPr>
          <w:rFonts w:ascii="Times New Roman" w:hAnsi="Times New Roman"/>
          <w:szCs w:val="24"/>
        </w:rPr>
        <w:t xml:space="preserve"> </w:t>
      </w:r>
      <w:r w:rsidRPr="00342F10">
        <w:rPr>
          <w:rFonts w:ascii="Times New Roman" w:hAnsi="Times New Roman"/>
          <w:szCs w:val="24"/>
        </w:rPr>
        <w:t>or before, including a year shown in the spreadsheet.</w:t>
      </w:r>
    </w:p>
    <w:p w14:paraId="540C4E70" w14:textId="77777777" w:rsidR="00596779" w:rsidRDefault="00596779" w:rsidP="00596779">
      <w:pPr>
        <w:ind w:left="720" w:right="540"/>
        <w:rPr>
          <w:rFonts w:ascii="Times New Roman" w:hAnsi="Times New Roman"/>
          <w:b/>
          <w:szCs w:val="24"/>
        </w:rPr>
      </w:pPr>
    </w:p>
    <w:p w14:paraId="7729F514" w14:textId="78E26549" w:rsidR="00596779" w:rsidRPr="00342F10" w:rsidRDefault="00596779" w:rsidP="005B2754">
      <w:pPr>
        <w:ind w:right="540"/>
        <w:rPr>
          <w:rFonts w:ascii="Times New Roman" w:hAnsi="Times New Roman"/>
          <w:szCs w:val="24"/>
        </w:rPr>
      </w:pPr>
      <w:r w:rsidRPr="00342F10">
        <w:rPr>
          <w:rFonts w:ascii="Times New Roman" w:hAnsi="Times New Roman"/>
          <w:b/>
          <w:szCs w:val="24"/>
        </w:rPr>
        <w:t>Example</w:t>
      </w:r>
      <w:r>
        <w:rPr>
          <w:rFonts w:ascii="Times New Roman" w:hAnsi="Times New Roman"/>
          <w:b/>
          <w:szCs w:val="24"/>
        </w:rPr>
        <w:t>:</w:t>
      </w:r>
      <w:r w:rsidRPr="00342F10">
        <w:rPr>
          <w:rFonts w:ascii="Times New Roman" w:hAnsi="Times New Roman"/>
          <w:b/>
          <w:szCs w:val="24"/>
        </w:rPr>
        <w:t xml:space="preserve">  </w:t>
      </w:r>
      <w:r w:rsidRPr="00342F10">
        <w:rPr>
          <w:rFonts w:ascii="Times New Roman" w:hAnsi="Times New Roman"/>
          <w:szCs w:val="24"/>
        </w:rPr>
        <w:t xml:space="preserve">An existing personal property account was audited for </w:t>
      </w:r>
      <w:r w:rsidR="0047541C">
        <w:rPr>
          <w:rFonts w:ascii="Times New Roman" w:hAnsi="Times New Roman"/>
          <w:szCs w:val="24"/>
        </w:rPr>
        <w:t>FY</w:t>
      </w:r>
      <w:r w:rsidR="00D809CF">
        <w:rPr>
          <w:rFonts w:ascii="Times New Roman" w:hAnsi="Times New Roman"/>
          <w:szCs w:val="24"/>
        </w:rPr>
        <w:t>20</w:t>
      </w:r>
      <w:r w:rsidR="0047541C" w:rsidRPr="00342F10">
        <w:rPr>
          <w:rFonts w:ascii="Times New Roman" w:hAnsi="Times New Roman"/>
          <w:szCs w:val="24"/>
        </w:rPr>
        <w:t xml:space="preserve"> </w:t>
      </w:r>
      <w:r w:rsidRPr="00342F10">
        <w:rPr>
          <w:rFonts w:ascii="Times New Roman" w:hAnsi="Times New Roman"/>
          <w:szCs w:val="24"/>
        </w:rPr>
        <w:t xml:space="preserve">and </w:t>
      </w:r>
      <w:r>
        <w:rPr>
          <w:rFonts w:ascii="Times New Roman" w:hAnsi="Times New Roman"/>
          <w:szCs w:val="24"/>
        </w:rPr>
        <w:t>FY</w:t>
      </w:r>
      <w:r w:rsidR="0047541C">
        <w:rPr>
          <w:rFonts w:ascii="Times New Roman" w:hAnsi="Times New Roman"/>
          <w:szCs w:val="24"/>
        </w:rPr>
        <w:t>2</w:t>
      </w:r>
      <w:r w:rsidR="00D809CF">
        <w:rPr>
          <w:rFonts w:ascii="Times New Roman" w:hAnsi="Times New Roman"/>
          <w:szCs w:val="24"/>
        </w:rPr>
        <w:t>1</w:t>
      </w:r>
      <w:r w:rsidRPr="00342F10">
        <w:rPr>
          <w:rFonts w:ascii="Times New Roman" w:hAnsi="Times New Roman"/>
          <w:szCs w:val="24"/>
        </w:rPr>
        <w:t xml:space="preserve">. Based on the results, revised assessments were made during </w:t>
      </w:r>
      <w:r w:rsidR="0047541C">
        <w:rPr>
          <w:rFonts w:ascii="Times New Roman" w:hAnsi="Times New Roman"/>
          <w:szCs w:val="24"/>
        </w:rPr>
        <w:t>FY</w:t>
      </w:r>
      <w:r w:rsidR="0047541C">
        <w:rPr>
          <w:rFonts w:ascii="Times New Roman" w:hAnsi="Times New Roman"/>
          <w:szCs w:val="24"/>
        </w:rPr>
        <w:t>2</w:t>
      </w:r>
      <w:r w:rsidR="00D809CF">
        <w:rPr>
          <w:rFonts w:ascii="Times New Roman" w:hAnsi="Times New Roman"/>
          <w:szCs w:val="24"/>
        </w:rPr>
        <w:t>1</w:t>
      </w:r>
      <w:r w:rsidR="0047541C" w:rsidRPr="00342F10">
        <w:rPr>
          <w:rFonts w:ascii="Times New Roman" w:hAnsi="Times New Roman"/>
          <w:szCs w:val="24"/>
        </w:rPr>
        <w:t xml:space="preserve"> </w:t>
      </w:r>
      <w:r w:rsidRPr="00342F10">
        <w:rPr>
          <w:rFonts w:ascii="Times New Roman" w:hAnsi="Times New Roman"/>
          <w:szCs w:val="24"/>
        </w:rPr>
        <w:t>for both years.</w:t>
      </w:r>
    </w:p>
    <w:p w14:paraId="1FABEAAB" w14:textId="77777777" w:rsidR="00596779" w:rsidRPr="00342F10" w:rsidRDefault="00596779" w:rsidP="00596779">
      <w:pPr>
        <w:ind w:left="720" w:right="540"/>
        <w:rPr>
          <w:rFonts w:ascii="Times New Roman" w:hAnsi="Times New Roman"/>
          <w:szCs w:val="24"/>
        </w:rPr>
      </w:pPr>
    </w:p>
    <w:p w14:paraId="259CB05B" w14:textId="4CD42663" w:rsidR="0047541C" w:rsidRDefault="00596779" w:rsidP="005967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720" w:right="5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42F10">
        <w:rPr>
          <w:rFonts w:ascii="Times New Roman" w:hAnsi="Times New Roman"/>
          <w:szCs w:val="24"/>
        </w:rPr>
        <w:t xml:space="preserve">During the audit, the assessors discovered 10 articles of taxable personal property owned by the taxpayer as of January 1, </w:t>
      </w:r>
      <w:r w:rsidR="0047541C">
        <w:rPr>
          <w:rFonts w:ascii="Times New Roman" w:hAnsi="Times New Roman"/>
          <w:szCs w:val="24"/>
        </w:rPr>
        <w:t>201</w:t>
      </w:r>
      <w:r w:rsidR="0047541C">
        <w:rPr>
          <w:rFonts w:ascii="Times New Roman" w:hAnsi="Times New Roman"/>
          <w:szCs w:val="24"/>
        </w:rPr>
        <w:t>9</w:t>
      </w:r>
      <w:r w:rsidR="0047541C" w:rsidRPr="00342F10">
        <w:rPr>
          <w:rFonts w:ascii="Times New Roman" w:hAnsi="Times New Roman"/>
          <w:szCs w:val="24"/>
        </w:rPr>
        <w:t xml:space="preserve"> </w:t>
      </w:r>
      <w:r w:rsidRPr="00342F10">
        <w:rPr>
          <w:rFonts w:ascii="Times New Roman" w:hAnsi="Times New Roman"/>
          <w:szCs w:val="24"/>
        </w:rPr>
        <w:t xml:space="preserve">that had not been reported on the form of list and assessed for </w:t>
      </w:r>
      <w:r w:rsidR="0047541C">
        <w:rPr>
          <w:rFonts w:ascii="Times New Roman" w:hAnsi="Times New Roman"/>
          <w:szCs w:val="24"/>
        </w:rPr>
        <w:t>FY</w:t>
      </w:r>
      <w:r w:rsidR="0047541C">
        <w:rPr>
          <w:rFonts w:ascii="Times New Roman" w:hAnsi="Times New Roman"/>
          <w:szCs w:val="24"/>
        </w:rPr>
        <w:t>20</w:t>
      </w:r>
      <w:r w:rsidRPr="00342F10">
        <w:rPr>
          <w:rFonts w:ascii="Times New Roman" w:hAnsi="Times New Roman"/>
          <w:szCs w:val="24"/>
        </w:rPr>
        <w:t xml:space="preserve">. </w:t>
      </w:r>
    </w:p>
    <w:p w14:paraId="6469908C" w14:textId="406E0EE5" w:rsidR="0047541C" w:rsidRPr="005B2754" w:rsidRDefault="00596779" w:rsidP="005B275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right="540"/>
        <w:rPr>
          <w:rFonts w:ascii="Times New Roman" w:hAnsi="Times New Roman"/>
          <w:szCs w:val="24"/>
        </w:rPr>
      </w:pPr>
      <w:r w:rsidRPr="005B2754">
        <w:rPr>
          <w:rFonts w:ascii="Times New Roman" w:hAnsi="Times New Roman"/>
          <w:szCs w:val="24"/>
        </w:rPr>
        <w:t xml:space="preserve">The 10 articles had a total assessed valuation as of January 1, </w:t>
      </w:r>
      <w:r w:rsidR="0047541C" w:rsidRPr="005B2754">
        <w:rPr>
          <w:rFonts w:ascii="Times New Roman" w:hAnsi="Times New Roman"/>
          <w:szCs w:val="24"/>
        </w:rPr>
        <w:t>20</w:t>
      </w:r>
      <w:r w:rsidR="0047541C" w:rsidRPr="005B2754">
        <w:rPr>
          <w:rFonts w:ascii="Times New Roman" w:hAnsi="Times New Roman"/>
          <w:szCs w:val="24"/>
        </w:rPr>
        <w:t>19</w:t>
      </w:r>
      <w:r w:rsidR="0047541C" w:rsidRPr="005B2754">
        <w:rPr>
          <w:rFonts w:ascii="Times New Roman" w:hAnsi="Times New Roman"/>
          <w:szCs w:val="24"/>
        </w:rPr>
        <w:t xml:space="preserve"> </w:t>
      </w:r>
      <w:r w:rsidRPr="005B2754">
        <w:rPr>
          <w:rFonts w:ascii="Times New Roman" w:hAnsi="Times New Roman"/>
          <w:szCs w:val="24"/>
        </w:rPr>
        <w:t xml:space="preserve">of $100,000. </w:t>
      </w:r>
    </w:p>
    <w:p w14:paraId="37B6182B" w14:textId="42E771E0" w:rsidR="0047541C" w:rsidRPr="005B2754" w:rsidRDefault="00596779" w:rsidP="005B275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right="540"/>
        <w:rPr>
          <w:rFonts w:ascii="Times New Roman" w:hAnsi="Times New Roman"/>
          <w:szCs w:val="24"/>
        </w:rPr>
      </w:pPr>
      <w:r w:rsidRPr="005B2754">
        <w:rPr>
          <w:rFonts w:ascii="Times New Roman" w:hAnsi="Times New Roman"/>
          <w:szCs w:val="24"/>
        </w:rPr>
        <w:t xml:space="preserve">Report the $100,000 under </w:t>
      </w:r>
      <w:r w:rsidR="00D809CF" w:rsidRPr="005B2754">
        <w:rPr>
          <w:rFonts w:ascii="Times New Roman" w:hAnsi="Times New Roman"/>
          <w:szCs w:val="24"/>
          <w:u w:val="single"/>
        </w:rPr>
        <w:t>Assessed Value</w:t>
      </w:r>
      <w:r w:rsidR="00D809CF">
        <w:rPr>
          <w:rFonts w:ascii="Times New Roman" w:hAnsi="Times New Roman"/>
          <w:szCs w:val="24"/>
        </w:rPr>
        <w:t xml:space="preserve"> </w:t>
      </w:r>
      <w:r w:rsidRPr="005B2754">
        <w:rPr>
          <w:rFonts w:ascii="Times New Roman" w:hAnsi="Times New Roman"/>
          <w:szCs w:val="24"/>
        </w:rPr>
        <w:t xml:space="preserve">Column B for </w:t>
      </w:r>
      <w:r w:rsidR="0047541C" w:rsidRPr="005B2754">
        <w:rPr>
          <w:rFonts w:ascii="Times New Roman" w:hAnsi="Times New Roman"/>
          <w:szCs w:val="24"/>
        </w:rPr>
        <w:t>FY</w:t>
      </w:r>
      <w:r w:rsidR="0047541C" w:rsidRPr="005B2754">
        <w:rPr>
          <w:rFonts w:ascii="Times New Roman" w:hAnsi="Times New Roman"/>
          <w:szCs w:val="24"/>
        </w:rPr>
        <w:t>20</w:t>
      </w:r>
      <w:r w:rsidRPr="005B2754">
        <w:rPr>
          <w:rFonts w:ascii="Times New Roman" w:hAnsi="Times New Roman"/>
          <w:szCs w:val="24"/>
        </w:rPr>
        <w:t xml:space="preserve">.  </w:t>
      </w:r>
    </w:p>
    <w:p w14:paraId="5FE88CC6" w14:textId="586F1B60" w:rsidR="0047541C" w:rsidRPr="005B2754" w:rsidRDefault="0047541C" w:rsidP="005B275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right="540"/>
        <w:rPr>
          <w:rFonts w:ascii="Times New Roman" w:hAnsi="Times New Roman"/>
          <w:sz w:val="22"/>
          <w:szCs w:val="22"/>
        </w:rPr>
      </w:pPr>
      <w:r w:rsidRPr="005B2754">
        <w:rPr>
          <w:rFonts w:ascii="Times New Roman" w:hAnsi="Times New Roman"/>
          <w:szCs w:val="24"/>
        </w:rPr>
        <w:t xml:space="preserve">For </w:t>
      </w:r>
      <w:r w:rsidRPr="005B2754">
        <w:rPr>
          <w:rFonts w:ascii="Times New Roman" w:hAnsi="Times New Roman"/>
          <w:szCs w:val="24"/>
          <w:u w:val="single"/>
        </w:rPr>
        <w:t>Growth Assessed Value</w:t>
      </w:r>
      <w:r w:rsidRPr="005B2754">
        <w:rPr>
          <w:rFonts w:ascii="Times New Roman" w:hAnsi="Times New Roman"/>
          <w:szCs w:val="24"/>
        </w:rPr>
        <w:t>: O</w:t>
      </w:r>
      <w:r w:rsidR="00596779" w:rsidRPr="005B2754">
        <w:rPr>
          <w:rFonts w:ascii="Times New Roman" w:hAnsi="Times New Roman"/>
          <w:szCs w:val="24"/>
        </w:rPr>
        <w:t xml:space="preserve">nly 9 of the discovered articles would have qualified as growth in </w:t>
      </w:r>
      <w:r w:rsidRPr="005B2754">
        <w:rPr>
          <w:rFonts w:ascii="Times New Roman" w:hAnsi="Times New Roman"/>
          <w:szCs w:val="24"/>
        </w:rPr>
        <w:t>FY</w:t>
      </w:r>
      <w:r w:rsidRPr="005B2754">
        <w:rPr>
          <w:rFonts w:ascii="Times New Roman" w:hAnsi="Times New Roman"/>
          <w:szCs w:val="24"/>
        </w:rPr>
        <w:t>20</w:t>
      </w:r>
      <w:r w:rsidRPr="005B2754">
        <w:rPr>
          <w:rFonts w:ascii="Times New Roman" w:hAnsi="Times New Roman"/>
          <w:szCs w:val="24"/>
        </w:rPr>
        <w:t xml:space="preserve"> </w:t>
      </w:r>
      <w:r w:rsidR="00596779" w:rsidRPr="005B2754">
        <w:rPr>
          <w:rFonts w:ascii="Times New Roman" w:hAnsi="Times New Roman"/>
          <w:szCs w:val="24"/>
        </w:rPr>
        <w:t xml:space="preserve">as articles taxed for the first time as of January 1, </w:t>
      </w:r>
      <w:r w:rsidRPr="005B2754">
        <w:rPr>
          <w:rFonts w:ascii="Times New Roman" w:hAnsi="Times New Roman"/>
          <w:szCs w:val="24"/>
        </w:rPr>
        <w:t>20</w:t>
      </w:r>
      <w:r w:rsidRPr="005B2754">
        <w:rPr>
          <w:rFonts w:ascii="Times New Roman" w:hAnsi="Times New Roman"/>
          <w:szCs w:val="24"/>
        </w:rPr>
        <w:t xml:space="preserve">19. </w:t>
      </w:r>
      <w:r w:rsidR="00D809CF" w:rsidRPr="005B2754">
        <w:rPr>
          <w:rFonts w:ascii="Times New Roman" w:hAnsi="Times New Roman"/>
          <w:szCs w:val="24"/>
        </w:rPr>
        <w:t xml:space="preserve">The total assessed valuation of the 9 articles as of January 1, </w:t>
      </w:r>
      <w:r w:rsidR="00D809CF" w:rsidRPr="005B2754">
        <w:rPr>
          <w:rFonts w:ascii="Times New Roman" w:hAnsi="Times New Roman"/>
          <w:szCs w:val="24"/>
        </w:rPr>
        <w:t>20</w:t>
      </w:r>
      <w:r w:rsidR="00D809CF" w:rsidRPr="005B2754">
        <w:rPr>
          <w:rFonts w:ascii="Times New Roman" w:hAnsi="Times New Roman"/>
          <w:szCs w:val="24"/>
        </w:rPr>
        <w:t>19</w:t>
      </w:r>
      <w:r w:rsidR="00D809CF" w:rsidRPr="005B2754">
        <w:rPr>
          <w:rFonts w:ascii="Times New Roman" w:hAnsi="Times New Roman"/>
          <w:szCs w:val="24"/>
        </w:rPr>
        <w:t xml:space="preserve"> </w:t>
      </w:r>
      <w:r w:rsidR="00D809CF" w:rsidRPr="005B2754">
        <w:rPr>
          <w:rFonts w:ascii="Times New Roman" w:hAnsi="Times New Roman"/>
          <w:szCs w:val="24"/>
        </w:rPr>
        <w:t xml:space="preserve">is $90,000. </w:t>
      </w:r>
      <w:r w:rsidRPr="005B2754">
        <w:rPr>
          <w:rFonts w:ascii="Times New Roman" w:hAnsi="Times New Roman"/>
          <w:i/>
          <w:iCs/>
          <w:sz w:val="22"/>
          <w:szCs w:val="22"/>
        </w:rPr>
        <w:t xml:space="preserve">(Note: </w:t>
      </w:r>
      <w:r w:rsidR="00596779" w:rsidRPr="005B2754">
        <w:rPr>
          <w:rFonts w:ascii="Times New Roman" w:hAnsi="Times New Roman"/>
          <w:i/>
          <w:iCs/>
          <w:sz w:val="22"/>
          <w:szCs w:val="22"/>
        </w:rPr>
        <w:t xml:space="preserve">1 article had been </w:t>
      </w:r>
      <w:r w:rsidRPr="005B2754">
        <w:rPr>
          <w:rFonts w:ascii="Times New Roman" w:hAnsi="Times New Roman"/>
          <w:i/>
          <w:iCs/>
          <w:sz w:val="22"/>
          <w:szCs w:val="22"/>
        </w:rPr>
        <w:t xml:space="preserve">reported </w:t>
      </w:r>
      <w:r w:rsidR="00596779" w:rsidRPr="005B2754">
        <w:rPr>
          <w:rFonts w:ascii="Times New Roman" w:hAnsi="Times New Roman"/>
          <w:i/>
          <w:iCs/>
          <w:sz w:val="22"/>
          <w:szCs w:val="22"/>
        </w:rPr>
        <w:t xml:space="preserve">assessed as of January 1, </w:t>
      </w:r>
      <w:r w:rsidRPr="005B2754">
        <w:rPr>
          <w:rFonts w:ascii="Times New Roman" w:hAnsi="Times New Roman"/>
          <w:i/>
          <w:iCs/>
          <w:sz w:val="22"/>
          <w:szCs w:val="22"/>
        </w:rPr>
        <w:t>2018</w:t>
      </w:r>
      <w:r w:rsidRPr="005B2754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596779" w:rsidRPr="005B2754">
        <w:rPr>
          <w:rFonts w:ascii="Times New Roman" w:hAnsi="Times New Roman"/>
          <w:i/>
          <w:iCs/>
          <w:sz w:val="22"/>
          <w:szCs w:val="22"/>
        </w:rPr>
        <w:t xml:space="preserve">for </w:t>
      </w:r>
      <w:r w:rsidRPr="005B2754">
        <w:rPr>
          <w:rFonts w:ascii="Times New Roman" w:hAnsi="Times New Roman"/>
          <w:i/>
          <w:iCs/>
          <w:sz w:val="22"/>
          <w:szCs w:val="22"/>
        </w:rPr>
        <w:t>FY</w:t>
      </w:r>
      <w:r w:rsidRPr="005B2754">
        <w:rPr>
          <w:rFonts w:ascii="Times New Roman" w:hAnsi="Times New Roman"/>
          <w:i/>
          <w:iCs/>
          <w:sz w:val="22"/>
          <w:szCs w:val="22"/>
        </w:rPr>
        <w:t>19).</w:t>
      </w:r>
      <w:r w:rsidRPr="005B2754">
        <w:rPr>
          <w:rFonts w:ascii="Times New Roman" w:hAnsi="Times New Roman"/>
          <w:sz w:val="22"/>
          <w:szCs w:val="22"/>
        </w:rPr>
        <w:t xml:space="preserve"> </w:t>
      </w:r>
      <w:r w:rsidR="00596779" w:rsidRPr="005B2754">
        <w:rPr>
          <w:rFonts w:ascii="Times New Roman" w:hAnsi="Times New Roman"/>
          <w:sz w:val="22"/>
          <w:szCs w:val="22"/>
        </w:rPr>
        <w:t xml:space="preserve"> </w:t>
      </w:r>
    </w:p>
    <w:p w14:paraId="215652E7" w14:textId="138E81F7" w:rsidR="00596779" w:rsidRPr="005B2754" w:rsidRDefault="00596779" w:rsidP="005B275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right="540"/>
        <w:rPr>
          <w:rFonts w:ascii="Times New Roman" w:hAnsi="Times New Roman"/>
          <w:szCs w:val="24"/>
        </w:rPr>
      </w:pPr>
      <w:r w:rsidRPr="005B2754">
        <w:rPr>
          <w:rFonts w:ascii="Times New Roman" w:hAnsi="Times New Roman"/>
          <w:szCs w:val="24"/>
        </w:rPr>
        <w:t xml:space="preserve">Report the $90,000 in </w:t>
      </w:r>
      <w:r w:rsidR="00D809CF" w:rsidRPr="005B2754">
        <w:rPr>
          <w:rFonts w:ascii="Times New Roman" w:hAnsi="Times New Roman"/>
          <w:szCs w:val="24"/>
          <w:u w:val="single"/>
        </w:rPr>
        <w:t>Portion Unassessed (Growth Assessed Value</w:t>
      </w:r>
      <w:r w:rsidR="00D809CF">
        <w:rPr>
          <w:rFonts w:ascii="Times New Roman" w:hAnsi="Times New Roman"/>
          <w:szCs w:val="24"/>
          <w:u w:val="single"/>
        </w:rPr>
        <w:t xml:space="preserve">) </w:t>
      </w:r>
      <w:r w:rsidRPr="005B2754">
        <w:rPr>
          <w:rFonts w:ascii="Times New Roman" w:hAnsi="Times New Roman"/>
          <w:szCs w:val="24"/>
        </w:rPr>
        <w:t xml:space="preserve">under Column C for </w:t>
      </w:r>
      <w:r w:rsidR="0047541C" w:rsidRPr="005B2754">
        <w:rPr>
          <w:rFonts w:ascii="Times New Roman" w:hAnsi="Times New Roman"/>
          <w:szCs w:val="24"/>
        </w:rPr>
        <w:t>FY</w:t>
      </w:r>
      <w:r w:rsidR="0047541C" w:rsidRPr="005B2754">
        <w:rPr>
          <w:rFonts w:ascii="Times New Roman" w:hAnsi="Times New Roman"/>
          <w:szCs w:val="24"/>
        </w:rPr>
        <w:t>20</w:t>
      </w:r>
      <w:r w:rsidRPr="005B2754">
        <w:rPr>
          <w:rFonts w:ascii="Times New Roman" w:hAnsi="Times New Roman"/>
          <w:szCs w:val="24"/>
        </w:rPr>
        <w:t>.</w:t>
      </w:r>
    </w:p>
    <w:p w14:paraId="07B724EA" w14:textId="77777777" w:rsidR="00596779" w:rsidRDefault="00596779" w:rsidP="005967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720" w:right="540" w:hanging="720"/>
        <w:jc w:val="center"/>
        <w:rPr>
          <w:rFonts w:ascii="Times New Roman" w:hAnsi="Times New Roman"/>
          <w:szCs w:val="24"/>
        </w:rPr>
      </w:pPr>
    </w:p>
    <w:p w14:paraId="180FD2F1" w14:textId="77777777" w:rsidR="00596779" w:rsidRDefault="00596779" w:rsidP="005967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720" w:right="540" w:hanging="720"/>
        <w:rPr>
          <w:rFonts w:ascii="Times New Roman" w:hAnsi="Times New Roman"/>
          <w:szCs w:val="24"/>
        </w:rPr>
      </w:pPr>
    </w:p>
    <w:p w14:paraId="57CD3EB2" w14:textId="569A0D11" w:rsidR="00D809CF" w:rsidRPr="005B2754" w:rsidRDefault="00596779" w:rsidP="005B275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right="540"/>
        <w:rPr>
          <w:rFonts w:ascii="Times New Roman" w:hAnsi="Times New Roman"/>
          <w:szCs w:val="24"/>
        </w:rPr>
      </w:pPr>
      <w:r w:rsidRPr="005B2754">
        <w:rPr>
          <w:rFonts w:ascii="Times New Roman" w:hAnsi="Times New Roman"/>
          <w:szCs w:val="24"/>
        </w:rPr>
        <w:lastRenderedPageBreak/>
        <w:t xml:space="preserve">The audit also shows that the same 10 articles </w:t>
      </w:r>
      <w:r w:rsidR="00D809CF" w:rsidRPr="005B2754">
        <w:rPr>
          <w:rFonts w:ascii="Times New Roman" w:hAnsi="Times New Roman"/>
          <w:szCs w:val="24"/>
        </w:rPr>
        <w:t xml:space="preserve">were </w:t>
      </w:r>
      <w:r w:rsidRPr="005B2754">
        <w:rPr>
          <w:rFonts w:ascii="Times New Roman" w:hAnsi="Times New Roman"/>
          <w:szCs w:val="24"/>
        </w:rPr>
        <w:t xml:space="preserve">not taxed in </w:t>
      </w:r>
      <w:r w:rsidR="00D809CF" w:rsidRPr="005B2754">
        <w:rPr>
          <w:rFonts w:ascii="Times New Roman" w:hAnsi="Times New Roman"/>
          <w:szCs w:val="24"/>
        </w:rPr>
        <w:t>FY</w:t>
      </w:r>
      <w:r w:rsidR="00D809CF" w:rsidRPr="005B2754">
        <w:rPr>
          <w:rFonts w:ascii="Times New Roman" w:hAnsi="Times New Roman"/>
          <w:szCs w:val="24"/>
        </w:rPr>
        <w:t>21</w:t>
      </w:r>
      <w:r w:rsidRPr="005B2754">
        <w:rPr>
          <w:rFonts w:ascii="Times New Roman" w:hAnsi="Times New Roman"/>
          <w:szCs w:val="24"/>
        </w:rPr>
        <w:t xml:space="preserve">, and 5 new articles acquired during </w:t>
      </w:r>
      <w:r w:rsidR="00D809CF" w:rsidRPr="005B2754">
        <w:rPr>
          <w:rFonts w:ascii="Times New Roman" w:hAnsi="Times New Roman"/>
          <w:szCs w:val="24"/>
        </w:rPr>
        <w:t>20</w:t>
      </w:r>
      <w:r w:rsidR="00D809CF" w:rsidRPr="005B2754">
        <w:rPr>
          <w:rFonts w:ascii="Times New Roman" w:hAnsi="Times New Roman"/>
          <w:szCs w:val="24"/>
        </w:rPr>
        <w:t>19</w:t>
      </w:r>
      <w:r w:rsidRPr="005B2754">
        <w:rPr>
          <w:rFonts w:ascii="Times New Roman" w:hAnsi="Times New Roman"/>
          <w:szCs w:val="24"/>
        </w:rPr>
        <w:t>, were not reported on the form of list and assessed for FY</w:t>
      </w:r>
      <w:r w:rsidR="00564AA8" w:rsidRPr="005B2754">
        <w:rPr>
          <w:rFonts w:ascii="Times New Roman" w:hAnsi="Times New Roman"/>
          <w:szCs w:val="24"/>
        </w:rPr>
        <w:t>2</w:t>
      </w:r>
      <w:r w:rsidR="00D809CF" w:rsidRPr="005B2754">
        <w:rPr>
          <w:rFonts w:ascii="Times New Roman" w:hAnsi="Times New Roman"/>
          <w:szCs w:val="24"/>
        </w:rPr>
        <w:t>1</w:t>
      </w:r>
      <w:r w:rsidRPr="005B2754">
        <w:rPr>
          <w:rFonts w:ascii="Times New Roman" w:hAnsi="Times New Roman"/>
          <w:szCs w:val="24"/>
        </w:rPr>
        <w:t xml:space="preserve">. The 15 articles had a total assessed valuation as of January 1, </w:t>
      </w:r>
      <w:r w:rsidR="00D809CF" w:rsidRPr="005B2754">
        <w:rPr>
          <w:rFonts w:ascii="Times New Roman" w:hAnsi="Times New Roman"/>
          <w:szCs w:val="24"/>
        </w:rPr>
        <w:t>20</w:t>
      </w:r>
      <w:r w:rsidR="00D809CF" w:rsidRPr="005B2754">
        <w:rPr>
          <w:rFonts w:ascii="Times New Roman" w:hAnsi="Times New Roman"/>
          <w:szCs w:val="24"/>
        </w:rPr>
        <w:t>20</w:t>
      </w:r>
      <w:r w:rsidR="00D809CF" w:rsidRPr="005B2754">
        <w:rPr>
          <w:rFonts w:ascii="Times New Roman" w:hAnsi="Times New Roman"/>
          <w:szCs w:val="24"/>
        </w:rPr>
        <w:t xml:space="preserve"> </w:t>
      </w:r>
      <w:r w:rsidRPr="005B2754">
        <w:rPr>
          <w:rFonts w:ascii="Times New Roman" w:hAnsi="Times New Roman"/>
          <w:szCs w:val="24"/>
        </w:rPr>
        <w:t xml:space="preserve">of $125,000, with $50,000 of that amount attributable to the 5 new articles. </w:t>
      </w:r>
    </w:p>
    <w:p w14:paraId="0F514248" w14:textId="2792DFE7" w:rsidR="00D809CF" w:rsidRPr="005B2754" w:rsidRDefault="00596779" w:rsidP="005B275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right="540"/>
        <w:rPr>
          <w:rFonts w:ascii="Times New Roman" w:hAnsi="Times New Roman"/>
          <w:szCs w:val="24"/>
        </w:rPr>
      </w:pPr>
      <w:r w:rsidRPr="005B2754">
        <w:rPr>
          <w:rFonts w:ascii="Times New Roman" w:hAnsi="Times New Roman"/>
          <w:szCs w:val="24"/>
        </w:rPr>
        <w:t xml:space="preserve">The $125,000 is reported </w:t>
      </w:r>
      <w:r w:rsidR="005B2754" w:rsidRPr="00FA073D">
        <w:rPr>
          <w:rFonts w:ascii="Times New Roman" w:hAnsi="Times New Roman"/>
          <w:szCs w:val="24"/>
          <w:u w:val="single"/>
        </w:rPr>
        <w:t>Assessed Value</w:t>
      </w:r>
      <w:r w:rsidR="005B2754">
        <w:rPr>
          <w:rFonts w:ascii="Times New Roman" w:hAnsi="Times New Roman"/>
          <w:szCs w:val="24"/>
        </w:rPr>
        <w:t xml:space="preserve"> </w:t>
      </w:r>
      <w:r w:rsidR="005B2754" w:rsidRPr="00FA073D">
        <w:rPr>
          <w:rFonts w:ascii="Times New Roman" w:hAnsi="Times New Roman"/>
          <w:szCs w:val="24"/>
        </w:rPr>
        <w:t xml:space="preserve">Column B </w:t>
      </w:r>
      <w:r w:rsidRPr="005B2754">
        <w:rPr>
          <w:rFonts w:ascii="Times New Roman" w:hAnsi="Times New Roman"/>
          <w:szCs w:val="24"/>
        </w:rPr>
        <w:t>for FY</w:t>
      </w:r>
      <w:r w:rsidR="00564AA8" w:rsidRPr="005B2754">
        <w:rPr>
          <w:rFonts w:ascii="Times New Roman" w:hAnsi="Times New Roman"/>
          <w:szCs w:val="24"/>
        </w:rPr>
        <w:t>2</w:t>
      </w:r>
      <w:r w:rsidR="00D809CF" w:rsidRPr="005B2754">
        <w:rPr>
          <w:rFonts w:ascii="Times New Roman" w:hAnsi="Times New Roman"/>
          <w:szCs w:val="24"/>
        </w:rPr>
        <w:t>1</w:t>
      </w:r>
      <w:r w:rsidRPr="005B2754">
        <w:rPr>
          <w:rFonts w:ascii="Times New Roman" w:hAnsi="Times New Roman"/>
          <w:szCs w:val="24"/>
        </w:rPr>
        <w:t xml:space="preserve">. </w:t>
      </w:r>
    </w:p>
    <w:p w14:paraId="7AA5A592" w14:textId="10CC5B6B" w:rsidR="005B2754" w:rsidRPr="00FA073D" w:rsidRDefault="00596779" w:rsidP="005B275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right="540"/>
        <w:rPr>
          <w:rFonts w:ascii="Times New Roman" w:hAnsi="Times New Roman"/>
          <w:szCs w:val="24"/>
        </w:rPr>
      </w:pPr>
      <w:r w:rsidRPr="005B2754">
        <w:rPr>
          <w:rFonts w:ascii="Times New Roman" w:hAnsi="Times New Roman"/>
          <w:szCs w:val="24"/>
        </w:rPr>
        <w:t xml:space="preserve">Only the 5 articles acquired during </w:t>
      </w:r>
      <w:r w:rsidR="00D809CF" w:rsidRPr="005B2754">
        <w:rPr>
          <w:rFonts w:ascii="Times New Roman" w:hAnsi="Times New Roman"/>
          <w:szCs w:val="24"/>
        </w:rPr>
        <w:t>2019</w:t>
      </w:r>
      <w:r w:rsidR="00D809CF" w:rsidRPr="005B2754">
        <w:rPr>
          <w:rFonts w:ascii="Times New Roman" w:hAnsi="Times New Roman"/>
          <w:szCs w:val="24"/>
        </w:rPr>
        <w:t xml:space="preserve"> </w:t>
      </w:r>
      <w:r w:rsidRPr="005B2754">
        <w:rPr>
          <w:rFonts w:ascii="Times New Roman" w:hAnsi="Times New Roman"/>
          <w:szCs w:val="24"/>
        </w:rPr>
        <w:t>would have qualified as growth in FY</w:t>
      </w:r>
      <w:r w:rsidR="00564AA8" w:rsidRPr="005B2754">
        <w:rPr>
          <w:rFonts w:ascii="Times New Roman" w:hAnsi="Times New Roman"/>
          <w:szCs w:val="24"/>
        </w:rPr>
        <w:t>2</w:t>
      </w:r>
      <w:r w:rsidR="00D809CF" w:rsidRPr="005B2754">
        <w:rPr>
          <w:rFonts w:ascii="Times New Roman" w:hAnsi="Times New Roman"/>
          <w:szCs w:val="24"/>
        </w:rPr>
        <w:t>1</w:t>
      </w:r>
      <w:r w:rsidRPr="005B2754">
        <w:rPr>
          <w:rFonts w:ascii="Times New Roman" w:hAnsi="Times New Roman"/>
          <w:szCs w:val="24"/>
        </w:rPr>
        <w:t xml:space="preserve">. Report the $50,000 in allowable growth value for those 5 articles </w:t>
      </w:r>
      <w:r w:rsidR="005B2754" w:rsidRPr="00FA073D">
        <w:rPr>
          <w:rFonts w:ascii="Times New Roman" w:hAnsi="Times New Roman"/>
          <w:szCs w:val="24"/>
          <w:u w:val="single"/>
        </w:rPr>
        <w:t>Portion Unassessed (Growth Assessed Value</w:t>
      </w:r>
      <w:r w:rsidR="005B2754">
        <w:rPr>
          <w:rFonts w:ascii="Times New Roman" w:hAnsi="Times New Roman"/>
          <w:szCs w:val="24"/>
          <w:u w:val="single"/>
        </w:rPr>
        <w:t xml:space="preserve">) </w:t>
      </w:r>
      <w:r w:rsidR="005B2754" w:rsidRPr="00FA073D">
        <w:rPr>
          <w:rFonts w:ascii="Times New Roman" w:hAnsi="Times New Roman"/>
          <w:szCs w:val="24"/>
        </w:rPr>
        <w:t xml:space="preserve">under Column C for </w:t>
      </w:r>
      <w:r w:rsidR="005B2754" w:rsidRPr="00FA073D">
        <w:rPr>
          <w:rFonts w:ascii="Times New Roman" w:hAnsi="Times New Roman"/>
          <w:szCs w:val="24"/>
        </w:rPr>
        <w:t>FY</w:t>
      </w:r>
      <w:r w:rsidR="005B2754" w:rsidRPr="00FA073D">
        <w:rPr>
          <w:rFonts w:ascii="Times New Roman" w:hAnsi="Times New Roman"/>
          <w:szCs w:val="24"/>
        </w:rPr>
        <w:t>2</w:t>
      </w:r>
      <w:r w:rsidR="005B2754">
        <w:rPr>
          <w:rFonts w:ascii="Times New Roman" w:hAnsi="Times New Roman"/>
          <w:szCs w:val="24"/>
        </w:rPr>
        <w:t>1</w:t>
      </w:r>
      <w:r w:rsidR="005B2754" w:rsidRPr="00FA073D">
        <w:rPr>
          <w:rFonts w:ascii="Times New Roman" w:hAnsi="Times New Roman"/>
          <w:szCs w:val="24"/>
        </w:rPr>
        <w:t>.</w:t>
      </w:r>
    </w:p>
    <w:p w14:paraId="321C284A" w14:textId="3D30A52E" w:rsidR="00596779" w:rsidRPr="005B2754" w:rsidRDefault="00D809CF" w:rsidP="005B275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right="540"/>
        <w:rPr>
          <w:rFonts w:ascii="Times New Roman" w:hAnsi="Times New Roman"/>
          <w:i/>
          <w:iCs/>
          <w:szCs w:val="24"/>
        </w:rPr>
      </w:pPr>
      <w:r w:rsidRPr="005B2754">
        <w:rPr>
          <w:rFonts w:ascii="Times New Roman" w:hAnsi="Times New Roman"/>
          <w:i/>
          <w:iCs/>
          <w:szCs w:val="24"/>
        </w:rPr>
        <w:t xml:space="preserve">Note: </w:t>
      </w:r>
      <w:r w:rsidR="00596779" w:rsidRPr="005B2754">
        <w:rPr>
          <w:rFonts w:ascii="Times New Roman" w:hAnsi="Times New Roman"/>
          <w:i/>
          <w:iCs/>
          <w:szCs w:val="24"/>
        </w:rPr>
        <w:t xml:space="preserve">The assessed valuation of the other 10 articles was already reported as growth in the </w:t>
      </w:r>
      <w:r w:rsidRPr="005B2754">
        <w:rPr>
          <w:rFonts w:ascii="Times New Roman" w:hAnsi="Times New Roman"/>
          <w:i/>
          <w:iCs/>
          <w:szCs w:val="24"/>
        </w:rPr>
        <w:t>FY</w:t>
      </w:r>
      <w:r w:rsidRPr="005B2754">
        <w:rPr>
          <w:rFonts w:ascii="Times New Roman" w:hAnsi="Times New Roman"/>
          <w:i/>
          <w:iCs/>
          <w:szCs w:val="24"/>
        </w:rPr>
        <w:t>19</w:t>
      </w:r>
      <w:r w:rsidRPr="005B2754">
        <w:rPr>
          <w:rFonts w:ascii="Times New Roman" w:hAnsi="Times New Roman"/>
          <w:i/>
          <w:iCs/>
          <w:szCs w:val="24"/>
        </w:rPr>
        <w:t xml:space="preserve"> </w:t>
      </w:r>
      <w:r w:rsidR="00596779" w:rsidRPr="005B2754">
        <w:rPr>
          <w:rFonts w:ascii="Times New Roman" w:hAnsi="Times New Roman"/>
          <w:i/>
          <w:iCs/>
          <w:szCs w:val="24"/>
        </w:rPr>
        <w:t xml:space="preserve">original commitment (1 article) or the </w:t>
      </w:r>
      <w:r w:rsidRPr="005B2754">
        <w:rPr>
          <w:rFonts w:ascii="Times New Roman" w:hAnsi="Times New Roman"/>
          <w:i/>
          <w:iCs/>
          <w:szCs w:val="24"/>
        </w:rPr>
        <w:t>FY</w:t>
      </w:r>
      <w:r w:rsidRPr="005B2754">
        <w:rPr>
          <w:rFonts w:ascii="Times New Roman" w:hAnsi="Times New Roman"/>
          <w:i/>
          <w:iCs/>
          <w:szCs w:val="24"/>
        </w:rPr>
        <w:t>20</w:t>
      </w:r>
      <w:r w:rsidRPr="005B2754">
        <w:rPr>
          <w:rFonts w:ascii="Times New Roman" w:hAnsi="Times New Roman"/>
          <w:i/>
          <w:iCs/>
          <w:szCs w:val="24"/>
        </w:rPr>
        <w:t xml:space="preserve"> </w:t>
      </w:r>
      <w:r w:rsidR="00596779" w:rsidRPr="005B2754">
        <w:rPr>
          <w:rFonts w:ascii="Times New Roman" w:hAnsi="Times New Roman"/>
          <w:i/>
          <w:iCs/>
          <w:szCs w:val="24"/>
        </w:rPr>
        <w:t xml:space="preserve">revised commitment made after the audit (9 articles). </w:t>
      </w:r>
    </w:p>
    <w:p w14:paraId="7D427652" w14:textId="77777777" w:rsidR="00596779" w:rsidRPr="006A77F9" w:rsidRDefault="00596779" w:rsidP="005967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720" w:right="-180" w:hanging="720"/>
        <w:rPr>
          <w:rFonts w:ascii="Times New Roman" w:hAnsi="Times New Roman"/>
          <w:highlight w:val="yellow"/>
        </w:rPr>
      </w:pPr>
    </w:p>
    <w:p w14:paraId="79C22704" w14:textId="758026C2" w:rsidR="00596779" w:rsidRPr="006A77F9" w:rsidRDefault="00B33DB4" w:rsidP="00596779">
      <w:p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right="-180"/>
        <w:jc w:val="center"/>
        <w:rPr>
          <w:rFonts w:ascii="Times New Roman" w:hAnsi="Times New Roman"/>
          <w:highlight w:val="yellow"/>
        </w:rPr>
      </w:pPr>
      <w:r>
        <w:rPr>
          <w:noProof/>
        </w:rPr>
        <w:drawing>
          <wp:inline distT="0" distB="0" distL="0" distR="0" wp14:anchorId="505BE1F4" wp14:editId="5CF7F3B3">
            <wp:extent cx="5777230" cy="2484553"/>
            <wp:effectExtent l="76200" t="76200" r="128270" b="1257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4663" cy="24877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9C0D88A" w14:textId="77777777" w:rsidR="00596779" w:rsidRPr="0053730D" w:rsidRDefault="00596779" w:rsidP="00596779">
      <w:pPr>
        <w:ind w:right="-180"/>
        <w:rPr>
          <w:rFonts w:ascii="Times New Roman" w:hAnsi="Times New Roman"/>
          <w:i/>
          <w:szCs w:val="24"/>
        </w:rPr>
      </w:pPr>
      <w:r w:rsidRPr="00342F10">
        <w:rPr>
          <w:rFonts w:ascii="Times New Roman" w:hAnsi="Times New Roman"/>
          <w:b/>
          <w:szCs w:val="24"/>
        </w:rPr>
        <w:t xml:space="preserve">Column D:  Personal Property Tax Rate </w:t>
      </w:r>
      <w:r w:rsidRPr="00342F10">
        <w:rPr>
          <w:rFonts w:ascii="Times New Roman" w:hAnsi="Times New Roman"/>
          <w:szCs w:val="24"/>
        </w:rPr>
        <w:t xml:space="preserve">– </w:t>
      </w:r>
      <w:r>
        <w:rPr>
          <w:rFonts w:ascii="Times New Roman" w:hAnsi="Times New Roman"/>
          <w:szCs w:val="24"/>
        </w:rPr>
        <w:t>The</w:t>
      </w:r>
      <w:r w:rsidRPr="00342F10">
        <w:rPr>
          <w:rFonts w:ascii="Times New Roman" w:hAnsi="Times New Roman"/>
          <w:szCs w:val="24"/>
        </w:rPr>
        <w:t xml:space="preserve"> personal property tax rate for the fiscal year prior to the fiscal year the assessed valuation qualified as growth</w:t>
      </w:r>
      <w:r>
        <w:rPr>
          <w:rFonts w:ascii="Times New Roman" w:hAnsi="Times New Roman"/>
          <w:szCs w:val="24"/>
        </w:rPr>
        <w:t xml:space="preserve"> </w:t>
      </w:r>
      <w:r w:rsidRPr="0053730D">
        <w:rPr>
          <w:rFonts w:ascii="Times New Roman" w:hAnsi="Times New Roman"/>
          <w:i/>
          <w:szCs w:val="24"/>
        </w:rPr>
        <w:t>will automatically populate in the column.</w:t>
      </w:r>
    </w:p>
    <w:p w14:paraId="76401493" w14:textId="77777777" w:rsidR="00596779" w:rsidRPr="006A77F9" w:rsidRDefault="00596779" w:rsidP="00596779">
      <w:pPr>
        <w:pStyle w:val="ListNum"/>
        <w:numPr>
          <w:ilvl w:val="0"/>
          <w:numId w:val="0"/>
        </w:numPr>
        <w:spacing w:after="0" w:line="240" w:lineRule="auto"/>
        <w:ind w:right="-180"/>
        <w:rPr>
          <w:sz w:val="24"/>
          <w:szCs w:val="24"/>
          <w:highlight w:val="yellow"/>
        </w:rPr>
      </w:pPr>
    </w:p>
    <w:p w14:paraId="136241B8" w14:textId="2622885B" w:rsidR="00596779" w:rsidRPr="008D42BC" w:rsidRDefault="00596779" w:rsidP="00596779">
      <w:pPr>
        <w:ind w:right="-180"/>
        <w:rPr>
          <w:rFonts w:ascii="Times New Roman" w:hAnsi="Times New Roman"/>
          <w:b/>
          <w:szCs w:val="24"/>
          <w:u w:val="single"/>
        </w:rPr>
      </w:pPr>
      <w:r w:rsidRPr="008D42BC">
        <w:rPr>
          <w:rFonts w:ascii="Times New Roman" w:hAnsi="Times New Roman"/>
          <w:b/>
          <w:szCs w:val="24"/>
        </w:rPr>
        <w:t xml:space="preserve">Column F:  Levy Growth – The spreadsheet will </w:t>
      </w:r>
      <w:r w:rsidRPr="008D42BC">
        <w:rPr>
          <w:rFonts w:ascii="Times New Roman" w:hAnsi="Times New Roman"/>
          <w:szCs w:val="24"/>
        </w:rPr>
        <w:t xml:space="preserve">automatically populate the allowable levy growth for amounts entered for </w:t>
      </w:r>
      <w:r w:rsidR="005B2754" w:rsidRPr="008D42BC">
        <w:rPr>
          <w:rFonts w:ascii="Times New Roman" w:hAnsi="Times New Roman"/>
          <w:szCs w:val="24"/>
        </w:rPr>
        <w:t>FY</w:t>
      </w:r>
      <w:r w:rsidR="005B2754">
        <w:rPr>
          <w:rFonts w:ascii="Times New Roman" w:hAnsi="Times New Roman"/>
          <w:szCs w:val="24"/>
        </w:rPr>
        <w:t>18</w:t>
      </w:r>
      <w:r w:rsidRPr="008D42BC">
        <w:rPr>
          <w:rFonts w:ascii="Times New Roman" w:hAnsi="Times New Roman"/>
          <w:szCs w:val="24"/>
        </w:rPr>
        <w:t xml:space="preserve">, </w:t>
      </w:r>
      <w:r w:rsidR="005B2754" w:rsidRPr="008D42BC">
        <w:rPr>
          <w:rFonts w:ascii="Times New Roman" w:hAnsi="Times New Roman"/>
          <w:szCs w:val="24"/>
        </w:rPr>
        <w:t>FY</w:t>
      </w:r>
      <w:r w:rsidR="005B2754">
        <w:rPr>
          <w:rFonts w:ascii="Times New Roman" w:hAnsi="Times New Roman"/>
          <w:szCs w:val="24"/>
        </w:rPr>
        <w:t>19</w:t>
      </w:r>
      <w:r w:rsidRPr="008D42BC">
        <w:rPr>
          <w:rFonts w:ascii="Times New Roman" w:hAnsi="Times New Roman"/>
          <w:szCs w:val="24"/>
        </w:rPr>
        <w:t xml:space="preserve">, </w:t>
      </w:r>
      <w:r w:rsidR="005B2754" w:rsidRPr="008D42BC">
        <w:rPr>
          <w:rFonts w:ascii="Times New Roman" w:hAnsi="Times New Roman"/>
          <w:szCs w:val="24"/>
        </w:rPr>
        <w:t>FY</w:t>
      </w:r>
      <w:r w:rsidR="005B2754">
        <w:rPr>
          <w:rFonts w:ascii="Times New Roman" w:hAnsi="Times New Roman"/>
          <w:szCs w:val="24"/>
        </w:rPr>
        <w:t>20</w:t>
      </w:r>
      <w:r w:rsidR="005B2754" w:rsidRPr="008D42BC">
        <w:rPr>
          <w:rFonts w:ascii="Times New Roman" w:hAnsi="Times New Roman"/>
          <w:szCs w:val="24"/>
        </w:rPr>
        <w:t xml:space="preserve"> </w:t>
      </w:r>
      <w:r w:rsidRPr="008D42BC">
        <w:rPr>
          <w:rFonts w:ascii="Times New Roman" w:hAnsi="Times New Roman"/>
          <w:szCs w:val="24"/>
        </w:rPr>
        <w:t xml:space="preserve">and </w:t>
      </w:r>
      <w:r w:rsidR="005B2754">
        <w:rPr>
          <w:rFonts w:ascii="Times New Roman" w:hAnsi="Times New Roman"/>
          <w:szCs w:val="24"/>
        </w:rPr>
        <w:t>FY</w:t>
      </w:r>
      <w:r w:rsidR="005B2754">
        <w:rPr>
          <w:rFonts w:ascii="Times New Roman" w:hAnsi="Times New Roman"/>
          <w:szCs w:val="24"/>
        </w:rPr>
        <w:t>21</w:t>
      </w:r>
      <w:r w:rsidR="005B2754" w:rsidRPr="008D42BC">
        <w:rPr>
          <w:rFonts w:ascii="Times New Roman" w:hAnsi="Times New Roman"/>
          <w:szCs w:val="24"/>
        </w:rPr>
        <w:t xml:space="preserve"> </w:t>
      </w:r>
      <w:r w:rsidRPr="008D42BC">
        <w:rPr>
          <w:rFonts w:ascii="Times New Roman" w:hAnsi="Times New Roman"/>
          <w:szCs w:val="24"/>
        </w:rPr>
        <w:t>for the community designated.</w:t>
      </w:r>
    </w:p>
    <w:p w14:paraId="3B7FDC21" w14:textId="77777777" w:rsidR="00596779" w:rsidRPr="008D42BC" w:rsidRDefault="00596779" w:rsidP="00596779">
      <w:pPr>
        <w:ind w:right="-180"/>
        <w:rPr>
          <w:rFonts w:ascii="Times New Roman" w:hAnsi="Times New Roman"/>
          <w:szCs w:val="24"/>
        </w:rPr>
      </w:pPr>
    </w:p>
    <w:p w14:paraId="332C9EE1" w14:textId="77777777" w:rsidR="00596779" w:rsidRPr="008D42BC" w:rsidRDefault="00596779" w:rsidP="00596779">
      <w:pPr>
        <w:ind w:right="-180"/>
        <w:rPr>
          <w:rFonts w:ascii="Times New Roman" w:hAnsi="Times New Roman"/>
          <w:szCs w:val="24"/>
        </w:rPr>
      </w:pPr>
      <w:r w:rsidRPr="008D42BC">
        <w:rPr>
          <w:rFonts w:ascii="Times New Roman" w:hAnsi="Times New Roman"/>
          <w:b/>
          <w:szCs w:val="24"/>
          <w:u w:val="single"/>
        </w:rPr>
        <w:t>STEP 3</w:t>
      </w:r>
      <w:r w:rsidRPr="008D42BC">
        <w:rPr>
          <w:rFonts w:ascii="Times New Roman" w:hAnsi="Times New Roman"/>
          <w:b/>
          <w:szCs w:val="24"/>
        </w:rPr>
        <w:t xml:space="preserve"> - </w:t>
      </w:r>
      <w:r w:rsidRPr="008D42BC">
        <w:rPr>
          <w:rFonts w:ascii="Times New Roman" w:hAnsi="Times New Roman"/>
          <w:b/>
          <w:szCs w:val="24"/>
          <w:u w:val="single"/>
        </w:rPr>
        <w:t>DETERMINE TOTAL LEVY GROWTH</w:t>
      </w:r>
    </w:p>
    <w:p w14:paraId="51D7DCC1" w14:textId="77777777" w:rsidR="00596779" w:rsidRPr="008D42BC" w:rsidRDefault="00596779" w:rsidP="00596779">
      <w:p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right="-180"/>
        <w:rPr>
          <w:rFonts w:ascii="Times New Roman" w:hAnsi="Times New Roman"/>
          <w:szCs w:val="24"/>
        </w:rPr>
      </w:pPr>
    </w:p>
    <w:p w14:paraId="613CA8BC" w14:textId="7BA75AA1" w:rsidR="00596779" w:rsidRDefault="00596779" w:rsidP="00596779">
      <w:p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right="-180"/>
        <w:rPr>
          <w:rFonts w:ascii="Times New Roman" w:hAnsi="Times New Roman"/>
          <w:b/>
          <w:szCs w:val="24"/>
        </w:rPr>
      </w:pPr>
      <w:r w:rsidRPr="008D42BC">
        <w:rPr>
          <w:rFonts w:ascii="Times New Roman" w:hAnsi="Times New Roman"/>
          <w:szCs w:val="24"/>
        </w:rPr>
        <w:t xml:space="preserve">The spreadsheet will then convert the total growth assessed value into a </w:t>
      </w:r>
      <w:r w:rsidRPr="008D42BC">
        <w:rPr>
          <w:rFonts w:ascii="Times New Roman" w:hAnsi="Times New Roman"/>
          <w:b/>
          <w:szCs w:val="24"/>
        </w:rPr>
        <w:t>“Growth Valuation” amount to be entered on the LA13A.</w:t>
      </w:r>
    </w:p>
    <w:p w14:paraId="707E922F" w14:textId="069CDD08" w:rsidR="00596779" w:rsidRPr="00020790" w:rsidRDefault="00B737B2" w:rsidP="00020790">
      <w:p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right="-180"/>
        <w:rPr>
          <w:rFonts w:ascii="Times New Roman" w:hAnsi="Times New Roman"/>
          <w:b/>
          <w:szCs w:val="24"/>
          <w:highlight w:val="yellow"/>
        </w:rPr>
      </w:pPr>
      <w:r>
        <w:rPr>
          <w:noProof/>
        </w:rPr>
        <w:drawing>
          <wp:inline distT="0" distB="0" distL="0" distR="0" wp14:anchorId="6BA77EC3" wp14:editId="0A873FE3">
            <wp:extent cx="5391150" cy="1522929"/>
            <wp:effectExtent l="76200" t="76200" r="133350" b="134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0853" cy="154544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596779">
        <w:rPr>
          <w:rFonts w:ascii="Times New Roman" w:hAnsi="Times New Roman"/>
          <w:b/>
          <w:szCs w:val="24"/>
          <w:highlight w:val="yellow"/>
        </w:rPr>
        <w:br w:type="page"/>
      </w:r>
    </w:p>
    <w:p w14:paraId="42BAF67B" w14:textId="4357DAB4" w:rsidR="00596779" w:rsidRPr="008D42BC" w:rsidRDefault="00596779" w:rsidP="00596779">
      <w:pPr>
        <w:tabs>
          <w:tab w:val="left" w:pos="720"/>
        </w:tabs>
        <w:ind w:right="-180"/>
        <w:rPr>
          <w:rFonts w:ascii="Times New Roman" w:hAnsi="Times New Roman"/>
          <w:szCs w:val="24"/>
        </w:rPr>
      </w:pPr>
      <w:r w:rsidRPr="008D42BC">
        <w:rPr>
          <w:rFonts w:ascii="Times New Roman" w:hAnsi="Times New Roman"/>
          <w:b/>
          <w:szCs w:val="24"/>
          <w:u w:val="single"/>
        </w:rPr>
        <w:lastRenderedPageBreak/>
        <w:t>STEP 4</w:t>
      </w:r>
      <w:r w:rsidRPr="008D42BC">
        <w:rPr>
          <w:rFonts w:ascii="Times New Roman" w:hAnsi="Times New Roman"/>
          <w:b/>
          <w:szCs w:val="24"/>
        </w:rPr>
        <w:t xml:space="preserve"> - </w:t>
      </w:r>
      <w:r w:rsidRPr="008D42BC">
        <w:rPr>
          <w:rFonts w:ascii="Times New Roman" w:hAnsi="Times New Roman"/>
          <w:b/>
          <w:szCs w:val="24"/>
          <w:u w:val="single"/>
        </w:rPr>
        <w:t>REPORT TOTAL LEVY GROWTH ON THE LA</w:t>
      </w:r>
      <w:r>
        <w:rPr>
          <w:rFonts w:ascii="Times New Roman" w:hAnsi="Times New Roman"/>
          <w:b/>
          <w:szCs w:val="24"/>
          <w:u w:val="single"/>
        </w:rPr>
        <w:t>-</w:t>
      </w:r>
      <w:r w:rsidRPr="008D42BC">
        <w:rPr>
          <w:rFonts w:ascii="Times New Roman" w:hAnsi="Times New Roman"/>
          <w:b/>
          <w:szCs w:val="24"/>
          <w:u w:val="single"/>
        </w:rPr>
        <w:t>13A</w:t>
      </w:r>
      <w:r w:rsidR="00E629AE">
        <w:rPr>
          <w:rFonts w:ascii="Times New Roman" w:hAnsi="Times New Roman"/>
          <w:b/>
          <w:szCs w:val="24"/>
          <w:u w:val="single"/>
        </w:rPr>
        <w:t xml:space="preserve"> Amended Tax Base Levy Growth</w:t>
      </w:r>
    </w:p>
    <w:p w14:paraId="198EAB9F" w14:textId="77777777" w:rsidR="00596779" w:rsidRDefault="00596779" w:rsidP="005967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right="-180"/>
        <w:rPr>
          <w:rFonts w:ascii="Times New Roman" w:hAnsi="Times New Roman"/>
          <w:szCs w:val="24"/>
        </w:rPr>
      </w:pPr>
    </w:p>
    <w:p w14:paraId="115AAB8F" w14:textId="38EECB0B" w:rsidR="00596779" w:rsidRPr="00023BBB" w:rsidRDefault="00596779" w:rsidP="005967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right="-180"/>
        <w:rPr>
          <w:rFonts w:ascii="Times New Roman" w:hAnsi="Times New Roman"/>
          <w:b/>
          <w:szCs w:val="24"/>
        </w:rPr>
      </w:pPr>
      <w:r w:rsidRPr="00023BBB">
        <w:rPr>
          <w:rFonts w:ascii="Times New Roman" w:hAnsi="Times New Roman"/>
          <w:szCs w:val="24"/>
        </w:rPr>
        <w:t>Enter the Assessed Value from column B</w:t>
      </w:r>
      <w:r w:rsidR="00B737B2">
        <w:rPr>
          <w:rFonts w:ascii="Times New Roman" w:hAnsi="Times New Roman"/>
          <w:szCs w:val="24"/>
        </w:rPr>
        <w:t xml:space="preserve"> (Total)</w:t>
      </w:r>
      <w:r w:rsidRPr="00023BBB">
        <w:rPr>
          <w:rFonts w:ascii="Times New Roman" w:hAnsi="Times New Roman"/>
          <w:szCs w:val="24"/>
        </w:rPr>
        <w:t xml:space="preserve"> of the Audite</w:t>
      </w:r>
      <w:r>
        <w:rPr>
          <w:rFonts w:ascii="Times New Roman" w:hAnsi="Times New Roman"/>
          <w:szCs w:val="24"/>
        </w:rPr>
        <w:t xml:space="preserve">d Personal Property Worksheet </w:t>
      </w:r>
      <w:r w:rsidRPr="00023BBB">
        <w:rPr>
          <w:rFonts w:ascii="Times New Roman" w:hAnsi="Times New Roman"/>
          <w:szCs w:val="24"/>
        </w:rPr>
        <w:t xml:space="preserve">to </w:t>
      </w:r>
      <w:r w:rsidRPr="0047541C">
        <w:rPr>
          <w:rFonts w:ascii="Times New Roman" w:hAnsi="Times New Roman"/>
          <w:b/>
          <w:bCs/>
          <w:szCs w:val="24"/>
        </w:rPr>
        <w:t>column</w:t>
      </w:r>
      <w:r w:rsidR="00B737B2" w:rsidRPr="0047541C">
        <w:rPr>
          <w:rFonts w:ascii="Times New Roman" w:hAnsi="Times New Roman"/>
          <w:b/>
          <w:bCs/>
          <w:szCs w:val="24"/>
        </w:rPr>
        <w:t xml:space="preserve"> A</w:t>
      </w:r>
      <w:r w:rsidRPr="00023BBB">
        <w:rPr>
          <w:rFonts w:ascii="Times New Roman" w:hAnsi="Times New Roman"/>
          <w:szCs w:val="24"/>
        </w:rPr>
        <w:t xml:space="preserve"> </w:t>
      </w:r>
      <w:r w:rsidR="004B1C13">
        <w:rPr>
          <w:rFonts w:ascii="Times New Roman" w:hAnsi="Times New Roman"/>
          <w:szCs w:val="24"/>
        </w:rPr>
        <w:t xml:space="preserve">“Omitted and Revised Value Committed to Tax Collector” </w:t>
      </w:r>
      <w:r w:rsidRPr="00023BBB">
        <w:rPr>
          <w:rFonts w:ascii="Times New Roman" w:hAnsi="Times New Roman"/>
          <w:szCs w:val="24"/>
        </w:rPr>
        <w:t xml:space="preserve">on the </w:t>
      </w:r>
      <w:r w:rsidRPr="00023BBB">
        <w:rPr>
          <w:rFonts w:ascii="Times New Roman" w:hAnsi="Times New Roman"/>
          <w:b/>
          <w:szCs w:val="24"/>
        </w:rPr>
        <w:t>Audited Personal Property line of the LA-13A</w:t>
      </w:r>
    </w:p>
    <w:p w14:paraId="5E745AA6" w14:textId="77777777" w:rsidR="00596779" w:rsidRDefault="00596779" w:rsidP="005967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right="-180"/>
        <w:rPr>
          <w:rFonts w:ascii="Times New Roman" w:hAnsi="Times New Roman"/>
          <w:szCs w:val="24"/>
        </w:rPr>
      </w:pPr>
    </w:p>
    <w:p w14:paraId="30C67A02" w14:textId="325669FE" w:rsidR="00596779" w:rsidRPr="006A77F9" w:rsidRDefault="00596779" w:rsidP="005967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right="-180"/>
        <w:rPr>
          <w:rFonts w:ascii="Times New Roman" w:hAnsi="Times New Roman"/>
          <w:szCs w:val="24"/>
          <w:highlight w:val="yellow"/>
        </w:rPr>
      </w:pPr>
      <w:r>
        <w:rPr>
          <w:rFonts w:ascii="Times New Roman" w:hAnsi="Times New Roman"/>
          <w:szCs w:val="24"/>
        </w:rPr>
        <w:t>Enter the Growth Valuation</w:t>
      </w:r>
      <w:r w:rsidRPr="00023BBB">
        <w:rPr>
          <w:rFonts w:ascii="Times New Roman" w:hAnsi="Times New Roman"/>
          <w:szCs w:val="24"/>
        </w:rPr>
        <w:t xml:space="preserve"> from </w:t>
      </w:r>
      <w:r>
        <w:rPr>
          <w:rFonts w:ascii="Times New Roman" w:hAnsi="Times New Roman"/>
          <w:szCs w:val="24"/>
        </w:rPr>
        <w:t>Line 3</w:t>
      </w:r>
      <w:r w:rsidRPr="00023BBB">
        <w:rPr>
          <w:rFonts w:ascii="Times New Roman" w:hAnsi="Times New Roman"/>
          <w:szCs w:val="24"/>
        </w:rPr>
        <w:t xml:space="preserve"> of the Audit</w:t>
      </w:r>
      <w:r>
        <w:rPr>
          <w:rFonts w:ascii="Times New Roman" w:hAnsi="Times New Roman"/>
          <w:szCs w:val="24"/>
        </w:rPr>
        <w:t xml:space="preserve">ed Personal Property Worksheet </w:t>
      </w:r>
      <w:r w:rsidRPr="00023BBB">
        <w:rPr>
          <w:rFonts w:ascii="Times New Roman" w:hAnsi="Times New Roman"/>
          <w:szCs w:val="24"/>
        </w:rPr>
        <w:t xml:space="preserve">to </w:t>
      </w:r>
      <w:r w:rsidRPr="0047541C">
        <w:rPr>
          <w:rFonts w:ascii="Times New Roman" w:hAnsi="Times New Roman"/>
          <w:b/>
          <w:bCs/>
          <w:szCs w:val="24"/>
        </w:rPr>
        <w:t xml:space="preserve">column </w:t>
      </w:r>
      <w:r w:rsidR="00B737B2" w:rsidRPr="0047541C">
        <w:rPr>
          <w:rFonts w:ascii="Times New Roman" w:hAnsi="Times New Roman"/>
          <w:b/>
          <w:bCs/>
          <w:szCs w:val="24"/>
        </w:rPr>
        <w:t>B</w:t>
      </w:r>
      <w:r w:rsidRPr="00023BBB">
        <w:rPr>
          <w:rFonts w:ascii="Times New Roman" w:hAnsi="Times New Roman"/>
          <w:szCs w:val="24"/>
        </w:rPr>
        <w:t xml:space="preserve"> </w:t>
      </w:r>
      <w:r w:rsidR="004B1C13">
        <w:rPr>
          <w:rFonts w:ascii="Times New Roman" w:hAnsi="Times New Roman"/>
          <w:szCs w:val="24"/>
        </w:rPr>
        <w:t xml:space="preserve">“Portion Unassessed in Prior FY” </w:t>
      </w:r>
      <w:r w:rsidRPr="00023BBB">
        <w:rPr>
          <w:rFonts w:ascii="Times New Roman" w:hAnsi="Times New Roman"/>
          <w:szCs w:val="24"/>
        </w:rPr>
        <w:t xml:space="preserve">on the </w:t>
      </w:r>
      <w:r w:rsidRPr="00023BBB">
        <w:rPr>
          <w:rFonts w:ascii="Times New Roman" w:hAnsi="Times New Roman"/>
          <w:b/>
          <w:szCs w:val="24"/>
        </w:rPr>
        <w:t>Audited Personal Property line of the LA-13A</w:t>
      </w:r>
      <w:r>
        <w:rPr>
          <w:rFonts w:ascii="Times New Roman" w:hAnsi="Times New Roman"/>
          <w:b/>
          <w:szCs w:val="24"/>
        </w:rPr>
        <w:t>.</w:t>
      </w:r>
    </w:p>
    <w:p w14:paraId="49436130" w14:textId="382D11A9" w:rsidR="00DF285D" w:rsidRDefault="00DF285D"/>
    <w:sectPr w:rsidR="00DF285D" w:rsidSect="003C17B0">
      <w:headerReference w:type="even" r:id="rId10"/>
      <w:headerReference w:type="default" r:id="rId11"/>
      <w:pgSz w:w="12240" w:h="15840" w:code="1"/>
      <w:pgMar w:top="1008" w:right="1440" w:bottom="720" w:left="1440" w:header="720" w:footer="720" w:gutter="0"/>
      <w:pgNumType w:start="3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AC83D" w14:textId="77777777" w:rsidR="009E321A" w:rsidRDefault="009E321A">
      <w:r>
        <w:separator/>
      </w:r>
    </w:p>
  </w:endnote>
  <w:endnote w:type="continuationSeparator" w:id="0">
    <w:p w14:paraId="2F8C71A2" w14:textId="77777777" w:rsidR="009E321A" w:rsidRDefault="009E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52B46" w14:textId="77777777" w:rsidR="009E321A" w:rsidRDefault="009E321A">
      <w:r>
        <w:separator/>
      </w:r>
    </w:p>
  </w:footnote>
  <w:footnote w:type="continuationSeparator" w:id="0">
    <w:p w14:paraId="757DBAA3" w14:textId="77777777" w:rsidR="009E321A" w:rsidRDefault="009E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B8C92" w14:textId="77777777" w:rsidR="00753761" w:rsidRDefault="0059677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1682E" w14:textId="153324A8" w:rsidR="005B2754" w:rsidRDefault="005B2754" w:rsidP="005B2754">
    <w:pPr>
      <w:tabs>
        <w:tab w:val="left" w:pos="63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right="-180"/>
      <w:jc w:val="center"/>
      <w:rPr>
        <w:rStyle w:val="Hyperlink"/>
        <w:rFonts w:ascii="Times New Roman" w:hAnsi="Times New Roman"/>
        <w:szCs w:val="24"/>
      </w:rPr>
    </w:pPr>
    <w:r w:rsidRPr="00237CFD">
      <w:rPr>
        <w:b/>
      </w:rPr>
      <w:t>Instructions: FY 202</w:t>
    </w:r>
    <w:r>
      <w:rPr>
        <w:b/>
      </w:rPr>
      <w:t>2</w:t>
    </w:r>
    <w:r w:rsidRPr="00237CFD">
      <w:t xml:space="preserve"> </w:t>
    </w:r>
    <w:hyperlink r:id="rId1" w:history="1">
      <w:r w:rsidRPr="00237CFD">
        <w:rPr>
          <w:rStyle w:val="Hyperlink"/>
          <w:rFonts w:ascii="Times New Roman" w:hAnsi="Times New Roman"/>
          <w:szCs w:val="24"/>
        </w:rPr>
        <w:t>Audited Personal Property Account Worksheet for Amended Levy Growth</w:t>
      </w:r>
    </w:hyperlink>
  </w:p>
  <w:p w14:paraId="6611F3FB" w14:textId="77777777" w:rsidR="005B2754" w:rsidRPr="00237CFD" w:rsidRDefault="005B2754" w:rsidP="005B2754">
    <w:pPr>
      <w:tabs>
        <w:tab w:val="left" w:pos="63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right="-180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265EDC"/>
    <w:multiLevelType w:val="singleLevel"/>
    <w:tmpl w:val="D24AFB2A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8015D37"/>
    <w:multiLevelType w:val="hybridMultilevel"/>
    <w:tmpl w:val="35D0C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79"/>
    <w:rsid w:val="00020790"/>
    <w:rsid w:val="000878A3"/>
    <w:rsid w:val="00175787"/>
    <w:rsid w:val="00237CFD"/>
    <w:rsid w:val="0047541C"/>
    <w:rsid w:val="004B1C13"/>
    <w:rsid w:val="00517FA9"/>
    <w:rsid w:val="00526569"/>
    <w:rsid w:val="00564AA8"/>
    <w:rsid w:val="00596779"/>
    <w:rsid w:val="005B2754"/>
    <w:rsid w:val="0064328A"/>
    <w:rsid w:val="008D035D"/>
    <w:rsid w:val="009E321A"/>
    <w:rsid w:val="00AA5BAF"/>
    <w:rsid w:val="00B33DB4"/>
    <w:rsid w:val="00B737B2"/>
    <w:rsid w:val="00B85FCA"/>
    <w:rsid w:val="00C01EAC"/>
    <w:rsid w:val="00D73B7B"/>
    <w:rsid w:val="00D809CF"/>
    <w:rsid w:val="00DF285D"/>
    <w:rsid w:val="00E629AE"/>
    <w:rsid w:val="00F7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A36A9"/>
  <w15:docId w15:val="{E23E64BA-9258-4399-A2F6-6CBC5580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779"/>
    <w:pPr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6779"/>
    <w:rPr>
      <w:color w:val="0000FF"/>
      <w:u w:val="single"/>
    </w:rPr>
  </w:style>
  <w:style w:type="paragraph" w:customStyle="1" w:styleId="ListNum">
    <w:name w:val="List Num"/>
    <w:basedOn w:val="Normal"/>
    <w:rsid w:val="00596779"/>
    <w:pPr>
      <w:numPr>
        <w:numId w:val="1"/>
      </w:numPr>
      <w:spacing w:after="120" w:line="320" w:lineRule="atLeast"/>
    </w:pPr>
    <w:rPr>
      <w:rFonts w:ascii="Times New Roman" w:hAnsi="Times New Roman"/>
      <w:spacing w:val="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7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779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37CF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4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754"/>
    <w:rPr>
      <w:rFonts w:ascii="Book Antiqua" w:eastAsia="Times New Roman" w:hAnsi="Book Antiqu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B2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754"/>
    <w:rPr>
      <w:rFonts w:ascii="Book Antiqua" w:eastAsia="Times New Roman" w:hAnsi="Book Antiqu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media/1872376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Administration and Finance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Graziano, Joanne (DOR)</cp:lastModifiedBy>
  <cp:revision>4</cp:revision>
  <dcterms:created xsi:type="dcterms:W3CDTF">2020-09-22T13:47:00Z</dcterms:created>
  <dcterms:modified xsi:type="dcterms:W3CDTF">2021-03-12T16:20:00Z</dcterms:modified>
</cp:coreProperties>
</file>