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8AED4" w14:textId="77777777" w:rsidR="0014520E" w:rsidRDefault="0014520E" w:rsidP="00230329">
      <w:pPr>
        <w:ind w:left="1440"/>
        <w:rPr>
          <w:b/>
        </w:rPr>
      </w:pPr>
      <w:r>
        <w:rPr>
          <w:b/>
        </w:rPr>
        <w:t>Table of Contents</w:t>
      </w:r>
    </w:p>
    <w:p w14:paraId="7AE7B5E8" w14:textId="77777777" w:rsidR="0014520E" w:rsidRDefault="0014520E" w:rsidP="00230329">
      <w:pPr>
        <w:ind w:left="1440"/>
        <w:rPr>
          <w:b/>
        </w:rPr>
      </w:pPr>
    </w:p>
    <w:p w14:paraId="263A7CA5" w14:textId="77777777" w:rsidR="0014520E" w:rsidRDefault="0014520E" w:rsidP="00230329">
      <w:pPr>
        <w:numPr>
          <w:ilvl w:val="0"/>
          <w:numId w:val="8"/>
        </w:numPr>
        <w:tabs>
          <w:tab w:val="clear" w:pos="360"/>
          <w:tab w:val="num" w:pos="1890"/>
        </w:tabs>
        <w:ind w:left="1440" w:firstLine="0"/>
      </w:pPr>
      <w:r>
        <w:t>introduction</w:t>
      </w:r>
    </w:p>
    <w:p w14:paraId="2CCC870E" w14:textId="77777777" w:rsidR="0014520E" w:rsidRDefault="0014520E" w:rsidP="00230329">
      <w:pPr>
        <w:numPr>
          <w:ilvl w:val="0"/>
          <w:numId w:val="8"/>
        </w:numPr>
        <w:tabs>
          <w:tab w:val="clear" w:pos="360"/>
          <w:tab w:val="num" w:pos="1890"/>
        </w:tabs>
        <w:ind w:left="1440" w:firstLine="0"/>
        <w:rPr>
          <w:b/>
        </w:rPr>
      </w:pPr>
      <w:r>
        <w:t>permit</w:t>
      </w:r>
      <w:r w:rsidR="00C3380C">
        <w:t xml:space="preserve"> application</w:t>
      </w:r>
      <w:r>
        <w:t xml:space="preserve"> fact sheet</w:t>
      </w:r>
    </w:p>
    <w:p w14:paraId="3D65F802" w14:textId="77777777" w:rsidR="0014520E" w:rsidRDefault="0014520E" w:rsidP="00230329">
      <w:pPr>
        <w:numPr>
          <w:ilvl w:val="0"/>
          <w:numId w:val="8"/>
        </w:numPr>
        <w:tabs>
          <w:tab w:val="clear" w:pos="360"/>
          <w:tab w:val="num" w:pos="1890"/>
        </w:tabs>
        <w:ind w:left="1440" w:firstLine="0"/>
        <w:rPr>
          <w:rFonts w:eastAsia="Times New Roman"/>
          <w:color w:val="000000"/>
        </w:rPr>
      </w:pPr>
      <w:r>
        <w:t>completeness checklist</w:t>
      </w:r>
    </w:p>
    <w:p w14:paraId="0BE828FD" w14:textId="77777777" w:rsidR="0014520E" w:rsidRDefault="0014520E" w:rsidP="00230329">
      <w:pPr>
        <w:ind w:left="1440"/>
        <w:rPr>
          <w:rFonts w:eastAsia="Times New Roman"/>
          <w:color w:val="000000"/>
        </w:rPr>
      </w:pPr>
    </w:p>
    <w:p w14:paraId="64793797" w14:textId="77777777" w:rsidR="0014520E" w:rsidRDefault="0014520E" w:rsidP="00230329">
      <w:pPr>
        <w:ind w:left="1440"/>
        <w:rPr>
          <w:b/>
        </w:rPr>
      </w:pPr>
      <w:r>
        <w:rPr>
          <w:b/>
        </w:rPr>
        <w:t>Introduction</w:t>
      </w:r>
    </w:p>
    <w:p w14:paraId="19569937" w14:textId="77777777" w:rsidR="0014520E" w:rsidRDefault="0014520E" w:rsidP="00230329">
      <w:pPr>
        <w:ind w:left="1440"/>
        <w:rPr>
          <w:rFonts w:eastAsia="Times New Roman"/>
        </w:rPr>
      </w:pPr>
    </w:p>
    <w:p w14:paraId="1598E640" w14:textId="77777777" w:rsidR="006E4FE3" w:rsidRDefault="006E4FE3" w:rsidP="00230329">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0" w:history="1">
        <w:r>
          <w:rPr>
            <w:rFonts w:cs="Arial"/>
            <w:color w:val="0000FF"/>
            <w:u w:val="single" w:color="0000FF"/>
          </w:rPr>
          <w:t>mass.gov/dep</w:t>
        </w:r>
      </w:hyperlink>
      <w:r>
        <w:rPr>
          <w:rFonts w:cs="Arial"/>
        </w:rPr>
        <w:t xml:space="preserve"> in two file formats: Microsoft Word and Adobe Acrobat PDF.</w:t>
      </w:r>
    </w:p>
    <w:p w14:paraId="25C5D9DA" w14:textId="77777777" w:rsidR="006E4FE3" w:rsidRDefault="006E4FE3" w:rsidP="00230329">
      <w:pPr>
        <w:autoSpaceDE w:val="0"/>
        <w:autoSpaceDN w:val="0"/>
        <w:adjustRightInd w:val="0"/>
        <w:ind w:left="1440"/>
        <w:rPr>
          <w:rFonts w:cs="Arial"/>
        </w:rPr>
      </w:pPr>
    </w:p>
    <w:p w14:paraId="3243474E" w14:textId="77777777" w:rsidR="006E4FE3" w:rsidRDefault="006E4FE3" w:rsidP="00230329">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5A133D46" w14:textId="77777777" w:rsidR="006E4FE3" w:rsidRDefault="006E4FE3" w:rsidP="00230329">
      <w:pPr>
        <w:autoSpaceDE w:val="0"/>
        <w:autoSpaceDN w:val="0"/>
        <w:adjustRightInd w:val="0"/>
        <w:ind w:left="1440"/>
        <w:rPr>
          <w:rFonts w:cs="Arial"/>
        </w:rPr>
      </w:pPr>
    </w:p>
    <w:p w14:paraId="2F227A47" w14:textId="21DC8304" w:rsidR="006E4FE3" w:rsidRDefault="006E4FE3" w:rsidP="00230329">
      <w:pPr>
        <w:autoSpaceDE w:val="0"/>
        <w:autoSpaceDN w:val="0"/>
        <w:adjustRightInd w:val="0"/>
        <w:ind w:left="1440"/>
        <w:rPr>
          <w:rFonts w:cs="Arial"/>
        </w:rPr>
      </w:pPr>
      <w:r>
        <w:rPr>
          <w:rFonts w:cs="Arial"/>
        </w:rPr>
        <w:t xml:space="preserve">These </w:t>
      </w:r>
      <w:r>
        <w:rPr>
          <w:rFonts w:cs="Arial"/>
          <w:i/>
          <w:iCs/>
        </w:rPr>
        <w:t>Permit Applications</w:t>
      </w:r>
      <w:r>
        <w:rPr>
          <w:rFonts w:cs="Arial"/>
        </w:rPr>
        <w:t xml:space="preserve">, supporting documents, and the fee payment </w:t>
      </w:r>
      <w:r w:rsidR="00230329">
        <w:rPr>
          <w:rFonts w:cs="Arial"/>
        </w:rPr>
        <w:t xml:space="preserve">(if applicable) </w:t>
      </w:r>
      <w:r>
        <w:rPr>
          <w:rFonts w:cs="Arial"/>
        </w:rPr>
        <w:t xml:space="preserve">must now be submitted through the </w:t>
      </w:r>
      <w:hyperlink r:id="rId11"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46CAEFD7" w14:textId="77777777" w:rsidR="0014520E" w:rsidRDefault="0014520E">
      <w:pPr>
        <w:ind w:left="1440"/>
        <w:rPr>
          <w:rFonts w:eastAsia="Times New Roman"/>
          <w:color w:val="000000"/>
        </w:rPr>
      </w:pPr>
    </w:p>
    <w:p w14:paraId="659C758A" w14:textId="77777777" w:rsidR="0014520E" w:rsidRDefault="0014520E"/>
    <w:p w14:paraId="3E561603" w14:textId="77777777" w:rsidR="0014520E" w:rsidRDefault="0014520E"/>
    <w:p w14:paraId="079733A1" w14:textId="77777777" w:rsidR="0014520E" w:rsidRDefault="0014520E"/>
    <w:p w14:paraId="4EA4665A" w14:textId="77777777" w:rsidR="0014520E" w:rsidRDefault="0014520E"/>
    <w:p w14:paraId="13F773BF" w14:textId="77777777" w:rsidR="0014520E" w:rsidRDefault="0014520E"/>
    <w:p w14:paraId="17203331" w14:textId="77777777" w:rsidR="0014520E" w:rsidRDefault="0014520E"/>
    <w:p w14:paraId="4958993F" w14:textId="77777777" w:rsidR="0014520E" w:rsidRDefault="0014520E"/>
    <w:p w14:paraId="66FBD36F" w14:textId="77777777" w:rsidR="0014520E" w:rsidRDefault="0014520E"/>
    <w:p w14:paraId="65EB4973" w14:textId="77777777" w:rsidR="0014520E" w:rsidRDefault="0014520E"/>
    <w:p w14:paraId="0E6DB1D9" w14:textId="77777777" w:rsidR="0014520E" w:rsidRDefault="0014520E"/>
    <w:p w14:paraId="214C88FB" w14:textId="77777777" w:rsidR="0014520E" w:rsidRDefault="0014520E">
      <w:pPr>
        <w:sectPr w:rsidR="0014520E" w:rsidSect="00E656B3">
          <w:headerReference w:type="default" r:id="rId12"/>
          <w:footerReference w:type="even" r:id="rId13"/>
          <w:footerReference w:type="default" r:id="rId14"/>
          <w:type w:val="continuous"/>
          <w:pgSz w:w="12240" w:h="15840" w:code="1"/>
          <w:pgMar w:top="619" w:right="1080" w:bottom="720" w:left="1080" w:header="634" w:footer="230" w:gutter="0"/>
          <w:pgNumType w:start="1"/>
          <w:cols w:space="720"/>
        </w:sectPr>
      </w:pPr>
    </w:p>
    <w:p w14:paraId="102FD30A" w14:textId="77777777" w:rsidR="0014520E" w:rsidRDefault="0014520E"/>
    <w:p w14:paraId="15BFCF8C" w14:textId="77777777" w:rsidR="00F7311F" w:rsidRDefault="00F7311F">
      <w:pPr>
        <w:pStyle w:val="texthang"/>
        <w:rPr>
          <w:b/>
        </w:rPr>
      </w:pPr>
    </w:p>
    <w:p w14:paraId="7A89E813" w14:textId="77777777" w:rsidR="00F7311F" w:rsidRDefault="00F7311F">
      <w:pPr>
        <w:pStyle w:val="texthang"/>
        <w:rPr>
          <w:b/>
        </w:rPr>
      </w:pPr>
    </w:p>
    <w:p w14:paraId="17992647" w14:textId="77777777" w:rsidR="00F7311F" w:rsidRDefault="00F7311F">
      <w:pPr>
        <w:pStyle w:val="texthang"/>
        <w:rPr>
          <w:b/>
        </w:rPr>
      </w:pPr>
    </w:p>
    <w:p w14:paraId="695E318E" w14:textId="77777777" w:rsidR="00F7311F" w:rsidRDefault="00F7311F">
      <w:pPr>
        <w:pStyle w:val="texthang"/>
        <w:rPr>
          <w:b/>
        </w:rPr>
      </w:pPr>
    </w:p>
    <w:p w14:paraId="5DA00487" w14:textId="77777777" w:rsidR="00F7311F" w:rsidRDefault="00F7311F">
      <w:pPr>
        <w:pStyle w:val="texthang"/>
        <w:rPr>
          <w:b/>
        </w:rPr>
      </w:pPr>
    </w:p>
    <w:p w14:paraId="5EDA971E" w14:textId="77777777" w:rsidR="00F7311F" w:rsidRDefault="00F7311F">
      <w:pPr>
        <w:pStyle w:val="texthang"/>
        <w:rPr>
          <w:b/>
        </w:rPr>
      </w:pPr>
    </w:p>
    <w:p w14:paraId="02E43F35" w14:textId="77777777" w:rsidR="00F7311F" w:rsidRDefault="00F7311F">
      <w:pPr>
        <w:pStyle w:val="texthang"/>
        <w:rPr>
          <w:b/>
        </w:rPr>
      </w:pPr>
    </w:p>
    <w:p w14:paraId="0959778C" w14:textId="77777777" w:rsidR="00F7311F" w:rsidRDefault="00F7311F">
      <w:pPr>
        <w:pStyle w:val="texthang"/>
        <w:rPr>
          <w:b/>
        </w:rPr>
      </w:pPr>
    </w:p>
    <w:p w14:paraId="484BFE8B" w14:textId="77777777" w:rsidR="00F7311F" w:rsidRDefault="00F7311F">
      <w:pPr>
        <w:pStyle w:val="texthang"/>
        <w:rPr>
          <w:b/>
        </w:rPr>
      </w:pPr>
    </w:p>
    <w:p w14:paraId="2670EC4F" w14:textId="77777777" w:rsidR="00F7311F" w:rsidRDefault="00F7311F">
      <w:pPr>
        <w:pStyle w:val="texthang"/>
        <w:rPr>
          <w:b/>
        </w:rPr>
      </w:pPr>
    </w:p>
    <w:p w14:paraId="55266ABD" w14:textId="77777777" w:rsidR="00F7311F" w:rsidRDefault="00F7311F">
      <w:pPr>
        <w:pStyle w:val="texthang"/>
        <w:rPr>
          <w:b/>
        </w:rPr>
      </w:pPr>
    </w:p>
    <w:p w14:paraId="3DD9BEE9" w14:textId="77777777" w:rsidR="00F7311F" w:rsidRDefault="00F7311F">
      <w:pPr>
        <w:pStyle w:val="texthang"/>
        <w:rPr>
          <w:b/>
        </w:rPr>
      </w:pPr>
    </w:p>
    <w:p w14:paraId="657DB9D9" w14:textId="2C8F7761" w:rsidR="00F7311F" w:rsidRDefault="00F7311F">
      <w:pPr>
        <w:pStyle w:val="texthang"/>
        <w:rPr>
          <w:b/>
        </w:rPr>
      </w:pPr>
    </w:p>
    <w:p w14:paraId="16E38DBF" w14:textId="32C19322" w:rsidR="006E4FE3" w:rsidRDefault="006E4FE3">
      <w:pPr>
        <w:pStyle w:val="texthang"/>
        <w:rPr>
          <w:b/>
        </w:rPr>
      </w:pPr>
    </w:p>
    <w:p w14:paraId="4736426A" w14:textId="079EA5CB" w:rsidR="006E4FE3" w:rsidRDefault="006E4FE3">
      <w:pPr>
        <w:pStyle w:val="texthang"/>
        <w:rPr>
          <w:b/>
        </w:rPr>
      </w:pPr>
    </w:p>
    <w:p w14:paraId="6C4B0295" w14:textId="14AF03EB" w:rsidR="006E4FE3" w:rsidRDefault="006E4FE3">
      <w:pPr>
        <w:pStyle w:val="texthang"/>
        <w:rPr>
          <w:b/>
        </w:rPr>
      </w:pPr>
    </w:p>
    <w:p w14:paraId="19361688" w14:textId="4B0B0FCF" w:rsidR="006E4FE3" w:rsidRDefault="006E4FE3">
      <w:pPr>
        <w:pStyle w:val="texthang"/>
        <w:rPr>
          <w:b/>
        </w:rPr>
      </w:pPr>
    </w:p>
    <w:p w14:paraId="026A5F14" w14:textId="45CE44CD" w:rsidR="006E4FE3" w:rsidRDefault="006E4FE3">
      <w:pPr>
        <w:pStyle w:val="texthang"/>
        <w:rPr>
          <w:b/>
        </w:rPr>
      </w:pPr>
    </w:p>
    <w:p w14:paraId="153251B5" w14:textId="46754014" w:rsidR="006E4FE3" w:rsidRDefault="006E4FE3">
      <w:pPr>
        <w:pStyle w:val="texthang"/>
        <w:rPr>
          <w:b/>
        </w:rPr>
      </w:pPr>
    </w:p>
    <w:p w14:paraId="1B28295E" w14:textId="6EC7B66A" w:rsidR="006E4FE3" w:rsidRDefault="006E4FE3">
      <w:pPr>
        <w:pStyle w:val="texthang"/>
        <w:rPr>
          <w:b/>
        </w:rPr>
      </w:pPr>
    </w:p>
    <w:p w14:paraId="7EADF458" w14:textId="77777777" w:rsidR="006E4FE3" w:rsidRDefault="006E4FE3">
      <w:pPr>
        <w:pStyle w:val="texthang"/>
        <w:rPr>
          <w:b/>
        </w:rPr>
      </w:pPr>
    </w:p>
    <w:p w14:paraId="234FA56E" w14:textId="77777777" w:rsidR="0014520E" w:rsidRDefault="0014520E">
      <w:pPr>
        <w:pStyle w:val="texthang"/>
        <w:rPr>
          <w:b/>
        </w:rPr>
      </w:pPr>
      <w:r>
        <w:rPr>
          <w:b/>
        </w:rPr>
        <w:t xml:space="preserve">1. </w:t>
      </w:r>
      <w:r>
        <w:rPr>
          <w:b/>
        </w:rPr>
        <w:tab/>
        <w:t>What is the purpose of this permit?</w:t>
      </w:r>
    </w:p>
    <w:p w14:paraId="418A4082" w14:textId="77777777" w:rsidR="0014520E" w:rsidRDefault="0014520E">
      <w:pPr>
        <w:pStyle w:val="texthang"/>
      </w:pPr>
    </w:p>
    <w:p w14:paraId="6FD98301" w14:textId="77777777" w:rsidR="0014520E" w:rsidRDefault="0014520E">
      <w:pPr>
        <w:pStyle w:val="texthang"/>
      </w:pPr>
      <w:r>
        <w:tab/>
      </w:r>
      <w:r w:rsidR="0005418F">
        <w:t xml:space="preserve">In accordance with 314 CMR 5.12(9) the </w:t>
      </w:r>
      <w:r w:rsidR="00C3380C">
        <w:t>Mass</w:t>
      </w:r>
      <w:r w:rsidR="0005418F">
        <w:t xml:space="preserve">DEP may administratively renew a permit </w:t>
      </w:r>
      <w:r>
        <w:t xml:space="preserve">to </w:t>
      </w:r>
      <w:r w:rsidR="007C5776">
        <w:t xml:space="preserve">a </w:t>
      </w:r>
      <w:r>
        <w:t>non-industrial groundwater discharge regulated by MassDEP in accordance with</w:t>
      </w:r>
      <w:r w:rsidR="007C5776">
        <w:t xml:space="preserve"> the provisions at 314 CMR 5.00. </w:t>
      </w:r>
      <w:r>
        <w:t>The</w:t>
      </w:r>
      <w:r w:rsidR="007C5776">
        <w:t>se permits</w:t>
      </w:r>
      <w:r>
        <w:t xml:space="preserve"> serve to protect the public health, welfare and the environment through the control of pollutant discharges to the ground.</w:t>
      </w:r>
    </w:p>
    <w:p w14:paraId="0683BE05" w14:textId="77777777" w:rsidR="0014520E" w:rsidRDefault="0014520E">
      <w:pPr>
        <w:pStyle w:val="texthang"/>
      </w:pPr>
      <w:r>
        <w:tab/>
      </w:r>
    </w:p>
    <w:p w14:paraId="071D74A7" w14:textId="77777777" w:rsidR="0014520E" w:rsidRDefault="007C5776">
      <w:pPr>
        <w:pStyle w:val="texthang"/>
      </w:pPr>
      <w:r>
        <w:tab/>
        <w:t>An administrative renewal consists of</w:t>
      </w:r>
      <w:r w:rsidRPr="007C5776">
        <w:t xml:space="preserve"> </w:t>
      </w:r>
      <w:r>
        <w:t xml:space="preserve">extending the existing permit for an additional five years provided that </w:t>
      </w:r>
      <w:r w:rsidR="00733EF3">
        <w:t xml:space="preserve">no changes to the permit are required or requested and </w:t>
      </w:r>
      <w:r w:rsidRPr="007C5776">
        <w:rPr>
          <w:b/>
          <w:u w:val="single"/>
        </w:rPr>
        <w:t>all</w:t>
      </w:r>
      <w:r>
        <w:t xml:space="preserve"> of the conditions of 314 CMR 5.12(9) (a) through (j) are met. </w:t>
      </w:r>
    </w:p>
    <w:p w14:paraId="1010CBF0" w14:textId="77777777" w:rsidR="007C5776" w:rsidRDefault="007C5776">
      <w:pPr>
        <w:pStyle w:val="texthang"/>
      </w:pPr>
    </w:p>
    <w:p w14:paraId="6F6C8289" w14:textId="77777777" w:rsidR="0014520E" w:rsidRDefault="0014520E">
      <w:pPr>
        <w:pStyle w:val="texthang"/>
        <w:rPr>
          <w:b/>
        </w:rPr>
      </w:pPr>
      <w:r>
        <w:rPr>
          <w:b/>
        </w:rPr>
        <w:t>2.</w:t>
      </w:r>
      <w:r>
        <w:t xml:space="preserve"> </w:t>
      </w:r>
      <w:r>
        <w:tab/>
      </w:r>
      <w:r>
        <w:rPr>
          <w:b/>
        </w:rPr>
        <w:t>Who must apply?</w:t>
      </w:r>
    </w:p>
    <w:p w14:paraId="30D8C57F" w14:textId="77777777" w:rsidR="0014520E" w:rsidRDefault="0014520E">
      <w:pPr>
        <w:pStyle w:val="texthang"/>
      </w:pPr>
    </w:p>
    <w:p w14:paraId="071D5934" w14:textId="77777777" w:rsidR="00595287" w:rsidRDefault="007C5776" w:rsidP="00595287">
      <w:pPr>
        <w:pStyle w:val="texthang"/>
      </w:pPr>
      <w:r>
        <w:tab/>
      </w:r>
      <w:r w:rsidR="00595287">
        <w:t xml:space="preserve">For </w:t>
      </w:r>
      <w:r w:rsidR="00595287" w:rsidRPr="00595287">
        <w:rPr>
          <w:b/>
        </w:rPr>
        <w:t>BRP WP 82</w:t>
      </w:r>
      <w:r w:rsidR="00595287">
        <w:t xml:space="preserve">: Any person (individual, business, or organization) who holds a valid </w:t>
      </w:r>
      <w:r w:rsidR="000B3C0E">
        <w:t xml:space="preserve">individual </w:t>
      </w:r>
      <w:r w:rsidR="00595287">
        <w:t xml:space="preserve">groundwater discharge permit issued in accordance with 314 CMR 5.00 who wishes to continue the permitted activity beyond the expiration date of </w:t>
      </w:r>
      <w:r w:rsidR="000B3C0E">
        <w:t xml:space="preserve">the existing permit, </w:t>
      </w:r>
      <w:r w:rsidR="00595287">
        <w:t xml:space="preserve">who does not seek any changes </w:t>
      </w:r>
      <w:r w:rsidR="000B3C0E">
        <w:t>to their current permit and who meets</w:t>
      </w:r>
      <w:r w:rsidR="000B3C0E" w:rsidRPr="00A9249F">
        <w:t xml:space="preserve"> </w:t>
      </w:r>
      <w:r w:rsidR="000B3C0E" w:rsidRPr="00A9249F">
        <w:rPr>
          <w:b/>
          <w:u w:val="single"/>
        </w:rPr>
        <w:t>all</w:t>
      </w:r>
      <w:r w:rsidR="00A9249F">
        <w:rPr>
          <w:b/>
        </w:rPr>
        <w:t xml:space="preserve"> </w:t>
      </w:r>
      <w:r w:rsidR="000B3C0E">
        <w:t xml:space="preserve">the requirements of </w:t>
      </w:r>
      <w:r w:rsidR="000B3C0E" w:rsidRPr="0011125A">
        <w:t>314 CMR 5.12(9)(a) through (j)</w:t>
      </w:r>
      <w:r w:rsidR="000B3C0E">
        <w:t xml:space="preserve"> </w:t>
      </w:r>
      <w:r w:rsidR="00595287">
        <w:t>can apply under this permit category.</w:t>
      </w:r>
    </w:p>
    <w:p w14:paraId="0BF3DEFC" w14:textId="77777777" w:rsidR="00595287" w:rsidRDefault="00595287" w:rsidP="00595287">
      <w:pPr>
        <w:pStyle w:val="texthang"/>
      </w:pPr>
    </w:p>
    <w:p w14:paraId="25BE1AC7" w14:textId="77777777" w:rsidR="00595287" w:rsidRDefault="00595287" w:rsidP="00595287">
      <w:pPr>
        <w:pStyle w:val="texthang"/>
      </w:pPr>
      <w:r>
        <w:tab/>
        <w:t>If this category does not apply to you, please be advised there are other renewal permit categories for discharges to the ground:</w:t>
      </w:r>
    </w:p>
    <w:p w14:paraId="091604BC" w14:textId="77777777" w:rsidR="00595287" w:rsidRDefault="00595287" w:rsidP="00595287">
      <w:pPr>
        <w:pStyle w:val="texthang"/>
      </w:pPr>
    </w:p>
    <w:p w14:paraId="2CC05BDE" w14:textId="77777777" w:rsidR="0014520E" w:rsidRDefault="00595287" w:rsidP="00595287">
      <w:pPr>
        <w:pStyle w:val="texthang"/>
        <w:ind w:left="720" w:hanging="720"/>
      </w:pPr>
      <w:r>
        <w:tab/>
      </w:r>
      <w:r>
        <w:tab/>
      </w:r>
      <w:r w:rsidR="0014520E" w:rsidRPr="00595287">
        <w:rPr>
          <w:b/>
        </w:rPr>
        <w:t>BRP WP 11</w:t>
      </w:r>
      <w:r w:rsidR="0014520E">
        <w:t xml:space="preserve">: Any person (individual, business, or organization) who holds a valid </w:t>
      </w:r>
      <w:r w:rsidR="000B3C0E">
        <w:t xml:space="preserve">individual </w:t>
      </w:r>
      <w:r w:rsidR="0014520E">
        <w:t xml:space="preserve">groundwater discharge permit issued in accordance with 314 CMR 5.00 </w:t>
      </w:r>
      <w:r w:rsidR="000B3C0E">
        <w:t xml:space="preserve">or a valid reclaimed water permit issued in accordance with 314 CMR 20.00 </w:t>
      </w:r>
      <w:r w:rsidR="0014520E">
        <w:t>and wishes to modify the design of the approved facility or the terms and/or conditions of the existing permit, must apply under this permit category.</w:t>
      </w:r>
    </w:p>
    <w:p w14:paraId="6A9116A2" w14:textId="77777777" w:rsidR="0014520E" w:rsidRDefault="0014520E">
      <w:pPr>
        <w:pStyle w:val="texthang"/>
      </w:pPr>
    </w:p>
    <w:p w14:paraId="5B1E2D86" w14:textId="77777777" w:rsidR="0014520E" w:rsidRDefault="0014520E" w:rsidP="00595287">
      <w:pPr>
        <w:pStyle w:val="texthang"/>
        <w:ind w:left="720" w:hanging="720"/>
      </w:pPr>
      <w:r>
        <w:tab/>
      </w:r>
      <w:r w:rsidR="00595287">
        <w:tab/>
      </w:r>
      <w:r w:rsidRPr="00595287">
        <w:rPr>
          <w:b/>
        </w:rPr>
        <w:t>BRP WP 12</w:t>
      </w:r>
      <w:r>
        <w:t xml:space="preserve">: Any person (individual, business, or organization) who holds a valid </w:t>
      </w:r>
      <w:r w:rsidR="000B3C0E">
        <w:t xml:space="preserve">individual </w:t>
      </w:r>
      <w:r>
        <w:t>groundwater discharge permit issued in accordance with 314 CMR 5.00</w:t>
      </w:r>
      <w:r w:rsidR="00F623E5">
        <w:t xml:space="preserve"> who does not seek to modify the facility or who does not meet all the requirements of 5.12(9)(a) through (j);</w:t>
      </w:r>
      <w:r>
        <w:t xml:space="preserve"> </w:t>
      </w:r>
      <w:r w:rsidR="000B3C0E">
        <w:t>or a valid reclaimed water permit issued in accordance with 314 CMR 20.00</w:t>
      </w:r>
      <w:r w:rsidR="00F623E5">
        <w:t>;</w:t>
      </w:r>
      <w:r w:rsidR="000B3C0E">
        <w:t xml:space="preserve"> </w:t>
      </w:r>
      <w:r>
        <w:t>and</w:t>
      </w:r>
      <w:r w:rsidR="00F623E5">
        <w:t>,</w:t>
      </w:r>
      <w:r>
        <w:t xml:space="preserve"> wishes to continue the permitted activity beyond the expiration date of the existing permit must apply under this permit category.</w:t>
      </w:r>
    </w:p>
    <w:p w14:paraId="2FC5645E" w14:textId="77777777" w:rsidR="00086B21" w:rsidRDefault="00EF08B3" w:rsidP="00595287">
      <w:pPr>
        <w:pStyle w:val="texthang"/>
        <w:ind w:left="720" w:hanging="720"/>
      </w:pPr>
      <w:r>
        <w:tab/>
      </w:r>
    </w:p>
    <w:p w14:paraId="42A83933" w14:textId="77777777" w:rsidR="0014520E" w:rsidRDefault="00EF08B3" w:rsidP="00EF08B3">
      <w:pPr>
        <w:pStyle w:val="texthang"/>
        <w:ind w:left="720" w:hanging="720"/>
      </w:pPr>
      <w:r>
        <w:tab/>
      </w:r>
      <w:r>
        <w:tab/>
        <w:t>If these categories do not apply to you, please be advised these are not the only permit categories for discharges to the ground. Please consult regulations 310 CMR 4.00, 310 CMR 15.000, 314 CMR 5.00 and 314 CMR 20.00 to determine whether another category may apply to you.</w:t>
      </w:r>
    </w:p>
    <w:p w14:paraId="4AA72534" w14:textId="77777777" w:rsidR="0014520E" w:rsidRDefault="0014520E">
      <w:pPr>
        <w:pStyle w:val="texthang"/>
      </w:pPr>
      <w:r>
        <w:tab/>
      </w:r>
    </w:p>
    <w:p w14:paraId="094B2744" w14:textId="77777777" w:rsidR="0014520E" w:rsidRDefault="0014520E">
      <w:pPr>
        <w:pStyle w:val="texthang"/>
        <w:rPr>
          <w:b/>
        </w:rPr>
      </w:pPr>
      <w:r>
        <w:rPr>
          <w:b/>
        </w:rPr>
        <w:t>3. What other requirements should be considered when applying for this permit?</w:t>
      </w:r>
    </w:p>
    <w:p w14:paraId="232E1A58" w14:textId="77777777" w:rsidR="0014520E" w:rsidRDefault="0014520E">
      <w:pPr>
        <w:pStyle w:val="texthang"/>
      </w:pPr>
    </w:p>
    <w:p w14:paraId="3AB5761D" w14:textId="77777777" w:rsidR="0014520E" w:rsidRDefault="0014520E">
      <w:pPr>
        <w:pStyle w:val="texthang"/>
      </w:pPr>
      <w:r>
        <w:tab/>
        <w:t>a. What prerequisites should be considered before applying for this permit?</w:t>
      </w:r>
    </w:p>
    <w:p w14:paraId="5E810FB3" w14:textId="77777777" w:rsidR="0014520E" w:rsidRDefault="0014520E">
      <w:pPr>
        <w:pStyle w:val="texthang"/>
      </w:pPr>
    </w:p>
    <w:p w14:paraId="184425B7" w14:textId="77777777" w:rsidR="0014520E" w:rsidRDefault="0014520E">
      <w:pPr>
        <w:pStyle w:val="texthang"/>
        <w:numPr>
          <w:ilvl w:val="0"/>
          <w:numId w:val="27"/>
        </w:numPr>
      </w:pPr>
      <w:r>
        <w:t xml:space="preserve">If the permittee wishes to continue an activity regulated by </w:t>
      </w:r>
      <w:r w:rsidR="00EF08B3">
        <w:t xml:space="preserve">an </w:t>
      </w:r>
      <w:r>
        <w:t>existing</w:t>
      </w:r>
      <w:r w:rsidR="00EF08B3">
        <w:t xml:space="preserve"> individual groundwater discharge</w:t>
      </w:r>
      <w:r>
        <w:t xml:space="preserve"> permit after the expiration date of the permit, the permittee must apply for and obtain a new permit. The permittee must submit a new application at least 180 days before the expiration date of the existing permit unless permission for the later date has been granted by MassDEP.</w:t>
      </w:r>
    </w:p>
    <w:p w14:paraId="09678F3D" w14:textId="77777777" w:rsidR="00086B21" w:rsidRDefault="00086B21" w:rsidP="00086B21">
      <w:pPr>
        <w:pStyle w:val="texthang"/>
        <w:ind w:left="720" w:firstLine="0"/>
      </w:pPr>
    </w:p>
    <w:p w14:paraId="64EEBBA6" w14:textId="77777777" w:rsidR="00086B21" w:rsidRDefault="00086B21">
      <w:pPr>
        <w:pStyle w:val="texthang"/>
        <w:numPr>
          <w:ilvl w:val="0"/>
          <w:numId w:val="27"/>
        </w:numPr>
      </w:pPr>
      <w:r>
        <w:t xml:space="preserve">The permittee must meet </w:t>
      </w:r>
      <w:r w:rsidRPr="00086B21">
        <w:rPr>
          <w:b/>
          <w:u w:val="single"/>
        </w:rPr>
        <w:t>all</w:t>
      </w:r>
      <w:r w:rsidRPr="00086B21">
        <w:t xml:space="preserve"> </w:t>
      </w:r>
      <w:r>
        <w:t>the requirements listed at 314 CMR 5.12(9)(a) through (j).</w:t>
      </w:r>
    </w:p>
    <w:p w14:paraId="35A1BAC1" w14:textId="77777777" w:rsidR="0014520E" w:rsidRDefault="0014520E">
      <w:pPr>
        <w:pStyle w:val="texthang"/>
      </w:pPr>
    </w:p>
    <w:p w14:paraId="188643B9" w14:textId="77777777" w:rsidR="00733EF3" w:rsidRDefault="0014520E">
      <w:pPr>
        <w:pStyle w:val="texthang"/>
      </w:pPr>
      <w:r>
        <w:tab/>
      </w:r>
    </w:p>
    <w:p w14:paraId="71E0E03A" w14:textId="77777777" w:rsidR="00733EF3" w:rsidRDefault="00733EF3">
      <w:pPr>
        <w:pStyle w:val="texthang"/>
      </w:pPr>
    </w:p>
    <w:p w14:paraId="5B0710F9" w14:textId="77777777" w:rsidR="00733EF3" w:rsidRDefault="00733EF3">
      <w:pPr>
        <w:pStyle w:val="texthang"/>
      </w:pPr>
    </w:p>
    <w:p w14:paraId="3922FCB2" w14:textId="77777777" w:rsidR="00F7311F" w:rsidRDefault="00F7311F">
      <w:pPr>
        <w:pStyle w:val="texthang"/>
      </w:pPr>
    </w:p>
    <w:p w14:paraId="0E450325" w14:textId="77777777" w:rsidR="00F7311F" w:rsidRDefault="00F7311F">
      <w:pPr>
        <w:pStyle w:val="texthang"/>
      </w:pPr>
    </w:p>
    <w:p w14:paraId="08966B0D" w14:textId="77777777" w:rsidR="0014520E" w:rsidRDefault="0014520E">
      <w:pPr>
        <w:pStyle w:val="texthang"/>
        <w:rPr>
          <w:b/>
        </w:rPr>
      </w:pPr>
      <w:r>
        <w:t>b.</w:t>
      </w:r>
      <w:r>
        <w:rPr>
          <w:b/>
        </w:rPr>
        <w:t xml:space="preserve"> </w:t>
      </w:r>
      <w:r>
        <w:t>What concurrent applications are related to this permit?</w:t>
      </w:r>
    </w:p>
    <w:p w14:paraId="0D958594" w14:textId="77777777" w:rsidR="0014520E" w:rsidRDefault="0014520E">
      <w:pPr>
        <w:pStyle w:val="texthang"/>
        <w:rPr>
          <w:rFonts w:eastAsia="Times New Roman"/>
        </w:rPr>
      </w:pPr>
    </w:p>
    <w:p w14:paraId="3C32268E" w14:textId="77777777" w:rsidR="0014520E" w:rsidRDefault="0014520E">
      <w:pPr>
        <w:pStyle w:val="texthang"/>
        <w:rPr>
          <w:rFonts w:eastAsia="Times New Roman"/>
        </w:rPr>
      </w:pPr>
      <w:r>
        <w:rPr>
          <w:rFonts w:eastAsia="Times New Roman"/>
        </w:rPr>
        <w:tab/>
      </w:r>
      <w:r w:rsidR="00B80F0F">
        <w:rPr>
          <w:rFonts w:eastAsia="Times New Roman"/>
        </w:rPr>
        <w:tab/>
      </w:r>
      <w:r>
        <w:rPr>
          <w:rFonts w:eastAsia="Times New Roman"/>
        </w:rPr>
        <w:t xml:space="preserve">The Local Board of Health may have regulations which apply. </w:t>
      </w:r>
    </w:p>
    <w:p w14:paraId="6AFDDA5E" w14:textId="77777777" w:rsidR="00086B21" w:rsidRDefault="00086B21">
      <w:pPr>
        <w:pStyle w:val="texthang"/>
        <w:rPr>
          <w:rFonts w:eastAsia="Times New Roman"/>
        </w:rPr>
      </w:pPr>
    </w:p>
    <w:p w14:paraId="27AF3E9D" w14:textId="77777777" w:rsidR="00733EF3" w:rsidRDefault="00B80F0F" w:rsidP="00733EF3">
      <w:pPr>
        <w:pStyle w:val="texthang"/>
        <w:rPr>
          <w:rFonts w:eastAsia="Times New Roman"/>
        </w:rPr>
      </w:pPr>
      <w:r>
        <w:rPr>
          <w:rFonts w:eastAsia="Times New Roman"/>
          <w:b/>
        </w:rPr>
        <w:tab/>
      </w:r>
      <w:r w:rsidR="0014520E">
        <w:rPr>
          <w:rFonts w:eastAsia="Times New Roman"/>
          <w:b/>
        </w:rPr>
        <w:t>Note:</w:t>
      </w:r>
      <w:r w:rsidR="0014520E">
        <w:rPr>
          <w:rFonts w:eastAsia="Times New Roman"/>
        </w:rPr>
        <w:t xml:space="preserve"> These additional requirements are intended to serve as a guide to the applicant. They do not necessarily include all additional requirements.</w:t>
      </w:r>
    </w:p>
    <w:p w14:paraId="0901C742" w14:textId="77777777" w:rsidR="00733EF3" w:rsidRDefault="00733EF3" w:rsidP="00733EF3">
      <w:pPr>
        <w:pStyle w:val="texthang"/>
        <w:rPr>
          <w:rFonts w:eastAsia="Times New Roman"/>
          <w:b/>
        </w:rPr>
      </w:pPr>
    </w:p>
    <w:p w14:paraId="2445E7A0" w14:textId="77777777" w:rsidR="0014520E" w:rsidRDefault="00733EF3" w:rsidP="00733EF3">
      <w:pPr>
        <w:pStyle w:val="texthang"/>
        <w:rPr>
          <w:rFonts w:eastAsia="Times New Roman"/>
          <w:b/>
        </w:rPr>
      </w:pPr>
      <w:r>
        <w:rPr>
          <w:rFonts w:eastAsia="Times New Roman"/>
          <w:b/>
        </w:rPr>
        <w:t>4.</w:t>
      </w:r>
      <w:r>
        <w:rPr>
          <w:rFonts w:eastAsia="Times New Roman"/>
          <w:b/>
        </w:rPr>
        <w:tab/>
      </w:r>
      <w:r w:rsidR="00B80F0F">
        <w:rPr>
          <w:rFonts w:eastAsia="Times New Roman"/>
          <w:b/>
        </w:rPr>
        <w:t>Where should the application be sent?</w:t>
      </w:r>
    </w:p>
    <w:p w14:paraId="28D3A4E4" w14:textId="77777777" w:rsidR="00B80F0F" w:rsidRDefault="00B80F0F" w:rsidP="00B80F0F">
      <w:pPr>
        <w:pStyle w:val="texthang"/>
        <w:ind w:left="0" w:firstLine="0"/>
        <w:rPr>
          <w:rFonts w:eastAsia="Times New Roman"/>
          <w:b/>
        </w:rPr>
      </w:pPr>
      <w:r>
        <w:rPr>
          <w:rFonts w:eastAsia="Times New Roman"/>
          <w:b/>
        </w:rPr>
        <w:tab/>
      </w:r>
    </w:p>
    <w:p w14:paraId="65DB595C" w14:textId="0FB802ED" w:rsidR="00521183" w:rsidRPr="0091787A" w:rsidRDefault="00521183" w:rsidP="00521183">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2B00041A" w14:textId="77777777" w:rsidR="00521183" w:rsidRPr="0091787A" w:rsidRDefault="00521183" w:rsidP="00521183">
      <w:pPr>
        <w:textAlignment w:val="baseline"/>
        <w:rPr>
          <w:rFonts w:eastAsia="Times New Roman" w:cs="Arial"/>
          <w:b/>
          <w:bCs/>
        </w:rPr>
      </w:pPr>
      <w:r w:rsidRPr="0091787A">
        <w:rPr>
          <w:rFonts w:eastAsia="Times New Roman" w:cs="Arial"/>
          <w:b/>
          <w:bCs/>
        </w:rPr>
        <w:t> </w:t>
      </w:r>
    </w:p>
    <w:p w14:paraId="775453F6" w14:textId="0C588391" w:rsidR="00521183" w:rsidRDefault="00521183" w:rsidP="00521183">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compliance certification are available at: </w:t>
      </w:r>
      <w:hyperlink r:id="rId16" w:history="1">
        <w:r w:rsidRPr="006A06AE">
          <w:rPr>
            <w:rStyle w:val="Hyperlink"/>
            <w:rFonts w:eastAsia="Times New Roman" w:cs="Arial"/>
          </w:rPr>
          <w:t>https://www.mass.gov/how-to/wp-82-administrative-renewal-of-groundwater-discharge-permit</w:t>
        </w:r>
      </w:hyperlink>
    </w:p>
    <w:p w14:paraId="2B8A4B35" w14:textId="77777777" w:rsidR="00521183" w:rsidRPr="0091787A" w:rsidRDefault="00521183" w:rsidP="00521183">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7373ECF1" w14:textId="77777777" w:rsidR="00521183" w:rsidRPr="0091787A" w:rsidRDefault="00521183" w:rsidP="00521183">
      <w:pPr>
        <w:numPr>
          <w:ilvl w:val="0"/>
          <w:numId w:val="35"/>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4155DEB3" w14:textId="77777777" w:rsidR="00521183" w:rsidRPr="0091787A" w:rsidRDefault="00521183" w:rsidP="00521183">
      <w:pPr>
        <w:numPr>
          <w:ilvl w:val="0"/>
          <w:numId w:val="35"/>
        </w:numPr>
        <w:textAlignment w:val="baseline"/>
        <w:rPr>
          <w:rFonts w:eastAsia="Times New Roman" w:cs="Arial"/>
        </w:rPr>
      </w:pPr>
      <w:r w:rsidRPr="0091787A">
        <w:rPr>
          <w:rFonts w:eastAsia="Times New Roman" w:cs="Arial"/>
        </w:rPr>
        <w:t>Once logged in, click on the large blue button on the right, “File an Online Application”. </w:t>
      </w:r>
    </w:p>
    <w:p w14:paraId="164D4A54" w14:textId="77777777" w:rsidR="00521183" w:rsidRPr="0091787A" w:rsidRDefault="00521183" w:rsidP="00521183">
      <w:pPr>
        <w:numPr>
          <w:ilvl w:val="0"/>
          <w:numId w:val="35"/>
        </w:numPr>
        <w:textAlignment w:val="baseline"/>
        <w:rPr>
          <w:rFonts w:eastAsia="Times New Roman" w:cs="Arial"/>
        </w:rPr>
      </w:pPr>
      <w:r w:rsidRPr="0091787A">
        <w:rPr>
          <w:rFonts w:eastAsia="Times New Roman" w:cs="Arial"/>
        </w:rPr>
        <w:t>Read and agree to the disclaimer. Click “Continue”. </w:t>
      </w:r>
    </w:p>
    <w:p w14:paraId="2E292F11" w14:textId="1850A45C" w:rsidR="00521183" w:rsidRPr="0091787A" w:rsidRDefault="00521183" w:rsidP="00521183">
      <w:pPr>
        <w:numPr>
          <w:ilvl w:val="0"/>
          <w:numId w:val="35"/>
        </w:numPr>
        <w:textAlignment w:val="baseline"/>
        <w:rPr>
          <w:rFonts w:eastAsia="Arial" w:cs="Arial"/>
          <w:b/>
        </w:rPr>
      </w:pPr>
      <w:r w:rsidRPr="0091787A">
        <w:rPr>
          <w:rFonts w:eastAsia="Times New Roman" w:cs="Arial"/>
        </w:rPr>
        <w:t xml:space="preserve">To find this application, click on “Apply for DEP Authorization – Water Pollution Wastewater (WP)”, and check on WP </w:t>
      </w:r>
      <w:r>
        <w:rPr>
          <w:rFonts w:eastAsia="Times New Roman" w:cs="Arial"/>
        </w:rPr>
        <w:t>82</w:t>
      </w:r>
      <w:r w:rsidRPr="0091787A">
        <w:rPr>
          <w:rFonts w:eastAsia="Times New Roman" w:cs="Arial"/>
        </w:rPr>
        <w:t>, and click “Continue Application”.</w:t>
      </w:r>
      <w:r w:rsidRPr="0091787A">
        <w:rPr>
          <w:rFonts w:eastAsia="Times New Roman" w:cs="Arial"/>
          <w:b/>
          <w:bCs/>
        </w:rPr>
        <w:t> </w:t>
      </w:r>
    </w:p>
    <w:p w14:paraId="7CFF5BA4" w14:textId="3747D14B" w:rsidR="00521183" w:rsidRPr="0091787A" w:rsidRDefault="00521183" w:rsidP="00521183">
      <w:pPr>
        <w:numPr>
          <w:ilvl w:val="0"/>
          <w:numId w:val="35"/>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82</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6B6B92D2" w14:textId="77777777" w:rsidR="00521183" w:rsidRPr="0091787A" w:rsidRDefault="00521183" w:rsidP="00521183">
      <w:pPr>
        <w:numPr>
          <w:ilvl w:val="0"/>
          <w:numId w:val="35"/>
        </w:numPr>
        <w:textAlignment w:val="baseline"/>
        <w:rPr>
          <w:rFonts w:eastAsia="Times New Roman" w:cs="Arial"/>
          <w:b/>
          <w:bCs/>
        </w:rPr>
      </w:pPr>
      <w:r w:rsidRPr="0091787A">
        <w:rPr>
          <w:rFonts w:eastAsia="Times New Roman" w:cs="Arial"/>
        </w:rPr>
        <w:t>Note that you can return to an application provided you select “Save and Return Later”. Once you submit an application you can no longer upload documents without approval from MassDEP personnel.</w:t>
      </w:r>
      <w:r w:rsidRPr="0091787A">
        <w:rPr>
          <w:rFonts w:eastAsia="Times New Roman" w:cs="Arial"/>
          <w:b/>
          <w:bCs/>
        </w:rPr>
        <w:t> </w:t>
      </w:r>
    </w:p>
    <w:p w14:paraId="18EC6007" w14:textId="77777777" w:rsidR="00521183" w:rsidRPr="0091787A" w:rsidRDefault="00521183" w:rsidP="00521183">
      <w:pPr>
        <w:numPr>
          <w:ilvl w:val="0"/>
          <w:numId w:val="35"/>
        </w:numPr>
        <w:textAlignment w:val="baseline"/>
        <w:rPr>
          <w:rFonts w:eastAsia="Times New Roman" w:cs="Arial"/>
          <w:b/>
          <w:bCs/>
        </w:rPr>
      </w:pPr>
      <w:r w:rsidRPr="0091787A">
        <w:rPr>
          <w:rFonts w:eastAsia="Times New Roman" w:cs="Arial"/>
        </w:rPr>
        <w:t>At the end of the application steps, the </w:t>
      </w:r>
      <w:proofErr w:type="spellStart"/>
      <w:r w:rsidRPr="0091787A">
        <w:rPr>
          <w:rFonts w:eastAsia="Times New Roman" w:cs="Arial"/>
        </w:rPr>
        <w:t>ePLACE</w:t>
      </w:r>
      <w:proofErr w:type="spellEnd"/>
      <w:r w:rsidRPr="0091787A">
        <w:rPr>
          <w:rFonts w:eastAsia="Times New Roman" w:cs="Arial"/>
        </w:rPr>
        <w:t> system will take you directly to a screen where you can pay the fee, if applicable. Complete payment information in </w:t>
      </w:r>
      <w:proofErr w:type="spellStart"/>
      <w:r w:rsidRPr="0091787A">
        <w:rPr>
          <w:rFonts w:eastAsia="Times New Roman" w:cs="Arial"/>
        </w:rPr>
        <w:t>ePLACE</w:t>
      </w:r>
      <w:proofErr w:type="spellEnd"/>
      <w:r w:rsidRPr="0091787A">
        <w:rPr>
          <w:rFonts w:eastAsia="Times New Roman" w:cs="Arial"/>
        </w:rPr>
        <w:t>.</w:t>
      </w:r>
      <w:r w:rsidRPr="0091787A">
        <w:rPr>
          <w:rFonts w:eastAsia="Times New Roman" w:cs="Arial"/>
          <w:b/>
          <w:bCs/>
        </w:rPr>
        <w:t> </w:t>
      </w:r>
    </w:p>
    <w:p w14:paraId="3F2CA903" w14:textId="77777777" w:rsidR="00521183" w:rsidRPr="0091787A" w:rsidRDefault="00521183" w:rsidP="00521183">
      <w:pPr>
        <w:numPr>
          <w:ilvl w:val="0"/>
          <w:numId w:val="35"/>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2F5CA1F8" w14:textId="3901EF93" w:rsidR="00521183" w:rsidRDefault="00521183" w:rsidP="00521183">
      <w:pPr>
        <w:numPr>
          <w:ilvl w:val="0"/>
          <w:numId w:val="35"/>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1A50A961" w14:textId="77777777" w:rsidR="00406D20" w:rsidRDefault="00406D20" w:rsidP="00406D20">
      <w:pPr>
        <w:textAlignment w:val="baseline"/>
        <w:rPr>
          <w:rFonts w:eastAsia="Times New Roman" w:cs="Arial"/>
        </w:rPr>
      </w:pPr>
    </w:p>
    <w:p w14:paraId="59567ADD" w14:textId="77777777" w:rsidR="00185074" w:rsidRDefault="00185074" w:rsidP="00185074">
      <w:pPr>
        <w:ind w:left="360"/>
        <w:rPr>
          <w:b/>
          <w:bCs/>
        </w:rPr>
      </w:pPr>
      <w:r w:rsidRPr="7A2E659F">
        <w:rPr>
          <w:b/>
          <w:bCs/>
        </w:rPr>
        <w:t xml:space="preserve">Important Contacts </w:t>
      </w:r>
    </w:p>
    <w:p w14:paraId="65B4658C" w14:textId="77777777" w:rsidR="00185074" w:rsidRPr="00710D45" w:rsidRDefault="00185074" w:rsidP="00185074">
      <w:pPr>
        <w:pStyle w:val="ListParagraph"/>
        <w:widowControl w:val="0"/>
        <w:numPr>
          <w:ilvl w:val="0"/>
          <w:numId w:val="36"/>
        </w:numPr>
        <w:autoSpaceDE w:val="0"/>
        <w:autoSpaceDN w:val="0"/>
        <w:contextualSpacing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54A88FF6" w14:textId="77777777" w:rsidR="00185074" w:rsidRPr="00710D45" w:rsidRDefault="00185074" w:rsidP="00185074">
      <w:pPr>
        <w:pStyle w:val="ListParagraph"/>
        <w:widowControl w:val="0"/>
        <w:numPr>
          <w:ilvl w:val="0"/>
          <w:numId w:val="36"/>
        </w:numPr>
        <w:autoSpaceDE w:val="0"/>
        <w:autoSpaceDN w:val="0"/>
        <w:contextualSpacing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7FB18CED" w14:textId="7C12E4B2" w:rsidR="00406D20" w:rsidRPr="0091787A" w:rsidRDefault="00406D20" w:rsidP="00406D20">
      <w:pPr>
        <w:textAlignment w:val="baseline"/>
        <w:rPr>
          <w:rFonts w:eastAsia="Times New Roman" w:cs="Arial"/>
        </w:rPr>
      </w:pPr>
    </w:p>
    <w:p w14:paraId="04F845D8" w14:textId="77777777" w:rsidR="0014520E" w:rsidRDefault="0014520E">
      <w:pPr>
        <w:pStyle w:val="texthang"/>
        <w:rPr>
          <w:rFonts w:eastAsia="Times New Roman"/>
          <w:b/>
        </w:rPr>
      </w:pPr>
      <w:r>
        <w:rPr>
          <w:rFonts w:eastAsia="Times New Roman"/>
          <w:b/>
        </w:rPr>
        <w:t>5.</w:t>
      </w:r>
      <w:r>
        <w:rPr>
          <w:rFonts w:eastAsia="Times New Roman"/>
          <w:b/>
        </w:rPr>
        <w:tab/>
        <w:t>What is the application fee for this permit?</w:t>
      </w:r>
    </w:p>
    <w:p w14:paraId="439C1528" w14:textId="77777777" w:rsidR="0014520E" w:rsidRDefault="0014520E">
      <w:pPr>
        <w:pStyle w:val="texthang"/>
        <w:rPr>
          <w:rFonts w:eastAsia="Times New Roman"/>
        </w:rPr>
      </w:pPr>
    </w:p>
    <w:p w14:paraId="55E48761" w14:textId="77777777" w:rsidR="0014520E" w:rsidRDefault="00F25A0B">
      <w:pPr>
        <w:pStyle w:val="texthang"/>
        <w:rPr>
          <w:rFonts w:eastAsia="Times New Roman"/>
        </w:rPr>
      </w:pPr>
      <w:r>
        <w:rPr>
          <w:rFonts w:eastAsia="Times New Roman"/>
        </w:rPr>
        <w:tab/>
      </w:r>
      <w:r w:rsidR="0014520E">
        <w:rPr>
          <w:rFonts w:eastAsia="Times New Roman"/>
        </w:rPr>
        <w:t xml:space="preserve">BRP WP </w:t>
      </w:r>
      <w:r>
        <w:rPr>
          <w:rFonts w:eastAsia="Times New Roman"/>
        </w:rPr>
        <w:t>82</w:t>
      </w:r>
      <w:r w:rsidR="0014520E">
        <w:rPr>
          <w:rFonts w:eastAsia="Times New Roman"/>
        </w:rPr>
        <w:t xml:space="preserve">, </w:t>
      </w:r>
      <w:r>
        <w:rPr>
          <w:rFonts w:eastAsia="Times New Roman"/>
        </w:rPr>
        <w:t>Administrative Renewal</w:t>
      </w:r>
      <w:r w:rsidR="0014520E">
        <w:rPr>
          <w:rFonts w:eastAsia="Times New Roman"/>
        </w:rPr>
        <w:t>....................................................</w:t>
      </w:r>
      <w:r w:rsidR="0014520E" w:rsidRPr="007E07D2">
        <w:rPr>
          <w:rFonts w:eastAsia="Times New Roman"/>
          <w:b/>
        </w:rPr>
        <w:t>$</w:t>
      </w:r>
      <w:r w:rsidRPr="007E07D2">
        <w:rPr>
          <w:rFonts w:eastAsia="Times New Roman"/>
          <w:b/>
        </w:rPr>
        <w:t>2</w:t>
      </w:r>
      <w:r w:rsidR="0011125A">
        <w:rPr>
          <w:rFonts w:eastAsia="Times New Roman"/>
          <w:b/>
        </w:rPr>
        <w:t>65</w:t>
      </w:r>
    </w:p>
    <w:p w14:paraId="3B2A8B00" w14:textId="77777777" w:rsidR="0014520E" w:rsidRDefault="0014520E">
      <w:pPr>
        <w:pStyle w:val="texthang"/>
        <w:rPr>
          <w:rFonts w:eastAsia="Times New Roman"/>
        </w:rPr>
      </w:pPr>
    </w:p>
    <w:p w14:paraId="6A235504" w14:textId="77777777" w:rsidR="0014520E" w:rsidRDefault="0014520E">
      <w:pPr>
        <w:pStyle w:val="texthang"/>
        <w:rPr>
          <w:b/>
        </w:rPr>
      </w:pPr>
      <w:r>
        <w:rPr>
          <w:b/>
        </w:rPr>
        <w:t>6.</w:t>
      </w:r>
      <w:r>
        <w:rPr>
          <w:b/>
        </w:rPr>
        <w:tab/>
        <w:t>Where can I get a copy of the timelines?</w:t>
      </w:r>
    </w:p>
    <w:p w14:paraId="6881685F" w14:textId="77777777" w:rsidR="0014520E" w:rsidRDefault="0014520E">
      <w:pPr>
        <w:pStyle w:val="texthang"/>
        <w:rPr>
          <w:b/>
        </w:rPr>
      </w:pPr>
    </w:p>
    <w:p w14:paraId="478DF042" w14:textId="52AACFE2" w:rsidR="0014520E" w:rsidRDefault="0014520E">
      <w:pPr>
        <w:pStyle w:val="texthang"/>
      </w:pPr>
      <w:r>
        <w:rPr>
          <w:b/>
        </w:rPr>
        <w:tab/>
      </w:r>
      <w:r>
        <w:t xml:space="preserve">The timelines are available on the MassDEP Website: </w:t>
      </w:r>
      <w:hyperlink r:id="rId18" w:history="1">
        <w:r w:rsidR="006D7DC3" w:rsidRPr="00CE0511">
          <w:rPr>
            <w:rStyle w:val="Hyperlink"/>
          </w:rPr>
          <w:t>https://www.mass.gov/lists/massdep-fees-timelines</w:t>
        </w:r>
      </w:hyperlink>
      <w:r w:rsidR="006D7DC3">
        <w:t xml:space="preserve">  </w:t>
      </w:r>
    </w:p>
    <w:p w14:paraId="2B46F576" w14:textId="0AFFCA98" w:rsidR="0014520E" w:rsidRDefault="0014520E">
      <w:pPr>
        <w:pStyle w:val="texthang"/>
        <w:rPr>
          <w:rFonts w:eastAsia="Times New Roman"/>
        </w:rPr>
      </w:pPr>
    </w:p>
    <w:p w14:paraId="120BEE02" w14:textId="6EB66C76" w:rsidR="006E4FE3" w:rsidRDefault="006E4FE3">
      <w:pPr>
        <w:pStyle w:val="texthang"/>
        <w:rPr>
          <w:rFonts w:eastAsia="Times New Roman"/>
        </w:rPr>
      </w:pPr>
    </w:p>
    <w:p w14:paraId="676BCB5F" w14:textId="2D65F9EB" w:rsidR="006E4FE3" w:rsidRDefault="006E4FE3">
      <w:pPr>
        <w:pStyle w:val="texthang"/>
        <w:rPr>
          <w:rFonts w:eastAsia="Times New Roman"/>
        </w:rPr>
      </w:pPr>
    </w:p>
    <w:p w14:paraId="3C317042" w14:textId="77777777" w:rsidR="006E4FE3" w:rsidRDefault="006E4FE3">
      <w:pPr>
        <w:pStyle w:val="texthang"/>
        <w:rPr>
          <w:rFonts w:eastAsia="Times New Roman"/>
        </w:rPr>
      </w:pPr>
    </w:p>
    <w:p w14:paraId="5C436F68" w14:textId="77777777" w:rsidR="0014520E" w:rsidRDefault="0014520E">
      <w:pPr>
        <w:pStyle w:val="texthang"/>
        <w:rPr>
          <w:rFonts w:eastAsia="Times New Roman"/>
          <w:b/>
        </w:rPr>
      </w:pPr>
      <w:r>
        <w:rPr>
          <w:rFonts w:eastAsia="Times New Roman"/>
          <w:b/>
        </w:rPr>
        <w:t xml:space="preserve">7. </w:t>
      </w:r>
      <w:r>
        <w:rPr>
          <w:rFonts w:eastAsia="Times New Roman"/>
          <w:b/>
        </w:rPr>
        <w:tab/>
        <w:t>What is the annual compliance fee?</w:t>
      </w:r>
    </w:p>
    <w:p w14:paraId="2215C3D2" w14:textId="77777777" w:rsidR="0014520E" w:rsidRDefault="0014520E">
      <w:pPr>
        <w:pStyle w:val="texthang"/>
        <w:rPr>
          <w:rFonts w:eastAsia="Times New Roman"/>
        </w:rPr>
      </w:pPr>
    </w:p>
    <w:p w14:paraId="38061D5D" w14:textId="0AF1124F" w:rsidR="00F612C5" w:rsidRDefault="00F612C5" w:rsidP="001C2AD0">
      <w:pPr>
        <w:pStyle w:val="texthang"/>
        <w:rPr>
          <w:rFonts w:eastAsia="Times New Roman"/>
          <w:b/>
        </w:rPr>
      </w:pPr>
      <w:r>
        <w:tab/>
        <w:t>Once coverage under the General Permit is granted, the permittee will be responsible for paying an Annual Compliance Assurance Fee (ACF) as required by 310 CMR 4.00. Current Annual Compliance Fees can be found on the MassDEP Website at</w:t>
      </w:r>
      <w:r w:rsidR="006D7DC3">
        <w:t xml:space="preserve"> </w:t>
      </w:r>
      <w:hyperlink r:id="rId19" w:history="1">
        <w:r w:rsidR="006D7DC3" w:rsidRPr="00CE0511">
          <w:rPr>
            <w:rStyle w:val="Hyperlink"/>
          </w:rPr>
          <w:t>https://www.mass.gov/lists/massdep-fees-timelines</w:t>
        </w:r>
      </w:hyperlink>
      <w:r>
        <w:t>.</w:t>
      </w:r>
      <w:r w:rsidR="006D7DC3">
        <w:t xml:space="preserve"> </w:t>
      </w:r>
      <w:r w:rsidRPr="005118EA">
        <w:rPr>
          <w:rFonts w:cs="Arial"/>
          <w:color w:val="000000"/>
        </w:rPr>
        <w:t>Please be advised,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r w:rsidR="0014520E">
        <w:rPr>
          <w:rFonts w:eastAsia="Times New Roman"/>
          <w:b/>
        </w:rPr>
        <w:t xml:space="preserve"> </w:t>
      </w:r>
      <w:r w:rsidR="0014520E">
        <w:rPr>
          <w:rFonts w:eastAsia="Times New Roman"/>
          <w:b/>
        </w:rPr>
        <w:tab/>
      </w:r>
    </w:p>
    <w:p w14:paraId="5DA15CF6" w14:textId="77777777" w:rsidR="00F612C5" w:rsidRDefault="00F612C5" w:rsidP="001C2AD0">
      <w:pPr>
        <w:pStyle w:val="texthang"/>
        <w:rPr>
          <w:rFonts w:eastAsia="Times New Roman"/>
          <w:b/>
        </w:rPr>
      </w:pPr>
    </w:p>
    <w:p w14:paraId="127843F4" w14:textId="77777777" w:rsidR="00F612C5" w:rsidRDefault="00F612C5" w:rsidP="001C2AD0">
      <w:pPr>
        <w:pStyle w:val="texthang"/>
        <w:rPr>
          <w:rFonts w:eastAsia="Times New Roman"/>
          <w:b/>
        </w:rPr>
      </w:pPr>
      <w:r>
        <w:rPr>
          <w:rFonts w:eastAsia="Times New Roman"/>
          <w:b/>
        </w:rPr>
        <w:t>8.</w:t>
      </w:r>
      <w:r>
        <w:rPr>
          <w:rFonts w:eastAsia="Times New Roman"/>
          <w:b/>
        </w:rPr>
        <w:tab/>
      </w:r>
      <w:r w:rsidR="0014520E">
        <w:rPr>
          <w:rFonts w:eastAsia="Times New Roman"/>
          <w:b/>
        </w:rPr>
        <w:t>How long is the permit in effect?</w:t>
      </w:r>
    </w:p>
    <w:p w14:paraId="2AD3A169" w14:textId="77777777" w:rsidR="00F612C5" w:rsidRDefault="00F612C5" w:rsidP="001C2AD0">
      <w:pPr>
        <w:pStyle w:val="texthang"/>
        <w:rPr>
          <w:rFonts w:eastAsia="Times New Roman"/>
          <w:b/>
        </w:rPr>
      </w:pPr>
    </w:p>
    <w:p w14:paraId="13E414B6" w14:textId="77777777" w:rsidR="00BC1FCE" w:rsidRPr="001C2AD0" w:rsidRDefault="0014520E" w:rsidP="001C2AD0">
      <w:pPr>
        <w:pStyle w:val="texthang"/>
        <w:rPr>
          <w:rFonts w:eastAsia="Times New Roman"/>
        </w:rPr>
      </w:pPr>
      <w:r>
        <w:tab/>
        <w:t xml:space="preserve">Permits granted </w:t>
      </w:r>
      <w:r w:rsidR="007834E1">
        <w:t>under</w:t>
      </w:r>
      <w:r>
        <w:t xml:space="preserve"> categor</w:t>
      </w:r>
      <w:r w:rsidR="007834E1">
        <w:t>y</w:t>
      </w:r>
      <w:r>
        <w:t xml:space="preserve"> BRP WP </w:t>
      </w:r>
      <w:r w:rsidR="007834E1">
        <w:t>82</w:t>
      </w:r>
      <w:r>
        <w:t xml:space="preserve"> are in effect for a maximum of </w:t>
      </w:r>
      <w:r>
        <w:rPr>
          <w:rFonts w:eastAsia="Times New Roman"/>
        </w:rPr>
        <w:t>five (5) years, provided the permittee remains in compliance with the governing laws and regulations and provided the annual compliance assurance fee is paid.</w:t>
      </w:r>
    </w:p>
    <w:p w14:paraId="2FFB3C3F" w14:textId="77777777" w:rsidR="00BC1FCE" w:rsidRDefault="00BC1FCE">
      <w:pPr>
        <w:pStyle w:val="texthang"/>
        <w:rPr>
          <w:rFonts w:eastAsia="Times New Roman"/>
          <w:b/>
        </w:rPr>
      </w:pPr>
    </w:p>
    <w:p w14:paraId="54430438" w14:textId="77777777" w:rsidR="00EE7A70" w:rsidRDefault="00EE7A70">
      <w:pPr>
        <w:pStyle w:val="texthang"/>
        <w:rPr>
          <w:rFonts w:eastAsia="Times New Roman"/>
          <w:b/>
        </w:rPr>
      </w:pPr>
      <w:r>
        <w:rPr>
          <w:rFonts w:eastAsia="Times New Roman"/>
          <w:b/>
        </w:rPr>
        <w:t>9.</w:t>
      </w:r>
      <w:r>
        <w:rPr>
          <w:rFonts w:eastAsia="Times New Roman"/>
          <w:b/>
        </w:rPr>
        <w:tab/>
        <w:t>How can I avoid the most common mistakes made in applying for these permits?</w:t>
      </w:r>
    </w:p>
    <w:p w14:paraId="2A05AF30" w14:textId="77777777" w:rsidR="00EE7A70" w:rsidRDefault="00EE7A70">
      <w:pPr>
        <w:pStyle w:val="texthang"/>
        <w:rPr>
          <w:rFonts w:eastAsia="Times New Roman"/>
          <w:b/>
        </w:rPr>
      </w:pPr>
    </w:p>
    <w:p w14:paraId="371E8BEC" w14:textId="77777777" w:rsidR="00EE7A70" w:rsidRPr="00EE7A70" w:rsidRDefault="00EE7A70">
      <w:pPr>
        <w:pStyle w:val="texthang"/>
        <w:rPr>
          <w:rFonts w:eastAsia="Times New Roman"/>
        </w:rPr>
      </w:pPr>
      <w:r>
        <w:rPr>
          <w:rFonts w:eastAsia="Times New Roman"/>
          <w:b/>
        </w:rPr>
        <w:tab/>
      </w:r>
      <w:r w:rsidR="00172A70">
        <w:rPr>
          <w:rFonts w:eastAsia="Times New Roman"/>
        </w:rPr>
        <w:t>Verify</w:t>
      </w:r>
      <w:r>
        <w:rPr>
          <w:rFonts w:eastAsia="Times New Roman"/>
        </w:rPr>
        <w:t xml:space="preserve"> that no changes are required</w:t>
      </w:r>
      <w:r w:rsidR="00172A70">
        <w:rPr>
          <w:rFonts w:eastAsia="Times New Roman"/>
        </w:rPr>
        <w:t xml:space="preserve"> or requested</w:t>
      </w:r>
      <w:r>
        <w:rPr>
          <w:rFonts w:eastAsia="Times New Roman"/>
        </w:rPr>
        <w:t xml:space="preserve"> to the existing Groundwater Discharge Permit and that </w:t>
      </w:r>
      <w:r w:rsidRPr="00172A70">
        <w:rPr>
          <w:rFonts w:eastAsia="Times New Roman"/>
          <w:b/>
          <w:u w:val="single"/>
        </w:rPr>
        <w:t>all</w:t>
      </w:r>
      <w:r w:rsidRPr="00172A70">
        <w:rPr>
          <w:rFonts w:eastAsia="Times New Roman"/>
        </w:rPr>
        <w:t xml:space="preserve"> </w:t>
      </w:r>
      <w:r>
        <w:rPr>
          <w:rFonts w:eastAsia="Times New Roman"/>
        </w:rPr>
        <w:t>of the requirements of 314 CMR 5.12(9) (a) through (j) are met.</w:t>
      </w:r>
    </w:p>
    <w:p w14:paraId="29EA9B27" w14:textId="77777777" w:rsidR="00EE7A70" w:rsidRDefault="00EE7A70">
      <w:pPr>
        <w:pStyle w:val="texthang"/>
        <w:rPr>
          <w:rFonts w:eastAsia="Times New Roman"/>
          <w:b/>
        </w:rPr>
      </w:pPr>
    </w:p>
    <w:p w14:paraId="5B5767DA" w14:textId="77777777" w:rsidR="0014520E" w:rsidRDefault="00EE7A70">
      <w:pPr>
        <w:pStyle w:val="texthang"/>
        <w:rPr>
          <w:rFonts w:eastAsia="Times New Roman"/>
          <w:b/>
        </w:rPr>
      </w:pPr>
      <w:r>
        <w:rPr>
          <w:rFonts w:eastAsia="Times New Roman"/>
          <w:b/>
        </w:rPr>
        <w:t>10.</w:t>
      </w:r>
      <w:r w:rsidR="0014520E">
        <w:rPr>
          <w:rFonts w:eastAsia="Times New Roman"/>
          <w:b/>
        </w:rPr>
        <w:t xml:space="preserve"> What are the regulations that apply to this permit and where can I get copies?</w:t>
      </w:r>
    </w:p>
    <w:p w14:paraId="4337EB17" w14:textId="77777777" w:rsidR="0014520E" w:rsidRDefault="0014520E">
      <w:pPr>
        <w:pStyle w:val="texthang"/>
        <w:rPr>
          <w:rFonts w:eastAsia="Times New Roman"/>
        </w:rPr>
      </w:pPr>
    </w:p>
    <w:p w14:paraId="5342A37A" w14:textId="77777777" w:rsidR="0014520E" w:rsidRDefault="0014520E">
      <w:pPr>
        <w:pStyle w:val="texthang"/>
        <w:rPr>
          <w:rFonts w:eastAsia="Times New Roman"/>
        </w:rPr>
      </w:pPr>
      <w:r>
        <w:rPr>
          <w:rFonts w:eastAsia="Times New Roman"/>
        </w:rPr>
        <w:tab/>
        <w:t>These regulations include, but are not limited to:</w:t>
      </w:r>
    </w:p>
    <w:p w14:paraId="3E865C28" w14:textId="77777777" w:rsidR="0014520E" w:rsidRDefault="0014520E">
      <w:pPr>
        <w:pStyle w:val="texthang"/>
        <w:rPr>
          <w:rFonts w:eastAsia="Times New Roman"/>
        </w:rPr>
      </w:pPr>
      <w:r>
        <w:rPr>
          <w:rFonts w:eastAsia="Times New Roman"/>
        </w:rPr>
        <w:tab/>
      </w:r>
    </w:p>
    <w:p w14:paraId="438A4665" w14:textId="77777777" w:rsidR="0014520E" w:rsidRDefault="0014520E">
      <w:pPr>
        <w:pStyle w:val="texthang"/>
        <w:rPr>
          <w:rFonts w:eastAsia="Times New Roman"/>
        </w:rPr>
      </w:pPr>
      <w:r>
        <w:rPr>
          <w:rFonts w:eastAsia="Times New Roman"/>
        </w:rPr>
        <w:tab/>
        <w:t xml:space="preserve">a. Groundwater Discharge </w:t>
      </w:r>
      <w:r w:rsidR="00C555D8">
        <w:rPr>
          <w:rFonts w:eastAsia="Times New Roman"/>
        </w:rPr>
        <w:t xml:space="preserve">Permit Program </w:t>
      </w:r>
      <w:r>
        <w:rPr>
          <w:rFonts w:eastAsia="Times New Roman"/>
        </w:rPr>
        <w:t>Regulations, 314 CMR 5.00.</w:t>
      </w:r>
    </w:p>
    <w:p w14:paraId="2ABB5EB2" w14:textId="77777777" w:rsidR="0014520E" w:rsidRDefault="00C555D8">
      <w:pPr>
        <w:pStyle w:val="texthang"/>
        <w:rPr>
          <w:rFonts w:eastAsia="Times New Roman"/>
        </w:rPr>
      </w:pPr>
      <w:r>
        <w:rPr>
          <w:rFonts w:eastAsia="Times New Roman"/>
        </w:rPr>
        <w:tab/>
        <w:t>b</w:t>
      </w:r>
      <w:r w:rsidR="0014520E">
        <w:rPr>
          <w:rFonts w:eastAsia="Times New Roman"/>
        </w:rPr>
        <w:t>. Timely Action and Fee Provisions, 310 CMR 4.00.</w:t>
      </w:r>
    </w:p>
    <w:p w14:paraId="712C8982" w14:textId="29629869" w:rsidR="0014520E" w:rsidRDefault="00C555D8">
      <w:pPr>
        <w:pStyle w:val="texthang"/>
        <w:rPr>
          <w:rFonts w:eastAsia="Times New Roman"/>
        </w:rPr>
      </w:pPr>
      <w:r>
        <w:rPr>
          <w:rFonts w:eastAsia="Times New Roman"/>
        </w:rPr>
        <w:tab/>
        <w:t>c</w:t>
      </w:r>
      <w:r w:rsidR="00521183">
        <w:rPr>
          <w:rFonts w:eastAsia="Times New Roman"/>
        </w:rPr>
        <w:t>.</w:t>
      </w:r>
      <w:r w:rsidR="0014520E">
        <w:rPr>
          <w:rFonts w:eastAsia="Times New Roman"/>
        </w:rPr>
        <w:t xml:space="preserve"> Administrative Penalty Regulations, 310 CMR 5.00.</w:t>
      </w:r>
    </w:p>
    <w:p w14:paraId="54A43EEE" w14:textId="77777777" w:rsidR="0014520E" w:rsidRDefault="0014520E">
      <w:pPr>
        <w:pStyle w:val="texthang"/>
        <w:rPr>
          <w:rFonts w:eastAsia="Times New Roman"/>
        </w:rPr>
      </w:pPr>
    </w:p>
    <w:p w14:paraId="3C0F104B" w14:textId="77777777" w:rsidR="0014520E" w:rsidRDefault="0014520E">
      <w:pPr>
        <w:pStyle w:val="texthang"/>
        <w:rPr>
          <w:rFonts w:eastAsia="Times New Roman"/>
        </w:rPr>
      </w:pPr>
      <w:r>
        <w:rPr>
          <w:rFonts w:eastAsia="Times New Roman"/>
        </w:rPr>
        <w:tab/>
        <w:t>They may be purchased at:</w:t>
      </w:r>
    </w:p>
    <w:p w14:paraId="28F0F34D" w14:textId="77777777" w:rsidR="0014520E" w:rsidRDefault="0014520E">
      <w:pPr>
        <w:pStyle w:val="texthang"/>
        <w:rPr>
          <w:rFonts w:eastAsia="Times New Roman"/>
          <w:b/>
        </w:rPr>
      </w:pPr>
    </w:p>
    <w:p w14:paraId="3EB29396" w14:textId="77777777" w:rsidR="0014520E" w:rsidRDefault="0014520E">
      <w:pPr>
        <w:pStyle w:val="texthang"/>
        <w:rPr>
          <w:rFonts w:eastAsia="Times New Roman"/>
          <w:b/>
        </w:rPr>
      </w:pPr>
      <w:r>
        <w:rPr>
          <w:rFonts w:eastAsia="Times New Roman"/>
          <w:b/>
        </w:rPr>
        <w:tab/>
        <w:t xml:space="preserve">State House Bookstore </w:t>
      </w:r>
      <w:r>
        <w:rPr>
          <w:rFonts w:eastAsia="Times New Roman"/>
          <w:b/>
        </w:rPr>
        <w:tab/>
      </w:r>
      <w:r>
        <w:rPr>
          <w:rFonts w:eastAsia="Times New Roman"/>
          <w:b/>
        </w:rPr>
        <w:tab/>
        <w:t>State House West Bookstore</w:t>
      </w:r>
    </w:p>
    <w:p w14:paraId="63D4A753" w14:textId="77777777" w:rsidR="0014520E" w:rsidRDefault="0014520E">
      <w:pPr>
        <w:pStyle w:val="texthang"/>
        <w:rPr>
          <w:rFonts w:eastAsia="Times New Roman"/>
          <w:b/>
        </w:rPr>
      </w:pPr>
      <w:r>
        <w:rPr>
          <w:rFonts w:eastAsia="Times New Roman"/>
          <w:b/>
        </w:rPr>
        <w:tab/>
        <w:t xml:space="preserve">Room 116 </w:t>
      </w:r>
      <w:r>
        <w:rPr>
          <w:rFonts w:eastAsia="Times New Roman"/>
          <w:b/>
        </w:rPr>
        <w:tab/>
      </w:r>
      <w:r>
        <w:rPr>
          <w:rFonts w:eastAsia="Times New Roman"/>
          <w:b/>
        </w:rPr>
        <w:tab/>
      </w:r>
      <w:r>
        <w:rPr>
          <w:rFonts w:eastAsia="Times New Roman"/>
          <w:b/>
        </w:rPr>
        <w:tab/>
      </w:r>
      <w:r>
        <w:rPr>
          <w:rFonts w:eastAsia="Times New Roman"/>
          <w:b/>
        </w:rPr>
        <w:tab/>
        <w:t>436 Dwight Street</w:t>
      </w:r>
    </w:p>
    <w:p w14:paraId="70240014" w14:textId="77777777" w:rsidR="0014520E" w:rsidRDefault="0014520E">
      <w:pPr>
        <w:pStyle w:val="texthang"/>
        <w:rPr>
          <w:rFonts w:eastAsia="Times New Roman"/>
          <w:b/>
        </w:rPr>
      </w:pPr>
      <w:r>
        <w:rPr>
          <w:rFonts w:eastAsia="Times New Roman"/>
          <w:b/>
        </w:rPr>
        <w:tab/>
        <w:t xml:space="preserve">Boston, MA 02133 </w:t>
      </w:r>
      <w:r>
        <w:rPr>
          <w:rFonts w:eastAsia="Times New Roman"/>
          <w:b/>
        </w:rPr>
        <w:tab/>
      </w:r>
      <w:r>
        <w:rPr>
          <w:rFonts w:eastAsia="Times New Roman"/>
          <w:b/>
        </w:rPr>
        <w:tab/>
      </w:r>
      <w:r>
        <w:rPr>
          <w:rFonts w:eastAsia="Times New Roman"/>
          <w:b/>
        </w:rPr>
        <w:tab/>
        <w:t>Springfield, MA 01103</w:t>
      </w:r>
    </w:p>
    <w:p w14:paraId="3023F2CE" w14:textId="77777777" w:rsidR="0014520E" w:rsidRDefault="0014520E">
      <w:pPr>
        <w:pStyle w:val="texthang"/>
        <w:rPr>
          <w:b/>
        </w:rPr>
        <w:sectPr w:rsidR="0014520E" w:rsidSect="00E656B3">
          <w:headerReference w:type="default" r:id="rId20"/>
          <w:type w:val="continuous"/>
          <w:pgSz w:w="12240" w:h="15840" w:code="1"/>
          <w:pgMar w:top="619" w:right="1080" w:bottom="720" w:left="1080" w:header="634" w:footer="230" w:gutter="0"/>
          <w:pgNumType w:start="1"/>
          <w:cols w:space="720"/>
        </w:sectPr>
      </w:pPr>
      <w:r>
        <w:rPr>
          <w:rFonts w:eastAsia="Times New Roman"/>
          <w:b/>
        </w:rPr>
        <w:tab/>
        <w:t xml:space="preserve">617-727-2834 </w:t>
      </w:r>
      <w:r>
        <w:rPr>
          <w:rFonts w:eastAsia="Times New Roman"/>
          <w:b/>
        </w:rPr>
        <w:tab/>
      </w:r>
      <w:r>
        <w:rPr>
          <w:rFonts w:eastAsia="Times New Roman"/>
          <w:b/>
        </w:rPr>
        <w:tab/>
      </w:r>
      <w:r>
        <w:rPr>
          <w:rFonts w:eastAsia="Times New Roman"/>
          <w:b/>
        </w:rPr>
        <w:tab/>
        <w:t>413-784-1376</w:t>
      </w:r>
    </w:p>
    <w:p w14:paraId="6E26A645" w14:textId="77777777" w:rsidR="00354130" w:rsidRPr="008118FB" w:rsidRDefault="00354130" w:rsidP="00354130">
      <w:pPr>
        <w:pStyle w:val="text"/>
        <w:ind w:left="360" w:hanging="360"/>
        <w:rPr>
          <w:i/>
        </w:rPr>
      </w:pPr>
      <w:r w:rsidRPr="008118FB">
        <w:rPr>
          <w:i/>
        </w:rPr>
        <w:lastRenderedPageBreak/>
        <w:t>To avoid delays in the application review process, please include the following items with the application:</w:t>
      </w:r>
    </w:p>
    <w:p w14:paraId="5BC5924F" w14:textId="77777777" w:rsidR="00D7798A" w:rsidRDefault="00D7798A">
      <w:pPr>
        <w:pStyle w:val="texthang"/>
      </w:pPr>
    </w:p>
    <w:p w14:paraId="4EF2C727" w14:textId="19650117" w:rsidR="0014520E" w:rsidRDefault="0014520E">
      <w:pPr>
        <w:pStyle w:val="texthang"/>
      </w:pPr>
      <w:r>
        <w:fldChar w:fldCharType="begin">
          <w:ffData>
            <w:name w:val="Check16"/>
            <w:enabled/>
            <w:calcOnExit w:val="0"/>
            <w:checkBox>
              <w:sizeAuto/>
              <w:default w:val="0"/>
            </w:checkBox>
          </w:ffData>
        </w:fldChar>
      </w:r>
      <w:bookmarkStart w:id="3" w:name="Check16"/>
      <w:r>
        <w:instrText xml:space="preserve"> FORMCHECKBOX </w:instrText>
      </w:r>
      <w:r w:rsidR="008B107B">
        <w:fldChar w:fldCharType="separate"/>
      </w:r>
      <w:r>
        <w:fldChar w:fldCharType="end"/>
      </w:r>
      <w:bookmarkEnd w:id="3"/>
      <w:r>
        <w:tab/>
        <w:t xml:space="preserve">Certification Statement for </w:t>
      </w:r>
      <w:r w:rsidR="00E45585">
        <w:t xml:space="preserve">the BRP WP 82 Administrative Renewal is </w:t>
      </w:r>
      <w:r>
        <w:t xml:space="preserve">signed and stamped by a Massachusetts Registered Professional Engineer. </w:t>
      </w:r>
    </w:p>
    <w:p w14:paraId="52CF1129" w14:textId="77777777" w:rsidR="00697DDF" w:rsidRDefault="00697DDF">
      <w:pPr>
        <w:pStyle w:val="texthang"/>
      </w:pPr>
    </w:p>
    <w:p w14:paraId="6CD2449B" w14:textId="77777777" w:rsidR="00697DDF" w:rsidRDefault="00697DDF">
      <w:pPr>
        <w:pStyle w:val="texthang"/>
      </w:pPr>
      <w:r>
        <w:fldChar w:fldCharType="begin">
          <w:ffData>
            <w:name w:val="Check16"/>
            <w:enabled/>
            <w:calcOnExit w:val="0"/>
            <w:checkBox>
              <w:sizeAuto/>
              <w:default w:val="0"/>
            </w:checkBox>
          </w:ffData>
        </w:fldChar>
      </w:r>
      <w:r>
        <w:instrText xml:space="preserve"> FORMCHECKBOX </w:instrText>
      </w:r>
      <w:r w:rsidR="008B107B">
        <w:fldChar w:fldCharType="separate"/>
      </w:r>
      <w:r>
        <w:fldChar w:fldCharType="end"/>
      </w:r>
      <w:r w:rsidR="00C83A70">
        <w:tab/>
        <w:t xml:space="preserve">Section C., the </w:t>
      </w:r>
      <w:r>
        <w:t>Applicant Certification form is signed by a person identified in 314 CMR 5.14(1).</w:t>
      </w:r>
    </w:p>
    <w:p w14:paraId="599EF208" w14:textId="77777777" w:rsidR="00354130" w:rsidRDefault="00354130">
      <w:pPr>
        <w:pStyle w:val="texthang"/>
      </w:pPr>
    </w:p>
    <w:p w14:paraId="41B80355" w14:textId="77777777" w:rsidR="00354130" w:rsidRDefault="00354130">
      <w:pPr>
        <w:pStyle w:val="texthang"/>
      </w:pPr>
    </w:p>
    <w:p w14:paraId="4B64B955" w14:textId="77777777" w:rsidR="0014520E" w:rsidRDefault="0014520E">
      <w:pPr>
        <w:pStyle w:val="texthang"/>
      </w:pPr>
    </w:p>
    <w:p w14:paraId="7226C978" w14:textId="77777777" w:rsidR="0014520E" w:rsidRPr="00354130" w:rsidRDefault="0014520E">
      <w:pPr>
        <w:pStyle w:val="texthang"/>
        <w:rPr>
          <w:i/>
        </w:rPr>
      </w:pPr>
      <w:r w:rsidRPr="00354130">
        <w:rPr>
          <w:i/>
        </w:rPr>
        <w:t>To submit the application package:</w:t>
      </w:r>
    </w:p>
    <w:p w14:paraId="550BE765" w14:textId="77777777" w:rsidR="0014520E" w:rsidRDefault="0014520E">
      <w:pPr>
        <w:pStyle w:val="texthang"/>
      </w:pPr>
    </w:p>
    <w:p w14:paraId="50F8D9A2" w14:textId="77777777" w:rsidR="00521183" w:rsidRDefault="00E45585" w:rsidP="00521183">
      <w:pPr>
        <w:pStyle w:val="text"/>
        <w:ind w:left="360" w:hanging="360"/>
      </w:pPr>
      <w:r>
        <w:fldChar w:fldCharType="begin">
          <w:ffData>
            <w:name w:val="Check14"/>
            <w:enabled/>
            <w:calcOnExit w:val="0"/>
            <w:checkBox>
              <w:sizeAuto/>
              <w:default w:val="0"/>
            </w:checkBox>
          </w:ffData>
        </w:fldChar>
      </w:r>
      <w:bookmarkStart w:id="4" w:name="Check14"/>
      <w:r>
        <w:instrText xml:space="preserve"> FORMCHECKBOX </w:instrText>
      </w:r>
      <w:r w:rsidR="008B107B">
        <w:fldChar w:fldCharType="separate"/>
      </w:r>
      <w:r>
        <w:fldChar w:fldCharType="end"/>
      </w:r>
      <w:bookmarkEnd w:id="4"/>
      <w:r>
        <w:tab/>
      </w:r>
      <w:r w:rsidR="00521183">
        <w:t xml:space="preserve">Submit </w:t>
      </w:r>
      <w:r w:rsidR="00521183">
        <w:rPr>
          <w:rFonts w:cs="Arial"/>
          <w:bCs/>
        </w:rPr>
        <w:t>t</w:t>
      </w:r>
      <w:r w:rsidR="00521183" w:rsidRPr="00724D59">
        <w:rPr>
          <w:rFonts w:cs="Arial"/>
          <w:bCs/>
        </w:rPr>
        <w:t>he application</w:t>
      </w:r>
      <w:r w:rsidR="00521183">
        <w:rPr>
          <w:rFonts w:cs="Arial"/>
          <w:bCs/>
        </w:rPr>
        <w:t xml:space="preserve"> and documents listed above </w:t>
      </w:r>
      <w:r w:rsidR="00521183" w:rsidRPr="00724D59">
        <w:rPr>
          <w:rFonts w:cs="Arial"/>
          <w:bCs/>
        </w:rPr>
        <w:t>through</w:t>
      </w:r>
      <w:r w:rsidR="00521183" w:rsidRPr="00724D59">
        <w:rPr>
          <w:rFonts w:cs="Arial"/>
          <w:b/>
        </w:rPr>
        <w:t xml:space="preserve"> </w:t>
      </w:r>
      <w:proofErr w:type="spellStart"/>
      <w:r w:rsidR="00521183" w:rsidRPr="00724D59">
        <w:rPr>
          <w:rStyle w:val="spellingerror"/>
          <w:rFonts w:cs="Arial"/>
        </w:rPr>
        <w:t>ePLACE</w:t>
      </w:r>
      <w:proofErr w:type="spellEnd"/>
      <w:r w:rsidR="00521183" w:rsidRPr="00724D59">
        <w:rPr>
          <w:rStyle w:val="normaltextrun"/>
          <w:rFonts w:cs="Arial"/>
        </w:rPr>
        <w:t xml:space="preserve">, </w:t>
      </w:r>
      <w:hyperlink r:id="rId21" w:history="1">
        <w:r w:rsidR="00521183" w:rsidRPr="006A06AE">
          <w:rPr>
            <w:rStyle w:val="Hyperlink"/>
            <w:rFonts w:cs="Arial"/>
          </w:rPr>
          <w:t>https://eplace.eea.mass.gov/citizenaccess</w:t>
        </w:r>
      </w:hyperlink>
      <w:r w:rsidR="00521183" w:rsidRPr="00724D59">
        <w:rPr>
          <w:rStyle w:val="eop"/>
          <w:rFonts w:cs="Arial"/>
        </w:rPr>
        <w:t> </w:t>
      </w:r>
    </w:p>
    <w:p w14:paraId="6728131E" w14:textId="77777777" w:rsidR="0014520E" w:rsidRDefault="0014520E">
      <w:pPr>
        <w:pStyle w:val="texthang"/>
      </w:pPr>
    </w:p>
    <w:p w14:paraId="0772656E" w14:textId="46F35A84" w:rsidR="0014520E" w:rsidRDefault="0014520E">
      <w:pPr>
        <w:pStyle w:val="texthang"/>
      </w:pPr>
      <w:r>
        <w:fldChar w:fldCharType="begin">
          <w:ffData>
            <w:name w:val="Check15"/>
            <w:enabled/>
            <w:calcOnExit w:val="0"/>
            <w:checkBox>
              <w:sizeAuto/>
              <w:default w:val="0"/>
              <w:checked w:val="0"/>
            </w:checkBox>
          </w:ffData>
        </w:fldChar>
      </w:r>
      <w:bookmarkStart w:id="5" w:name="Check15"/>
      <w:r>
        <w:instrText xml:space="preserve"> FORMCHECKBOX </w:instrText>
      </w:r>
      <w:r w:rsidR="008B107B">
        <w:fldChar w:fldCharType="separate"/>
      </w:r>
      <w:r>
        <w:fldChar w:fldCharType="end"/>
      </w:r>
      <w:bookmarkEnd w:id="5"/>
      <w:r>
        <w:tab/>
      </w:r>
      <w:r w:rsidR="00521183">
        <w:t>Pay</w:t>
      </w:r>
      <w:r>
        <w:t xml:space="preserve"> fee of:</w:t>
      </w:r>
    </w:p>
    <w:p w14:paraId="4AA9E648" w14:textId="77777777" w:rsidR="0014520E" w:rsidRDefault="0014520E">
      <w:pPr>
        <w:pStyle w:val="texthang"/>
      </w:pPr>
      <w:r>
        <w:tab/>
        <w:t>$</w:t>
      </w:r>
      <w:r w:rsidR="00E45585">
        <w:t>2</w:t>
      </w:r>
      <w:r w:rsidR="0011125A">
        <w:t xml:space="preserve">65 </w:t>
      </w:r>
      <w:r w:rsidR="00E45585">
        <w:t>for BRP WP 82</w:t>
      </w:r>
    </w:p>
    <w:p w14:paraId="3701C949" w14:textId="548BCC1B" w:rsidR="0014520E" w:rsidRDefault="0014520E" w:rsidP="00521183">
      <w:pPr>
        <w:pStyle w:val="texthang"/>
      </w:pPr>
      <w:r>
        <w:tab/>
      </w:r>
    </w:p>
    <w:p w14:paraId="706F079E" w14:textId="716CE021" w:rsidR="00521183" w:rsidRDefault="00521183" w:rsidP="00521183">
      <w:pPr>
        <w:pStyle w:val="text"/>
        <w:ind w:left="36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1221F9B6" w14:textId="6E843334" w:rsidR="00521183" w:rsidRDefault="00521183" w:rsidP="00521183">
      <w:pPr>
        <w:pStyle w:val="texthang"/>
      </w:pPr>
    </w:p>
    <w:p w14:paraId="5A93CF6F" w14:textId="77777777" w:rsidR="00A9249F" w:rsidRDefault="00A9249F">
      <w:pPr>
        <w:pStyle w:val="texthang"/>
      </w:pPr>
    </w:p>
    <w:p w14:paraId="7389ADF6" w14:textId="77777777" w:rsidR="006462E8" w:rsidRDefault="006462E8"/>
    <w:p w14:paraId="03E3B201" w14:textId="77777777" w:rsidR="00A9249F" w:rsidRDefault="00A9249F">
      <w:pPr>
        <w:pStyle w:val="texthang"/>
      </w:pPr>
    </w:p>
    <w:p w14:paraId="513078C0" w14:textId="77777777" w:rsidR="00F612C5" w:rsidRDefault="00F612C5">
      <w:pPr>
        <w:pStyle w:val="texthang"/>
      </w:pPr>
    </w:p>
    <w:p w14:paraId="4B9533EB" w14:textId="77777777" w:rsidR="00F612C5" w:rsidRDefault="006D7DC3">
      <w:pPr>
        <w:pStyle w:val="texthang"/>
      </w:pPr>
      <w:r>
        <w:rPr>
          <w:noProof/>
        </w:rPr>
        <mc:AlternateContent>
          <mc:Choice Requires="wps">
            <w:drawing>
              <wp:anchor distT="0" distB="0" distL="114300" distR="114300" simplePos="0" relativeHeight="251657728" behindDoc="0" locked="0" layoutInCell="1" allowOverlap="1" wp14:anchorId="35F593DD" wp14:editId="293668CB">
                <wp:simplePos x="0" y="0"/>
                <wp:positionH relativeFrom="column">
                  <wp:posOffset>95250</wp:posOffset>
                </wp:positionH>
                <wp:positionV relativeFrom="paragraph">
                  <wp:posOffset>755015</wp:posOffset>
                </wp:positionV>
                <wp:extent cx="6372225" cy="847725"/>
                <wp:effectExtent l="0" t="0" r="3175" b="31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2CE61164" w14:textId="77777777" w:rsidR="00F612C5" w:rsidRPr="006C5ED7" w:rsidRDefault="00F612C5" w:rsidP="00F612C5">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1135E174" w14:textId="77777777" w:rsidR="00F612C5" w:rsidRDefault="00F612C5" w:rsidP="00F6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593DD" id="_x0000_t202" coordsize="21600,21600" o:spt="202" path="m,l,21600r21600,l21600,xe">
                <v:stroke joinstyle="miter"/>
                <v:path gradientshapeok="t" o:connecttype="rect"/>
              </v:shapetype>
              <v:shape id="Text Box 14" o:spid="_x0000_s1026" type="#_x0000_t202" style="position:absolute;left:0;text-align:left;margin-left:7.5pt;margin-top:59.45pt;width:501.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">
                <v:path arrowok="t"/>
                <v:textbox>
                  <w:txbxContent>
                    <w:p w14:paraId="2CE61164" w14:textId="77777777" w:rsidR="00F612C5" w:rsidRPr="006C5ED7" w:rsidRDefault="00F612C5" w:rsidP="00F612C5">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1135E174" w14:textId="77777777" w:rsidR="00F612C5" w:rsidRDefault="00F612C5" w:rsidP="00F612C5"/>
                  </w:txbxContent>
                </v:textbox>
              </v:shape>
            </w:pict>
          </mc:Fallback>
        </mc:AlternateContent>
      </w:r>
    </w:p>
    <w:sectPr w:rsidR="00F612C5" w:rsidSect="001D0863">
      <w:headerReference w:type="default" r:id="rId22"/>
      <w:pgSz w:w="12240" w:h="15840" w:code="1"/>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C89A8" w14:textId="77777777" w:rsidR="008B107B" w:rsidRDefault="008B107B">
      <w:r>
        <w:separator/>
      </w:r>
    </w:p>
  </w:endnote>
  <w:endnote w:type="continuationSeparator" w:id="0">
    <w:p w14:paraId="26359F61" w14:textId="77777777" w:rsidR="008B107B" w:rsidRDefault="008B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8B9A8" w14:textId="77777777" w:rsidR="0014520E" w:rsidRDefault="00145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72565" w14:textId="77777777" w:rsidR="0014520E" w:rsidRDefault="001452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1AC3" w14:textId="77777777" w:rsidR="0014520E" w:rsidRDefault="0014520E">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4520E" w14:paraId="7E81BE85" w14:textId="77777777">
      <w:trPr>
        <w:trHeight w:val="447"/>
      </w:trPr>
      <w:tc>
        <w:tcPr>
          <w:tcW w:w="5400" w:type="dxa"/>
        </w:tcPr>
        <w:p w14:paraId="1036A221" w14:textId="69CA2524" w:rsidR="0014520E" w:rsidRPr="00393FF9" w:rsidRDefault="0011125A" w:rsidP="0011125A">
          <w:pPr>
            <w:pStyle w:val="sidebar"/>
          </w:pPr>
          <w:r>
            <w:t>wp82ins.doc</w:t>
          </w:r>
          <w:r w:rsidR="00393FF9" w:rsidRPr="00393FF9">
            <w:rPr>
              <w:b/>
            </w:rPr>
            <w:t xml:space="preserve"> </w:t>
          </w:r>
          <w:r w:rsidR="00393FF9" w:rsidRPr="00393FF9">
            <w:rPr>
              <w:rFonts w:cs="Arial"/>
              <w:b/>
            </w:rPr>
            <w:t>·</w:t>
          </w:r>
          <w:r w:rsidR="00393FF9">
            <w:rPr>
              <w:rFonts w:cs="Arial"/>
              <w:b/>
            </w:rPr>
            <w:t xml:space="preserve"> </w:t>
          </w:r>
          <w:r w:rsidR="00393FF9">
            <w:rPr>
              <w:rFonts w:cs="Arial"/>
            </w:rPr>
            <w:t>rev</w:t>
          </w:r>
          <w:r w:rsidR="00F623E5">
            <w:rPr>
              <w:rFonts w:cs="Arial"/>
            </w:rPr>
            <w:t xml:space="preserve">. </w:t>
          </w:r>
          <w:r w:rsidR="006E4FE3">
            <w:rPr>
              <w:rFonts w:cs="Arial"/>
            </w:rPr>
            <w:t>5</w:t>
          </w:r>
          <w:r>
            <w:rPr>
              <w:rFonts w:cs="Arial"/>
            </w:rPr>
            <w:t>/</w:t>
          </w:r>
          <w:r w:rsidR="006D7DC3">
            <w:rPr>
              <w:rFonts w:cs="Arial"/>
            </w:rPr>
            <w:t>202</w:t>
          </w:r>
          <w:r w:rsidR="00A22592">
            <w:rPr>
              <w:rFonts w:cs="Arial"/>
            </w:rPr>
            <w:t>1</w:t>
          </w:r>
        </w:p>
      </w:tc>
      <w:tc>
        <w:tcPr>
          <w:tcW w:w="4770" w:type="dxa"/>
        </w:tcPr>
        <w:p w14:paraId="1AF6860F" w14:textId="77777777" w:rsidR="0014520E" w:rsidRDefault="00393FF9">
          <w:pPr>
            <w:pStyle w:val="text"/>
            <w:jc w:val="right"/>
            <w:rPr>
              <w:snapToGrid w:val="0"/>
              <w:sz w:val="16"/>
            </w:rPr>
          </w:pPr>
          <w:r w:rsidRPr="00393FF9">
            <w:rPr>
              <w:snapToGrid w:val="0"/>
              <w:sz w:val="16"/>
            </w:rPr>
            <w:t xml:space="preserve">Page </w:t>
          </w:r>
          <w:r w:rsidRPr="00393FF9">
            <w:rPr>
              <w:snapToGrid w:val="0"/>
              <w:sz w:val="16"/>
            </w:rPr>
            <w:fldChar w:fldCharType="begin"/>
          </w:r>
          <w:r w:rsidRPr="00393FF9">
            <w:rPr>
              <w:snapToGrid w:val="0"/>
              <w:sz w:val="16"/>
            </w:rPr>
            <w:instrText xml:space="preserve"> PAGE </w:instrText>
          </w:r>
          <w:r w:rsidRPr="00393FF9">
            <w:rPr>
              <w:snapToGrid w:val="0"/>
              <w:sz w:val="16"/>
            </w:rPr>
            <w:fldChar w:fldCharType="separate"/>
          </w:r>
          <w:r w:rsidR="003D22E1">
            <w:rPr>
              <w:noProof/>
              <w:snapToGrid w:val="0"/>
              <w:sz w:val="16"/>
            </w:rPr>
            <w:t>1</w:t>
          </w:r>
          <w:r w:rsidRPr="00393FF9">
            <w:rPr>
              <w:snapToGrid w:val="0"/>
              <w:sz w:val="16"/>
            </w:rPr>
            <w:fldChar w:fldCharType="end"/>
          </w:r>
          <w:r w:rsidRPr="00393FF9">
            <w:rPr>
              <w:snapToGrid w:val="0"/>
              <w:sz w:val="16"/>
            </w:rPr>
            <w:t xml:space="preserve"> of </w:t>
          </w:r>
          <w:r w:rsidRPr="00393FF9">
            <w:rPr>
              <w:snapToGrid w:val="0"/>
              <w:sz w:val="16"/>
            </w:rPr>
            <w:fldChar w:fldCharType="begin"/>
          </w:r>
          <w:r w:rsidRPr="00393FF9">
            <w:rPr>
              <w:snapToGrid w:val="0"/>
              <w:sz w:val="16"/>
            </w:rPr>
            <w:instrText xml:space="preserve"> NUMPAGES </w:instrText>
          </w:r>
          <w:r w:rsidRPr="00393FF9">
            <w:rPr>
              <w:snapToGrid w:val="0"/>
              <w:sz w:val="16"/>
            </w:rPr>
            <w:fldChar w:fldCharType="separate"/>
          </w:r>
          <w:r w:rsidR="003D22E1">
            <w:rPr>
              <w:noProof/>
              <w:snapToGrid w:val="0"/>
              <w:sz w:val="16"/>
            </w:rPr>
            <w:t>5</w:t>
          </w:r>
          <w:r w:rsidRPr="00393FF9">
            <w:rPr>
              <w:snapToGrid w:val="0"/>
              <w:sz w:val="16"/>
            </w:rPr>
            <w:fldChar w:fldCharType="end"/>
          </w:r>
        </w:p>
      </w:tc>
    </w:tr>
  </w:tbl>
  <w:p w14:paraId="5276E2AF" w14:textId="77777777" w:rsidR="0014520E" w:rsidRDefault="001452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8B65A" w14:textId="77777777" w:rsidR="008B107B" w:rsidRDefault="008B107B">
      <w:r>
        <w:separator/>
      </w:r>
    </w:p>
  </w:footnote>
  <w:footnote w:type="continuationSeparator" w:id="0">
    <w:p w14:paraId="1E30FDA6" w14:textId="77777777" w:rsidR="008B107B" w:rsidRDefault="008B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4520E" w14:paraId="6F83C563" w14:textId="77777777" w:rsidTr="00145E9D">
      <w:tc>
        <w:tcPr>
          <w:tcW w:w="1548" w:type="dxa"/>
        </w:tcPr>
        <w:bookmarkStart w:id="0" w:name="_MON_1057060752"/>
        <w:bookmarkStart w:id="1" w:name="_MON_1043561361"/>
        <w:bookmarkEnd w:id="0"/>
        <w:bookmarkEnd w:id="1"/>
        <w:bookmarkStart w:id="2" w:name="_MON_1043561615"/>
        <w:bookmarkEnd w:id="2"/>
        <w:p w14:paraId="3235A7AE" w14:textId="77777777" w:rsidR="0014520E" w:rsidRDefault="008B107B">
          <w:r>
            <w:rPr>
              <w:noProof/>
            </w:rPr>
            <w:object w:dxaOrig="1050" w:dyaOrig="1078" w14:anchorId="54A3C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95pt;height:53.9pt;mso-width-percent:0;mso-height-percent:0;mso-width-percent:0;mso-height-percent:0" fillcolor="window">
                <v:imagedata r:id="rId1" o:title=""/>
              </v:shape>
              <o:OLEObject Type="Embed" ProgID="Word.Picture.8" ShapeID="_x0000_i1027" DrawAspect="Content" ObjectID="_1683378714" r:id="rId2"/>
            </w:object>
          </w:r>
        </w:p>
      </w:tc>
      <w:tc>
        <w:tcPr>
          <w:tcW w:w="8748" w:type="dxa"/>
        </w:tcPr>
        <w:p w14:paraId="4F6E8E29" w14:textId="77777777" w:rsidR="0014520E" w:rsidRDefault="0014520E">
          <w:pPr>
            <w:pStyle w:val="head2upd"/>
            <w:ind w:left="-108"/>
          </w:pPr>
          <w:r>
            <w:t xml:space="preserve">Massachusetts Department of Environmental Protection </w:t>
          </w:r>
        </w:p>
        <w:p w14:paraId="5F508D77" w14:textId="77777777" w:rsidR="0014520E" w:rsidRDefault="0014520E">
          <w:pPr>
            <w:pStyle w:val="head2upd"/>
            <w:ind w:left="-108"/>
            <w:rPr>
              <w:b w:val="0"/>
            </w:rPr>
          </w:pPr>
          <w:r>
            <w:rPr>
              <w:b w:val="0"/>
            </w:rPr>
            <w:t xml:space="preserve">Bureau of Resource Protection - Groundwater Discharge Permits </w:t>
          </w:r>
        </w:p>
        <w:p w14:paraId="304FEE84" w14:textId="77777777" w:rsidR="00AD3EAA" w:rsidRDefault="0014520E" w:rsidP="00AD3EAA">
          <w:pPr>
            <w:pStyle w:val="formtitleupd"/>
            <w:ind w:left="-108" w:firstLine="0"/>
            <w:rPr>
              <w:sz w:val="36"/>
              <w:szCs w:val="36"/>
            </w:rPr>
          </w:pPr>
          <w:r>
            <w:rPr>
              <w:sz w:val="44"/>
            </w:rPr>
            <w:t xml:space="preserve">BRP WP </w:t>
          </w:r>
          <w:r w:rsidR="00145E9D">
            <w:rPr>
              <w:sz w:val="44"/>
            </w:rPr>
            <w:t xml:space="preserve">82 </w:t>
          </w:r>
          <w:r w:rsidR="00145E9D" w:rsidRPr="00AD3EAA">
            <w:rPr>
              <w:sz w:val="36"/>
              <w:szCs w:val="36"/>
            </w:rPr>
            <w:t>Administrative Renewal of Groundwater Discharge Permit</w:t>
          </w:r>
        </w:p>
        <w:p w14:paraId="057E0118" w14:textId="77777777" w:rsidR="0014520E" w:rsidRPr="00AD3EAA" w:rsidRDefault="0014520E" w:rsidP="00AD3EAA">
          <w:pPr>
            <w:pStyle w:val="formtitleupd"/>
            <w:ind w:left="-108" w:firstLine="0"/>
            <w:rPr>
              <w:sz w:val="32"/>
              <w:szCs w:val="32"/>
            </w:rPr>
          </w:pPr>
          <w:r>
            <w:rPr>
              <w:sz w:val="32"/>
            </w:rPr>
            <w:t>Instructions and Supporting Materials</w:t>
          </w:r>
        </w:p>
        <w:p w14:paraId="4DFC9F9A" w14:textId="77777777" w:rsidR="0014520E" w:rsidRDefault="0014520E">
          <w:pPr>
            <w:ind w:left="-108"/>
          </w:pPr>
        </w:p>
      </w:tc>
    </w:tr>
    <w:tr w:rsidR="00145E9D" w14:paraId="1284BF29" w14:textId="77777777">
      <w:tc>
        <w:tcPr>
          <w:tcW w:w="1548" w:type="dxa"/>
          <w:tcBorders>
            <w:bottom w:val="nil"/>
          </w:tcBorders>
        </w:tcPr>
        <w:p w14:paraId="2D385D21" w14:textId="77777777" w:rsidR="00145E9D" w:rsidRDefault="00145E9D"/>
      </w:tc>
      <w:tc>
        <w:tcPr>
          <w:tcW w:w="8748" w:type="dxa"/>
        </w:tcPr>
        <w:p w14:paraId="66597FB2" w14:textId="77777777" w:rsidR="00145E9D" w:rsidRDefault="00145E9D">
          <w:pPr>
            <w:pStyle w:val="head2upd"/>
            <w:ind w:left="-108"/>
          </w:pPr>
        </w:p>
      </w:tc>
    </w:tr>
  </w:tbl>
  <w:p w14:paraId="09A6462A" w14:textId="77777777" w:rsidR="0014520E" w:rsidRDefault="0014520E">
    <w:pPr>
      <w:ind w:left="-90"/>
    </w:pPr>
  </w:p>
  <w:p w14:paraId="4ADE6A8F" w14:textId="77777777" w:rsidR="0014520E" w:rsidRDefault="001452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48" w:type="dxa"/>
      <w:tblBorders>
        <w:bottom w:val="single" w:sz="4" w:space="0" w:color="auto"/>
      </w:tblBorders>
      <w:tblLayout w:type="fixed"/>
      <w:tblLook w:val="0000" w:firstRow="0" w:lastRow="0" w:firstColumn="0" w:lastColumn="0" w:noHBand="0" w:noVBand="0"/>
    </w:tblPr>
    <w:tblGrid>
      <w:gridCol w:w="1548"/>
      <w:gridCol w:w="9000"/>
    </w:tblGrid>
    <w:tr w:rsidR="0014520E" w14:paraId="152C23A5" w14:textId="77777777" w:rsidTr="00172A70">
      <w:tc>
        <w:tcPr>
          <w:tcW w:w="1548" w:type="dxa"/>
        </w:tcPr>
        <w:p w14:paraId="6A882831" w14:textId="77777777" w:rsidR="0014520E" w:rsidRDefault="008B107B">
          <w:r>
            <w:rPr>
              <w:noProof/>
            </w:rPr>
            <w:object w:dxaOrig="1050" w:dyaOrig="1078" w14:anchorId="2E8D0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95pt;height:53.9pt;mso-width-percent:0;mso-height-percent:0;mso-width-percent:0;mso-height-percent:0" fillcolor="window">
                <v:imagedata r:id="rId1" o:title=""/>
              </v:shape>
              <o:OLEObject Type="Embed" ProgID="Word.Picture.8" ShapeID="_x0000_i1026" DrawAspect="Content" ObjectID="_1683378715" r:id="rId2"/>
            </w:object>
          </w:r>
        </w:p>
      </w:tc>
      <w:tc>
        <w:tcPr>
          <w:tcW w:w="9000" w:type="dxa"/>
        </w:tcPr>
        <w:p w14:paraId="047AC3D6" w14:textId="77777777" w:rsidR="0014520E" w:rsidRDefault="0014520E">
          <w:pPr>
            <w:pStyle w:val="head2upd"/>
            <w:ind w:left="-108"/>
          </w:pPr>
          <w:r>
            <w:t xml:space="preserve">Massachusetts Department of Environmental Protection </w:t>
          </w:r>
        </w:p>
        <w:p w14:paraId="74B788A9" w14:textId="77777777" w:rsidR="0014520E" w:rsidRDefault="0014520E">
          <w:pPr>
            <w:pStyle w:val="head2upd"/>
            <w:ind w:left="-108"/>
            <w:rPr>
              <w:b w:val="0"/>
              <w:sz w:val="21"/>
            </w:rPr>
          </w:pPr>
          <w:r>
            <w:rPr>
              <w:b w:val="0"/>
              <w:sz w:val="21"/>
            </w:rPr>
            <w:t xml:space="preserve">Bureau of Resource Protection - Groundwater Discharge Permits </w:t>
          </w:r>
        </w:p>
        <w:p w14:paraId="4002A3C5" w14:textId="77777777" w:rsidR="00733EF3" w:rsidRPr="00B30CF3" w:rsidRDefault="0014520E">
          <w:pPr>
            <w:ind w:left="-108"/>
            <w:rPr>
              <w:b/>
              <w:sz w:val="36"/>
              <w:szCs w:val="36"/>
            </w:rPr>
          </w:pPr>
          <w:r w:rsidRPr="00AD737D">
            <w:rPr>
              <w:b/>
              <w:sz w:val="44"/>
            </w:rPr>
            <w:t xml:space="preserve">BRP WP </w:t>
          </w:r>
          <w:r w:rsidR="00145E9D" w:rsidRPr="00AD737D">
            <w:rPr>
              <w:b/>
              <w:sz w:val="44"/>
            </w:rPr>
            <w:t>82</w:t>
          </w:r>
          <w:r w:rsidR="00733EF3">
            <w:rPr>
              <w:sz w:val="44"/>
            </w:rPr>
            <w:t xml:space="preserve"> </w:t>
          </w:r>
          <w:r w:rsidR="00733EF3" w:rsidRPr="00B30CF3">
            <w:rPr>
              <w:b/>
              <w:sz w:val="36"/>
              <w:szCs w:val="36"/>
            </w:rPr>
            <w:t xml:space="preserve">Administrative Renewal of </w:t>
          </w:r>
          <w:r w:rsidR="00172A70" w:rsidRPr="00B30CF3">
            <w:rPr>
              <w:b/>
              <w:sz w:val="36"/>
              <w:szCs w:val="36"/>
            </w:rPr>
            <w:t>Groundwater</w:t>
          </w:r>
          <w:r w:rsidR="00733EF3" w:rsidRPr="00B30CF3">
            <w:rPr>
              <w:b/>
              <w:sz w:val="36"/>
              <w:szCs w:val="36"/>
            </w:rPr>
            <w:t xml:space="preserve"> Discharge Permit</w:t>
          </w:r>
          <w:r w:rsidRPr="00B30CF3">
            <w:rPr>
              <w:b/>
              <w:sz w:val="36"/>
              <w:szCs w:val="36"/>
            </w:rPr>
            <w:t xml:space="preserve"> </w:t>
          </w:r>
        </w:p>
        <w:p w14:paraId="40519774" w14:textId="77777777" w:rsidR="0014520E" w:rsidRDefault="0014520E">
          <w:pPr>
            <w:ind w:left="-108"/>
          </w:pPr>
          <w:r w:rsidRPr="00B30CF3">
            <w:rPr>
              <w:b/>
              <w:sz w:val="32"/>
              <w:szCs w:val="32"/>
            </w:rPr>
            <w:t xml:space="preserve">Permit </w:t>
          </w:r>
          <w:r w:rsidR="00145E9D" w:rsidRPr="00B30CF3">
            <w:rPr>
              <w:b/>
              <w:sz w:val="32"/>
              <w:szCs w:val="32"/>
            </w:rPr>
            <w:t xml:space="preserve">Application </w:t>
          </w:r>
          <w:r w:rsidRPr="00B30CF3">
            <w:rPr>
              <w:b/>
              <w:sz w:val="32"/>
              <w:szCs w:val="32"/>
            </w:rPr>
            <w:t>Fact Sheet</w:t>
          </w:r>
        </w:p>
      </w:tc>
    </w:tr>
    <w:tr w:rsidR="00733EF3" w14:paraId="143FB8C6" w14:textId="77777777" w:rsidTr="00172A70">
      <w:tc>
        <w:tcPr>
          <w:tcW w:w="1548" w:type="dxa"/>
        </w:tcPr>
        <w:p w14:paraId="59603700" w14:textId="77777777" w:rsidR="00733EF3" w:rsidRDefault="00733EF3"/>
      </w:tc>
      <w:tc>
        <w:tcPr>
          <w:tcW w:w="9000" w:type="dxa"/>
        </w:tcPr>
        <w:p w14:paraId="5B2ACE78" w14:textId="77777777" w:rsidR="00733EF3" w:rsidRDefault="00733EF3">
          <w:pPr>
            <w:pStyle w:val="head2upd"/>
            <w:ind w:left="-108"/>
          </w:pPr>
        </w:p>
      </w:tc>
    </w:tr>
  </w:tbl>
  <w:p w14:paraId="6BA03BF9" w14:textId="77777777" w:rsidR="0014520E" w:rsidRDefault="0014520E" w:rsidP="00D46C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48" w:type="dxa"/>
      <w:tblBorders>
        <w:bottom w:val="single" w:sz="4" w:space="0" w:color="auto"/>
      </w:tblBorders>
      <w:tblLayout w:type="fixed"/>
      <w:tblLook w:val="0000" w:firstRow="0" w:lastRow="0" w:firstColumn="0" w:lastColumn="0" w:noHBand="0" w:noVBand="0"/>
    </w:tblPr>
    <w:tblGrid>
      <w:gridCol w:w="1548"/>
      <w:gridCol w:w="9000"/>
    </w:tblGrid>
    <w:tr w:rsidR="00DF306F" w14:paraId="097DF375" w14:textId="77777777" w:rsidTr="006D7329">
      <w:tc>
        <w:tcPr>
          <w:tcW w:w="1548" w:type="dxa"/>
        </w:tcPr>
        <w:p w14:paraId="44E710EF" w14:textId="77777777" w:rsidR="00DF306F" w:rsidRDefault="008B107B" w:rsidP="006D7329">
          <w:r>
            <w:rPr>
              <w:noProof/>
            </w:rPr>
            <w:object w:dxaOrig="1050" w:dyaOrig="1078" w14:anchorId="44214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3.9pt;mso-width-percent:0;mso-height-percent:0;mso-width-percent:0;mso-height-percent:0" fillcolor="window">
                <v:imagedata r:id="rId1" o:title=""/>
              </v:shape>
              <o:OLEObject Type="Embed" ProgID="Word.Picture.8" ShapeID="_x0000_i1025" DrawAspect="Content" ObjectID="_1683378716" r:id="rId2"/>
            </w:object>
          </w:r>
        </w:p>
      </w:tc>
      <w:tc>
        <w:tcPr>
          <w:tcW w:w="9000" w:type="dxa"/>
        </w:tcPr>
        <w:p w14:paraId="6F818CF1" w14:textId="77777777" w:rsidR="00DF306F" w:rsidRDefault="00DF306F" w:rsidP="006D7329">
          <w:pPr>
            <w:pStyle w:val="head2upd"/>
            <w:ind w:left="-108"/>
          </w:pPr>
          <w:r>
            <w:t xml:space="preserve">Massachusetts Department of Environmental Protection </w:t>
          </w:r>
        </w:p>
        <w:p w14:paraId="5808FDDF" w14:textId="77777777" w:rsidR="00DF306F" w:rsidRDefault="00DF306F" w:rsidP="006D7329">
          <w:pPr>
            <w:pStyle w:val="head2upd"/>
            <w:ind w:left="-108"/>
            <w:rPr>
              <w:b w:val="0"/>
              <w:sz w:val="21"/>
            </w:rPr>
          </w:pPr>
          <w:r>
            <w:rPr>
              <w:b w:val="0"/>
              <w:sz w:val="21"/>
            </w:rPr>
            <w:t xml:space="preserve">Bureau of Resource Protection - Groundwater Discharge Permits </w:t>
          </w:r>
        </w:p>
        <w:p w14:paraId="6C004BD2" w14:textId="77777777" w:rsidR="00DF306F" w:rsidRPr="00B30CF3" w:rsidRDefault="00DF306F" w:rsidP="006D7329">
          <w:pPr>
            <w:ind w:left="-108"/>
            <w:rPr>
              <w:b/>
              <w:sz w:val="36"/>
              <w:szCs w:val="36"/>
            </w:rPr>
          </w:pPr>
          <w:r w:rsidRPr="00AD737D">
            <w:rPr>
              <w:b/>
              <w:sz w:val="44"/>
            </w:rPr>
            <w:t>BRP WP 82</w:t>
          </w:r>
          <w:r>
            <w:rPr>
              <w:sz w:val="44"/>
            </w:rPr>
            <w:t xml:space="preserve"> </w:t>
          </w:r>
          <w:r w:rsidRPr="00B30CF3">
            <w:rPr>
              <w:b/>
              <w:sz w:val="36"/>
              <w:szCs w:val="36"/>
            </w:rPr>
            <w:t xml:space="preserve">Administrative Renewal of Groundwater Discharge Permit </w:t>
          </w:r>
        </w:p>
        <w:p w14:paraId="6269A223" w14:textId="77777777" w:rsidR="00DF306F" w:rsidRDefault="00DF306F" w:rsidP="006D7329">
          <w:pPr>
            <w:ind w:left="-108"/>
          </w:pPr>
          <w:r w:rsidRPr="00B30CF3">
            <w:rPr>
              <w:b/>
              <w:sz w:val="32"/>
              <w:szCs w:val="32"/>
            </w:rPr>
            <w:t xml:space="preserve">Application </w:t>
          </w:r>
          <w:r>
            <w:rPr>
              <w:b/>
              <w:sz w:val="32"/>
              <w:szCs w:val="32"/>
            </w:rPr>
            <w:t>Completeness Checklist</w:t>
          </w:r>
        </w:p>
      </w:tc>
    </w:tr>
    <w:tr w:rsidR="00DF306F" w14:paraId="25BFAACF" w14:textId="77777777" w:rsidTr="006D7329">
      <w:tc>
        <w:tcPr>
          <w:tcW w:w="1548" w:type="dxa"/>
        </w:tcPr>
        <w:p w14:paraId="3FF181B5" w14:textId="77777777" w:rsidR="00DF306F" w:rsidRDefault="00DF306F" w:rsidP="006D7329"/>
      </w:tc>
      <w:tc>
        <w:tcPr>
          <w:tcW w:w="9000" w:type="dxa"/>
        </w:tcPr>
        <w:p w14:paraId="2F09CB0E" w14:textId="77777777" w:rsidR="00DF306F" w:rsidRDefault="00DF306F" w:rsidP="006D7329">
          <w:pPr>
            <w:pStyle w:val="head2upd"/>
            <w:ind w:left="-108"/>
          </w:pPr>
        </w:p>
      </w:tc>
    </w:tr>
  </w:tbl>
  <w:p w14:paraId="45088F0E" w14:textId="77777777" w:rsidR="001D0863" w:rsidRDefault="001D0863">
    <w:pPr>
      <w:pStyle w:val="Header"/>
      <w:ind w:left="-90"/>
    </w:pPr>
    <w:r>
      <w:tab/>
    </w:r>
  </w:p>
  <w:p w14:paraId="7464ED57" w14:textId="77777777" w:rsidR="001D0863" w:rsidRDefault="001D0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4E08A0"/>
    <w:multiLevelType w:val="hybridMultilevel"/>
    <w:tmpl w:val="3C5C2360"/>
    <w:lvl w:ilvl="0" w:tplc="06624424">
      <w:start w:val="1"/>
      <w:numFmt w:val="bullet"/>
      <w:lvlRestart w:val="0"/>
      <w:lvlText w:val=""/>
      <w:lvlJc w:val="left"/>
      <w:pPr>
        <w:tabs>
          <w:tab w:val="num" w:pos="720"/>
        </w:tabs>
        <w:ind w:left="720" w:hanging="360"/>
      </w:pPr>
      <w:rPr>
        <w:rFonts w:ascii="Symbol" w:hAnsi="Symbol" w:hint="default"/>
      </w:rPr>
    </w:lvl>
    <w:lvl w:ilvl="1" w:tplc="738A0B0C" w:tentative="1">
      <w:start w:val="1"/>
      <w:numFmt w:val="bullet"/>
      <w:lvlText w:val="o"/>
      <w:lvlJc w:val="left"/>
      <w:pPr>
        <w:tabs>
          <w:tab w:val="num" w:pos="1440"/>
        </w:tabs>
        <w:ind w:left="1440" w:hanging="360"/>
      </w:pPr>
      <w:rPr>
        <w:rFonts w:ascii="Courier New" w:hAnsi="Courier New" w:hint="default"/>
      </w:rPr>
    </w:lvl>
    <w:lvl w:ilvl="2" w:tplc="28FA8AA2" w:tentative="1">
      <w:start w:val="1"/>
      <w:numFmt w:val="bullet"/>
      <w:lvlText w:val=""/>
      <w:lvlJc w:val="left"/>
      <w:pPr>
        <w:tabs>
          <w:tab w:val="num" w:pos="2160"/>
        </w:tabs>
        <w:ind w:left="2160" w:hanging="360"/>
      </w:pPr>
      <w:rPr>
        <w:rFonts w:ascii="Wingdings" w:hAnsi="Wingdings" w:hint="default"/>
      </w:rPr>
    </w:lvl>
    <w:lvl w:ilvl="3" w:tplc="FCF4BA94" w:tentative="1">
      <w:start w:val="1"/>
      <w:numFmt w:val="bullet"/>
      <w:lvlText w:val=""/>
      <w:lvlJc w:val="left"/>
      <w:pPr>
        <w:tabs>
          <w:tab w:val="num" w:pos="2880"/>
        </w:tabs>
        <w:ind w:left="2880" w:hanging="360"/>
      </w:pPr>
      <w:rPr>
        <w:rFonts w:ascii="Symbol" w:hAnsi="Symbol" w:hint="default"/>
      </w:rPr>
    </w:lvl>
    <w:lvl w:ilvl="4" w:tplc="671E8876" w:tentative="1">
      <w:start w:val="1"/>
      <w:numFmt w:val="bullet"/>
      <w:lvlText w:val="o"/>
      <w:lvlJc w:val="left"/>
      <w:pPr>
        <w:tabs>
          <w:tab w:val="num" w:pos="3600"/>
        </w:tabs>
        <w:ind w:left="3600" w:hanging="360"/>
      </w:pPr>
      <w:rPr>
        <w:rFonts w:ascii="Courier New" w:hAnsi="Courier New" w:hint="default"/>
      </w:rPr>
    </w:lvl>
    <w:lvl w:ilvl="5" w:tplc="ABB240F0" w:tentative="1">
      <w:start w:val="1"/>
      <w:numFmt w:val="bullet"/>
      <w:lvlText w:val=""/>
      <w:lvlJc w:val="left"/>
      <w:pPr>
        <w:tabs>
          <w:tab w:val="num" w:pos="4320"/>
        </w:tabs>
        <w:ind w:left="4320" w:hanging="360"/>
      </w:pPr>
      <w:rPr>
        <w:rFonts w:ascii="Wingdings" w:hAnsi="Wingdings" w:hint="default"/>
      </w:rPr>
    </w:lvl>
    <w:lvl w:ilvl="6" w:tplc="CD108304" w:tentative="1">
      <w:start w:val="1"/>
      <w:numFmt w:val="bullet"/>
      <w:lvlText w:val=""/>
      <w:lvlJc w:val="left"/>
      <w:pPr>
        <w:tabs>
          <w:tab w:val="num" w:pos="5040"/>
        </w:tabs>
        <w:ind w:left="5040" w:hanging="360"/>
      </w:pPr>
      <w:rPr>
        <w:rFonts w:ascii="Symbol" w:hAnsi="Symbol" w:hint="default"/>
      </w:rPr>
    </w:lvl>
    <w:lvl w:ilvl="7" w:tplc="9924883C" w:tentative="1">
      <w:start w:val="1"/>
      <w:numFmt w:val="bullet"/>
      <w:lvlText w:val="o"/>
      <w:lvlJc w:val="left"/>
      <w:pPr>
        <w:tabs>
          <w:tab w:val="num" w:pos="5760"/>
        </w:tabs>
        <w:ind w:left="5760" w:hanging="360"/>
      </w:pPr>
      <w:rPr>
        <w:rFonts w:ascii="Courier New" w:hAnsi="Courier New" w:hint="default"/>
      </w:rPr>
    </w:lvl>
    <w:lvl w:ilvl="8" w:tplc="ED64952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1" w15:restartNumberingAfterBreak="0">
    <w:nsid w:val="08F002E9"/>
    <w:multiLevelType w:val="hybridMultilevel"/>
    <w:tmpl w:val="404ACE3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12B5F"/>
    <w:multiLevelType w:val="hybridMultilevel"/>
    <w:tmpl w:val="52B0B968"/>
    <w:lvl w:ilvl="0" w:tplc="662043A8">
      <w:start w:val="1"/>
      <w:numFmt w:val="decimal"/>
      <w:lvlText w:val="%1)"/>
      <w:lvlJc w:val="left"/>
      <w:pPr>
        <w:tabs>
          <w:tab w:val="num" w:pos="720"/>
        </w:tabs>
        <w:ind w:left="720" w:hanging="360"/>
      </w:pPr>
      <w:rPr>
        <w:rFonts w:hint="default"/>
      </w:rPr>
    </w:lvl>
    <w:lvl w:ilvl="1" w:tplc="04AA6D84" w:tentative="1">
      <w:start w:val="1"/>
      <w:numFmt w:val="lowerLetter"/>
      <w:lvlText w:val="%2."/>
      <w:lvlJc w:val="left"/>
      <w:pPr>
        <w:tabs>
          <w:tab w:val="num" w:pos="1440"/>
        </w:tabs>
        <w:ind w:left="1440" w:hanging="360"/>
      </w:pPr>
    </w:lvl>
    <w:lvl w:ilvl="2" w:tplc="FD82F092" w:tentative="1">
      <w:start w:val="1"/>
      <w:numFmt w:val="lowerRoman"/>
      <w:lvlText w:val="%3."/>
      <w:lvlJc w:val="right"/>
      <w:pPr>
        <w:tabs>
          <w:tab w:val="num" w:pos="2160"/>
        </w:tabs>
        <w:ind w:left="2160" w:hanging="180"/>
      </w:pPr>
    </w:lvl>
    <w:lvl w:ilvl="3" w:tplc="A20C3706" w:tentative="1">
      <w:start w:val="1"/>
      <w:numFmt w:val="decimal"/>
      <w:lvlText w:val="%4."/>
      <w:lvlJc w:val="left"/>
      <w:pPr>
        <w:tabs>
          <w:tab w:val="num" w:pos="2880"/>
        </w:tabs>
        <w:ind w:left="2880" w:hanging="360"/>
      </w:pPr>
    </w:lvl>
    <w:lvl w:ilvl="4" w:tplc="5BE4AFBA" w:tentative="1">
      <w:start w:val="1"/>
      <w:numFmt w:val="lowerLetter"/>
      <w:lvlText w:val="%5."/>
      <w:lvlJc w:val="left"/>
      <w:pPr>
        <w:tabs>
          <w:tab w:val="num" w:pos="3600"/>
        </w:tabs>
        <w:ind w:left="3600" w:hanging="360"/>
      </w:pPr>
    </w:lvl>
    <w:lvl w:ilvl="5" w:tplc="2452C230" w:tentative="1">
      <w:start w:val="1"/>
      <w:numFmt w:val="lowerRoman"/>
      <w:lvlText w:val="%6."/>
      <w:lvlJc w:val="right"/>
      <w:pPr>
        <w:tabs>
          <w:tab w:val="num" w:pos="4320"/>
        </w:tabs>
        <w:ind w:left="4320" w:hanging="180"/>
      </w:pPr>
    </w:lvl>
    <w:lvl w:ilvl="6" w:tplc="37588264" w:tentative="1">
      <w:start w:val="1"/>
      <w:numFmt w:val="decimal"/>
      <w:lvlText w:val="%7."/>
      <w:lvlJc w:val="left"/>
      <w:pPr>
        <w:tabs>
          <w:tab w:val="num" w:pos="5040"/>
        </w:tabs>
        <w:ind w:left="5040" w:hanging="360"/>
      </w:pPr>
    </w:lvl>
    <w:lvl w:ilvl="7" w:tplc="B010FCC8" w:tentative="1">
      <w:start w:val="1"/>
      <w:numFmt w:val="lowerLetter"/>
      <w:lvlText w:val="%8."/>
      <w:lvlJc w:val="left"/>
      <w:pPr>
        <w:tabs>
          <w:tab w:val="num" w:pos="5760"/>
        </w:tabs>
        <w:ind w:left="5760" w:hanging="360"/>
      </w:pPr>
    </w:lvl>
    <w:lvl w:ilvl="8" w:tplc="2E64398A" w:tentative="1">
      <w:start w:val="1"/>
      <w:numFmt w:val="lowerRoman"/>
      <w:lvlText w:val="%9."/>
      <w:lvlJc w:val="right"/>
      <w:pPr>
        <w:tabs>
          <w:tab w:val="num" w:pos="6480"/>
        </w:tabs>
        <w:ind w:left="6480" w:hanging="180"/>
      </w:pPr>
    </w:lvl>
  </w:abstractNum>
  <w:abstractNum w:abstractNumId="19" w15:restartNumberingAfterBreak="0">
    <w:nsid w:val="36C73EEE"/>
    <w:multiLevelType w:val="hybridMultilevel"/>
    <w:tmpl w:val="BD3AD400"/>
    <w:lvl w:ilvl="0" w:tplc="21528F64">
      <w:start w:val="1"/>
      <w:numFmt w:val="lowerRoman"/>
      <w:lvlText w:val="%1."/>
      <w:lvlJc w:val="right"/>
      <w:pPr>
        <w:tabs>
          <w:tab w:val="num" w:pos="720"/>
        </w:tabs>
        <w:ind w:left="720" w:hanging="180"/>
      </w:pPr>
      <w:rPr>
        <w:rFonts w:hint="default"/>
      </w:rPr>
    </w:lvl>
    <w:lvl w:ilvl="1" w:tplc="7B8061D4" w:tentative="1">
      <w:start w:val="1"/>
      <w:numFmt w:val="lowerLetter"/>
      <w:lvlText w:val="%2."/>
      <w:lvlJc w:val="left"/>
      <w:pPr>
        <w:tabs>
          <w:tab w:val="num" w:pos="1440"/>
        </w:tabs>
        <w:ind w:left="1440" w:hanging="360"/>
      </w:pPr>
    </w:lvl>
    <w:lvl w:ilvl="2" w:tplc="6CDE1956" w:tentative="1">
      <w:start w:val="1"/>
      <w:numFmt w:val="lowerRoman"/>
      <w:lvlText w:val="%3."/>
      <w:lvlJc w:val="right"/>
      <w:pPr>
        <w:tabs>
          <w:tab w:val="num" w:pos="2160"/>
        </w:tabs>
        <w:ind w:left="2160" w:hanging="180"/>
      </w:pPr>
    </w:lvl>
    <w:lvl w:ilvl="3" w:tplc="492C86D2" w:tentative="1">
      <w:start w:val="1"/>
      <w:numFmt w:val="decimal"/>
      <w:lvlText w:val="%4."/>
      <w:lvlJc w:val="left"/>
      <w:pPr>
        <w:tabs>
          <w:tab w:val="num" w:pos="2880"/>
        </w:tabs>
        <w:ind w:left="2880" w:hanging="360"/>
      </w:pPr>
    </w:lvl>
    <w:lvl w:ilvl="4" w:tplc="A992CF6C" w:tentative="1">
      <w:start w:val="1"/>
      <w:numFmt w:val="lowerLetter"/>
      <w:lvlText w:val="%5."/>
      <w:lvlJc w:val="left"/>
      <w:pPr>
        <w:tabs>
          <w:tab w:val="num" w:pos="3600"/>
        </w:tabs>
        <w:ind w:left="3600" w:hanging="360"/>
      </w:pPr>
    </w:lvl>
    <w:lvl w:ilvl="5" w:tplc="E58E0FC8" w:tentative="1">
      <w:start w:val="1"/>
      <w:numFmt w:val="lowerRoman"/>
      <w:lvlText w:val="%6."/>
      <w:lvlJc w:val="right"/>
      <w:pPr>
        <w:tabs>
          <w:tab w:val="num" w:pos="4320"/>
        </w:tabs>
        <w:ind w:left="4320" w:hanging="180"/>
      </w:pPr>
    </w:lvl>
    <w:lvl w:ilvl="6" w:tplc="E0584F0A" w:tentative="1">
      <w:start w:val="1"/>
      <w:numFmt w:val="decimal"/>
      <w:lvlText w:val="%7."/>
      <w:lvlJc w:val="left"/>
      <w:pPr>
        <w:tabs>
          <w:tab w:val="num" w:pos="5040"/>
        </w:tabs>
        <w:ind w:left="5040" w:hanging="360"/>
      </w:pPr>
    </w:lvl>
    <w:lvl w:ilvl="7" w:tplc="824AE7E0" w:tentative="1">
      <w:start w:val="1"/>
      <w:numFmt w:val="lowerLetter"/>
      <w:lvlText w:val="%8."/>
      <w:lvlJc w:val="left"/>
      <w:pPr>
        <w:tabs>
          <w:tab w:val="num" w:pos="5760"/>
        </w:tabs>
        <w:ind w:left="5760" w:hanging="360"/>
      </w:pPr>
    </w:lvl>
    <w:lvl w:ilvl="8" w:tplc="0EBA6E50" w:tentative="1">
      <w:start w:val="1"/>
      <w:numFmt w:val="lowerRoman"/>
      <w:lvlText w:val="%9."/>
      <w:lvlJc w:val="right"/>
      <w:pPr>
        <w:tabs>
          <w:tab w:val="num" w:pos="6480"/>
        </w:tabs>
        <w:ind w:left="6480" w:hanging="180"/>
      </w:pPr>
    </w:lvl>
  </w:abstractNum>
  <w:abstractNum w:abstractNumId="20"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6558A4"/>
    <w:multiLevelType w:val="hybridMultilevel"/>
    <w:tmpl w:val="C63210EA"/>
    <w:lvl w:ilvl="0" w:tplc="5D3E8B02">
      <w:start w:val="1"/>
      <w:numFmt w:val="bullet"/>
      <w:lvlText w:val=""/>
      <w:lvlJc w:val="left"/>
      <w:pPr>
        <w:tabs>
          <w:tab w:val="num" w:pos="1080"/>
        </w:tabs>
        <w:ind w:left="1080" w:hanging="360"/>
      </w:pPr>
      <w:rPr>
        <w:rFonts w:ascii="Symbol" w:hAnsi="Symbol" w:hint="default"/>
      </w:rPr>
    </w:lvl>
    <w:lvl w:ilvl="1" w:tplc="5E66D8FA" w:tentative="1">
      <w:start w:val="1"/>
      <w:numFmt w:val="bullet"/>
      <w:lvlText w:val="o"/>
      <w:lvlJc w:val="left"/>
      <w:pPr>
        <w:tabs>
          <w:tab w:val="num" w:pos="1800"/>
        </w:tabs>
        <w:ind w:left="1800" w:hanging="360"/>
      </w:pPr>
      <w:rPr>
        <w:rFonts w:ascii="Courier New" w:hAnsi="Courier New" w:hint="default"/>
      </w:rPr>
    </w:lvl>
    <w:lvl w:ilvl="2" w:tplc="AB72A8A2" w:tentative="1">
      <w:start w:val="1"/>
      <w:numFmt w:val="bullet"/>
      <w:lvlText w:val=""/>
      <w:lvlJc w:val="left"/>
      <w:pPr>
        <w:tabs>
          <w:tab w:val="num" w:pos="2520"/>
        </w:tabs>
        <w:ind w:left="2520" w:hanging="360"/>
      </w:pPr>
      <w:rPr>
        <w:rFonts w:ascii="Wingdings" w:hAnsi="Wingdings" w:hint="default"/>
      </w:rPr>
    </w:lvl>
    <w:lvl w:ilvl="3" w:tplc="B8E4B044" w:tentative="1">
      <w:start w:val="1"/>
      <w:numFmt w:val="bullet"/>
      <w:lvlText w:val=""/>
      <w:lvlJc w:val="left"/>
      <w:pPr>
        <w:tabs>
          <w:tab w:val="num" w:pos="3240"/>
        </w:tabs>
        <w:ind w:left="3240" w:hanging="360"/>
      </w:pPr>
      <w:rPr>
        <w:rFonts w:ascii="Symbol" w:hAnsi="Symbol" w:hint="default"/>
      </w:rPr>
    </w:lvl>
    <w:lvl w:ilvl="4" w:tplc="D4568D62" w:tentative="1">
      <w:start w:val="1"/>
      <w:numFmt w:val="bullet"/>
      <w:lvlText w:val="o"/>
      <w:lvlJc w:val="left"/>
      <w:pPr>
        <w:tabs>
          <w:tab w:val="num" w:pos="3960"/>
        </w:tabs>
        <w:ind w:left="3960" w:hanging="360"/>
      </w:pPr>
      <w:rPr>
        <w:rFonts w:ascii="Courier New" w:hAnsi="Courier New" w:hint="default"/>
      </w:rPr>
    </w:lvl>
    <w:lvl w:ilvl="5" w:tplc="5276F7D0" w:tentative="1">
      <w:start w:val="1"/>
      <w:numFmt w:val="bullet"/>
      <w:lvlText w:val=""/>
      <w:lvlJc w:val="left"/>
      <w:pPr>
        <w:tabs>
          <w:tab w:val="num" w:pos="4680"/>
        </w:tabs>
        <w:ind w:left="4680" w:hanging="360"/>
      </w:pPr>
      <w:rPr>
        <w:rFonts w:ascii="Wingdings" w:hAnsi="Wingdings" w:hint="default"/>
      </w:rPr>
    </w:lvl>
    <w:lvl w:ilvl="6" w:tplc="ACE6719A" w:tentative="1">
      <w:start w:val="1"/>
      <w:numFmt w:val="bullet"/>
      <w:lvlText w:val=""/>
      <w:lvlJc w:val="left"/>
      <w:pPr>
        <w:tabs>
          <w:tab w:val="num" w:pos="5400"/>
        </w:tabs>
        <w:ind w:left="5400" w:hanging="360"/>
      </w:pPr>
      <w:rPr>
        <w:rFonts w:ascii="Symbol" w:hAnsi="Symbol" w:hint="default"/>
      </w:rPr>
    </w:lvl>
    <w:lvl w:ilvl="7" w:tplc="A71EDC54" w:tentative="1">
      <w:start w:val="1"/>
      <w:numFmt w:val="bullet"/>
      <w:lvlText w:val="o"/>
      <w:lvlJc w:val="left"/>
      <w:pPr>
        <w:tabs>
          <w:tab w:val="num" w:pos="6120"/>
        </w:tabs>
        <w:ind w:left="6120" w:hanging="360"/>
      </w:pPr>
      <w:rPr>
        <w:rFonts w:ascii="Courier New" w:hAnsi="Courier New" w:hint="default"/>
      </w:rPr>
    </w:lvl>
    <w:lvl w:ilvl="8" w:tplc="15D4B154"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EC17B8"/>
    <w:multiLevelType w:val="hybridMultilevel"/>
    <w:tmpl w:val="87DEE9B0"/>
    <w:lvl w:ilvl="0" w:tplc="5BB831B2">
      <w:start w:val="1"/>
      <w:numFmt w:val="decimal"/>
      <w:lvlText w:val="%1."/>
      <w:lvlJc w:val="left"/>
      <w:pPr>
        <w:tabs>
          <w:tab w:val="num" w:pos="720"/>
        </w:tabs>
        <w:ind w:left="720" w:hanging="360"/>
      </w:pPr>
    </w:lvl>
    <w:lvl w:ilvl="1" w:tplc="CF2674DC">
      <w:start w:val="4"/>
      <w:numFmt w:val="decimal"/>
      <w:lvlText w:val="%2)"/>
      <w:lvlJc w:val="left"/>
      <w:pPr>
        <w:tabs>
          <w:tab w:val="num" w:pos="1440"/>
        </w:tabs>
        <w:ind w:left="1440" w:hanging="360"/>
      </w:pPr>
      <w:rPr>
        <w:rFonts w:hint="default"/>
      </w:rPr>
    </w:lvl>
    <w:lvl w:ilvl="2" w:tplc="BCBC1622" w:tentative="1">
      <w:start w:val="1"/>
      <w:numFmt w:val="lowerRoman"/>
      <w:lvlText w:val="%3."/>
      <w:lvlJc w:val="right"/>
      <w:pPr>
        <w:tabs>
          <w:tab w:val="num" w:pos="2160"/>
        </w:tabs>
        <w:ind w:left="2160" w:hanging="180"/>
      </w:pPr>
    </w:lvl>
    <w:lvl w:ilvl="3" w:tplc="889C715E" w:tentative="1">
      <w:start w:val="1"/>
      <w:numFmt w:val="decimal"/>
      <w:lvlText w:val="%4."/>
      <w:lvlJc w:val="left"/>
      <w:pPr>
        <w:tabs>
          <w:tab w:val="num" w:pos="2880"/>
        </w:tabs>
        <w:ind w:left="2880" w:hanging="360"/>
      </w:pPr>
    </w:lvl>
    <w:lvl w:ilvl="4" w:tplc="7F4E380A" w:tentative="1">
      <w:start w:val="1"/>
      <w:numFmt w:val="lowerLetter"/>
      <w:lvlText w:val="%5."/>
      <w:lvlJc w:val="left"/>
      <w:pPr>
        <w:tabs>
          <w:tab w:val="num" w:pos="3600"/>
        </w:tabs>
        <w:ind w:left="3600" w:hanging="360"/>
      </w:pPr>
    </w:lvl>
    <w:lvl w:ilvl="5" w:tplc="3D041DEE" w:tentative="1">
      <w:start w:val="1"/>
      <w:numFmt w:val="lowerRoman"/>
      <w:lvlText w:val="%6."/>
      <w:lvlJc w:val="right"/>
      <w:pPr>
        <w:tabs>
          <w:tab w:val="num" w:pos="4320"/>
        </w:tabs>
        <w:ind w:left="4320" w:hanging="180"/>
      </w:pPr>
    </w:lvl>
    <w:lvl w:ilvl="6" w:tplc="76DC7794" w:tentative="1">
      <w:start w:val="1"/>
      <w:numFmt w:val="decimal"/>
      <w:lvlText w:val="%7."/>
      <w:lvlJc w:val="left"/>
      <w:pPr>
        <w:tabs>
          <w:tab w:val="num" w:pos="5040"/>
        </w:tabs>
        <w:ind w:left="5040" w:hanging="360"/>
      </w:pPr>
    </w:lvl>
    <w:lvl w:ilvl="7" w:tplc="0C22C766" w:tentative="1">
      <w:start w:val="1"/>
      <w:numFmt w:val="lowerLetter"/>
      <w:lvlText w:val="%8."/>
      <w:lvlJc w:val="left"/>
      <w:pPr>
        <w:tabs>
          <w:tab w:val="num" w:pos="5760"/>
        </w:tabs>
        <w:ind w:left="5760" w:hanging="360"/>
      </w:pPr>
    </w:lvl>
    <w:lvl w:ilvl="8" w:tplc="08C6D4E4" w:tentative="1">
      <w:start w:val="1"/>
      <w:numFmt w:val="lowerRoman"/>
      <w:lvlText w:val="%9."/>
      <w:lvlJc w:val="right"/>
      <w:pPr>
        <w:tabs>
          <w:tab w:val="num" w:pos="6480"/>
        </w:tabs>
        <w:ind w:left="6480" w:hanging="180"/>
      </w:pPr>
    </w:lvl>
  </w:abstractNum>
  <w:abstractNum w:abstractNumId="24"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5C1411"/>
    <w:multiLevelType w:val="hybridMultilevel"/>
    <w:tmpl w:val="1EBEC33C"/>
    <w:lvl w:ilvl="0" w:tplc="D48471C2">
      <w:start w:val="1"/>
      <w:numFmt w:val="bullet"/>
      <w:lvlText w:val=""/>
      <w:lvlJc w:val="left"/>
      <w:pPr>
        <w:tabs>
          <w:tab w:val="num" w:pos="720"/>
        </w:tabs>
        <w:ind w:left="720" w:hanging="360"/>
      </w:pPr>
      <w:rPr>
        <w:rFonts w:ascii="Wingdings" w:hAnsi="Wingdings" w:hint="default"/>
      </w:rPr>
    </w:lvl>
    <w:lvl w:ilvl="1" w:tplc="BDA27B90" w:tentative="1">
      <w:start w:val="1"/>
      <w:numFmt w:val="bullet"/>
      <w:lvlText w:val="o"/>
      <w:lvlJc w:val="left"/>
      <w:pPr>
        <w:tabs>
          <w:tab w:val="num" w:pos="1440"/>
        </w:tabs>
        <w:ind w:left="1440" w:hanging="360"/>
      </w:pPr>
      <w:rPr>
        <w:rFonts w:ascii="Courier New" w:hAnsi="Courier New" w:hint="default"/>
      </w:rPr>
    </w:lvl>
    <w:lvl w:ilvl="2" w:tplc="E53846A6" w:tentative="1">
      <w:start w:val="1"/>
      <w:numFmt w:val="bullet"/>
      <w:lvlText w:val=""/>
      <w:lvlJc w:val="left"/>
      <w:pPr>
        <w:tabs>
          <w:tab w:val="num" w:pos="2160"/>
        </w:tabs>
        <w:ind w:left="2160" w:hanging="360"/>
      </w:pPr>
      <w:rPr>
        <w:rFonts w:ascii="Wingdings" w:hAnsi="Wingdings" w:hint="default"/>
      </w:rPr>
    </w:lvl>
    <w:lvl w:ilvl="3" w:tplc="C43A5CE2" w:tentative="1">
      <w:start w:val="1"/>
      <w:numFmt w:val="bullet"/>
      <w:lvlText w:val=""/>
      <w:lvlJc w:val="left"/>
      <w:pPr>
        <w:tabs>
          <w:tab w:val="num" w:pos="2880"/>
        </w:tabs>
        <w:ind w:left="2880" w:hanging="360"/>
      </w:pPr>
      <w:rPr>
        <w:rFonts w:ascii="Symbol" w:hAnsi="Symbol" w:hint="default"/>
      </w:rPr>
    </w:lvl>
    <w:lvl w:ilvl="4" w:tplc="CB4A8E8E" w:tentative="1">
      <w:start w:val="1"/>
      <w:numFmt w:val="bullet"/>
      <w:lvlText w:val="o"/>
      <w:lvlJc w:val="left"/>
      <w:pPr>
        <w:tabs>
          <w:tab w:val="num" w:pos="3600"/>
        </w:tabs>
        <w:ind w:left="3600" w:hanging="360"/>
      </w:pPr>
      <w:rPr>
        <w:rFonts w:ascii="Courier New" w:hAnsi="Courier New" w:hint="default"/>
      </w:rPr>
    </w:lvl>
    <w:lvl w:ilvl="5" w:tplc="7DE88CB4" w:tentative="1">
      <w:start w:val="1"/>
      <w:numFmt w:val="bullet"/>
      <w:lvlText w:val=""/>
      <w:lvlJc w:val="left"/>
      <w:pPr>
        <w:tabs>
          <w:tab w:val="num" w:pos="4320"/>
        </w:tabs>
        <w:ind w:left="4320" w:hanging="360"/>
      </w:pPr>
      <w:rPr>
        <w:rFonts w:ascii="Wingdings" w:hAnsi="Wingdings" w:hint="default"/>
      </w:rPr>
    </w:lvl>
    <w:lvl w:ilvl="6" w:tplc="5C1E51B4" w:tentative="1">
      <w:start w:val="1"/>
      <w:numFmt w:val="bullet"/>
      <w:lvlText w:val=""/>
      <w:lvlJc w:val="left"/>
      <w:pPr>
        <w:tabs>
          <w:tab w:val="num" w:pos="5040"/>
        </w:tabs>
        <w:ind w:left="5040" w:hanging="360"/>
      </w:pPr>
      <w:rPr>
        <w:rFonts w:ascii="Symbol" w:hAnsi="Symbol" w:hint="default"/>
      </w:rPr>
    </w:lvl>
    <w:lvl w:ilvl="7" w:tplc="E8DCE294" w:tentative="1">
      <w:start w:val="1"/>
      <w:numFmt w:val="bullet"/>
      <w:lvlText w:val="o"/>
      <w:lvlJc w:val="left"/>
      <w:pPr>
        <w:tabs>
          <w:tab w:val="num" w:pos="5760"/>
        </w:tabs>
        <w:ind w:left="5760" w:hanging="360"/>
      </w:pPr>
      <w:rPr>
        <w:rFonts w:ascii="Courier New" w:hAnsi="Courier New" w:hint="default"/>
      </w:rPr>
    </w:lvl>
    <w:lvl w:ilvl="8" w:tplc="CFB0248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7"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9"/>
  </w:num>
  <w:num w:numId="6">
    <w:abstractNumId w:val="4"/>
  </w:num>
  <w:num w:numId="7">
    <w:abstractNumId w:val="5"/>
  </w:num>
  <w:num w:numId="8">
    <w:abstractNumId w:val="1"/>
  </w:num>
  <w:num w:numId="9">
    <w:abstractNumId w:val="12"/>
  </w:num>
  <w:num w:numId="10">
    <w:abstractNumId w:val="14"/>
  </w:num>
  <w:num w:numId="11">
    <w:abstractNumId w:val="13"/>
  </w:num>
  <w:num w:numId="12">
    <w:abstractNumId w:val="8"/>
  </w:num>
  <w:num w:numId="13">
    <w:abstractNumId w:val="10"/>
  </w:num>
  <w:num w:numId="14">
    <w:abstractNumId w:val="20"/>
  </w:num>
  <w:num w:numId="15">
    <w:abstractNumId w:val="26"/>
  </w:num>
  <w:num w:numId="16">
    <w:abstractNumId w:val="28"/>
  </w:num>
  <w:num w:numId="17">
    <w:abstractNumId w:val="16"/>
  </w:num>
  <w:num w:numId="18">
    <w:abstractNumId w:val="24"/>
  </w:num>
  <w:num w:numId="19">
    <w:abstractNumId w:val="1"/>
  </w:num>
  <w:num w:numId="20">
    <w:abstractNumId w:val="15"/>
  </w:num>
  <w:num w:numId="21">
    <w:abstractNumId w:val="1"/>
  </w:num>
  <w:num w:numId="22">
    <w:abstractNumId w:val="27"/>
  </w:num>
  <w:num w:numId="23">
    <w:abstractNumId w:val="2"/>
  </w:num>
  <w:num w:numId="24">
    <w:abstractNumId w:val="3"/>
  </w:num>
  <w:num w:numId="25">
    <w:abstractNumId w:val="5"/>
  </w:num>
  <w:num w:numId="26">
    <w:abstractNumId w:val="6"/>
  </w:num>
  <w:num w:numId="27">
    <w:abstractNumId w:val="22"/>
  </w:num>
  <w:num w:numId="28">
    <w:abstractNumId w:val="9"/>
  </w:num>
  <w:num w:numId="29">
    <w:abstractNumId w:val="25"/>
  </w:num>
  <w:num w:numId="30">
    <w:abstractNumId w:val="18"/>
  </w:num>
  <w:num w:numId="31">
    <w:abstractNumId w:val="23"/>
  </w:num>
  <w:num w:numId="32">
    <w:abstractNumId w:val="19"/>
  </w:num>
  <w:num w:numId="33">
    <w:abstractNumId w:val="11"/>
  </w:num>
  <w:num w:numId="34">
    <w:abstractNumId w:val="7"/>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9D"/>
    <w:rsid w:val="000021B1"/>
    <w:rsid w:val="00040EA3"/>
    <w:rsid w:val="0005418F"/>
    <w:rsid w:val="00086B21"/>
    <w:rsid w:val="000B3C0E"/>
    <w:rsid w:val="000E2423"/>
    <w:rsid w:val="000E7D57"/>
    <w:rsid w:val="00102C5A"/>
    <w:rsid w:val="0011125A"/>
    <w:rsid w:val="0014415D"/>
    <w:rsid w:val="0014520E"/>
    <w:rsid w:val="00145E9D"/>
    <w:rsid w:val="00172A70"/>
    <w:rsid w:val="00185074"/>
    <w:rsid w:val="001C2AD0"/>
    <w:rsid w:val="001D0863"/>
    <w:rsid w:val="001D09F5"/>
    <w:rsid w:val="001F5123"/>
    <w:rsid w:val="00230329"/>
    <w:rsid w:val="002628A1"/>
    <w:rsid w:val="00301C28"/>
    <w:rsid w:val="00323F4A"/>
    <w:rsid w:val="00354130"/>
    <w:rsid w:val="00393FF9"/>
    <w:rsid w:val="003B5EE1"/>
    <w:rsid w:val="003D22E1"/>
    <w:rsid w:val="00406D20"/>
    <w:rsid w:val="00423E9E"/>
    <w:rsid w:val="0046278B"/>
    <w:rsid w:val="004A0258"/>
    <w:rsid w:val="005152F9"/>
    <w:rsid w:val="00521183"/>
    <w:rsid w:val="0054100C"/>
    <w:rsid w:val="0054182D"/>
    <w:rsid w:val="00595287"/>
    <w:rsid w:val="005A4A82"/>
    <w:rsid w:val="006462E8"/>
    <w:rsid w:val="006822EC"/>
    <w:rsid w:val="00694CDC"/>
    <w:rsid w:val="00697DDF"/>
    <w:rsid w:val="006D7329"/>
    <w:rsid w:val="006D7DC3"/>
    <w:rsid w:val="006E2D02"/>
    <w:rsid w:val="006E4FE3"/>
    <w:rsid w:val="006E5BDA"/>
    <w:rsid w:val="007334A9"/>
    <w:rsid w:val="00733EF3"/>
    <w:rsid w:val="007834E1"/>
    <w:rsid w:val="007A4325"/>
    <w:rsid w:val="007A71E8"/>
    <w:rsid w:val="007C5776"/>
    <w:rsid w:val="007E07D2"/>
    <w:rsid w:val="00860D54"/>
    <w:rsid w:val="00874E44"/>
    <w:rsid w:val="008B107B"/>
    <w:rsid w:val="00976A38"/>
    <w:rsid w:val="00980E6B"/>
    <w:rsid w:val="00A17B6B"/>
    <w:rsid w:val="00A22592"/>
    <w:rsid w:val="00A760D1"/>
    <w:rsid w:val="00A9249F"/>
    <w:rsid w:val="00AD3EAA"/>
    <w:rsid w:val="00AD4240"/>
    <w:rsid w:val="00AD737D"/>
    <w:rsid w:val="00B30CF3"/>
    <w:rsid w:val="00B40C50"/>
    <w:rsid w:val="00B80F0F"/>
    <w:rsid w:val="00BC1FCE"/>
    <w:rsid w:val="00C3380C"/>
    <w:rsid w:val="00C41AB3"/>
    <w:rsid w:val="00C555D8"/>
    <w:rsid w:val="00C83A70"/>
    <w:rsid w:val="00C96342"/>
    <w:rsid w:val="00CF17B8"/>
    <w:rsid w:val="00CF6FC8"/>
    <w:rsid w:val="00D46CC7"/>
    <w:rsid w:val="00D7798A"/>
    <w:rsid w:val="00DD24BE"/>
    <w:rsid w:val="00DF306F"/>
    <w:rsid w:val="00E45585"/>
    <w:rsid w:val="00E61805"/>
    <w:rsid w:val="00E656B3"/>
    <w:rsid w:val="00ED4939"/>
    <w:rsid w:val="00EE4FC8"/>
    <w:rsid w:val="00EE7A70"/>
    <w:rsid w:val="00EF08B3"/>
    <w:rsid w:val="00EF432D"/>
    <w:rsid w:val="00EF4FF4"/>
    <w:rsid w:val="00F25A0B"/>
    <w:rsid w:val="00F612C5"/>
    <w:rsid w:val="00F623E5"/>
    <w:rsid w:val="00F7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ABD89"/>
  <w15:chartTrackingRefBased/>
  <w15:docId w15:val="{37CAE943-10EB-B444-8708-B2B25D57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2628A1"/>
    <w:rPr>
      <w:rFonts w:ascii="Tahoma" w:hAnsi="Tahoma" w:cs="Tahoma"/>
      <w:sz w:val="16"/>
      <w:szCs w:val="16"/>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6D7DC3"/>
    <w:rPr>
      <w:color w:val="605E5C"/>
      <w:shd w:val="clear" w:color="auto" w:fill="E1DFDD"/>
    </w:rPr>
  </w:style>
  <w:style w:type="paragraph" w:customStyle="1" w:styleId="paragraph">
    <w:name w:val="paragraph"/>
    <w:basedOn w:val="Normal"/>
    <w:rsid w:val="00521183"/>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521183"/>
  </w:style>
  <w:style w:type="character" w:customStyle="1" w:styleId="normaltextrun">
    <w:name w:val="normaltextrun"/>
    <w:basedOn w:val="DefaultParagraphFont"/>
    <w:rsid w:val="00521183"/>
  </w:style>
  <w:style w:type="character" w:customStyle="1" w:styleId="eop">
    <w:name w:val="eop"/>
    <w:basedOn w:val="DefaultParagraphFont"/>
    <w:rsid w:val="00521183"/>
  </w:style>
  <w:style w:type="paragraph" w:styleId="ListParagraph">
    <w:name w:val="List Paragraph"/>
    <w:basedOn w:val="Normal"/>
    <w:uiPriority w:val="1"/>
    <w:qFormat/>
    <w:rsid w:val="0040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5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3" Type="http://schemas.openxmlformats.org/officeDocument/2006/relationships/customXml" Target="../customXml/item3.xml"/><Relationship Id="rId21" Type="http://schemas.openxmlformats.org/officeDocument/2006/relationships/hyperlink" Target="https://eplace.eea.mass.gov/citizenacces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 Type="http://schemas.openxmlformats.org/officeDocument/2006/relationships/customXml" Target="../customXml/item2.xml"/><Relationship Id="rId16" Type="http://schemas.openxmlformats.org/officeDocument/2006/relationships/hyperlink" Target="https://www.mass.gov/how-to/wp-82-administrative-renewal-of-groundwater-discharge-perm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fontTable" Target="fontTable.xml"/><Relationship Id="rId10" Type="http://schemas.openxmlformats.org/officeDocument/2006/relationships/hyperlink" Target="https://www.mass.gov/dep" TargetMode="External"/><Relationship Id="rId19" Type="http://schemas.openxmlformats.org/officeDocument/2006/relationships/hyperlink" Target="https://www.mass.gov/lists/massdep-fees-tim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F89A6-B566-48E9-A4D0-799B4D6D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0E904-B591-4B8C-ABE8-044B07EF61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0EE33-7D69-4D25-920B-A7047117F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3</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9099</CharactersWithSpaces>
  <SharedDoc>false</SharedDoc>
  <HLinks>
    <vt:vector size="30" baseType="variant">
      <vt:variant>
        <vt:i4>4522001</vt:i4>
      </vt:variant>
      <vt:variant>
        <vt:i4>22</vt:i4>
      </vt:variant>
      <vt:variant>
        <vt:i4>0</vt:i4>
      </vt:variant>
      <vt:variant>
        <vt:i4>5</vt:i4>
      </vt:variant>
      <vt:variant>
        <vt:lpwstr>http://www.mass.gov/eea/agencies/massdep/about/contacts/</vt:lpwstr>
      </vt:variant>
      <vt:variant>
        <vt:lpwstr/>
      </vt:variant>
      <vt:variant>
        <vt:i4>5308424</vt:i4>
      </vt:variant>
      <vt:variant>
        <vt:i4>11</vt:i4>
      </vt:variant>
      <vt:variant>
        <vt:i4>0</vt:i4>
      </vt:variant>
      <vt:variant>
        <vt:i4>5</vt:i4>
      </vt:variant>
      <vt:variant>
        <vt:lpwstr>http://www.mass.gov/eea/agencies/massdep/service/approvals/transmittal-form-for-payment.html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6</cp:revision>
  <cp:lastPrinted>2013-08-07T19:08:00Z</cp:lastPrinted>
  <dcterms:created xsi:type="dcterms:W3CDTF">2021-05-06T15:25:00Z</dcterms:created>
  <dcterms:modified xsi:type="dcterms:W3CDTF">2021-05-24T20:22:00Z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376160937</vt:i4>
  </property>
  <property fmtid="{D5CDD505-2E9C-101B-9397-08002B2CF9AE}" pid="3" name="_NewReviewCycle">
    <vt:lpwstr/>
  </property>
  <property fmtid="{D5CDD505-2E9C-101B-9397-08002B2CF9AE}" pid="4" name="_EmailSubject">
    <vt:lpwstr>GW Application Packages</vt:lpwstr>
  </property>
  <property fmtid="{D5CDD505-2E9C-101B-9397-08002B2CF9AE}" pid="5" name="_AuthorEmail">
    <vt:lpwstr>Marybeth.Chubb@MassMail.State.MA.US</vt:lpwstr>
  </property>
  <property fmtid="{D5CDD505-2E9C-101B-9397-08002B2CF9AE}" pid="6" name="_AuthorEmailDisplayName">
    <vt:lpwstr>Chubb, Marybeth (DEP)</vt:lpwstr>
  </property>
  <property fmtid="{D5CDD505-2E9C-101B-9397-08002B2CF9AE}" pid="7" name="_PreviousAdHocReviewCycleID">
    <vt:i4>1974657430</vt:i4>
  </property>
  <property fmtid="{D5CDD505-2E9C-101B-9397-08002B2CF9AE}" pid="8" name="_ReviewingToolsShownOnce">
    <vt:lpwstr/>
  </property>
  <property fmtid="{D5CDD505-2E9C-101B-9397-08002B2CF9AE}" pid="9" name="ContentTypeId">
    <vt:lpwstr>0x010100D7ABE31071780243B2E68C5BEE851FF0</vt:lpwstr>
  </property>
</Properties>
</file>