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69A9" w14:textId="77777777" w:rsidR="000537DA" w:rsidRDefault="000537DA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2CE4F04" w14:textId="77777777" w:rsidR="000537DA" w:rsidRDefault="000537DA" w:rsidP="004A2BFA">
      <w:pPr>
        <w:pStyle w:val="ExecOffice"/>
        <w:framePr w:w="6926" w:h="3031" w:hRule="exact" w:wrap="notBeside" w:vAnchor="page" w:x="2514" w:y="676"/>
      </w:pPr>
      <w:r>
        <w:t>Executive Office of Health and Human Services</w:t>
      </w:r>
    </w:p>
    <w:p w14:paraId="0FB9FF08" w14:textId="77777777" w:rsidR="000537DA" w:rsidRDefault="000537DA" w:rsidP="004A2BFA">
      <w:pPr>
        <w:pStyle w:val="ExecOffice"/>
        <w:framePr w:w="6926" w:h="3031" w:hRule="exact" w:wrap="notBeside" w:vAnchor="page" w:x="2514" w:y="676"/>
      </w:pPr>
      <w:r>
        <w:t>Department of Public Health</w:t>
      </w:r>
    </w:p>
    <w:p w14:paraId="6D79A0AF" w14:textId="77777777" w:rsidR="00714203" w:rsidRDefault="00BD33EC" w:rsidP="004A2BFA">
      <w:pPr>
        <w:pStyle w:val="ExecOffice"/>
        <w:framePr w:w="6926" w:h="3031" w:hRule="exact" w:wrap="notBeside" w:vAnchor="page" w:x="2514" w:y="676"/>
      </w:pPr>
      <w:r>
        <w:t>Bureau</w:t>
      </w:r>
      <w:r w:rsidR="00714203">
        <w:t xml:space="preserve"> of Health Professions Licensure</w:t>
      </w:r>
    </w:p>
    <w:p w14:paraId="6E163E0D" w14:textId="454C46B9" w:rsidR="004A2BFA" w:rsidRDefault="004A2BFA" w:rsidP="004A2BFA">
      <w:pPr>
        <w:pStyle w:val="ExecOffice"/>
        <w:framePr w:w="6926" w:h="3031" w:hRule="exact" w:wrap="notBeside" w:vAnchor="page" w:x="2514" w:y="676"/>
      </w:pPr>
      <w:r w:rsidRPr="004A2BFA">
        <w:t xml:space="preserve">Board of Registration of </w:t>
      </w:r>
      <w:r w:rsidR="00516FC1">
        <w:t>Genetic Counselors</w:t>
      </w:r>
    </w:p>
    <w:p w14:paraId="665768E3" w14:textId="39ABF6BB" w:rsidR="00714203" w:rsidRDefault="00714203" w:rsidP="004A2BFA">
      <w:pPr>
        <w:pStyle w:val="ExecOffice"/>
        <w:framePr w:w="6926" w:h="3031" w:hRule="exact" w:wrap="notBeside" w:vAnchor="page" w:x="2514" w:y="676"/>
      </w:pPr>
      <w:r>
        <w:t>2</w:t>
      </w:r>
      <w:r w:rsidR="00086C9A">
        <w:t>50 Washington Street B</w:t>
      </w:r>
      <w:r>
        <w:t>oston, MA 021</w:t>
      </w:r>
      <w:r w:rsidR="00086C9A">
        <w:t>08</w:t>
      </w:r>
      <w:r w:rsidRPr="009B2EA1">
        <w:t xml:space="preserve"> </w:t>
      </w:r>
    </w:p>
    <w:p w14:paraId="425FC985" w14:textId="77777777" w:rsidR="001240B1" w:rsidRDefault="001240B1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</w:p>
    <w:p w14:paraId="6FC2D339" w14:textId="77777777" w:rsidR="001240B1" w:rsidRDefault="00BB44BB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617-973-0806</w:t>
      </w:r>
    </w:p>
    <w:p w14:paraId="202E1EBB" w14:textId="77777777" w:rsidR="00BB44BB" w:rsidRDefault="00BB44BB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Fax: 617-973-0980</w:t>
      </w:r>
    </w:p>
    <w:p w14:paraId="245DAA80" w14:textId="77777777" w:rsidR="00714203" w:rsidRPr="00714203" w:rsidRDefault="00714203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3862BDAD" w14:textId="77777777" w:rsidR="00714203" w:rsidRDefault="001C51CB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6B10BC" w:rsidRPr="002C21C8">
          <w:rPr>
            <w:rStyle w:val="Hyperlink"/>
            <w:rFonts w:ascii="Arial" w:hAnsi="Arial" w:cs="Arial"/>
            <w:sz w:val="18"/>
            <w:szCs w:val="18"/>
            <w:lang w:val="fr-FR"/>
          </w:rPr>
          <w:t>www.mass.gov/dph/boards/nh</w:t>
        </w:r>
      </w:hyperlink>
    </w:p>
    <w:p w14:paraId="3F137322" w14:textId="77777777" w:rsidR="006B10BC" w:rsidRPr="00714203" w:rsidRDefault="006B10BC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</w:p>
    <w:p w14:paraId="6834BEA9" w14:textId="77777777" w:rsidR="00714203" w:rsidRDefault="00714203" w:rsidP="004A2BFA">
      <w:pPr>
        <w:pStyle w:val="ExecOffice"/>
        <w:framePr w:w="6926" w:h="3031" w:hRule="exact" w:wrap="notBeside" w:vAnchor="page" w:x="2514" w:y="676"/>
      </w:pPr>
    </w:p>
    <w:p w14:paraId="4A833508" w14:textId="77777777" w:rsidR="00714203" w:rsidRDefault="00714203" w:rsidP="004A2BFA">
      <w:pPr>
        <w:pStyle w:val="ExecOffice"/>
        <w:framePr w:w="6926" w:h="3031" w:hRule="exact" w:wrap="notBeside" w:vAnchor="page" w:x="2514" w:y="676"/>
      </w:pPr>
    </w:p>
    <w:p w14:paraId="2696535E" w14:textId="77777777" w:rsidR="00714203" w:rsidRDefault="00714203" w:rsidP="004A2BFA">
      <w:pPr>
        <w:pStyle w:val="ExecOffice"/>
        <w:framePr w:w="6926" w:h="3031" w:hRule="exact" w:wrap="notBeside" w:vAnchor="page" w:x="2514" w:y="676"/>
      </w:pPr>
    </w:p>
    <w:p w14:paraId="7009005B" w14:textId="77777777" w:rsidR="00BA4055" w:rsidRDefault="001D7361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48256EE" wp14:editId="774DC42C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1CCD1" w14:textId="3C58A802" w:rsidR="001D7361" w:rsidRPr="001D7361" w:rsidRDefault="001D7361" w:rsidP="000A5608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BB268" wp14:editId="3655CDA9">
                <wp:simplePos x="0" y="0"/>
                <wp:positionH relativeFrom="column">
                  <wp:posOffset>5048250</wp:posOffset>
                </wp:positionH>
                <wp:positionV relativeFrom="paragraph">
                  <wp:posOffset>404495</wp:posOffset>
                </wp:positionV>
                <wp:extent cx="1572895" cy="1056005"/>
                <wp:effectExtent l="0" t="0" r="825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10E49" w14:textId="77777777" w:rsidR="00086C9A" w:rsidRPr="003A7AFC" w:rsidRDefault="00086C9A" w:rsidP="00086C9A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11EDE9CD" w14:textId="77777777" w:rsidR="00086C9A" w:rsidRDefault="00086C9A" w:rsidP="00086C9A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6F2F2ACC" w14:textId="0CEBD9A1" w:rsidR="00086C9A" w:rsidRDefault="00086C9A" w:rsidP="00086C9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 xml:space="preserve">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7F89BF54" w14:textId="77777777" w:rsidR="00086C9A" w:rsidRDefault="00086C9A" w:rsidP="00086C9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27DF705" w14:textId="77777777" w:rsidR="00086C9A" w:rsidRPr="004813AC" w:rsidRDefault="00086C9A" w:rsidP="00086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57A5E40" w14:textId="77777777" w:rsidR="00086C9A" w:rsidRPr="004813AC" w:rsidRDefault="00086C9A" w:rsidP="00086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A8C689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6326FBF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7F5BBE5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BB2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5pt;margin-top:31.85pt;width:123.85pt;height:8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" stroked="f">
                <v:textbox>
                  <w:txbxContent>
                    <w:p w14:paraId="61E10E49" w14:textId="77777777" w:rsidR="00086C9A" w:rsidRPr="003A7AFC" w:rsidRDefault="00086C9A" w:rsidP="00086C9A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11EDE9CD" w14:textId="77777777" w:rsidR="00086C9A" w:rsidRDefault="00086C9A" w:rsidP="00086C9A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6F2F2ACC" w14:textId="0CEBD9A1" w:rsidR="00086C9A" w:rsidRDefault="00086C9A" w:rsidP="00086C9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 xml:space="preserve">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7F89BF54" w14:textId="77777777" w:rsidR="00086C9A" w:rsidRDefault="00086C9A" w:rsidP="00086C9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27DF705" w14:textId="77777777" w:rsidR="00086C9A" w:rsidRPr="004813AC" w:rsidRDefault="00086C9A" w:rsidP="00086C9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57A5E40" w14:textId="77777777" w:rsidR="00086C9A" w:rsidRPr="004813AC" w:rsidRDefault="00086C9A" w:rsidP="00086C9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A8C689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6326FBF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7F5BBE5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BE41E" wp14:editId="0C1B3C8D">
                <wp:simplePos x="0" y="0"/>
                <wp:positionH relativeFrom="column">
                  <wp:posOffset>-820420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4445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88C40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2593C8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1473F99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03BA51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B39783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BE41E" id="_x0000_s1027" type="#_x0000_t202" style="position:absolute;left:0;text-align:left;margin-left:-64.6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BoUGTq3wAAAAsBAAAPAAAAZHJzL2Rvd25y&#10;ZXYueG1sTI/BTsMwEETvSPyDtUjcWsdBQWkap6qouHBAoiDB0Y2dOMJeW7abhr/HPcFxtU8zb9rd&#10;Yg2ZVYiTQw5sXQBR2Ds54cjh4/15VQOJSaAUxqHi8KMi7Lrbm1Y00l3wTc3HNJIcgrERHHRKvqE0&#10;9lpZEdfOK8y/wQUrUj7DSGUQlxxuDS2L4pFaMWFu0MKrJ6367+PZcvi0epKH8Po1SDMfXoZ95Zfg&#10;Ob+/W/ZbIEkt6Q+Gq35Why47ndwZZSSGw4qVmzKzHOoqj7oSrK6AnDiUjD0A7Vr6f0P3C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GhQZOrfAAAACwEAAA8AAAAAAAAAAAAAAAAATQQA&#10;AGRycy9kb3ducmV2LnhtbFBLBQYAAAAABAAEAPMAAABZBQAAAAA=&#10;" stroked="f">
                <v:textbox style="mso-fit-shape-to-text:t">
                  <w:txbxContent>
                    <w:p w14:paraId="46E88C40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2593C8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1473F99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03BA51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B39783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Pr="001D7361">
        <w:rPr>
          <w:b/>
          <w:sz w:val="28"/>
          <w:szCs w:val="28"/>
        </w:rPr>
        <w:t xml:space="preserve">NOTICE TO ALL </w:t>
      </w:r>
      <w:r w:rsidR="00325C2C">
        <w:rPr>
          <w:b/>
          <w:sz w:val="28"/>
          <w:szCs w:val="28"/>
        </w:rPr>
        <w:t>LICENSED GENETIC COUNSELOR</w:t>
      </w:r>
      <w:r w:rsidR="00D635C9">
        <w:rPr>
          <w:b/>
          <w:sz w:val="28"/>
          <w:szCs w:val="28"/>
        </w:rPr>
        <w:t>S</w:t>
      </w:r>
    </w:p>
    <w:p w14:paraId="36FB1B7C" w14:textId="2B9DD487" w:rsidR="00FC6B42" w:rsidRDefault="00FC6B42" w:rsidP="0072610D"/>
    <w:p w14:paraId="17EB37C7" w14:textId="77777777" w:rsidR="00D62163" w:rsidRDefault="00D62163" w:rsidP="00D62163">
      <w:pPr>
        <w:jc w:val="center"/>
      </w:pPr>
      <w:r>
        <w:t xml:space="preserve">INTERIM POLICY ON CONTINUING EDUCATION FOR NEWLY </w:t>
      </w:r>
    </w:p>
    <w:p w14:paraId="60EF1A31" w14:textId="771508CA" w:rsidR="00D62163" w:rsidRDefault="00D62163" w:rsidP="00D62163">
      <w:pPr>
        <w:jc w:val="center"/>
      </w:pPr>
      <w:r>
        <w:t>LICENSED GENETIC COUNSELORS</w:t>
      </w:r>
    </w:p>
    <w:p w14:paraId="7CFF1FB8" w14:textId="6C255691" w:rsidR="00D62163" w:rsidRDefault="00D62163" w:rsidP="00D62163">
      <w:pPr>
        <w:jc w:val="center"/>
      </w:pPr>
      <w:r>
        <w:t>Policy 2022-01</w:t>
      </w:r>
    </w:p>
    <w:p w14:paraId="6F76E073" w14:textId="77777777" w:rsidR="00D62163" w:rsidRDefault="00D62163" w:rsidP="00D62163">
      <w:pPr>
        <w:jc w:val="center"/>
      </w:pPr>
    </w:p>
    <w:p w14:paraId="33D4DFC1" w14:textId="62764918" w:rsidR="001D7361" w:rsidRDefault="00D62163" w:rsidP="00FB4C32">
      <w:pPr>
        <w:jc w:val="center"/>
      </w:pPr>
      <w:r>
        <w:t>Approved November 7, 2022</w:t>
      </w:r>
    </w:p>
    <w:p w14:paraId="6EDF16E0" w14:textId="77777777" w:rsidR="00FB4C32" w:rsidRDefault="00FB4C32" w:rsidP="00FB4C32">
      <w:pPr>
        <w:jc w:val="center"/>
        <w:rPr>
          <w:iCs/>
          <w:szCs w:val="24"/>
        </w:rPr>
      </w:pPr>
    </w:p>
    <w:p w14:paraId="66D2D2AC" w14:textId="16A39CCC" w:rsidR="00D73EB4" w:rsidRDefault="002F4A25" w:rsidP="000A5608">
      <w:r>
        <w:t xml:space="preserve">The Board of Registration of </w:t>
      </w:r>
      <w:r w:rsidR="00325C2C">
        <w:t xml:space="preserve">Genetic Counselors </w:t>
      </w:r>
      <w:r w:rsidR="00710F5A">
        <w:t>reminds</w:t>
      </w:r>
      <w:r w:rsidR="00325C2C">
        <w:t xml:space="preserve"> </w:t>
      </w:r>
      <w:r w:rsidRPr="00D635C9">
        <w:t>all licensed</w:t>
      </w:r>
      <w:r>
        <w:t xml:space="preserve"> </w:t>
      </w:r>
      <w:r w:rsidR="00325C2C">
        <w:t>genetic counselors</w:t>
      </w:r>
      <w:r w:rsidRPr="002F4A25">
        <w:rPr>
          <w:b/>
          <w:bCs/>
          <w:i/>
          <w:iCs/>
        </w:rPr>
        <w:t xml:space="preserve"> </w:t>
      </w:r>
      <w:r>
        <w:t xml:space="preserve">that </w:t>
      </w:r>
      <w:r w:rsidR="00D635C9">
        <w:t>pursuant to 270 Code of Massachusetts Regulations (CMR) 3.06 (1), “</w:t>
      </w:r>
      <w:r w:rsidR="00D635C9" w:rsidRPr="00D635C9">
        <w:t>Each fully licensed genetic counselor must renew his or her license to practice on or before January 31st of each odd-numbered year.  A fully licensed genetic counselor who fails to renew his or her license on or before the expiration date may not practice until he or she renews his or her license.  A fully licensed genetic counselor who continues to practice after the expiration date may be subject to disciplinary action by the Board.</w:t>
      </w:r>
      <w:r w:rsidR="00D635C9">
        <w:t xml:space="preserve">”  </w:t>
      </w:r>
      <w:r w:rsidR="00D73EB4">
        <w:t>Further, 270 CMR 3.06 (3) “Continuing Education” requires the following:</w:t>
      </w:r>
    </w:p>
    <w:p w14:paraId="1DC30D9C" w14:textId="77777777" w:rsidR="000A5608" w:rsidRDefault="000A5608" w:rsidP="00FB4C32"/>
    <w:p w14:paraId="40E8ECCC" w14:textId="77777777" w:rsidR="00D73EB4" w:rsidRDefault="00D73EB4" w:rsidP="00D73EB4">
      <w:pPr>
        <w:ind w:left="1440" w:hanging="720"/>
      </w:pPr>
      <w:r>
        <w:t>(a)</w:t>
      </w:r>
      <w:r>
        <w:tab/>
        <w:t xml:space="preserve">Except as provided in 270 CMR 3.06(3)(b), each fully licensed genetic counselor shall </w:t>
      </w:r>
      <w:r w:rsidRPr="00710F5A">
        <w:rPr>
          <w:b/>
          <w:bCs/>
        </w:rPr>
        <w:t>complete a minimum of 50 contact hours</w:t>
      </w:r>
      <w:r>
        <w:t xml:space="preserve"> of Board approved continuing education per license renewal period and shall submit proof thereof to the Board upon request.</w:t>
      </w:r>
    </w:p>
    <w:p w14:paraId="42D11F8E" w14:textId="3F093503" w:rsidR="00D73EB4" w:rsidRDefault="00D73EB4" w:rsidP="00D73EB4">
      <w:pPr>
        <w:ind w:left="1440" w:hanging="720"/>
      </w:pPr>
      <w:r>
        <w:t>(b)</w:t>
      </w:r>
      <w:r>
        <w:tab/>
        <w:t xml:space="preserve">A genetic counselor issued a full license between February 1st of an even-numbered year and January 31st of an odd numbered year shall </w:t>
      </w:r>
      <w:r w:rsidRPr="00710F5A">
        <w:rPr>
          <w:b/>
          <w:bCs/>
        </w:rPr>
        <w:t>complete a</w:t>
      </w:r>
      <w:r>
        <w:t xml:space="preserve"> </w:t>
      </w:r>
      <w:r w:rsidRPr="00710F5A">
        <w:rPr>
          <w:b/>
          <w:bCs/>
        </w:rPr>
        <w:t>minimum of 25 contact hours</w:t>
      </w:r>
      <w:r>
        <w:t xml:space="preserve"> of Board approved continuing education during the first renewal period.</w:t>
      </w:r>
    </w:p>
    <w:p w14:paraId="2EB9ECC5" w14:textId="5F43999E" w:rsidR="002F4A25" w:rsidRDefault="002F4A25" w:rsidP="00713F8D">
      <w:pPr>
        <w:pStyle w:val="NoSpacing"/>
      </w:pPr>
    </w:p>
    <w:p w14:paraId="3F6920F5" w14:textId="533A848E" w:rsidR="00D73EB4" w:rsidRDefault="00710F5A" w:rsidP="000A5608">
      <w:pPr>
        <w:pStyle w:val="NoSpacing"/>
      </w:pPr>
      <w:r>
        <w:t>As of November 7, 2022, the Board will not enforce the CE requirement for</w:t>
      </w:r>
      <w:r w:rsidR="000A5608">
        <w:t>:</w:t>
      </w:r>
      <w:r>
        <w:t xml:space="preserve"> </w:t>
      </w:r>
    </w:p>
    <w:p w14:paraId="6601FAFD" w14:textId="77777777" w:rsidR="000A5608" w:rsidRDefault="000A5608" w:rsidP="000A5608">
      <w:pPr>
        <w:pStyle w:val="NoSpacing"/>
      </w:pPr>
    </w:p>
    <w:p w14:paraId="4F06B105" w14:textId="31044589" w:rsidR="002F4A25" w:rsidRDefault="001D0CCA" w:rsidP="00947331">
      <w:pPr>
        <w:pStyle w:val="NoSpacing"/>
        <w:ind w:left="720"/>
      </w:pPr>
      <w:r>
        <w:t xml:space="preserve">A genetic counselor who obtains a full license </w:t>
      </w:r>
      <w:r w:rsidR="00947331">
        <w:t>less than 12 months before license renewal on January 31 of each odd numbered year</w:t>
      </w:r>
      <w:r w:rsidR="00710F5A">
        <w:t xml:space="preserve"> will not be required to complete any CEs for the first renewal cycle.  This policy will remain in effect until the Board formally updates its regulations. </w:t>
      </w:r>
    </w:p>
    <w:p w14:paraId="2E848FE3" w14:textId="2E90C996" w:rsidR="002F4A25" w:rsidRDefault="002F4A25" w:rsidP="0072610D"/>
    <w:p w14:paraId="31FFECC1" w14:textId="77777777" w:rsidR="002F4A25" w:rsidRPr="009908FF" w:rsidRDefault="002F4A25" w:rsidP="0072610D"/>
    <w:sectPr w:rsidR="002F4A25" w:rsidRPr="009908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FFFA" w14:textId="77777777" w:rsidR="001D7361" w:rsidRDefault="001D7361" w:rsidP="001D7361">
      <w:r>
        <w:separator/>
      </w:r>
    </w:p>
  </w:endnote>
  <w:endnote w:type="continuationSeparator" w:id="0">
    <w:p w14:paraId="328E32FF" w14:textId="77777777" w:rsidR="001D7361" w:rsidRDefault="001D7361" w:rsidP="001D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FC06" w14:textId="77777777" w:rsidR="005D79E1" w:rsidRDefault="005D7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A0C" w14:textId="77777777" w:rsidR="005D79E1" w:rsidRDefault="005D7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7229" w14:textId="77777777" w:rsidR="005D79E1" w:rsidRDefault="005D7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A533" w14:textId="77777777" w:rsidR="001D7361" w:rsidRDefault="001D7361" w:rsidP="001D7361">
      <w:r>
        <w:separator/>
      </w:r>
    </w:p>
  </w:footnote>
  <w:footnote w:type="continuationSeparator" w:id="0">
    <w:p w14:paraId="1DE2B1DC" w14:textId="77777777" w:rsidR="001D7361" w:rsidRDefault="001D7361" w:rsidP="001D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4CD9" w14:textId="77777777" w:rsidR="005D79E1" w:rsidRDefault="005D7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1621" w14:textId="5A067FB4" w:rsidR="005D79E1" w:rsidRDefault="005D7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3320" w14:textId="77777777" w:rsidR="005D79E1" w:rsidRDefault="005D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346B"/>
    <w:multiLevelType w:val="hybridMultilevel"/>
    <w:tmpl w:val="5C4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76C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DC11992"/>
    <w:multiLevelType w:val="hybridMultilevel"/>
    <w:tmpl w:val="ED22E070"/>
    <w:lvl w:ilvl="0" w:tplc="69B25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10A3D"/>
    <w:multiLevelType w:val="hybridMultilevel"/>
    <w:tmpl w:val="D1982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64522">
    <w:abstractNumId w:val="0"/>
  </w:num>
  <w:num w:numId="2" w16cid:durableId="2020154545">
    <w:abstractNumId w:val="1"/>
  </w:num>
  <w:num w:numId="3" w16cid:durableId="375398471">
    <w:abstractNumId w:val="3"/>
  </w:num>
  <w:num w:numId="4" w16cid:durableId="143061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5807"/>
    <w:rsid w:val="00023F67"/>
    <w:rsid w:val="00042048"/>
    <w:rsid w:val="000537DA"/>
    <w:rsid w:val="0005773B"/>
    <w:rsid w:val="00086C9A"/>
    <w:rsid w:val="000A5608"/>
    <w:rsid w:val="000F315B"/>
    <w:rsid w:val="000F6EB5"/>
    <w:rsid w:val="001240B1"/>
    <w:rsid w:val="0015268B"/>
    <w:rsid w:val="00177C77"/>
    <w:rsid w:val="001C51CB"/>
    <w:rsid w:val="001D0CCA"/>
    <w:rsid w:val="001D7361"/>
    <w:rsid w:val="00276957"/>
    <w:rsid w:val="00276DCC"/>
    <w:rsid w:val="002F4A25"/>
    <w:rsid w:val="00325C2C"/>
    <w:rsid w:val="003357EA"/>
    <w:rsid w:val="00383C42"/>
    <w:rsid w:val="00385812"/>
    <w:rsid w:val="00392D0B"/>
    <w:rsid w:val="003A7AFC"/>
    <w:rsid w:val="003C60EF"/>
    <w:rsid w:val="004314CC"/>
    <w:rsid w:val="004813AC"/>
    <w:rsid w:val="004A07EA"/>
    <w:rsid w:val="004A2BFA"/>
    <w:rsid w:val="004B37A0"/>
    <w:rsid w:val="004D6B39"/>
    <w:rsid w:val="004F65C5"/>
    <w:rsid w:val="00516FC1"/>
    <w:rsid w:val="005448AA"/>
    <w:rsid w:val="005A22F8"/>
    <w:rsid w:val="005D79E1"/>
    <w:rsid w:val="0063270D"/>
    <w:rsid w:val="00664F99"/>
    <w:rsid w:val="00683D70"/>
    <w:rsid w:val="006B10BC"/>
    <w:rsid w:val="006D06D9"/>
    <w:rsid w:val="006D77A6"/>
    <w:rsid w:val="006F1EA1"/>
    <w:rsid w:val="00702109"/>
    <w:rsid w:val="00710F5A"/>
    <w:rsid w:val="00713F8D"/>
    <w:rsid w:val="00714203"/>
    <w:rsid w:val="0072610D"/>
    <w:rsid w:val="007B3F4B"/>
    <w:rsid w:val="007B51C8"/>
    <w:rsid w:val="007B7347"/>
    <w:rsid w:val="007D10F3"/>
    <w:rsid w:val="009352D5"/>
    <w:rsid w:val="00941FA3"/>
    <w:rsid w:val="00947331"/>
    <w:rsid w:val="009553EF"/>
    <w:rsid w:val="00983A3B"/>
    <w:rsid w:val="009908FF"/>
    <w:rsid w:val="00995505"/>
    <w:rsid w:val="00A042DD"/>
    <w:rsid w:val="00A51616"/>
    <w:rsid w:val="00A65101"/>
    <w:rsid w:val="00AF4564"/>
    <w:rsid w:val="00B403BF"/>
    <w:rsid w:val="00B608D9"/>
    <w:rsid w:val="00BA4055"/>
    <w:rsid w:val="00BA7FB6"/>
    <w:rsid w:val="00BB44BB"/>
    <w:rsid w:val="00BD33EC"/>
    <w:rsid w:val="00C20BFE"/>
    <w:rsid w:val="00CC1778"/>
    <w:rsid w:val="00CE575B"/>
    <w:rsid w:val="00CF3DE8"/>
    <w:rsid w:val="00D0493F"/>
    <w:rsid w:val="00D5340F"/>
    <w:rsid w:val="00D56F91"/>
    <w:rsid w:val="00D62163"/>
    <w:rsid w:val="00D635C9"/>
    <w:rsid w:val="00D73EB4"/>
    <w:rsid w:val="00D8671C"/>
    <w:rsid w:val="00D96FDB"/>
    <w:rsid w:val="00DA57C3"/>
    <w:rsid w:val="00DC3855"/>
    <w:rsid w:val="00E274B8"/>
    <w:rsid w:val="00E72707"/>
    <w:rsid w:val="00E8130B"/>
    <w:rsid w:val="00E87511"/>
    <w:rsid w:val="00F0586E"/>
    <w:rsid w:val="00F43932"/>
    <w:rsid w:val="00FB4C3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083128"/>
  <w15:docId w15:val="{DC54DDBB-1A24-4755-8A3B-4C6ED91E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1D73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D7361"/>
  </w:style>
  <w:style w:type="character" w:styleId="FootnoteReference">
    <w:name w:val="footnote reference"/>
    <w:unhideWhenUsed/>
    <w:rsid w:val="001D736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F4A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3C42"/>
    <w:pPr>
      <w:ind w:left="720"/>
      <w:contextualSpacing/>
    </w:pPr>
  </w:style>
  <w:style w:type="paragraph" w:styleId="NoSpacing">
    <w:name w:val="No Spacing"/>
    <w:uiPriority w:val="1"/>
    <w:qFormat/>
    <w:rsid w:val="00713F8D"/>
    <w:rPr>
      <w:sz w:val="24"/>
    </w:rPr>
  </w:style>
  <w:style w:type="paragraph" w:styleId="Header">
    <w:name w:val="header"/>
    <w:basedOn w:val="Normal"/>
    <w:link w:val="HeaderChar"/>
    <w:unhideWhenUsed/>
    <w:rsid w:val="005D7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79E1"/>
    <w:rPr>
      <w:sz w:val="24"/>
    </w:rPr>
  </w:style>
  <w:style w:type="paragraph" w:styleId="Footer">
    <w:name w:val="footer"/>
    <w:basedOn w:val="Normal"/>
    <w:link w:val="FooterChar"/>
    <w:unhideWhenUsed/>
    <w:rsid w:val="005D7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79E1"/>
    <w:rPr>
      <w:sz w:val="24"/>
    </w:rPr>
  </w:style>
  <w:style w:type="paragraph" w:styleId="Revision">
    <w:name w:val="Revision"/>
    <w:hidden/>
    <w:uiPriority w:val="99"/>
    <w:semiHidden/>
    <w:rsid w:val="00E875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/n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B2B3-7724-40EE-A96A-AF80757D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314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2076</CharactersWithSpaces>
  <SharedDoc>false</SharedDoc>
  <HLinks>
    <vt:vector size="6" baseType="variant"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http://www.mass.gov/dph/boards/nh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Goldrick, Catherine (DPH)</cp:lastModifiedBy>
  <cp:revision>2</cp:revision>
  <cp:lastPrinted>2015-01-12T13:56:00Z</cp:lastPrinted>
  <dcterms:created xsi:type="dcterms:W3CDTF">2022-12-14T20:38:00Z</dcterms:created>
  <dcterms:modified xsi:type="dcterms:W3CDTF">2022-12-14T20:38:00Z</dcterms:modified>
</cp:coreProperties>
</file>