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5"/>
        <w:gridCol w:w="6395"/>
      </w:tblGrid>
      <w:tr w:rsidR="001779B2" w:rsidTr="00F21BE4">
        <w:trPr>
          <w:trHeight w:hRule="exact" w:val="5441"/>
        </w:trPr>
        <w:tc>
          <w:tcPr>
            <w:tcW w:w="12790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F21BE4">
            <w:pPr>
              <w:pStyle w:val="TableParagraph"/>
              <w:spacing w:before="234"/>
              <w:ind w:left="4060" w:right="406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</w:t>
            </w:r>
          </w:p>
          <w:p w:rsidR="001779B2" w:rsidRDefault="00F21BE4">
            <w:pPr>
              <w:pStyle w:val="TableParagraph"/>
              <w:spacing w:before="0"/>
              <w:ind w:left="4061" w:right="4060"/>
              <w:rPr>
                <w:b/>
                <w:sz w:val="24"/>
              </w:rPr>
            </w:pPr>
            <w:r>
              <w:rPr>
                <w:b/>
                <w:sz w:val="24"/>
              </w:rPr>
              <w:t>Fact Sheet - Persons Who Inject Drugs FY 2017</w:t>
            </w: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F21BE4">
            <w:pPr>
              <w:pStyle w:val="TableParagraph"/>
              <w:spacing w:before="181"/>
              <w:ind w:left="-10" w:right="180"/>
              <w:jc w:val="left"/>
              <w:rPr>
                <w:sz w:val="20"/>
              </w:rPr>
            </w:pPr>
            <w:r>
              <w:rPr>
                <w:sz w:val="20"/>
              </w:rPr>
              <w:t>This annual report provides information on persons who inject drugs admitted to BSAS funded and/or licensed services. In FY 2017, there were 47,847 admissions where the client reported injecting drugs in the year preceding admission. Starting in FY 2017, t</w:t>
            </w:r>
            <w:r>
              <w:rPr>
                <w:sz w:val="20"/>
              </w:rPr>
              <w:t>his fact sheet includes all age groups (including &lt;18 years of age). To ensure proper interpretation of this data, please read the footnotes and refer to the appendix at the end of this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report.</w:t>
            </w:r>
          </w:p>
          <w:p w:rsidR="001779B2" w:rsidRDefault="00F21BE4">
            <w:pPr>
              <w:pStyle w:val="TableParagraph"/>
              <w:spacing w:before="150"/>
              <w:ind w:left="4060" w:right="4060"/>
              <w:rPr>
                <w:b/>
                <w:sz w:val="20"/>
              </w:rPr>
            </w:pPr>
            <w:r>
              <w:rPr>
                <w:b/>
                <w:sz w:val="20"/>
              </w:rPr>
              <w:t>Characteristics of Admissions</w:t>
            </w:r>
          </w:p>
          <w:p w:rsidR="001779B2" w:rsidRDefault="00F21BE4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150"/>
              <w:ind w:hanging="135"/>
              <w:jc w:val="left"/>
              <w:rPr>
                <w:sz w:val="20"/>
              </w:rPr>
            </w:pPr>
            <w:r>
              <w:rPr>
                <w:sz w:val="20"/>
              </w:rPr>
              <w:t>The average age at admission for</w:t>
            </w:r>
            <w:r>
              <w:rPr>
                <w:sz w:val="20"/>
              </w:rPr>
              <w:t xml:space="preserve"> persons who inject drugs was 31.8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years.</w:t>
            </w:r>
          </w:p>
          <w:p w:rsidR="001779B2" w:rsidRDefault="00F21BE4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24.0% had c</w:t>
            </w:r>
            <w:bookmarkStart w:id="0" w:name="_GoBack"/>
            <w:bookmarkEnd w:id="0"/>
            <w:r>
              <w:rPr>
                <w:sz w:val="20"/>
              </w:rPr>
              <w:t>hildren under six years of age; 32.3% had children 6-18 years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  <w:p w:rsidR="001779B2" w:rsidRDefault="00F21BE4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3.3% lived with children under six years of age; 4.2% lived with children 6-18 years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</w:p>
        </w:tc>
      </w:tr>
      <w:tr w:rsidR="001779B2">
        <w:trPr>
          <w:trHeight w:hRule="exact" w:val="2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1779B2"/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 of Enrollments</w:t>
            </w:r>
          </w:p>
        </w:tc>
      </w:tr>
      <w:tr w:rsidR="001779B2">
        <w:trPr>
          <w:trHeight w:hRule="exact" w:val="31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Gender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31.6%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68.3%</w:t>
            </w:r>
          </w:p>
        </w:tc>
      </w:tr>
      <w:tr w:rsidR="001779B2">
        <w:trPr>
          <w:trHeight w:hRule="exact" w:val="3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Transgender</w:t>
            </w:r>
          </w:p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1779B2">
        <w:trPr>
          <w:trHeight w:hRule="exact" w:val="30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Race/Ethnicity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Black, Non-Hispanic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3.8%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Hispanic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14.2%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Multi-Racial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3.4%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2.3%</w:t>
            </w:r>
          </w:p>
        </w:tc>
      </w:tr>
      <w:tr w:rsidR="001779B2">
        <w:trPr>
          <w:trHeight w:hRule="exact" w:val="3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White, Non-Hispanic</w:t>
            </w:r>
          </w:p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76.3%</w:t>
            </w:r>
          </w:p>
        </w:tc>
      </w:tr>
      <w:tr w:rsidR="001779B2">
        <w:trPr>
          <w:trHeight w:hRule="exact" w:val="30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Education Level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No Education or Less Than High School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28.2%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High School Diploma / GED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45.9%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Beyond High School, No College Degree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20.3%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College Degree or Higher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</w:tr>
      <w:tr w:rsidR="001779B2" w:rsidTr="00F21BE4">
        <w:trPr>
          <w:trHeight w:hRule="exact" w:val="324"/>
        </w:trPr>
        <w:tc>
          <w:tcPr>
            <w:tcW w:w="6395" w:type="dxa"/>
            <w:tcBorders>
              <w:bottom w:val="single" w:sz="18" w:space="0" w:color="000000"/>
            </w:tcBorders>
          </w:tcPr>
          <w:p w:rsidR="001779B2" w:rsidRDefault="00F21BE4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6395" w:type="dxa"/>
            <w:tcBorders>
              <w:bottom w:val="single" w:sz="18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2.0%</w:t>
            </w:r>
          </w:p>
        </w:tc>
      </w:tr>
      <w:tr w:rsidR="001779B2" w:rsidTr="00F21BE4">
        <w:trPr>
          <w:trHeight w:hRule="exact" w:val="304"/>
        </w:trPr>
        <w:tc>
          <w:tcPr>
            <w:tcW w:w="12790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1779B2" w:rsidRDefault="00F21BE4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</w:tr>
      <w:tr w:rsidR="001779B2" w:rsidTr="00F21BE4">
        <w:trPr>
          <w:trHeight w:hRule="exact" w:val="304"/>
        </w:trPr>
        <w:tc>
          <w:tcPr>
            <w:tcW w:w="6395" w:type="dxa"/>
            <w:tcBorders>
              <w:top w:val="nil"/>
            </w:tcBorders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Less Than 18</w:t>
            </w:r>
          </w:p>
        </w:tc>
        <w:tc>
          <w:tcPr>
            <w:tcW w:w="6395" w:type="dxa"/>
            <w:tcBorders>
              <w:top w:val="nil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0.2%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 to 25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17.0%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26 to 30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27.9%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31 to 40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35.6%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41 to 50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13.5%</w:t>
            </w:r>
          </w:p>
        </w:tc>
      </w:tr>
      <w:tr w:rsidR="001779B2" w:rsidTr="00F21BE4">
        <w:trPr>
          <w:trHeight w:hRule="exact" w:val="324"/>
        </w:trPr>
        <w:tc>
          <w:tcPr>
            <w:tcW w:w="6395" w:type="dxa"/>
            <w:tcBorders>
              <w:bottom w:val="single" w:sz="18" w:space="0" w:color="000000"/>
            </w:tcBorders>
          </w:tcPr>
          <w:p w:rsidR="001779B2" w:rsidRDefault="00F21BE4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51 and Older</w:t>
            </w:r>
          </w:p>
        </w:tc>
        <w:tc>
          <w:tcPr>
            <w:tcW w:w="6395" w:type="dxa"/>
            <w:tcBorders>
              <w:bottom w:val="single" w:sz="18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5.8%</w:t>
            </w:r>
          </w:p>
        </w:tc>
      </w:tr>
      <w:tr w:rsidR="001779B2" w:rsidTr="00F21BE4">
        <w:trPr>
          <w:trHeight w:hRule="exact" w:val="304"/>
        </w:trPr>
        <w:tc>
          <w:tcPr>
            <w:tcW w:w="12790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Employment (N= 18,932; excludes </w:t>
            </w:r>
            <w:hyperlink w:anchor="_bookmark0" w:history="1">
              <w:r>
                <w:rPr>
                  <w:b/>
                  <w:color w:val="0000FF"/>
                  <w:sz w:val="16"/>
                  <w:u w:val="single" w:color="0000FF"/>
                </w:rPr>
                <w:t xml:space="preserve">not in </w:t>
              </w:r>
              <w:r>
                <w:rPr>
                  <w:b/>
                  <w:color w:val="0000FF"/>
                  <w:sz w:val="16"/>
                  <w:u w:val="single" w:color="0000FF"/>
                </w:rPr>
                <w:t>l</w:t>
              </w:r>
              <w:r>
                <w:rPr>
                  <w:b/>
                  <w:color w:val="0000FF"/>
                  <w:sz w:val="16"/>
                  <w:u w:val="single" w:color="0000FF"/>
                </w:rPr>
                <w:t>abor force</w:t>
              </w:r>
            </w:hyperlink>
            <w:r>
              <w:rPr>
                <w:b/>
                <w:sz w:val="16"/>
              </w:rPr>
              <w:t>)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Employed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26.0%</w:t>
            </w:r>
          </w:p>
        </w:tc>
      </w:tr>
      <w:tr w:rsidR="001779B2" w:rsidTr="00F21BE4">
        <w:trPr>
          <w:trHeight w:hRule="exact" w:val="324"/>
        </w:trPr>
        <w:tc>
          <w:tcPr>
            <w:tcW w:w="6395" w:type="dxa"/>
            <w:tcBorders>
              <w:bottom w:val="single" w:sz="18" w:space="0" w:color="000000"/>
            </w:tcBorders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Not Employed</w:t>
            </w:r>
          </w:p>
        </w:tc>
        <w:tc>
          <w:tcPr>
            <w:tcW w:w="6395" w:type="dxa"/>
            <w:tcBorders>
              <w:bottom w:val="single" w:sz="18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74.0%</w:t>
            </w:r>
          </w:p>
        </w:tc>
      </w:tr>
      <w:tr w:rsidR="001779B2" w:rsidTr="00F21BE4">
        <w:trPr>
          <w:trHeight w:hRule="exact" w:val="304"/>
        </w:trPr>
        <w:tc>
          <w:tcPr>
            <w:tcW w:w="12790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Homeless at Enrollment (N= 33,629 ; excludes cases where housing disposition at enrollment could not be determined)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58.9%</w:t>
            </w:r>
          </w:p>
        </w:tc>
      </w:tr>
      <w:tr w:rsidR="001779B2">
        <w:trPr>
          <w:trHeight w:hRule="exact" w:val="3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41.1%</w:t>
            </w:r>
          </w:p>
        </w:tc>
      </w:tr>
      <w:tr w:rsidR="001779B2">
        <w:trPr>
          <w:trHeight w:hRule="exact" w:val="30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 Risk of Homelessness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Homeless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49.9%</w:t>
            </w:r>
          </w:p>
        </w:tc>
      </w:tr>
      <w:tr w:rsidR="001779B2">
        <w:trPr>
          <w:trHeight w:hRule="exact" w:val="3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Not Homeless</w:t>
            </w:r>
          </w:p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50.1%</w:t>
            </w:r>
          </w:p>
        </w:tc>
      </w:tr>
      <w:tr w:rsidR="001779B2">
        <w:trPr>
          <w:trHeight w:hRule="exact" w:val="30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Marital Status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Married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5.1%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Divorced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8.2%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Separated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3.3%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Never Married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81.0%</w:t>
            </w:r>
          </w:p>
        </w:tc>
      </w:tr>
    </w:tbl>
    <w:p w:rsidR="001779B2" w:rsidRDefault="00F21BE4">
      <w:pPr>
        <w:rPr>
          <w:sz w:val="2"/>
          <w:szCs w:val="2"/>
        </w:rPr>
      </w:pPr>
      <w:r>
        <w:pict>
          <v:group id="_x0000_s1042" style="position:absolute;margin-left:36pt;margin-top:36pt;width:9in;height:91.5pt;z-index:-44416;mso-position-horizontal-relative:page;mso-position-vertical-relative:page" coordorigin="720,720" coordsize="12960,1830">
            <v:rect id="_x0000_s1044" style="position:absolute;left:788;top:787;width:12825;height:1695" filled="f" strokecolor="navy" strokeweight="2.25pt"/>
            <v:rect id="_x0000_s1043" style="position:absolute;left:743;top:742;width:12915;height:1785" filled="f" strokecolor="green" strokeweight="2.25pt"/>
            <w10:wrap anchorx="page" anchory="page"/>
          </v:group>
        </w:pict>
      </w:r>
    </w:p>
    <w:p w:rsidR="001779B2" w:rsidRDefault="001779B2">
      <w:pPr>
        <w:rPr>
          <w:sz w:val="2"/>
          <w:szCs w:val="2"/>
        </w:rPr>
        <w:sectPr w:rsidR="001779B2" w:rsidSect="00F21BE4">
          <w:headerReference w:type="default" r:id="rId8"/>
          <w:footerReference w:type="default" r:id="rId9"/>
          <w:type w:val="continuous"/>
          <w:pgSz w:w="14400" w:h="18440"/>
          <w:pgMar w:top="0" w:right="600" w:bottom="860" w:left="620" w:header="0" w:footer="661" w:gutter="0"/>
          <w:pgBorders w:offsetFrom="page">
            <w:bottom w:val="double" w:sz="4" w:space="24" w:color="auto"/>
          </w:pgBorders>
          <w:pgNumType w:start="1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5"/>
        <w:gridCol w:w="6395"/>
      </w:tblGrid>
      <w:tr w:rsidR="001779B2">
        <w:trPr>
          <w:trHeight w:hRule="exact" w:val="3873"/>
        </w:trPr>
        <w:tc>
          <w:tcPr>
            <w:tcW w:w="12790" w:type="dxa"/>
            <w:gridSpan w:val="2"/>
            <w:tcBorders>
              <w:top w:val="nil"/>
              <w:left w:val="nil"/>
              <w:right w:val="nil"/>
            </w:tcBorders>
          </w:tcPr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F21BE4">
            <w:pPr>
              <w:pStyle w:val="TableParagraph"/>
              <w:spacing w:before="234"/>
              <w:ind w:left="4060" w:right="406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</w:t>
            </w:r>
          </w:p>
          <w:p w:rsidR="001779B2" w:rsidRDefault="00F21BE4">
            <w:pPr>
              <w:pStyle w:val="TableParagraph"/>
              <w:spacing w:before="0"/>
              <w:ind w:left="4061" w:right="4060"/>
              <w:rPr>
                <w:b/>
                <w:sz w:val="24"/>
              </w:rPr>
            </w:pPr>
            <w:r>
              <w:rPr>
                <w:b/>
                <w:sz w:val="24"/>
              </w:rPr>
              <w:t>Fact Sheet - Persons Who Inject Drugs FY 2017</w:t>
            </w: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1779B2" w:rsidRDefault="00F21BE4">
            <w:pPr>
              <w:pStyle w:val="TableParagraph"/>
              <w:spacing w:before="181"/>
              <w:ind w:left="-10" w:right="180"/>
              <w:jc w:val="left"/>
              <w:rPr>
                <w:sz w:val="20"/>
              </w:rPr>
            </w:pPr>
            <w:r>
              <w:rPr>
                <w:sz w:val="20"/>
              </w:rPr>
              <w:t>This annual report provides information on persons who inject drugs admitted to BSAS funded and/or licensed services. In FY 2017, there were 47,847 admi</w:t>
            </w:r>
            <w:r>
              <w:rPr>
                <w:sz w:val="20"/>
              </w:rPr>
              <w:t>ssions where the client reported injecting drugs in the year preceding admission. Starting in FY 2017, this fact sheet includes all age groups (including &lt;18 years of age). To ensure proper interpretation of this data, please read the footnotes and refer t</w:t>
            </w:r>
            <w:r>
              <w:rPr>
                <w:sz w:val="20"/>
              </w:rPr>
              <w:t>o the appendix at the end of this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report.</w:t>
            </w:r>
          </w:p>
        </w:tc>
      </w:tr>
      <w:tr w:rsidR="001779B2">
        <w:trPr>
          <w:trHeight w:hRule="exact" w:val="2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1779B2"/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 of Enrollments</w:t>
            </w:r>
          </w:p>
        </w:tc>
      </w:tr>
      <w:tr w:rsidR="001779B2">
        <w:trPr>
          <w:trHeight w:hRule="exact" w:val="31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Marital Status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Partnership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</w:tr>
      <w:tr w:rsidR="001779B2">
        <w:trPr>
          <w:trHeight w:hRule="exact" w:val="3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Widowed</w:t>
            </w:r>
          </w:p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</w:tr>
      <w:tr w:rsidR="001779B2">
        <w:trPr>
          <w:trHeight w:hRule="exact" w:val="30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Client's Region of Residence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Central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14.0%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Greater Boston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18.3%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Metro West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10.2%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Northeast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16.5%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Southeast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23.7%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Western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16.7%</w:t>
            </w:r>
          </w:p>
        </w:tc>
      </w:tr>
      <w:tr w:rsidR="001779B2">
        <w:trPr>
          <w:trHeight w:hRule="exact" w:val="3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Out of State</w:t>
            </w:r>
          </w:p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0.6%</w:t>
            </w:r>
          </w:p>
        </w:tc>
      </w:tr>
      <w:tr w:rsidR="001779B2">
        <w:trPr>
          <w:trHeight w:hRule="exact" w:val="30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Prior Mental Health Treatment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54.7%</w:t>
            </w:r>
          </w:p>
        </w:tc>
      </w:tr>
      <w:tr w:rsidR="001779B2">
        <w:trPr>
          <w:trHeight w:hRule="exact" w:val="324"/>
        </w:trPr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6395" w:type="dxa"/>
            <w:tcBorders>
              <w:bottom w:val="single" w:sz="16" w:space="0" w:color="000000"/>
            </w:tcBorders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45.3%</w:t>
            </w:r>
          </w:p>
        </w:tc>
      </w:tr>
      <w:tr w:rsidR="001779B2">
        <w:trPr>
          <w:trHeight w:hRule="exact" w:val="304"/>
        </w:trPr>
        <w:tc>
          <w:tcPr>
            <w:tcW w:w="1279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1779B2" w:rsidRDefault="00F21BE4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Prior Mental Health Medication (in the past 12 months)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65.5%</w:t>
            </w:r>
          </w:p>
        </w:tc>
      </w:tr>
      <w:tr w:rsidR="001779B2">
        <w:trPr>
          <w:trHeight w:hRule="exact" w:val="304"/>
        </w:trPr>
        <w:tc>
          <w:tcPr>
            <w:tcW w:w="6395" w:type="dxa"/>
          </w:tcPr>
          <w:p w:rsidR="001779B2" w:rsidRDefault="00F21BE4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6395" w:type="dxa"/>
          </w:tcPr>
          <w:p w:rsidR="001779B2" w:rsidRDefault="00F21BE4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34.5%</w:t>
            </w:r>
          </w:p>
        </w:tc>
      </w:tr>
    </w:tbl>
    <w:p w:rsidR="001779B2" w:rsidRDefault="00F21BE4">
      <w:pPr>
        <w:rPr>
          <w:sz w:val="2"/>
          <w:szCs w:val="2"/>
        </w:rPr>
      </w:pPr>
      <w:r>
        <w:pict>
          <v:group id="_x0000_s1039" style="position:absolute;margin-left:36pt;margin-top:36pt;width:9in;height:91.5pt;z-index:-44392;mso-position-horizontal-relative:page;mso-position-vertical-relative:page" coordorigin="720,720" coordsize="12960,1830">
            <v:rect id="_x0000_s1041" style="position:absolute;left:788;top:787;width:12825;height:1695" filled="f" strokecolor="navy" strokeweight="2.25pt"/>
            <v:rect id="_x0000_s1040" style="position:absolute;left:743;top:742;width:12915;height:1785" filled="f" strokecolor="green" strokeweight="2.25pt"/>
            <w10:wrap anchorx="page" anchory="page"/>
          </v:group>
        </w:pict>
      </w:r>
    </w:p>
    <w:p w:rsidR="001779B2" w:rsidRDefault="001779B2">
      <w:pPr>
        <w:rPr>
          <w:sz w:val="2"/>
          <w:szCs w:val="2"/>
        </w:rPr>
        <w:sectPr w:rsidR="001779B2" w:rsidSect="00F21BE4">
          <w:pgSz w:w="14400" w:h="18440"/>
          <w:pgMar w:top="0" w:right="600" w:bottom="860" w:left="620" w:header="0" w:footer="661" w:gutter="0"/>
          <w:pgBorders w:offsetFrom="page">
            <w:bottom w:val="double" w:sz="4" w:space="24" w:color="auto"/>
          </w:pgBorders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1617"/>
        <w:gridCol w:w="1170"/>
        <w:gridCol w:w="761"/>
        <w:gridCol w:w="1359"/>
        <w:gridCol w:w="748"/>
        <w:gridCol w:w="807"/>
        <w:gridCol w:w="2425"/>
        <w:gridCol w:w="1398"/>
        <w:gridCol w:w="1615"/>
      </w:tblGrid>
      <w:tr w:rsidR="001779B2">
        <w:trPr>
          <w:trHeight w:hRule="exact" w:val="11281"/>
        </w:trPr>
        <w:tc>
          <w:tcPr>
            <w:tcW w:w="12790" w:type="dxa"/>
            <w:gridSpan w:val="10"/>
            <w:tcBorders>
              <w:top w:val="nil"/>
              <w:left w:val="nil"/>
              <w:right w:val="nil"/>
            </w:tcBorders>
          </w:tcPr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1779B2" w:rsidRDefault="00F21BE4">
            <w:pPr>
              <w:pStyle w:val="TableParagraph"/>
              <w:spacing w:before="153"/>
              <w:ind w:left="-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- Drug Categories:</w:t>
            </w:r>
          </w:p>
          <w:p w:rsidR="001779B2" w:rsidRDefault="00F21BE4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Opioids </w:t>
            </w:r>
            <w:r>
              <w:rPr>
                <w:i/>
                <w:sz w:val="16"/>
              </w:rPr>
              <w:t>includes: Prescription and Non Prescription Opioids.</w:t>
            </w:r>
          </w:p>
          <w:p w:rsidR="001779B2" w:rsidRDefault="00F21BE4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</w:t>
            </w:r>
            <w:r>
              <w:rPr>
                <w:i/>
                <w:sz w:val="16"/>
              </w:rPr>
              <w:t>includes: PCP, Other Hallucinogens, Inhalants, OTC, and Other.</w:t>
            </w:r>
          </w:p>
          <w:p w:rsidR="001779B2" w:rsidRDefault="00F21BE4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Sedatives/Hypnotics </w:t>
            </w:r>
            <w:r>
              <w:rPr>
                <w:i/>
                <w:sz w:val="16"/>
              </w:rPr>
              <w:t>includes: Benzodiazepines, Other Tranquilizers, Barbituates, and Other Sedatives.</w:t>
            </w:r>
          </w:p>
          <w:p w:rsidR="001779B2" w:rsidRDefault="00F21BE4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Stimulants </w:t>
            </w:r>
            <w:r>
              <w:rPr>
                <w:i/>
                <w:sz w:val="16"/>
              </w:rPr>
              <w:t>includes:</w:t>
            </w:r>
            <w:r>
              <w:rPr>
                <w:i/>
                <w:sz w:val="16"/>
              </w:rPr>
              <w:t xml:space="preserve"> Methamphetamine, Other Amphetamines, Other Stimulants, and Club Drugs.</w:t>
            </w:r>
          </w:p>
          <w:p w:rsidR="001779B2" w:rsidRDefault="00F21BE4">
            <w:pPr>
              <w:pStyle w:val="TableParagraph"/>
              <w:spacing w:before="0"/>
              <w:ind w:left="-1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- The total admissions reported in this table may vary from the total admissions for persons who inject drugs; for additional information, please refer to the appendix.</w:t>
            </w:r>
          </w:p>
          <w:p w:rsidR="001779B2" w:rsidRDefault="001779B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1779B2" w:rsidRDefault="00F21BE4">
            <w:pPr>
              <w:pStyle w:val="TableParagraph"/>
              <w:spacing w:before="145"/>
              <w:ind w:left="-10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Past Year Subs</w:t>
            </w:r>
            <w:r>
              <w:rPr>
                <w:b/>
                <w:sz w:val="20"/>
                <w:u w:val="single"/>
              </w:rPr>
              <w:t>tance Use</w:t>
            </w:r>
          </w:p>
          <w:p w:rsidR="001779B2" w:rsidRDefault="00F21BE4">
            <w:pPr>
              <w:pStyle w:val="TableParagraph"/>
              <w:spacing w:before="0"/>
              <w:ind w:left="-10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 admission, clients are asked to report on all substances used in the past 12 months. Due to poly-substance use*, percentages may add up to more than 100%. Table 2 shows the distribution of past year substance use for all substances. This table includes </w:t>
            </w:r>
            <w:r>
              <w:rPr>
                <w:sz w:val="20"/>
              </w:rPr>
              <w:t>information about admissions that reported past year substance use.</w:t>
            </w:r>
          </w:p>
          <w:p w:rsidR="001779B2" w:rsidRDefault="00F21BE4">
            <w:pPr>
              <w:pStyle w:val="TableParagraph"/>
              <w:spacing w:before="150"/>
              <w:ind w:left="4059" w:right="4060"/>
              <w:rPr>
                <w:b/>
                <w:sz w:val="16"/>
              </w:rPr>
            </w:pPr>
            <w:r>
              <w:rPr>
                <w:b/>
                <w:sz w:val="16"/>
              </w:rPr>
              <w:t>Table 2</w:t>
            </w:r>
          </w:p>
          <w:p w:rsidR="001779B2" w:rsidRDefault="00F21BE4">
            <w:pPr>
              <w:pStyle w:val="TableParagraph"/>
              <w:spacing w:before="0"/>
              <w:ind w:left="4060" w:right="4060"/>
              <w:rPr>
                <w:b/>
                <w:sz w:val="16"/>
              </w:rPr>
            </w:pPr>
            <w:r>
              <w:rPr>
                <w:b/>
                <w:sz w:val="16"/>
              </w:rPr>
              <w:t>Past Year Substance Use Trend: FY 2008 - FY 2017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  <w:vMerge w:val="restart"/>
          </w:tcPr>
          <w:p w:rsidR="001779B2" w:rsidRDefault="001779B2"/>
        </w:tc>
        <w:tc>
          <w:tcPr>
            <w:tcW w:w="1617" w:type="dxa"/>
            <w:vMerge w:val="restart"/>
          </w:tcPr>
          <w:p w:rsidR="001779B2" w:rsidRDefault="001779B2"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 w:rsidR="001779B2" w:rsidRDefault="00F21BE4">
            <w:pPr>
              <w:pStyle w:val="TableParagraph"/>
              <w:spacing w:before="0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Total Admissions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b/>
                <w:sz w:val="16"/>
              </w:rPr>
            </w:pPr>
            <w:r>
              <w:rPr>
                <w:b/>
                <w:sz w:val="16"/>
              </w:rPr>
              <w:t>Marijuana</w:t>
            </w:r>
          </w:p>
        </w:tc>
        <w:tc>
          <w:tcPr>
            <w:tcW w:w="2120" w:type="dxa"/>
            <w:gridSpan w:val="2"/>
          </w:tcPr>
          <w:p w:rsidR="001779B2" w:rsidRDefault="00F21BE4">
            <w:pPr>
              <w:pStyle w:val="TableParagraph"/>
              <w:ind w:left="728" w:right="729"/>
              <w:rPr>
                <w:b/>
                <w:sz w:val="16"/>
              </w:rPr>
            </w:pPr>
            <w:r>
              <w:rPr>
                <w:b/>
                <w:sz w:val="16"/>
              </w:rPr>
              <w:t>Opioids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3232" w:type="dxa"/>
            <w:gridSpan w:val="2"/>
          </w:tcPr>
          <w:p w:rsidR="001779B2" w:rsidRDefault="00F21BE4">
            <w:pPr>
              <w:pStyle w:val="TableParagraph"/>
              <w:ind w:left="7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Sedatives/Hypnotics</w:t>
            </w:r>
          </w:p>
        </w:tc>
        <w:tc>
          <w:tcPr>
            <w:tcW w:w="3013" w:type="dxa"/>
            <w:gridSpan w:val="2"/>
          </w:tcPr>
          <w:p w:rsidR="001779B2" w:rsidRDefault="00F21BE4">
            <w:pPr>
              <w:pStyle w:val="TableParagraph"/>
              <w:ind w:left="1042" w:right="1043"/>
              <w:rPr>
                <w:b/>
                <w:sz w:val="16"/>
              </w:rPr>
            </w:pPr>
            <w:r>
              <w:rPr>
                <w:b/>
                <w:sz w:val="16"/>
              </w:rPr>
              <w:t>Stimulants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  <w:vMerge/>
          </w:tcPr>
          <w:p w:rsidR="001779B2" w:rsidRDefault="001779B2"/>
        </w:tc>
        <w:tc>
          <w:tcPr>
            <w:tcW w:w="1617" w:type="dxa"/>
            <w:vMerge/>
          </w:tcPr>
          <w:p w:rsidR="001779B2" w:rsidRDefault="001779B2"/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49"/>
              <w:rPr>
                <w:sz w:val="16"/>
              </w:rPr>
            </w:pPr>
            <w:r>
              <w:rPr>
                <w:sz w:val="16"/>
              </w:rPr>
              <w:t>Marijuana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Heroin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5"/>
              <w:rPr>
                <w:sz w:val="16"/>
              </w:rPr>
            </w:pPr>
            <w:r>
              <w:rPr>
                <w:sz w:val="16"/>
              </w:rPr>
              <w:t>Other Opioids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Alcohol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9"/>
              <w:rPr>
                <w:sz w:val="16"/>
              </w:rPr>
            </w:pPr>
            <w:r>
              <w:rPr>
                <w:sz w:val="16"/>
              </w:rPr>
              <w:t>Other Sedatives/Hypnotics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7" w:right="167"/>
              <w:rPr>
                <w:sz w:val="16"/>
              </w:rPr>
            </w:pPr>
            <w:r>
              <w:rPr>
                <w:sz w:val="16"/>
              </w:rPr>
              <w:t>Crack/Cocaine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Other Stimulants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2008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34,299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23.0%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93.5%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22.2%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4.4%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39.3%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23.7%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44.7%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2.9%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2009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37,381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23.5%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94.3%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25.4%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38.3%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26.9%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39.0%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2.8%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2010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41,086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22.2%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93.5%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25.9%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3.3%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36.3%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26.6%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35.9%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2.6%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2011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39,658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22.4%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92.2%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29.1%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3.4%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36.8%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29.3%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38.0%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3.1%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2012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43,032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22.9%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93.4%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28.0%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3.6%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35.7%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29.4%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36.9%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3.2%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2013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46,438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23.5%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94.5%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21.9%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4.8%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34.9%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27.3%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35.0%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3.8%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2014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52,943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21.4%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95.1%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17.1%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3.9%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32.8%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26.6%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33.5%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4.3%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2015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48,822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21.2%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95.7%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14.6%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33.4%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24.6%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32.5%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4.6%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2016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48,236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21.5%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95.5%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13.3%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34.2%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23.5%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35.0%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4.9%</w:t>
            </w:r>
          </w:p>
        </w:tc>
      </w:tr>
      <w:tr w:rsidR="001779B2">
        <w:trPr>
          <w:trHeight w:hRule="exact" w:val="304"/>
        </w:trPr>
        <w:tc>
          <w:tcPr>
            <w:tcW w:w="890" w:type="dxa"/>
          </w:tcPr>
          <w:p w:rsidR="001779B2" w:rsidRDefault="00F21BE4">
            <w:pPr>
              <w:pStyle w:val="TableParagraph"/>
              <w:ind w:left="127" w:right="127"/>
              <w:rPr>
                <w:sz w:val="16"/>
              </w:rPr>
            </w:pPr>
            <w:r>
              <w:rPr>
                <w:sz w:val="16"/>
              </w:rPr>
              <w:t>FY 2017</w:t>
            </w:r>
          </w:p>
        </w:tc>
        <w:tc>
          <w:tcPr>
            <w:tcW w:w="1617" w:type="dxa"/>
          </w:tcPr>
          <w:p w:rsidR="001779B2" w:rsidRDefault="00F21BE4">
            <w:pPr>
              <w:pStyle w:val="TableParagraph"/>
              <w:ind w:left="535" w:right="536"/>
              <w:rPr>
                <w:sz w:val="16"/>
              </w:rPr>
            </w:pPr>
            <w:r>
              <w:rPr>
                <w:sz w:val="16"/>
              </w:rPr>
              <w:t>47,685</w:t>
            </w:r>
          </w:p>
        </w:tc>
        <w:tc>
          <w:tcPr>
            <w:tcW w:w="1170" w:type="dxa"/>
          </w:tcPr>
          <w:p w:rsidR="001779B2" w:rsidRDefault="00F21BE4">
            <w:pPr>
              <w:pStyle w:val="TableParagraph"/>
              <w:ind w:left="149" w:right="150"/>
              <w:rPr>
                <w:sz w:val="16"/>
              </w:rPr>
            </w:pPr>
            <w:r>
              <w:rPr>
                <w:sz w:val="16"/>
              </w:rPr>
              <w:t>21.2%</w:t>
            </w:r>
          </w:p>
        </w:tc>
        <w:tc>
          <w:tcPr>
            <w:tcW w:w="761" w:type="dxa"/>
          </w:tcPr>
          <w:p w:rsidR="001779B2" w:rsidRDefault="00F21BE4">
            <w:pPr>
              <w:pStyle w:val="TableParagraph"/>
              <w:ind w:left="117" w:right="117"/>
              <w:rPr>
                <w:sz w:val="16"/>
              </w:rPr>
            </w:pPr>
            <w:r>
              <w:rPr>
                <w:sz w:val="16"/>
              </w:rPr>
              <w:t>94.3%</w:t>
            </w:r>
          </w:p>
        </w:tc>
        <w:tc>
          <w:tcPr>
            <w:tcW w:w="1359" w:type="dxa"/>
          </w:tcPr>
          <w:p w:rsidR="001779B2" w:rsidRDefault="00F21BE4">
            <w:pPr>
              <w:pStyle w:val="TableParagraph"/>
              <w:ind w:left="164" w:right="164"/>
              <w:rPr>
                <w:sz w:val="16"/>
              </w:rPr>
            </w:pPr>
            <w:r>
              <w:rPr>
                <w:sz w:val="16"/>
              </w:rPr>
              <w:t>12.7%</w:t>
            </w:r>
          </w:p>
        </w:tc>
        <w:tc>
          <w:tcPr>
            <w:tcW w:w="748" w:type="dxa"/>
          </w:tcPr>
          <w:p w:rsidR="001779B2" w:rsidRDefault="00F21BE4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z w:val="16"/>
              </w:rPr>
              <w:t>3.4%</w:t>
            </w:r>
          </w:p>
        </w:tc>
        <w:tc>
          <w:tcPr>
            <w:tcW w:w="807" w:type="dxa"/>
          </w:tcPr>
          <w:p w:rsidR="001779B2" w:rsidRDefault="00F21BE4">
            <w:pPr>
              <w:pStyle w:val="TableParagraph"/>
              <w:ind w:left="120" w:right="120"/>
              <w:rPr>
                <w:sz w:val="16"/>
              </w:rPr>
            </w:pPr>
            <w:r>
              <w:rPr>
                <w:sz w:val="16"/>
              </w:rPr>
              <w:t>34.7%</w:t>
            </w:r>
          </w:p>
        </w:tc>
        <w:tc>
          <w:tcPr>
            <w:tcW w:w="2425" w:type="dxa"/>
          </w:tcPr>
          <w:p w:rsidR="001779B2" w:rsidRDefault="00F21BE4">
            <w:pPr>
              <w:pStyle w:val="TableParagraph"/>
              <w:ind w:left="248" w:right="248"/>
              <w:rPr>
                <w:sz w:val="16"/>
              </w:rPr>
            </w:pPr>
            <w:r>
              <w:rPr>
                <w:sz w:val="16"/>
              </w:rPr>
              <w:t>24.1%</w:t>
            </w:r>
          </w:p>
        </w:tc>
        <w:tc>
          <w:tcPr>
            <w:tcW w:w="1398" w:type="dxa"/>
          </w:tcPr>
          <w:p w:rsidR="001779B2" w:rsidRDefault="00F21BE4">
            <w:pPr>
              <w:pStyle w:val="TableParagraph"/>
              <w:ind w:left="166" w:right="167"/>
              <w:rPr>
                <w:sz w:val="16"/>
              </w:rPr>
            </w:pPr>
            <w:r>
              <w:rPr>
                <w:sz w:val="16"/>
              </w:rPr>
              <w:t>39.8%</w:t>
            </w:r>
          </w:p>
        </w:tc>
        <w:tc>
          <w:tcPr>
            <w:tcW w:w="1615" w:type="dxa"/>
          </w:tcPr>
          <w:p w:rsidR="001779B2" w:rsidRDefault="00F21BE4">
            <w:pPr>
              <w:pStyle w:val="TableParagraph"/>
              <w:ind w:left="184" w:right="185"/>
              <w:rPr>
                <w:sz w:val="16"/>
              </w:rPr>
            </w:pPr>
            <w:r>
              <w:rPr>
                <w:sz w:val="16"/>
              </w:rPr>
              <w:t>5.8%</w:t>
            </w:r>
          </w:p>
        </w:tc>
      </w:tr>
    </w:tbl>
    <w:p w:rsidR="001779B2" w:rsidRDefault="00F21BE4">
      <w:pPr>
        <w:spacing w:before="75"/>
        <w:ind w:left="175"/>
        <w:rPr>
          <w:b/>
          <w:sz w:val="16"/>
        </w:rPr>
      </w:pPr>
      <w:r>
        <w:pict>
          <v:group id="_x0000_s1036" style="position:absolute;left:0;text-align:left;margin-left:36pt;margin-top:36pt;width:9in;height:91.5pt;z-index:-44368;mso-position-horizontal-relative:page;mso-position-vertical-relative:page" coordorigin="720,720" coordsize="12960,1830">
            <v:rect id="_x0000_s1038" style="position:absolute;left:788;top:787;width:12825;height:1695" filled="f" strokecolor="navy" strokeweight="2.25pt"/>
            <v:rect id="_x0000_s1037" style="position:absolute;left:743;top:742;width:12915;height:1785" filled="f" strokecolor="green" strokeweight="2.2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.75pt;margin-top:0;width:641pt;height:407.55pt;z-index:1096;mso-position-horizontal-relative:page;mso-position-vertical-relative:page" filled="f" stroked="f">
            <v:textbox style="mso-next-textbox:#_x0000_s1035"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90"/>
                    <w:gridCol w:w="1617"/>
                    <w:gridCol w:w="1170"/>
                    <w:gridCol w:w="761"/>
                    <w:gridCol w:w="1359"/>
                    <w:gridCol w:w="748"/>
                    <w:gridCol w:w="807"/>
                    <w:gridCol w:w="2425"/>
                    <w:gridCol w:w="1398"/>
                    <w:gridCol w:w="1615"/>
                  </w:tblGrid>
                  <w:tr w:rsidR="001779B2">
                    <w:trPr>
                      <w:trHeight w:hRule="exact" w:val="4493"/>
                    </w:trPr>
                    <w:tc>
                      <w:tcPr>
                        <w:tcW w:w="12790" w:type="dxa"/>
                        <w:gridSpan w:val="10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1779B2" w:rsidRDefault="001779B2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779B2" w:rsidRDefault="001779B2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779B2" w:rsidRDefault="001779B2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779B2" w:rsidRDefault="00F21BE4">
                        <w:pPr>
                          <w:pStyle w:val="TableParagraph"/>
                          <w:spacing w:before="186"/>
                          <w:ind w:left="4060" w:right="40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Description of Admissions</w:t>
                        </w:r>
                      </w:p>
                      <w:p w:rsidR="001779B2" w:rsidRDefault="00F21BE4">
                        <w:pPr>
                          <w:pStyle w:val="TableParagraph"/>
                          <w:spacing w:before="0"/>
                          <w:ind w:left="4061" w:right="40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Fact Sheet - Persons Who Inject Drugs FY 2017</w:t>
                        </w:r>
                      </w:p>
                      <w:p w:rsidR="001779B2" w:rsidRDefault="001779B2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779B2" w:rsidRDefault="001779B2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1779B2" w:rsidRDefault="001779B2">
                        <w:pPr>
                          <w:pStyle w:val="TableParagraph"/>
                          <w:spacing w:before="9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1779B2" w:rsidRDefault="00F21BE4">
                        <w:pPr>
                          <w:pStyle w:val="TableParagraph"/>
                          <w:spacing w:before="0"/>
                          <w:ind w:left="4060" w:right="40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Substance Use Trends</w:t>
                        </w:r>
                      </w:p>
                      <w:p w:rsidR="001779B2" w:rsidRDefault="00F21BE4">
                        <w:pPr>
                          <w:pStyle w:val="TableParagraph"/>
                          <w:spacing w:before="150"/>
                          <w:ind w:left="-1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Primary Substance of Use</w:t>
                        </w:r>
                      </w:p>
                      <w:p w:rsidR="001779B2" w:rsidRDefault="00F21BE4">
                        <w:pPr>
                          <w:pStyle w:val="TableParagraph"/>
                          <w:spacing w:before="0"/>
                          <w:ind w:left="-1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Table 1 provides a summary of the "primary drug" reported at admission.</w:t>
                        </w:r>
                      </w:p>
                      <w:p w:rsidR="001779B2" w:rsidRDefault="00F21BE4">
                        <w:pPr>
                          <w:pStyle w:val="TableParagraph"/>
                          <w:spacing w:before="150"/>
                          <w:ind w:left="4059" w:right="40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Table 1</w:t>
                        </w:r>
                      </w:p>
                      <w:p w:rsidR="001779B2" w:rsidRDefault="00F21BE4">
                        <w:pPr>
                          <w:pStyle w:val="TableParagraph"/>
                          <w:spacing w:before="1"/>
                          <w:ind w:left="4059" w:right="40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Primary Drug Trend: FY 2008 - FY 2017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  <w:vMerge w:val="restart"/>
                      </w:tcPr>
                      <w:p w:rsidR="001779B2" w:rsidRDefault="001779B2"/>
                    </w:tc>
                    <w:tc>
                      <w:tcPr>
                        <w:tcW w:w="1617" w:type="dxa"/>
                        <w:vMerge w:val="restart"/>
                      </w:tcPr>
                      <w:p w:rsidR="001779B2" w:rsidRDefault="001779B2">
                        <w:pPr>
                          <w:pStyle w:val="TableParagraph"/>
                          <w:spacing w:before="3"/>
                          <w:jc w:val="left"/>
                          <w:rPr>
                            <w:i/>
                            <w:sz w:val="16"/>
                          </w:rPr>
                        </w:pPr>
                      </w:p>
                      <w:p w:rsidR="001779B2" w:rsidRDefault="00F21BE4">
                        <w:pPr>
                          <w:pStyle w:val="TableParagraph"/>
                          <w:spacing w:before="1"/>
                          <w:ind w:left="2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Admissions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Marijuana</w:t>
                        </w:r>
                      </w:p>
                    </w:tc>
                    <w:tc>
                      <w:tcPr>
                        <w:tcW w:w="2120" w:type="dxa"/>
                        <w:gridSpan w:val="2"/>
                      </w:tcPr>
                      <w:p w:rsidR="001779B2" w:rsidRDefault="00F21BE4">
                        <w:pPr>
                          <w:pStyle w:val="TableParagraph"/>
                          <w:ind w:left="728" w:right="7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Opioids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3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</w:p>
                    </w:tc>
                    <w:tc>
                      <w:tcPr>
                        <w:tcW w:w="3232" w:type="dxa"/>
                        <w:gridSpan w:val="2"/>
                      </w:tcPr>
                      <w:p w:rsidR="001779B2" w:rsidRDefault="00F21BE4">
                        <w:pPr>
                          <w:pStyle w:val="TableParagraph"/>
                          <w:ind w:left="772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Sedatives/Hypnotics</w:t>
                        </w:r>
                      </w:p>
                    </w:tc>
                    <w:tc>
                      <w:tcPr>
                        <w:tcW w:w="3013" w:type="dxa"/>
                        <w:gridSpan w:val="2"/>
                      </w:tcPr>
                      <w:p w:rsidR="001779B2" w:rsidRDefault="00F21BE4">
                        <w:pPr>
                          <w:pStyle w:val="TableParagraph"/>
                          <w:ind w:left="1042" w:right="104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Stimulants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  <w:vMerge/>
                      </w:tcPr>
                      <w:p w:rsidR="001779B2" w:rsidRDefault="001779B2"/>
                    </w:tc>
                    <w:tc>
                      <w:tcPr>
                        <w:tcW w:w="1617" w:type="dxa"/>
                        <w:vMerge/>
                      </w:tcPr>
                      <w:p w:rsidR="001779B2" w:rsidRDefault="001779B2"/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Marijuana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Heroin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Opioids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6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20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Sedatives/Hypnotics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Crack/Cocaine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Stimulants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2008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34,443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86.3%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2009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37,474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85.8%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2010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41,179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84.9%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2011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39,757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82.9%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2012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43,111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85.3%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2013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46,580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88.4%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2014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53,077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89.4%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2015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48,943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89.5%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2016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48,399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89.1%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0.3%</w:t>
                        </w:r>
                      </w:p>
                    </w:tc>
                  </w:tr>
                  <w:tr w:rsidR="001779B2">
                    <w:trPr>
                      <w:trHeight w:hRule="exact" w:val="304"/>
                    </w:trPr>
                    <w:tc>
                      <w:tcPr>
                        <w:tcW w:w="890" w:type="dxa"/>
                      </w:tcPr>
                      <w:p w:rsidR="001779B2" w:rsidRDefault="00F21BE4">
                        <w:pPr>
                          <w:pStyle w:val="TableParagraph"/>
                          <w:ind w:left="127" w:righ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2017</w:t>
                        </w:r>
                      </w:p>
                    </w:tc>
                    <w:tc>
                      <w:tcPr>
                        <w:tcW w:w="1617" w:type="dxa"/>
                      </w:tcPr>
                      <w:p w:rsidR="001779B2" w:rsidRDefault="00F21BE4">
                        <w:pPr>
                          <w:pStyle w:val="TableParagraph"/>
                          <w:ind w:left="535" w:righ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47,847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779B2" w:rsidRDefault="00F21BE4">
                        <w:pPr>
                          <w:pStyle w:val="TableParagraph"/>
                          <w:ind w:left="149" w:righ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  <w:tc>
                      <w:tcPr>
                        <w:tcW w:w="761" w:type="dxa"/>
                      </w:tcPr>
                      <w:p w:rsidR="001779B2" w:rsidRDefault="00F21BE4">
                        <w:pPr>
                          <w:pStyle w:val="TableParagraph"/>
                          <w:ind w:left="117" w:righ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86.5%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1779B2" w:rsidRDefault="00F21BE4">
                        <w:pPr>
                          <w:pStyle w:val="TableParagraph"/>
                          <w:ind w:left="164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1.8%</w:t>
                        </w:r>
                      </w:p>
                    </w:tc>
                    <w:tc>
                      <w:tcPr>
                        <w:tcW w:w="748" w:type="dxa"/>
                      </w:tcPr>
                      <w:p w:rsidR="001779B2" w:rsidRDefault="00F21BE4">
                        <w:pPr>
                          <w:pStyle w:val="TableParagraph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0.2%</w:t>
                        </w:r>
                      </w:p>
                    </w:tc>
                    <w:tc>
                      <w:tcPr>
                        <w:tcW w:w="807" w:type="dxa"/>
                      </w:tcPr>
                      <w:p w:rsidR="001779B2" w:rsidRDefault="00F21BE4">
                        <w:pPr>
                          <w:pStyle w:val="TableParagraph"/>
                          <w:ind w:left="119" w:righ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6.0%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1779B2" w:rsidRDefault="00F21BE4">
                        <w:pPr>
                          <w:pStyle w:val="TableParagraph"/>
                          <w:ind w:left="248" w:right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1.3%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1779B2" w:rsidRDefault="00F21BE4">
                        <w:pPr>
                          <w:pStyle w:val="TableParagraph"/>
                          <w:ind w:left="167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3.3%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1779B2" w:rsidRDefault="00F21BE4">
                        <w:pPr>
                          <w:pStyle w:val="TableParagraph"/>
                          <w:ind w:left="184" w:righ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0.5%</w:t>
                        </w:r>
                      </w:p>
                    </w:tc>
                  </w:tr>
                </w:tbl>
                <w:p w:rsidR="001779B2" w:rsidRDefault="001779B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b/>
          <w:sz w:val="16"/>
        </w:rPr>
        <w:t>- Drug Categories:</w:t>
      </w:r>
    </w:p>
    <w:p w:rsidR="001779B2" w:rsidRDefault="00F21BE4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Opioids </w:t>
      </w:r>
      <w:r>
        <w:rPr>
          <w:i/>
          <w:sz w:val="16"/>
        </w:rPr>
        <w:t>includes: Prescription and Non Prescription Opioids.</w:t>
      </w:r>
    </w:p>
    <w:p w:rsidR="001779B2" w:rsidRDefault="00F21BE4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</w:t>
      </w:r>
      <w:r>
        <w:rPr>
          <w:i/>
          <w:sz w:val="16"/>
        </w:rPr>
        <w:t>includes: PCP, Other Hallucinogens, Inhalants, OTC, and Other.</w:t>
      </w:r>
    </w:p>
    <w:p w:rsidR="001779B2" w:rsidRDefault="00F21BE4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Sedatives/Hypnotics </w:t>
      </w:r>
      <w:r>
        <w:rPr>
          <w:i/>
          <w:sz w:val="16"/>
        </w:rPr>
        <w:t>includes: Benzodiazepines, Other Tranquilizers, Barbituates, and Other Sedatives.</w:t>
      </w:r>
    </w:p>
    <w:p w:rsidR="001779B2" w:rsidRDefault="00F21BE4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Stimulants </w:t>
      </w:r>
      <w:r>
        <w:rPr>
          <w:i/>
          <w:sz w:val="16"/>
        </w:rPr>
        <w:t>includes: Methamphetamine, Other Amphetamines, Other Stimulants, and</w:t>
      </w:r>
      <w:r>
        <w:rPr>
          <w:i/>
          <w:sz w:val="16"/>
        </w:rPr>
        <w:t xml:space="preserve"> Club Drugs.</w:t>
      </w:r>
    </w:p>
    <w:p w:rsidR="001779B2" w:rsidRDefault="00F21BE4">
      <w:pPr>
        <w:spacing w:before="1"/>
        <w:ind w:left="175"/>
        <w:rPr>
          <w:i/>
          <w:sz w:val="16"/>
        </w:rPr>
      </w:pPr>
      <w:r>
        <w:rPr>
          <w:i/>
          <w:sz w:val="16"/>
        </w:rPr>
        <w:t>- The total admissions reported in this table may vary from the total admissions for persons who inject drugs; for additional information, please refer to the appendix.</w:t>
      </w:r>
    </w:p>
    <w:p w:rsidR="001779B2" w:rsidRDefault="00F21BE4">
      <w:pPr>
        <w:spacing w:before="1"/>
        <w:ind w:left="175"/>
        <w:rPr>
          <w:i/>
          <w:sz w:val="16"/>
        </w:rPr>
      </w:pPr>
      <w:r>
        <w:rPr>
          <w:i/>
          <w:sz w:val="16"/>
        </w:rPr>
        <w:t>* Poly-substance use refers to either the use of multiple substances at th</w:t>
      </w:r>
      <w:r>
        <w:rPr>
          <w:i/>
          <w:sz w:val="16"/>
        </w:rPr>
        <w:t>e same time, or the use of multiple substances during a specified time frame.</w:t>
      </w:r>
    </w:p>
    <w:p w:rsidR="001779B2" w:rsidRDefault="001779B2">
      <w:pPr>
        <w:rPr>
          <w:sz w:val="16"/>
        </w:rPr>
        <w:sectPr w:rsidR="001779B2" w:rsidSect="00F21BE4">
          <w:pgSz w:w="14400" w:h="18440"/>
          <w:pgMar w:top="0" w:right="600" w:bottom="860" w:left="620" w:header="0" w:footer="661" w:gutter="0"/>
          <w:pgBorders w:offsetFrom="page">
            <w:bottom w:val="double" w:sz="4" w:space="24" w:color="auto"/>
          </w:pgBorders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954"/>
        <w:gridCol w:w="905"/>
        <w:gridCol w:w="1085"/>
        <w:gridCol w:w="964"/>
        <w:gridCol w:w="1290"/>
        <w:gridCol w:w="1034"/>
        <w:gridCol w:w="1029"/>
        <w:gridCol w:w="916"/>
        <w:gridCol w:w="1017"/>
        <w:gridCol w:w="816"/>
        <w:gridCol w:w="816"/>
        <w:gridCol w:w="934"/>
      </w:tblGrid>
      <w:tr w:rsidR="001779B2">
        <w:trPr>
          <w:trHeight w:hRule="exact" w:val="4493"/>
        </w:trPr>
        <w:tc>
          <w:tcPr>
            <w:tcW w:w="12790" w:type="dxa"/>
            <w:gridSpan w:val="13"/>
            <w:tcBorders>
              <w:top w:val="nil"/>
              <w:left w:val="nil"/>
              <w:right w:val="nil"/>
            </w:tcBorders>
          </w:tcPr>
          <w:p w:rsidR="001779B2" w:rsidRDefault="001779B2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779B2" w:rsidRDefault="00F21BE4">
            <w:pPr>
              <w:pStyle w:val="TableParagraph"/>
              <w:spacing w:before="186"/>
              <w:ind w:left="4060" w:right="406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</w:t>
            </w:r>
          </w:p>
          <w:p w:rsidR="001779B2" w:rsidRDefault="00F21BE4">
            <w:pPr>
              <w:pStyle w:val="TableParagraph"/>
              <w:spacing w:before="0"/>
              <w:ind w:left="4061" w:right="4060"/>
              <w:rPr>
                <w:b/>
                <w:sz w:val="24"/>
              </w:rPr>
            </w:pPr>
            <w:r>
              <w:rPr>
                <w:b/>
                <w:sz w:val="24"/>
              </w:rPr>
              <w:t>Fact Sheet - Persons Who Inject Drugs FY 2017</w:t>
            </w:r>
          </w:p>
          <w:p w:rsidR="001779B2" w:rsidRDefault="001779B2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779B2" w:rsidRDefault="001779B2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1779B2" w:rsidRDefault="001779B2">
            <w:pPr>
              <w:pStyle w:val="TableParagraph"/>
              <w:spacing w:before="9"/>
              <w:jc w:val="left"/>
              <w:rPr>
                <w:i/>
                <w:sz w:val="24"/>
              </w:rPr>
            </w:pPr>
          </w:p>
          <w:p w:rsidR="001779B2" w:rsidRDefault="00F21BE4">
            <w:pPr>
              <w:pStyle w:val="TableParagraph"/>
              <w:spacing w:before="0"/>
              <w:ind w:left="4060" w:right="4060"/>
              <w:rPr>
                <w:b/>
              </w:rPr>
            </w:pPr>
            <w:r>
              <w:rPr>
                <w:b/>
              </w:rPr>
              <w:t>Service Utilization</w:t>
            </w:r>
          </w:p>
          <w:p w:rsidR="001779B2" w:rsidRDefault="00F21BE4">
            <w:pPr>
              <w:pStyle w:val="TableParagraph"/>
              <w:spacing w:before="150"/>
              <w:ind w:left="-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Service Utilization</w:t>
            </w:r>
          </w:p>
          <w:p w:rsidR="001779B2" w:rsidRDefault="00F21BE4">
            <w:pPr>
              <w:pStyle w:val="TableParagraph"/>
              <w:spacing w:before="0"/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>Table 3 contains a list of the types of services utilized by persons who inject drugs.</w:t>
            </w:r>
          </w:p>
          <w:p w:rsidR="001779B2" w:rsidRDefault="00F21BE4">
            <w:pPr>
              <w:pStyle w:val="TableParagraph"/>
              <w:spacing w:before="150"/>
              <w:ind w:left="4059" w:right="4060"/>
              <w:rPr>
                <w:b/>
                <w:sz w:val="16"/>
              </w:rPr>
            </w:pPr>
            <w:r>
              <w:rPr>
                <w:b/>
                <w:sz w:val="16"/>
              </w:rPr>
              <w:t>Table 3</w:t>
            </w:r>
          </w:p>
          <w:p w:rsidR="001779B2" w:rsidRDefault="00F21BE4">
            <w:pPr>
              <w:pStyle w:val="TableParagraph"/>
              <w:spacing w:before="1"/>
              <w:ind w:left="4060" w:right="4060"/>
              <w:rPr>
                <w:b/>
                <w:sz w:val="16"/>
              </w:rPr>
            </w:pPr>
            <w:r>
              <w:rPr>
                <w:b/>
                <w:sz w:val="16"/>
              </w:rPr>
              <w:t>Service Category Trend: FY 2008 - FY 2017</w:t>
            </w:r>
          </w:p>
        </w:tc>
      </w:tr>
      <w:tr w:rsidR="001779B2">
        <w:trPr>
          <w:trHeight w:hRule="exact" w:val="692"/>
        </w:trPr>
        <w:tc>
          <w:tcPr>
            <w:tcW w:w="1030" w:type="dxa"/>
          </w:tcPr>
          <w:p w:rsidR="001779B2" w:rsidRDefault="001779B2"/>
        </w:tc>
        <w:tc>
          <w:tcPr>
            <w:tcW w:w="954" w:type="dxa"/>
          </w:tcPr>
          <w:p w:rsidR="001779B2" w:rsidRDefault="00F21BE4">
            <w:pPr>
              <w:pStyle w:val="TableParagraph"/>
              <w:ind w:left="75" w:right="56" w:firstLine="214"/>
              <w:jc w:val="left"/>
              <w:rPr>
                <w:sz w:val="16"/>
              </w:rPr>
            </w:pPr>
            <w:r>
              <w:rPr>
                <w:sz w:val="16"/>
              </w:rPr>
              <w:t>Total Admissions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75" w:right="73" w:firstLine="1"/>
              <w:rPr>
                <w:sz w:val="16"/>
              </w:rPr>
            </w:pPr>
            <w:r>
              <w:rPr>
                <w:sz w:val="16"/>
              </w:rPr>
              <w:t>Acute Treatment Services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75" w:right="55" w:firstLine="289"/>
              <w:jc w:val="left"/>
              <w:rPr>
                <w:sz w:val="16"/>
              </w:rPr>
            </w:pPr>
            <w:r>
              <w:rPr>
                <w:sz w:val="16"/>
              </w:rPr>
              <w:t>Case Management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75" w:right="55" w:firstLine="149"/>
              <w:jc w:val="left"/>
              <w:rPr>
                <w:sz w:val="16"/>
              </w:rPr>
            </w:pPr>
            <w:r>
              <w:rPr>
                <w:sz w:val="16"/>
              </w:rPr>
              <w:t>County Corrections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201" w:right="148" w:hanging="33"/>
              <w:jc w:val="left"/>
              <w:rPr>
                <w:sz w:val="16"/>
              </w:rPr>
            </w:pPr>
            <w:r>
              <w:rPr>
                <w:sz w:val="16"/>
              </w:rPr>
              <w:t>Engagement, Assessment and Referral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Intervention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125" w:right="122"/>
              <w:rPr>
                <w:sz w:val="16"/>
              </w:rPr>
            </w:pPr>
            <w:r>
              <w:rPr>
                <w:sz w:val="16"/>
              </w:rPr>
              <w:t>Medication Assisted Treatment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Outpatient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75" w:right="56" w:firstLine="42"/>
              <w:jc w:val="left"/>
              <w:rPr>
                <w:sz w:val="16"/>
              </w:rPr>
            </w:pPr>
            <w:r>
              <w:rPr>
                <w:sz w:val="16"/>
              </w:rPr>
              <w:t>Post Detox Stabilization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5" w:right="72"/>
              <w:rPr>
                <w:sz w:val="16"/>
              </w:rPr>
            </w:pPr>
            <w:r>
              <w:rPr>
                <w:sz w:val="16"/>
              </w:rPr>
              <w:t>Recovery High School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120" w:right="56" w:hanging="46"/>
              <w:jc w:val="left"/>
              <w:rPr>
                <w:sz w:val="16"/>
              </w:rPr>
            </w:pPr>
            <w:r>
              <w:rPr>
                <w:sz w:val="16"/>
              </w:rPr>
              <w:t>Recovery Support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Residential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2008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34,356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54.7%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11.5%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15.6%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7.8%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8.0%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2009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37,405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54.6%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1.1%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12.9%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12.0%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10.9%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7.5%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2010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41,125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53.6%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1.1%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0.8%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12.0%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10.4%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14.4%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7.6%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2011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39,700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53.9%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10.5%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15.7%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7.9%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2012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43,071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53.2%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11.1%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10.2%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15.0%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8.5%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2013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46,494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55.2%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10.9%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9.6%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14.2%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8.2%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2014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53,022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57.0%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313"/>
              <w:jc w:val="left"/>
              <w:rPr>
                <w:sz w:val="16"/>
              </w:rPr>
            </w:pPr>
            <w:r>
              <w:rPr>
                <w:sz w:val="16"/>
              </w:rPr>
              <w:t>9.0%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8.7%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15.1%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8.4%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2015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48,940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59.3%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1.2%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313"/>
              <w:jc w:val="left"/>
              <w:rPr>
                <w:sz w:val="16"/>
              </w:rPr>
            </w:pPr>
            <w:r>
              <w:rPr>
                <w:sz w:val="16"/>
              </w:rPr>
              <w:t>4.2%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9.2%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16.4%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8.7%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2016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48,395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57.0%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313"/>
              <w:jc w:val="left"/>
              <w:rPr>
                <w:sz w:val="16"/>
              </w:rPr>
            </w:pPr>
            <w:r>
              <w:rPr>
                <w:sz w:val="16"/>
              </w:rPr>
              <w:t>5.0%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9.3%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17.0%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0.3%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9.4%</w:t>
            </w:r>
          </w:p>
        </w:tc>
      </w:tr>
      <w:tr w:rsidR="001779B2">
        <w:trPr>
          <w:trHeight w:hRule="exact" w:val="304"/>
        </w:trPr>
        <w:tc>
          <w:tcPr>
            <w:tcW w:w="1030" w:type="dxa"/>
          </w:tcPr>
          <w:p w:rsidR="001779B2" w:rsidRDefault="00F21BE4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2017</w:t>
            </w:r>
          </w:p>
        </w:tc>
        <w:tc>
          <w:tcPr>
            <w:tcW w:w="954" w:type="dxa"/>
          </w:tcPr>
          <w:p w:rsidR="001779B2" w:rsidRDefault="00F21BE4">
            <w:pPr>
              <w:pStyle w:val="TableParagraph"/>
              <w:ind w:left="204" w:right="204"/>
              <w:rPr>
                <w:sz w:val="16"/>
              </w:rPr>
            </w:pPr>
            <w:r>
              <w:rPr>
                <w:sz w:val="16"/>
              </w:rPr>
              <w:t>47,839</w:t>
            </w:r>
          </w:p>
        </w:tc>
        <w:tc>
          <w:tcPr>
            <w:tcW w:w="905" w:type="dxa"/>
          </w:tcPr>
          <w:p w:rsidR="001779B2" w:rsidRDefault="00F21BE4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z w:val="16"/>
              </w:rPr>
              <w:t>53.8%</w:t>
            </w:r>
          </w:p>
        </w:tc>
        <w:tc>
          <w:tcPr>
            <w:tcW w:w="1085" w:type="dxa"/>
          </w:tcPr>
          <w:p w:rsidR="001779B2" w:rsidRDefault="00F21BE4">
            <w:pPr>
              <w:pStyle w:val="TableParagraph"/>
              <w:ind w:left="322" w:right="323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964" w:type="dxa"/>
          </w:tcPr>
          <w:p w:rsidR="001779B2" w:rsidRDefault="00F21BE4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  <w:tc>
          <w:tcPr>
            <w:tcW w:w="1290" w:type="dxa"/>
          </w:tcPr>
          <w:p w:rsidR="001779B2" w:rsidRDefault="00F21BE4">
            <w:pPr>
              <w:pStyle w:val="TableParagraph"/>
              <w:ind w:left="445"/>
              <w:jc w:val="lef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29" w:type="dxa"/>
          </w:tcPr>
          <w:p w:rsidR="001779B2" w:rsidRDefault="00F21BE4">
            <w:pPr>
              <w:pStyle w:val="TableParagraph"/>
              <w:ind w:left="313"/>
              <w:jc w:val="left"/>
              <w:rPr>
                <w:sz w:val="16"/>
              </w:rPr>
            </w:pPr>
            <w:r>
              <w:rPr>
                <w:sz w:val="16"/>
              </w:rPr>
              <w:t>7.0%</w:t>
            </w:r>
          </w:p>
        </w:tc>
        <w:tc>
          <w:tcPr>
            <w:tcW w:w="916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8.4%</w:t>
            </w:r>
          </w:p>
        </w:tc>
        <w:tc>
          <w:tcPr>
            <w:tcW w:w="1017" w:type="dxa"/>
          </w:tcPr>
          <w:p w:rsidR="001779B2" w:rsidRDefault="00F21BE4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18.1%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left="72" w:right="7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16" w:type="dxa"/>
          </w:tcPr>
          <w:p w:rsidR="001779B2" w:rsidRDefault="00F21BE4"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1.7%</w:t>
            </w:r>
          </w:p>
        </w:tc>
        <w:tc>
          <w:tcPr>
            <w:tcW w:w="934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9.1%</w:t>
            </w:r>
          </w:p>
        </w:tc>
      </w:tr>
    </w:tbl>
    <w:p w:rsidR="001779B2" w:rsidRDefault="00F21BE4">
      <w:pPr>
        <w:pStyle w:val="ListParagraph"/>
        <w:numPr>
          <w:ilvl w:val="0"/>
          <w:numId w:val="2"/>
        </w:numPr>
        <w:tabs>
          <w:tab w:val="left" w:pos="284"/>
        </w:tabs>
        <w:spacing w:before="75"/>
        <w:ind w:hanging="108"/>
        <w:rPr>
          <w:i/>
          <w:sz w:val="16"/>
        </w:rPr>
      </w:pPr>
      <w:r>
        <w:pict>
          <v:group id="_x0000_s1032" style="position:absolute;left:0;text-align:left;margin-left:36pt;margin-top:36pt;width:9in;height:91.5pt;z-index:-44320;mso-position-horizontal-relative:page;mso-position-vertical-relative:page" coordorigin="720,720" coordsize="12960,1830">
            <v:rect id="_x0000_s1034" style="position:absolute;left:788;top:787;width:12825;height:1695" filled="f" strokecolor="navy" strokeweight="2.25pt"/>
            <v:rect id="_x0000_s1033" style="position:absolute;left:743;top:742;width:12915;height:1785" filled="f" strokecolor="green" strokeweight="2.25pt"/>
            <w10:wrap anchorx="page" anchory="page"/>
          </v:group>
        </w:pic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total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admissions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reported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table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vary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total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admissions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persons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inject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drugs;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additional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information,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please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refer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appendix.</w:t>
      </w:r>
    </w:p>
    <w:p w:rsidR="001779B2" w:rsidRDefault="00F21BE4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Service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types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classified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service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setting.</w:t>
      </w:r>
    </w:p>
    <w:p w:rsidR="001779B2" w:rsidRDefault="00F21BE4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Engagement, Assessment and Referral includes opioid urgent care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centers</w:t>
      </w:r>
    </w:p>
    <w:p w:rsidR="001779B2" w:rsidRDefault="00F21BE4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Medication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Assisted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Treatment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includes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three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FDA-approved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treatments: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methadone,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buprenorphine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extended-release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injectable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naltrexone</w:t>
      </w:r>
    </w:p>
    <w:p w:rsidR="001779B2" w:rsidRDefault="00F21BE4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hanging="108"/>
        <w:rPr>
          <w:i/>
          <w:sz w:val="16"/>
        </w:rPr>
      </w:pPr>
      <w:r>
        <w:rPr>
          <w:i/>
          <w:sz w:val="16"/>
        </w:rPr>
        <w:t>Acute Treatment Services includes acute treatment services and section</w:t>
      </w:r>
      <w:r>
        <w:rPr>
          <w:i/>
          <w:spacing w:val="-31"/>
          <w:sz w:val="16"/>
        </w:rPr>
        <w:t xml:space="preserve"> </w:t>
      </w:r>
      <w:r>
        <w:rPr>
          <w:i/>
          <w:sz w:val="16"/>
        </w:rPr>
        <w:t>35</w:t>
      </w:r>
    </w:p>
    <w:p w:rsidR="001779B2" w:rsidRDefault="001779B2">
      <w:pPr>
        <w:rPr>
          <w:sz w:val="16"/>
        </w:rPr>
        <w:sectPr w:rsidR="001779B2" w:rsidSect="00F21BE4">
          <w:pgSz w:w="14400" w:h="18440"/>
          <w:pgMar w:top="0" w:right="600" w:bottom="920" w:left="620" w:header="0" w:footer="661" w:gutter="0"/>
          <w:pgBorders w:offsetFrom="page">
            <w:bottom w:val="double" w:sz="4" w:space="24" w:color="auto"/>
          </w:pgBorders>
          <w:cols w:space="720"/>
        </w:sectPr>
      </w:pPr>
    </w:p>
    <w:p w:rsidR="001779B2" w:rsidRDefault="00F21BE4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9in;height:91.5pt;mso-position-horizontal-relative:char;mso-position-vertical-relative:line" coordsize="12960,18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40;top:90;width:1619;height:1650">
              <v:imagedata r:id="rId10" o:title=""/>
            </v:shape>
            <v:shape id="_x0000_s1030" type="#_x0000_t75" style="position:absolute;left:10020;top:90;width:2850;height:1650">
              <v:imagedata r:id="rId11" o:title=""/>
            </v:shape>
            <v:rect id="_x0000_s1029" style="position:absolute;left:68;top:68;width:12825;height:1695" filled="f" strokecolor="navy" strokeweight="2.25pt"/>
            <v:rect id="_x0000_s1028" style="position:absolute;left:23;top:23;width:12915;height:1785" filled="f" strokecolor="green" strokeweight="2.25pt"/>
            <v:shape id="_x0000_s1027" type="#_x0000_t202" style="position:absolute;left:45;top:45;width:12870;height:1740" filled="f" stroked="f">
              <v:textbox style="mso-next-textbox:#_x0000_s1027" inset="0,0,0,0">
                <w:txbxContent>
                  <w:p w:rsidR="001779B2" w:rsidRDefault="001779B2">
                    <w:pPr>
                      <w:rPr>
                        <w:i/>
                        <w:sz w:val="36"/>
                      </w:rPr>
                    </w:pPr>
                  </w:p>
                  <w:p w:rsidR="001779B2" w:rsidRDefault="00F21BE4">
                    <w:pPr>
                      <w:ind w:left="4100" w:right="410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Description of Admissions</w:t>
                    </w:r>
                  </w:p>
                  <w:p w:rsidR="001779B2" w:rsidRDefault="00F21BE4">
                    <w:pPr>
                      <w:ind w:left="4100" w:right="410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Fact Sheet - Persons Who Inject Drugs FY 2017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779B2" w:rsidRDefault="001779B2">
      <w:pPr>
        <w:pStyle w:val="BodyText"/>
        <w:spacing w:before="5"/>
        <w:rPr>
          <w:i/>
          <w:sz w:val="12"/>
        </w:rPr>
      </w:pPr>
    </w:p>
    <w:p w:rsidR="001779B2" w:rsidRDefault="001779B2">
      <w:pPr>
        <w:rPr>
          <w:sz w:val="12"/>
        </w:rPr>
        <w:sectPr w:rsidR="001779B2" w:rsidSect="00F21BE4">
          <w:headerReference w:type="default" r:id="rId12"/>
          <w:footerReference w:type="default" r:id="rId13"/>
          <w:pgSz w:w="14400" w:h="18440"/>
          <w:pgMar w:top="720" w:right="600" w:bottom="920" w:left="620" w:header="0" w:footer="721" w:gutter="0"/>
          <w:pgBorders w:offsetFrom="page">
            <w:bottom w:val="double" w:sz="4" w:space="24" w:color="auto"/>
          </w:pgBorders>
          <w:pgNumType w:start="5"/>
          <w:cols w:space="720"/>
        </w:sectPr>
      </w:pPr>
    </w:p>
    <w:p w:rsidR="001779B2" w:rsidRDefault="001779B2">
      <w:pPr>
        <w:pStyle w:val="BodyText"/>
        <w:rPr>
          <w:i/>
          <w:sz w:val="24"/>
        </w:rPr>
      </w:pPr>
    </w:p>
    <w:p w:rsidR="001779B2" w:rsidRDefault="001779B2">
      <w:pPr>
        <w:pStyle w:val="BodyText"/>
        <w:spacing w:before="11"/>
        <w:rPr>
          <w:i/>
          <w:sz w:val="30"/>
        </w:rPr>
      </w:pPr>
    </w:p>
    <w:p w:rsidR="001779B2" w:rsidRDefault="00F21BE4">
      <w:pPr>
        <w:pStyle w:val="Heading1"/>
      </w:pPr>
      <w:r>
        <w:rPr>
          <w:u w:val="single"/>
        </w:rPr>
        <w:t>General Notes</w:t>
      </w:r>
    </w:p>
    <w:p w:rsidR="001779B2" w:rsidRDefault="00F21BE4">
      <w:pPr>
        <w:spacing w:before="100"/>
        <w:ind w:left="175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Appendix</w:t>
      </w:r>
    </w:p>
    <w:p w:rsidR="001779B2" w:rsidRDefault="001779B2">
      <w:pPr>
        <w:rPr>
          <w:sz w:val="28"/>
        </w:rPr>
        <w:sectPr w:rsidR="001779B2" w:rsidSect="00F21BE4">
          <w:type w:val="continuous"/>
          <w:pgSz w:w="14400" w:h="18440"/>
          <w:pgMar w:top="0" w:right="600" w:bottom="860" w:left="620" w:header="720" w:footer="720" w:gutter="0"/>
          <w:pgBorders w:offsetFrom="page">
            <w:bottom w:val="double" w:sz="4" w:space="24" w:color="auto"/>
          </w:pgBorders>
          <w:cols w:num="2" w:space="720" w:equalWidth="0">
            <w:col w:w="1599" w:space="4146"/>
            <w:col w:w="7435"/>
          </w:cols>
        </w:sectPr>
      </w:pPr>
    </w:p>
    <w:p w:rsidR="001779B2" w:rsidRDefault="00F21BE4">
      <w:pPr>
        <w:pStyle w:val="ListParagraph"/>
        <w:numPr>
          <w:ilvl w:val="0"/>
          <w:numId w:val="1"/>
        </w:numPr>
        <w:tabs>
          <w:tab w:val="left" w:pos="297"/>
        </w:tabs>
        <w:spacing w:before="150"/>
        <w:ind w:firstLine="0"/>
        <w:rPr>
          <w:sz w:val="18"/>
        </w:rPr>
      </w:pPr>
      <w:r>
        <w:rPr>
          <w:sz w:val="18"/>
        </w:rPr>
        <w:lastRenderedPageBreak/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protect</w:t>
      </w:r>
      <w:r>
        <w:rPr>
          <w:spacing w:val="-5"/>
          <w:sz w:val="18"/>
        </w:rPr>
        <w:t xml:space="preserve"> </w:t>
      </w:r>
      <w:r>
        <w:rPr>
          <w:sz w:val="18"/>
        </w:rPr>
        <w:t>client</w:t>
      </w:r>
      <w:r>
        <w:rPr>
          <w:spacing w:val="-4"/>
          <w:sz w:val="18"/>
        </w:rPr>
        <w:t xml:space="preserve"> </w:t>
      </w:r>
      <w:r>
        <w:rPr>
          <w:sz w:val="18"/>
        </w:rPr>
        <w:t>confidentiality,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cells</w:t>
      </w:r>
      <w:r>
        <w:rPr>
          <w:spacing w:val="-4"/>
          <w:sz w:val="18"/>
        </w:rPr>
        <w:t xml:space="preserve"> </w:t>
      </w:r>
      <w:r>
        <w:rPr>
          <w:sz w:val="18"/>
        </w:rPr>
        <w:t>containing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fewer</w:t>
      </w:r>
      <w:r>
        <w:rPr>
          <w:spacing w:val="-4"/>
          <w:sz w:val="18"/>
        </w:rPr>
        <w:t xml:space="preserve"> </w:t>
      </w:r>
      <w:r>
        <w:rPr>
          <w:sz w:val="18"/>
        </w:rPr>
        <w:t>counts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suppressed.</w:t>
      </w:r>
    </w:p>
    <w:p w:rsidR="001779B2" w:rsidRDefault="00F21BE4">
      <w:pPr>
        <w:pStyle w:val="ListParagraph"/>
        <w:numPr>
          <w:ilvl w:val="0"/>
          <w:numId w:val="1"/>
        </w:numPr>
        <w:tabs>
          <w:tab w:val="left" w:pos="297"/>
        </w:tabs>
        <w:ind w:left="296" w:hanging="121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clients</w:t>
      </w:r>
      <w:r>
        <w:rPr>
          <w:spacing w:val="-3"/>
          <w:sz w:val="18"/>
        </w:rPr>
        <w:t xml:space="preserve"> </w:t>
      </w:r>
      <w:r>
        <w:rPr>
          <w:sz w:val="18"/>
        </w:rPr>
        <w:t>only;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client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defined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seeking</w:t>
      </w:r>
      <w:r>
        <w:rPr>
          <w:spacing w:val="-3"/>
          <w:sz w:val="18"/>
        </w:rPr>
        <w:t xml:space="preserve"> </w:t>
      </w:r>
      <w:r>
        <w:rPr>
          <w:sz w:val="18"/>
        </w:rPr>
        <w:t>treatment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substance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problem(s).</w:t>
      </w:r>
    </w:p>
    <w:p w:rsidR="001779B2" w:rsidRDefault="00F21BE4">
      <w:pPr>
        <w:pStyle w:val="ListParagraph"/>
        <w:numPr>
          <w:ilvl w:val="0"/>
          <w:numId w:val="1"/>
        </w:numPr>
        <w:tabs>
          <w:tab w:val="left" w:pos="297"/>
        </w:tabs>
        <w:ind w:right="382" w:firstLine="0"/>
        <w:rPr>
          <w:sz w:val="18"/>
        </w:rPr>
      </w:pPr>
      <w:r>
        <w:rPr>
          <w:sz w:val="18"/>
        </w:rPr>
        <w:t>Missing/unknown/not applicable responses are excluded from the data. Therefore, the number of admissions for each category/table may vary from the total number of</w:t>
      </w:r>
      <w:r>
        <w:rPr>
          <w:spacing w:val="-1"/>
          <w:sz w:val="18"/>
        </w:rPr>
        <w:t xml:space="preserve"> </w:t>
      </w:r>
      <w:r>
        <w:rPr>
          <w:sz w:val="18"/>
        </w:rPr>
        <w:t>admissions.</w:t>
      </w:r>
    </w:p>
    <w:p w:rsidR="001779B2" w:rsidRDefault="00F21BE4">
      <w:pPr>
        <w:pStyle w:val="ListParagraph"/>
        <w:numPr>
          <w:ilvl w:val="0"/>
          <w:numId w:val="1"/>
        </w:numPr>
        <w:tabs>
          <w:tab w:val="left" w:pos="297"/>
        </w:tabs>
        <w:ind w:right="214" w:firstLine="0"/>
        <w:rPr>
          <w:sz w:val="18"/>
        </w:rPr>
      </w:pPr>
      <w:r>
        <w:rPr>
          <w:sz w:val="18"/>
        </w:rPr>
        <w:t>In 2014, a new system of reporting was adopted by some Methadone treatment provid</w:t>
      </w:r>
      <w:r>
        <w:rPr>
          <w:sz w:val="18"/>
        </w:rPr>
        <w:t>ers. Due to this system change, the reported enrollment numbers for FY 2014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higher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actual</w:t>
      </w:r>
      <w:r>
        <w:rPr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enrollments.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influences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assessment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captured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trend</w:t>
      </w:r>
      <w:r>
        <w:rPr>
          <w:spacing w:val="-2"/>
          <w:sz w:val="18"/>
        </w:rPr>
        <w:t xml:space="preserve"> </w:t>
      </w:r>
      <w:r>
        <w:rPr>
          <w:sz w:val="18"/>
        </w:rPr>
        <w:t>tables</w:t>
      </w:r>
      <w:r>
        <w:rPr>
          <w:spacing w:val="-2"/>
          <w:sz w:val="18"/>
        </w:rPr>
        <w:t xml:space="preserve"> </w:t>
      </w:r>
      <w:r>
        <w:rPr>
          <w:sz w:val="18"/>
        </w:rPr>
        <w:t>starting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2014</w:t>
      </w:r>
      <w:r>
        <w:rPr>
          <w:spacing w:val="-2"/>
          <w:sz w:val="18"/>
        </w:rPr>
        <w:t xml:space="preserve"> </w:t>
      </w:r>
      <w:r>
        <w:rPr>
          <w:sz w:val="18"/>
        </w:rPr>
        <w:t>onward.</w:t>
      </w:r>
    </w:p>
    <w:p w:rsidR="001779B2" w:rsidRDefault="00F21BE4">
      <w:pPr>
        <w:pStyle w:val="ListParagraph"/>
        <w:numPr>
          <w:ilvl w:val="0"/>
          <w:numId w:val="1"/>
        </w:numPr>
        <w:tabs>
          <w:tab w:val="left" w:pos="297"/>
        </w:tabs>
        <w:ind w:left="296" w:hanging="121"/>
        <w:rPr>
          <w:sz w:val="18"/>
        </w:rPr>
      </w:pPr>
      <w:r>
        <w:rPr>
          <w:sz w:val="18"/>
        </w:rPr>
        <w:t>Homelessness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determined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client's</w:t>
      </w:r>
      <w:r>
        <w:rPr>
          <w:spacing w:val="-3"/>
          <w:sz w:val="18"/>
        </w:rPr>
        <w:t xml:space="preserve"> </w:t>
      </w:r>
      <w:r>
        <w:rPr>
          <w:sz w:val="18"/>
        </w:rPr>
        <w:t>housing</w:t>
      </w:r>
      <w:r>
        <w:rPr>
          <w:spacing w:val="-4"/>
          <w:sz w:val="18"/>
        </w:rPr>
        <w:t xml:space="preserve"> </w:t>
      </w:r>
      <w:r>
        <w:rPr>
          <w:sz w:val="18"/>
        </w:rPr>
        <w:t>disposition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enrollment.</w:t>
      </w:r>
    </w:p>
    <w:p w:rsidR="001779B2" w:rsidRDefault="00F21BE4">
      <w:pPr>
        <w:pStyle w:val="ListParagraph"/>
        <w:numPr>
          <w:ilvl w:val="0"/>
          <w:numId w:val="1"/>
        </w:numPr>
        <w:tabs>
          <w:tab w:val="left" w:pos="297"/>
        </w:tabs>
        <w:spacing w:line="213" w:lineRule="exact"/>
        <w:ind w:left="296" w:hanging="121"/>
        <w:rPr>
          <w:sz w:val="18"/>
        </w:rPr>
      </w:pP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updates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definitions,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fact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similar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published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years.</w:t>
      </w:r>
    </w:p>
    <w:p w:rsidR="001779B2" w:rsidRDefault="00F21BE4">
      <w:pPr>
        <w:pStyle w:val="ListParagraph"/>
        <w:numPr>
          <w:ilvl w:val="0"/>
          <w:numId w:val="1"/>
        </w:numPr>
        <w:tabs>
          <w:tab w:val="left" w:pos="297"/>
        </w:tabs>
        <w:spacing w:line="219" w:lineRule="exact"/>
        <w:ind w:left="296" w:hanging="121"/>
        <w:rPr>
          <w:sz w:val="16"/>
        </w:rPr>
      </w:pPr>
      <w:r>
        <w:rPr>
          <w:sz w:val="18"/>
        </w:rPr>
        <w:t>Data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definitions</w:t>
      </w:r>
      <w:r>
        <w:rPr>
          <w:spacing w:val="-9"/>
          <w:sz w:val="18"/>
        </w:rPr>
        <w:t xml:space="preserve"> </w:t>
      </w:r>
      <w:r>
        <w:rPr>
          <w:sz w:val="18"/>
        </w:rPr>
        <w:t>used</w:t>
      </w:r>
      <w:r>
        <w:rPr>
          <w:spacing w:val="-9"/>
          <w:sz w:val="18"/>
        </w:rPr>
        <w:t xml:space="preserve"> </w:t>
      </w:r>
      <w:r>
        <w:rPr>
          <w:sz w:val="18"/>
        </w:rPr>
        <w:t>were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i/>
          <w:sz w:val="19"/>
        </w:rPr>
        <w:t>August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10,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2018</w:t>
      </w:r>
      <w:r>
        <w:rPr>
          <w:sz w:val="16"/>
        </w:rPr>
        <w:t>.</w:t>
      </w:r>
    </w:p>
    <w:p w:rsidR="001779B2" w:rsidRDefault="00F21BE4">
      <w:pPr>
        <w:pStyle w:val="ListParagraph"/>
        <w:numPr>
          <w:ilvl w:val="0"/>
          <w:numId w:val="1"/>
        </w:numPr>
        <w:tabs>
          <w:tab w:val="left" w:pos="297"/>
        </w:tabs>
        <w:spacing w:line="224" w:lineRule="exact"/>
        <w:ind w:left="296" w:hanging="121"/>
        <w:rPr>
          <w:sz w:val="16"/>
        </w:rPr>
      </w:pPr>
      <w:r>
        <w:rPr>
          <w:sz w:val="18"/>
        </w:rPr>
        <w:t>Prepared</w:t>
      </w:r>
      <w:r>
        <w:rPr>
          <w:spacing w:val="-8"/>
          <w:sz w:val="18"/>
        </w:rPr>
        <w:t xml:space="preserve"> </w:t>
      </w:r>
      <w:r>
        <w:rPr>
          <w:sz w:val="18"/>
        </w:rPr>
        <w:t>by:</w:t>
      </w:r>
      <w:r>
        <w:rPr>
          <w:spacing w:val="-8"/>
          <w:sz w:val="18"/>
        </w:rPr>
        <w:t xml:space="preserve"> </w:t>
      </w:r>
      <w:r>
        <w:rPr>
          <w:sz w:val="18"/>
        </w:rPr>
        <w:t>Massachusetts</w:t>
      </w:r>
      <w:r>
        <w:rPr>
          <w:spacing w:val="-10"/>
          <w:sz w:val="18"/>
        </w:rPr>
        <w:t xml:space="preserve"> </w:t>
      </w:r>
      <w:r>
        <w:rPr>
          <w:sz w:val="18"/>
        </w:rPr>
        <w:t>Department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z w:val="18"/>
        </w:rPr>
        <w:t>Health,</w:t>
      </w:r>
      <w:r>
        <w:rPr>
          <w:spacing w:val="-8"/>
          <w:sz w:val="18"/>
        </w:rPr>
        <w:t xml:space="preserve"> </w:t>
      </w:r>
      <w:r>
        <w:rPr>
          <w:sz w:val="18"/>
        </w:rPr>
        <w:t>Bureau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Substance</w:t>
      </w:r>
      <w:r>
        <w:rPr>
          <w:spacing w:val="-8"/>
          <w:sz w:val="18"/>
        </w:rPr>
        <w:t xml:space="preserve"> </w:t>
      </w:r>
      <w:r>
        <w:rPr>
          <w:sz w:val="18"/>
        </w:rPr>
        <w:t>Addiction</w:t>
      </w:r>
      <w:r>
        <w:rPr>
          <w:spacing w:val="-9"/>
          <w:sz w:val="18"/>
        </w:rPr>
        <w:t xml:space="preserve"> </w:t>
      </w:r>
      <w:r>
        <w:rPr>
          <w:sz w:val="18"/>
        </w:rPr>
        <w:t>Services,</w:t>
      </w:r>
      <w:r>
        <w:rPr>
          <w:spacing w:val="-8"/>
          <w:sz w:val="18"/>
        </w:rPr>
        <w:t xml:space="preserve"> </w:t>
      </w:r>
      <w:r>
        <w:rPr>
          <w:sz w:val="18"/>
        </w:rPr>
        <w:t>Office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Statistics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Evaluation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i/>
          <w:sz w:val="19"/>
        </w:rPr>
        <w:t>September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6,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2018</w:t>
      </w:r>
      <w:r>
        <w:rPr>
          <w:sz w:val="16"/>
        </w:rPr>
        <w:t>.</w:t>
      </w:r>
    </w:p>
    <w:p w:rsidR="001779B2" w:rsidRDefault="001779B2">
      <w:pPr>
        <w:pStyle w:val="BodyText"/>
        <w:spacing w:before="8"/>
        <w:rPr>
          <w:sz w:val="24"/>
        </w:rPr>
      </w:pPr>
    </w:p>
    <w:p w:rsidR="001779B2" w:rsidRDefault="00F21BE4">
      <w:pPr>
        <w:pStyle w:val="Heading1"/>
      </w:pPr>
      <w:bookmarkStart w:id="1" w:name="_bookmark0"/>
      <w:bookmarkEnd w:id="1"/>
      <w:r>
        <w:rPr>
          <w:u w:val="single"/>
        </w:rPr>
        <w:t>Not Applicable Values</w:t>
      </w:r>
    </w:p>
    <w:p w:rsidR="001779B2" w:rsidRDefault="00F21BE4">
      <w:pPr>
        <w:pStyle w:val="BodyText"/>
        <w:spacing w:before="150"/>
        <w:ind w:left="175" w:right="477"/>
      </w:pPr>
      <w:r>
        <w:t>The table below shows values that reflect a valid respo</w:t>
      </w:r>
      <w:r>
        <w:t>nse for the element, but were excluded from the percent calculations. Specifically, in the calculation of the % employed, we exclude clients who are not in the labor force and clients who reported an employment status of other.</w:t>
      </w:r>
    </w:p>
    <w:p w:rsidR="001779B2" w:rsidRDefault="001779B2">
      <w:pPr>
        <w:pStyle w:val="BodyText"/>
        <w:spacing w:before="6"/>
        <w:rPr>
          <w:sz w:val="19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1499"/>
        <w:gridCol w:w="1978"/>
      </w:tblGrid>
      <w:tr w:rsidR="001779B2" w:rsidTr="00F21BE4">
        <w:trPr>
          <w:trHeight w:hRule="exact" w:val="304"/>
        </w:trPr>
        <w:tc>
          <w:tcPr>
            <w:tcW w:w="1048" w:type="dxa"/>
          </w:tcPr>
          <w:p w:rsidR="001779B2" w:rsidRDefault="00F21BE4">
            <w:pPr>
              <w:pStyle w:val="TableParagraph"/>
              <w:ind w:left="64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Category</w:t>
            </w:r>
          </w:p>
        </w:tc>
        <w:tc>
          <w:tcPr>
            <w:tcW w:w="1499" w:type="dxa"/>
          </w:tcPr>
          <w:p w:rsidR="001779B2" w:rsidRDefault="00F21BE4">
            <w:pPr>
              <w:pStyle w:val="TableParagraph"/>
              <w:ind w:left="3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Response</w:t>
            </w:r>
          </w:p>
        </w:tc>
        <w:tc>
          <w:tcPr>
            <w:tcW w:w="1978" w:type="dxa"/>
          </w:tcPr>
          <w:p w:rsidR="001779B2" w:rsidRDefault="00F21BE4">
            <w:pPr>
              <w:pStyle w:val="TableParagraph"/>
              <w:ind w:left="55"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% of Total Admissions</w:t>
            </w:r>
          </w:p>
        </w:tc>
      </w:tr>
      <w:tr w:rsidR="001779B2" w:rsidTr="00F21BE4">
        <w:trPr>
          <w:trHeight w:hRule="exact" w:val="304"/>
        </w:trPr>
        <w:tc>
          <w:tcPr>
            <w:tcW w:w="1048" w:type="dxa"/>
          </w:tcPr>
          <w:p w:rsidR="001779B2" w:rsidRDefault="00F21BE4">
            <w:pPr>
              <w:pStyle w:val="TableParagraph"/>
              <w:ind w:left="64" w:right="56"/>
              <w:rPr>
                <w:sz w:val="16"/>
              </w:rPr>
            </w:pPr>
            <w:r>
              <w:rPr>
                <w:sz w:val="16"/>
              </w:rPr>
              <w:t>Employment</w:t>
            </w:r>
          </w:p>
        </w:tc>
        <w:tc>
          <w:tcPr>
            <w:tcW w:w="1499" w:type="dxa"/>
          </w:tcPr>
          <w:p w:rsidR="001779B2" w:rsidRDefault="00F21BE4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Not In Labor Force</w:t>
            </w:r>
          </w:p>
        </w:tc>
        <w:tc>
          <w:tcPr>
            <w:tcW w:w="1978" w:type="dxa"/>
          </w:tcPr>
          <w:p w:rsidR="001779B2" w:rsidRDefault="00F21BE4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59.3%</w:t>
            </w:r>
          </w:p>
        </w:tc>
      </w:tr>
      <w:tr w:rsidR="001779B2" w:rsidTr="00F21BE4">
        <w:trPr>
          <w:trHeight w:hRule="exact" w:val="304"/>
        </w:trPr>
        <w:tc>
          <w:tcPr>
            <w:tcW w:w="1048" w:type="dxa"/>
          </w:tcPr>
          <w:p w:rsidR="001779B2" w:rsidRDefault="001779B2"/>
        </w:tc>
        <w:tc>
          <w:tcPr>
            <w:tcW w:w="1499" w:type="dxa"/>
          </w:tcPr>
          <w:p w:rsidR="001779B2" w:rsidRDefault="00F21BE4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978" w:type="dxa"/>
          </w:tcPr>
          <w:p w:rsidR="001779B2" w:rsidRDefault="00F21BE4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0.3%</w:t>
            </w:r>
          </w:p>
        </w:tc>
      </w:tr>
    </w:tbl>
    <w:p w:rsidR="00000000" w:rsidRDefault="00F21BE4"/>
    <w:sectPr w:rsidR="00000000" w:rsidSect="00F21BE4">
      <w:type w:val="continuous"/>
      <w:pgSz w:w="14400" w:h="18440"/>
      <w:pgMar w:top="0" w:right="600" w:bottom="860" w:left="620" w:header="720" w:footer="720" w:gutter="0"/>
      <w:pgBorders w:offsetFrom="page">
        <w:bottom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1BE4">
      <w:r>
        <w:separator/>
      </w:r>
    </w:p>
  </w:endnote>
  <w:endnote w:type="continuationSeparator" w:id="0">
    <w:p w:rsidR="00000000" w:rsidRDefault="00F2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B2" w:rsidRDefault="00F21BE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74.55pt;width:74.95pt;height:12.15pt;z-index:-44392;mso-position-horizontal-relative:page;mso-position-vertical-relative:page" filled="f" stroked="f">
          <v:textbox style="mso-next-textbox:#_x0000_s2054" inset="0,0,0,0">
            <w:txbxContent>
              <w:p w:rsidR="001779B2" w:rsidRDefault="00F21BE4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Run on: Sep 6, 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69.1pt;margin-top:874.55pt;width:139.2pt;height:12.15pt;z-index:-44368;mso-position-horizontal-relative:page;mso-position-vertical-relative:page" filled="f" stroked="f">
          <v:textbox style="mso-next-textbox:#_x0000_s2053" inset="0,0,0,0">
            <w:txbxContent>
              <w:p w:rsidR="001779B2" w:rsidRDefault="00F21BE4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Fact Sheet - Persons Who Inject Drugs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2.6pt;margin-top:874.55pt;width:42.4pt;height:12.15pt;z-index:-44344;mso-position-horizontal-relative:page;mso-position-vertical-relative:page" filled="f" stroked="f">
          <v:textbox style="mso-next-textbox:#_x0000_s2052" inset="0,0,0,0">
            <w:txbxContent>
              <w:p w:rsidR="001779B2" w:rsidRDefault="00F21BE4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i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B2" w:rsidRDefault="00F21BE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874.55pt;width:74.95pt;height:12.15pt;z-index:-44320;mso-position-horizontal-relative:page;mso-position-vertical-relative:page" filled="f" stroked="f">
          <v:textbox style="mso-next-textbox:#_x0000_s2051" inset="0,0,0,0">
            <w:txbxContent>
              <w:p w:rsidR="001779B2" w:rsidRDefault="00F21BE4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Run on: Sep 6, 2018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69.1pt;margin-top:874.55pt;width:139.2pt;height:12.15pt;z-index:-44296;mso-position-horizontal-relative:page;mso-position-vertical-relative:page" filled="f" stroked="f">
          <v:textbox style="mso-next-textbox:#_x0000_s2050" inset="0,0,0,0">
            <w:txbxContent>
              <w:p w:rsidR="001779B2" w:rsidRDefault="00F21BE4">
                <w:pPr>
                  <w:spacing w:before="27"/>
                  <w:ind w:left="20"/>
                  <w:rPr>
                    <w:sz w:val="16"/>
                  </w:rPr>
                </w:pPr>
                <w:r>
                  <w:rPr>
                    <w:i/>
                    <w:sz w:val="16"/>
                  </w:rPr>
                  <w:t xml:space="preserve">Fact Sheet - </w:t>
                </w:r>
                <w:r>
                  <w:rPr>
                    <w:sz w:val="16"/>
                  </w:rPr>
                  <w:t>Persons Who Inject Drugs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42.6pt;margin-top:874.55pt;width:42.4pt;height:12.15pt;z-index:-44272;mso-position-horizontal-relative:page;mso-position-vertical-relative:page" filled="f" stroked="f">
          <v:textbox style="mso-next-textbox:#_x0000_s2049" inset="0,0,0,0">
            <w:txbxContent>
              <w:p w:rsidR="001779B2" w:rsidRDefault="00F21BE4">
                <w:pPr>
                  <w:spacing w:before="27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i/>
                    <w:noProof/>
                    <w:sz w:val="16"/>
                  </w:rPr>
                  <w:t>5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1BE4">
      <w:r>
        <w:separator/>
      </w:r>
    </w:p>
  </w:footnote>
  <w:footnote w:type="continuationSeparator" w:id="0">
    <w:p w:rsidR="00000000" w:rsidRDefault="00F21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B2" w:rsidRDefault="00F21BE4">
    <w:pPr>
      <w:pStyle w:val="BodyText"/>
      <w:spacing w:line="14" w:lineRule="auto"/>
      <w:rPr>
        <w:sz w:val="2"/>
      </w:rPr>
    </w:pPr>
    <w:r>
      <w:pict>
        <v:group id="_x0000_s2055" style="position:absolute;margin-left:36pt;margin-top:36pt;width:9in;height:91.5pt;z-index:-44416;mso-position-horizontal-relative:page;mso-position-vertical-relative:page" coordorigin="720,720" coordsize="12960,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960;top:810;width:1619;height:1650">
            <v:imagedata r:id="rId1" o:title=""/>
          </v:shape>
          <v:shape id="_x0000_s2058" type="#_x0000_t75" style="position:absolute;left:10740;top:810;width:2850;height:1650">
            <v:imagedata r:id="rId2" o:title=""/>
          </v:shape>
          <v:rect id="_x0000_s2057" style="position:absolute;left:788;top:787;width:12825;height:1695" filled="f" strokecolor="navy" strokeweight="2.25pt"/>
          <v:rect id="_x0000_s2056" style="position:absolute;left:743;top:742;width:12915;height:1785" filled="f" strokecolor="green" strokeweight="2.25pt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B2" w:rsidRDefault="001779B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CE2"/>
    <w:multiLevelType w:val="hybridMultilevel"/>
    <w:tmpl w:val="2C481388"/>
    <w:lvl w:ilvl="0" w:tplc="CFBAC8D6">
      <w:numFmt w:val="bullet"/>
      <w:lvlText w:val="-"/>
      <w:lvlJc w:val="left"/>
      <w:pPr>
        <w:ind w:left="125" w:hanging="136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1" w:tplc="3F0CF8DC">
      <w:numFmt w:val="bullet"/>
      <w:lvlText w:val="•"/>
      <w:lvlJc w:val="left"/>
      <w:pPr>
        <w:ind w:left="1387" w:hanging="136"/>
      </w:pPr>
      <w:rPr>
        <w:rFonts w:hint="default"/>
      </w:rPr>
    </w:lvl>
    <w:lvl w:ilvl="2" w:tplc="BBD8F21C">
      <w:numFmt w:val="bullet"/>
      <w:lvlText w:val="•"/>
      <w:lvlJc w:val="left"/>
      <w:pPr>
        <w:ind w:left="2654" w:hanging="136"/>
      </w:pPr>
      <w:rPr>
        <w:rFonts w:hint="default"/>
      </w:rPr>
    </w:lvl>
    <w:lvl w:ilvl="3" w:tplc="D02A7E88">
      <w:numFmt w:val="bullet"/>
      <w:lvlText w:val="•"/>
      <w:lvlJc w:val="left"/>
      <w:pPr>
        <w:ind w:left="3921" w:hanging="136"/>
      </w:pPr>
      <w:rPr>
        <w:rFonts w:hint="default"/>
      </w:rPr>
    </w:lvl>
    <w:lvl w:ilvl="4" w:tplc="9E34E1A6">
      <w:numFmt w:val="bullet"/>
      <w:lvlText w:val="•"/>
      <w:lvlJc w:val="left"/>
      <w:pPr>
        <w:ind w:left="5188" w:hanging="136"/>
      </w:pPr>
      <w:rPr>
        <w:rFonts w:hint="default"/>
      </w:rPr>
    </w:lvl>
    <w:lvl w:ilvl="5" w:tplc="20FE3266">
      <w:numFmt w:val="bullet"/>
      <w:lvlText w:val="•"/>
      <w:lvlJc w:val="left"/>
      <w:pPr>
        <w:ind w:left="6455" w:hanging="136"/>
      </w:pPr>
      <w:rPr>
        <w:rFonts w:hint="default"/>
      </w:rPr>
    </w:lvl>
    <w:lvl w:ilvl="6" w:tplc="EF96EC8A">
      <w:numFmt w:val="bullet"/>
      <w:lvlText w:val="•"/>
      <w:lvlJc w:val="left"/>
      <w:pPr>
        <w:ind w:left="7722" w:hanging="136"/>
      </w:pPr>
      <w:rPr>
        <w:rFonts w:hint="default"/>
      </w:rPr>
    </w:lvl>
    <w:lvl w:ilvl="7" w:tplc="EF309DA6">
      <w:numFmt w:val="bullet"/>
      <w:lvlText w:val="•"/>
      <w:lvlJc w:val="left"/>
      <w:pPr>
        <w:ind w:left="8989" w:hanging="136"/>
      </w:pPr>
      <w:rPr>
        <w:rFonts w:hint="default"/>
      </w:rPr>
    </w:lvl>
    <w:lvl w:ilvl="8" w:tplc="5704C1AA">
      <w:numFmt w:val="bullet"/>
      <w:lvlText w:val="•"/>
      <w:lvlJc w:val="left"/>
      <w:pPr>
        <w:ind w:left="10256" w:hanging="136"/>
      </w:pPr>
      <w:rPr>
        <w:rFonts w:hint="default"/>
      </w:rPr>
    </w:lvl>
  </w:abstractNum>
  <w:abstractNum w:abstractNumId="1">
    <w:nsid w:val="201864E3"/>
    <w:multiLevelType w:val="hybridMultilevel"/>
    <w:tmpl w:val="2D28CEC0"/>
    <w:lvl w:ilvl="0" w:tplc="1422D1CE">
      <w:numFmt w:val="bullet"/>
      <w:lvlText w:val="-"/>
      <w:lvlJc w:val="left"/>
      <w:pPr>
        <w:ind w:left="283" w:hanging="109"/>
      </w:pPr>
      <w:rPr>
        <w:rFonts w:ascii="Tahoma" w:eastAsia="Tahoma" w:hAnsi="Tahoma" w:cs="Tahoma" w:hint="default"/>
        <w:i/>
        <w:spacing w:val="-2"/>
        <w:w w:val="100"/>
        <w:sz w:val="16"/>
        <w:szCs w:val="16"/>
      </w:rPr>
    </w:lvl>
    <w:lvl w:ilvl="1" w:tplc="42A4F852">
      <w:numFmt w:val="bullet"/>
      <w:lvlText w:val="•"/>
      <w:lvlJc w:val="left"/>
      <w:pPr>
        <w:ind w:left="1570" w:hanging="109"/>
      </w:pPr>
      <w:rPr>
        <w:rFonts w:hint="default"/>
      </w:rPr>
    </w:lvl>
    <w:lvl w:ilvl="2" w:tplc="09D80CD0">
      <w:numFmt w:val="bullet"/>
      <w:lvlText w:val="•"/>
      <w:lvlJc w:val="left"/>
      <w:pPr>
        <w:ind w:left="2860" w:hanging="109"/>
      </w:pPr>
      <w:rPr>
        <w:rFonts w:hint="default"/>
      </w:rPr>
    </w:lvl>
    <w:lvl w:ilvl="3" w:tplc="EB20E9CC">
      <w:numFmt w:val="bullet"/>
      <w:lvlText w:val="•"/>
      <w:lvlJc w:val="left"/>
      <w:pPr>
        <w:ind w:left="4150" w:hanging="109"/>
      </w:pPr>
      <w:rPr>
        <w:rFonts w:hint="default"/>
      </w:rPr>
    </w:lvl>
    <w:lvl w:ilvl="4" w:tplc="E700708C">
      <w:numFmt w:val="bullet"/>
      <w:lvlText w:val="•"/>
      <w:lvlJc w:val="left"/>
      <w:pPr>
        <w:ind w:left="5440" w:hanging="109"/>
      </w:pPr>
      <w:rPr>
        <w:rFonts w:hint="default"/>
      </w:rPr>
    </w:lvl>
    <w:lvl w:ilvl="5" w:tplc="0A0014FA">
      <w:numFmt w:val="bullet"/>
      <w:lvlText w:val="•"/>
      <w:lvlJc w:val="left"/>
      <w:pPr>
        <w:ind w:left="6730" w:hanging="109"/>
      </w:pPr>
      <w:rPr>
        <w:rFonts w:hint="default"/>
      </w:rPr>
    </w:lvl>
    <w:lvl w:ilvl="6" w:tplc="315C1F96">
      <w:numFmt w:val="bullet"/>
      <w:lvlText w:val="•"/>
      <w:lvlJc w:val="left"/>
      <w:pPr>
        <w:ind w:left="8020" w:hanging="109"/>
      </w:pPr>
      <w:rPr>
        <w:rFonts w:hint="default"/>
      </w:rPr>
    </w:lvl>
    <w:lvl w:ilvl="7" w:tplc="2BFA5A4A">
      <w:numFmt w:val="bullet"/>
      <w:lvlText w:val="•"/>
      <w:lvlJc w:val="left"/>
      <w:pPr>
        <w:ind w:left="9310" w:hanging="109"/>
      </w:pPr>
      <w:rPr>
        <w:rFonts w:hint="default"/>
      </w:rPr>
    </w:lvl>
    <w:lvl w:ilvl="8" w:tplc="27C070E8">
      <w:numFmt w:val="bullet"/>
      <w:lvlText w:val="•"/>
      <w:lvlJc w:val="left"/>
      <w:pPr>
        <w:ind w:left="10600" w:hanging="109"/>
      </w:pPr>
      <w:rPr>
        <w:rFonts w:hint="default"/>
      </w:rPr>
    </w:lvl>
  </w:abstractNum>
  <w:abstractNum w:abstractNumId="2">
    <w:nsid w:val="5F4239E6"/>
    <w:multiLevelType w:val="hybridMultilevel"/>
    <w:tmpl w:val="EAB002FA"/>
    <w:lvl w:ilvl="0" w:tplc="AC328704">
      <w:numFmt w:val="bullet"/>
      <w:lvlText w:val="-"/>
      <w:lvlJc w:val="left"/>
      <w:pPr>
        <w:ind w:left="175" w:hanging="122"/>
      </w:pPr>
      <w:rPr>
        <w:rFonts w:ascii="Tahoma" w:eastAsia="Tahoma" w:hAnsi="Tahoma" w:cs="Tahoma" w:hint="default"/>
        <w:spacing w:val="-1"/>
        <w:w w:val="100"/>
        <w:sz w:val="18"/>
        <w:szCs w:val="18"/>
      </w:rPr>
    </w:lvl>
    <w:lvl w:ilvl="1" w:tplc="3B48A17A">
      <w:numFmt w:val="bullet"/>
      <w:lvlText w:val="•"/>
      <w:lvlJc w:val="left"/>
      <w:pPr>
        <w:ind w:left="1480" w:hanging="122"/>
      </w:pPr>
      <w:rPr>
        <w:rFonts w:hint="default"/>
      </w:rPr>
    </w:lvl>
    <w:lvl w:ilvl="2" w:tplc="731A2D2A">
      <w:numFmt w:val="bullet"/>
      <w:lvlText w:val="•"/>
      <w:lvlJc w:val="left"/>
      <w:pPr>
        <w:ind w:left="2780" w:hanging="122"/>
      </w:pPr>
      <w:rPr>
        <w:rFonts w:hint="default"/>
      </w:rPr>
    </w:lvl>
    <w:lvl w:ilvl="3" w:tplc="16BC9BBA">
      <w:numFmt w:val="bullet"/>
      <w:lvlText w:val="•"/>
      <w:lvlJc w:val="left"/>
      <w:pPr>
        <w:ind w:left="4080" w:hanging="122"/>
      </w:pPr>
      <w:rPr>
        <w:rFonts w:hint="default"/>
      </w:rPr>
    </w:lvl>
    <w:lvl w:ilvl="4" w:tplc="AA96C590">
      <w:numFmt w:val="bullet"/>
      <w:lvlText w:val="•"/>
      <w:lvlJc w:val="left"/>
      <w:pPr>
        <w:ind w:left="5380" w:hanging="122"/>
      </w:pPr>
      <w:rPr>
        <w:rFonts w:hint="default"/>
      </w:rPr>
    </w:lvl>
    <w:lvl w:ilvl="5" w:tplc="DD00FBF2">
      <w:numFmt w:val="bullet"/>
      <w:lvlText w:val="•"/>
      <w:lvlJc w:val="left"/>
      <w:pPr>
        <w:ind w:left="6680" w:hanging="122"/>
      </w:pPr>
      <w:rPr>
        <w:rFonts w:hint="default"/>
      </w:rPr>
    </w:lvl>
    <w:lvl w:ilvl="6" w:tplc="103401D6">
      <w:numFmt w:val="bullet"/>
      <w:lvlText w:val="•"/>
      <w:lvlJc w:val="left"/>
      <w:pPr>
        <w:ind w:left="7980" w:hanging="122"/>
      </w:pPr>
      <w:rPr>
        <w:rFonts w:hint="default"/>
      </w:rPr>
    </w:lvl>
    <w:lvl w:ilvl="7" w:tplc="E39C5CA6">
      <w:numFmt w:val="bullet"/>
      <w:lvlText w:val="•"/>
      <w:lvlJc w:val="left"/>
      <w:pPr>
        <w:ind w:left="9280" w:hanging="122"/>
      </w:pPr>
      <w:rPr>
        <w:rFonts w:hint="default"/>
      </w:rPr>
    </w:lvl>
    <w:lvl w:ilvl="8" w:tplc="ADE848D4">
      <w:numFmt w:val="bullet"/>
      <w:lvlText w:val="•"/>
      <w:lvlJc w:val="left"/>
      <w:pPr>
        <w:ind w:left="10580" w:hanging="12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779B2"/>
    <w:rsid w:val="001779B2"/>
    <w:rsid w:val="00F2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7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83" w:hanging="121"/>
    </w:pPr>
  </w:style>
  <w:style w:type="paragraph" w:customStyle="1" w:styleId="TableParagraph">
    <w:name w:val="Table Paragraph"/>
    <w:basedOn w:val="Normal"/>
    <w:uiPriority w:val="1"/>
    <w:qFormat/>
    <w:pPr>
      <w:spacing w:before="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21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BE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21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BE4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1258</Words>
  <Characters>7175</Characters>
  <Application>Microsoft Office Word</Application>
  <DocSecurity>0</DocSecurity>
  <Lines>59</Lines>
  <Paragraphs>16</Paragraphs>
  <ScaleCrop>false</ScaleCrop>
  <Company>EOHHS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2019-02-12T10:12:00Z</dcterms:created>
  <dcterms:modified xsi:type="dcterms:W3CDTF">2019-02-12T19:12:00Z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LastSaved">
    <vt:filetime>2018-09-06T00:00:00Z</vt:filetime>
  </property>
</Properties>
</file>