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5"/>
        <w:gridCol w:w="6395"/>
      </w:tblGrid>
      <w:tr w:rsidR="001779B2" w:rsidTr="00F21BE4">
        <w:trPr>
          <w:trHeight w:hRule="exact" w:val="5441"/>
        </w:trPr>
        <w:tc>
          <w:tcPr>
            <w:tcW w:w="12790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1779B2" w:rsidRDefault="00F21BE4">
            <w:pPr>
              <w:pStyle w:val="TableParagraph"/>
              <w:spacing w:before="234"/>
              <w:ind w:left="4060" w:right="4060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</w:t>
            </w:r>
          </w:p>
          <w:p w:rsidR="001779B2" w:rsidRDefault="00F21BE4">
            <w:pPr>
              <w:pStyle w:val="TableParagraph"/>
              <w:spacing w:before="0"/>
              <w:ind w:left="4061" w:right="4060"/>
              <w:rPr>
                <w:b/>
                <w:sz w:val="24"/>
              </w:rPr>
            </w:pPr>
            <w:r>
              <w:rPr>
                <w:b/>
                <w:sz w:val="24"/>
              </w:rPr>
              <w:t>Fact Sheet - Persons Who Inject Drugs FY 2017</w:t>
            </w: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1779B2" w:rsidRDefault="00F21BE4">
            <w:pPr>
              <w:pStyle w:val="TableParagraph"/>
              <w:spacing w:before="181"/>
              <w:ind w:left="-10" w:right="180"/>
              <w:jc w:val="left"/>
              <w:rPr>
                <w:sz w:val="20"/>
              </w:rPr>
            </w:pPr>
            <w:r>
              <w:rPr>
                <w:sz w:val="20"/>
              </w:rPr>
              <w:t>This annual report provides information on persons who inject drugs admitted to BSAS funded and/or licensed services. In FY 2017, there were 47,847 admissions where the client reported injecting drugs in the year preceding admission. Starting in FY 2017, t</w:t>
            </w:r>
            <w:r>
              <w:rPr>
                <w:sz w:val="20"/>
              </w:rPr>
              <w:t>his fact sheet includes all age groups (including &lt;18 years of age). To ensure proper interpretation of this data, please read the footnotes and refer to the appendix at the end of 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report.</w:t>
            </w:r>
          </w:p>
          <w:p w:rsidR="001779B2" w:rsidRDefault="00F21BE4">
            <w:pPr>
              <w:pStyle w:val="TableParagraph"/>
              <w:spacing w:before="150"/>
              <w:ind w:left="4060" w:right="4060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Characteristics of Admissions</w:t>
            </w:r>
          </w:p>
          <w:p w:rsidR="001779B2" w:rsidRDefault="00F21BE4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150"/>
              <w:ind w:hanging="135"/>
              <w:jc w:val="left"/>
              <w:rPr>
                <w:sz w:val="20"/>
              </w:rPr>
            </w:pPr>
            <w:r>
              <w:rPr>
                <w:sz w:val="20"/>
              </w:rPr>
              <w:t>The average age at admission for</w:t>
            </w:r>
            <w:r>
              <w:rPr>
                <w:sz w:val="20"/>
              </w:rPr>
              <w:t xml:space="preserve"> persons who inject drugs was 31.8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1779B2" w:rsidRDefault="00F21BE4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24.0% had c</w:t>
            </w:r>
            <w:bookmarkStart w:id="0" w:name="_GoBack"/>
            <w:bookmarkEnd w:id="0"/>
            <w:r>
              <w:rPr>
                <w:sz w:val="20"/>
              </w:rPr>
              <w:t>hildren under six years of age; 32.3% had children 6-18 years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old.</w:t>
            </w:r>
          </w:p>
          <w:p w:rsidR="001779B2" w:rsidRDefault="00F21BE4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3.3% lived with children under six years of age; 4.2% lived with children 6-18 years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old.</w:t>
            </w:r>
          </w:p>
        </w:tc>
      </w:tr>
      <w:tr w:rsidR="001779B2">
        <w:trPr>
          <w:trHeight w:hRule="exact" w:val="224"/>
        </w:trPr>
        <w:tc>
          <w:tcPr>
            <w:tcW w:w="6395" w:type="dxa"/>
            <w:tcBorders>
              <w:bottom w:val="single" w:sz="16" w:space="0" w:color="000000"/>
            </w:tcBorders>
          </w:tcPr>
          <w:p w:rsidR="001779B2" w:rsidRDefault="001779B2"/>
        </w:tc>
        <w:tc>
          <w:tcPr>
            <w:tcW w:w="6395" w:type="dxa"/>
            <w:tcBorders>
              <w:bottom w:val="single" w:sz="16" w:space="0" w:color="000000"/>
            </w:tcBorders>
          </w:tcPr>
          <w:p w:rsidR="001779B2" w:rsidRDefault="00F21BE4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% of Enrollments</w:t>
            </w:r>
          </w:p>
        </w:tc>
      </w:tr>
      <w:tr w:rsidR="001779B2">
        <w:trPr>
          <w:trHeight w:hRule="exact" w:val="314"/>
        </w:trPr>
        <w:tc>
          <w:tcPr>
            <w:tcW w:w="1279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1779B2" w:rsidRDefault="00F21BE4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31.6%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68.3%</w:t>
            </w:r>
          </w:p>
        </w:tc>
      </w:tr>
      <w:tr w:rsidR="001779B2">
        <w:trPr>
          <w:trHeight w:hRule="exact" w:val="324"/>
        </w:trPr>
        <w:tc>
          <w:tcPr>
            <w:tcW w:w="6395" w:type="dxa"/>
            <w:tcBorders>
              <w:bottom w:val="single" w:sz="16" w:space="0" w:color="000000"/>
            </w:tcBorders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Transgender</w:t>
            </w:r>
          </w:p>
        </w:tc>
        <w:tc>
          <w:tcPr>
            <w:tcW w:w="6395" w:type="dxa"/>
            <w:tcBorders>
              <w:bottom w:val="single" w:sz="16" w:space="0" w:color="000000"/>
            </w:tcBorders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</w:tr>
      <w:tr w:rsidR="001779B2">
        <w:trPr>
          <w:trHeight w:hRule="exact" w:val="304"/>
        </w:trPr>
        <w:tc>
          <w:tcPr>
            <w:tcW w:w="1279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1779B2" w:rsidRDefault="00F21BE4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Race/Ethnicity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Black, Non-Hispanic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3.8%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Hispanic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14.2%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Multi-Racial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3.4%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2.3%</w:t>
            </w:r>
          </w:p>
        </w:tc>
      </w:tr>
      <w:tr w:rsidR="001779B2">
        <w:trPr>
          <w:trHeight w:hRule="exact" w:val="324"/>
        </w:trPr>
        <w:tc>
          <w:tcPr>
            <w:tcW w:w="6395" w:type="dxa"/>
            <w:tcBorders>
              <w:bottom w:val="single" w:sz="16" w:space="0" w:color="000000"/>
            </w:tcBorders>
          </w:tcPr>
          <w:p w:rsidR="001779B2" w:rsidRDefault="00F21BE4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White, Non-Hispanic</w:t>
            </w:r>
          </w:p>
        </w:tc>
        <w:tc>
          <w:tcPr>
            <w:tcW w:w="6395" w:type="dxa"/>
            <w:tcBorders>
              <w:bottom w:val="single" w:sz="16" w:space="0" w:color="000000"/>
            </w:tcBorders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76.3%</w:t>
            </w:r>
          </w:p>
        </w:tc>
      </w:tr>
      <w:tr w:rsidR="001779B2">
        <w:trPr>
          <w:trHeight w:hRule="exact" w:val="304"/>
        </w:trPr>
        <w:tc>
          <w:tcPr>
            <w:tcW w:w="1279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1779B2" w:rsidRDefault="00F21BE4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Education Level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No Education or Less Than High School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28.2%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High School Diploma / GED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45.9%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Beyond High School, No College Degree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20.3%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College Degree or Higher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3.7%</w:t>
            </w:r>
          </w:p>
        </w:tc>
      </w:tr>
      <w:tr w:rsidR="001779B2" w:rsidTr="00F21BE4">
        <w:trPr>
          <w:trHeight w:hRule="exact" w:val="324"/>
        </w:trPr>
        <w:tc>
          <w:tcPr>
            <w:tcW w:w="6395" w:type="dxa"/>
            <w:tcBorders>
              <w:bottom w:val="single" w:sz="18" w:space="0" w:color="000000"/>
            </w:tcBorders>
          </w:tcPr>
          <w:p w:rsidR="001779B2" w:rsidRDefault="00F21BE4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6395" w:type="dxa"/>
            <w:tcBorders>
              <w:bottom w:val="single" w:sz="18" w:space="0" w:color="000000"/>
            </w:tcBorders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2.0%</w:t>
            </w:r>
          </w:p>
        </w:tc>
      </w:tr>
      <w:tr w:rsidR="001779B2" w:rsidTr="00F21BE4">
        <w:trPr>
          <w:trHeight w:hRule="exact" w:val="304"/>
        </w:trPr>
        <w:tc>
          <w:tcPr>
            <w:tcW w:w="1279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1779B2" w:rsidRDefault="00F21BE4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</w:p>
        </w:tc>
      </w:tr>
      <w:tr w:rsidR="001779B2" w:rsidTr="00F21BE4">
        <w:trPr>
          <w:trHeight w:hRule="exact" w:val="304"/>
        </w:trPr>
        <w:tc>
          <w:tcPr>
            <w:tcW w:w="6395" w:type="dxa"/>
            <w:tcBorders>
              <w:top w:val="nil"/>
            </w:tcBorders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Less Than 18</w:t>
            </w:r>
          </w:p>
        </w:tc>
        <w:tc>
          <w:tcPr>
            <w:tcW w:w="6395" w:type="dxa"/>
            <w:tcBorders>
              <w:top w:val="nil"/>
            </w:tcBorders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0.2%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18 to 25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17.0%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26 to 30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27.9%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31 to 40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35.6%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41 to 50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13.5%</w:t>
            </w:r>
          </w:p>
        </w:tc>
      </w:tr>
      <w:tr w:rsidR="001779B2" w:rsidTr="00F21BE4">
        <w:trPr>
          <w:trHeight w:hRule="exact" w:val="324"/>
        </w:trPr>
        <w:tc>
          <w:tcPr>
            <w:tcW w:w="6395" w:type="dxa"/>
            <w:tcBorders>
              <w:bottom w:val="single" w:sz="18" w:space="0" w:color="000000"/>
            </w:tcBorders>
          </w:tcPr>
          <w:p w:rsidR="001779B2" w:rsidRDefault="00F21BE4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51 and Older</w:t>
            </w:r>
          </w:p>
        </w:tc>
        <w:tc>
          <w:tcPr>
            <w:tcW w:w="6395" w:type="dxa"/>
            <w:tcBorders>
              <w:bottom w:val="single" w:sz="18" w:space="0" w:color="000000"/>
            </w:tcBorders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5.8%</w:t>
            </w:r>
          </w:p>
        </w:tc>
      </w:tr>
      <w:tr w:rsidR="001779B2" w:rsidTr="00F21BE4">
        <w:trPr>
          <w:trHeight w:hRule="exact" w:val="304"/>
        </w:trPr>
        <w:tc>
          <w:tcPr>
            <w:tcW w:w="12790" w:type="dxa"/>
            <w:gridSpan w:val="2"/>
            <w:tcBorders>
              <w:top w:val="single" w:sz="18" w:space="0" w:color="000000"/>
            </w:tcBorders>
            <w:shd w:val="clear" w:color="auto" w:fill="C0C0C0"/>
          </w:tcPr>
          <w:p w:rsidR="001779B2" w:rsidRDefault="00F21BE4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Employment (N= 18,932; excludes </w:t>
            </w:r>
            <w:hyperlink w:anchor="_bookmark0" w:history="1">
              <w:r>
                <w:rPr>
                  <w:b/>
                  <w:color w:val="0000FF"/>
                  <w:sz w:val="16"/>
                  <w:u w:val="single" w:color="0000FF"/>
                </w:rPr>
                <w:t xml:space="preserve">not in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l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abor force</w:t>
              </w:r>
            </w:hyperlink>
            <w:r>
              <w:rPr>
                <w:b/>
                <w:sz w:val="16"/>
              </w:rPr>
              <w:t>)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Employed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26.0%</w:t>
            </w:r>
          </w:p>
        </w:tc>
      </w:tr>
      <w:tr w:rsidR="001779B2" w:rsidTr="00F21BE4">
        <w:trPr>
          <w:trHeight w:hRule="exact" w:val="324"/>
        </w:trPr>
        <w:tc>
          <w:tcPr>
            <w:tcW w:w="6395" w:type="dxa"/>
            <w:tcBorders>
              <w:bottom w:val="single" w:sz="18" w:space="0" w:color="000000"/>
            </w:tcBorders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Not Employed</w:t>
            </w:r>
          </w:p>
        </w:tc>
        <w:tc>
          <w:tcPr>
            <w:tcW w:w="6395" w:type="dxa"/>
            <w:tcBorders>
              <w:bottom w:val="single" w:sz="18" w:space="0" w:color="000000"/>
            </w:tcBorders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74.0%</w:t>
            </w:r>
          </w:p>
        </w:tc>
      </w:tr>
      <w:tr w:rsidR="001779B2" w:rsidTr="00F21BE4">
        <w:trPr>
          <w:trHeight w:hRule="exact" w:val="304"/>
        </w:trPr>
        <w:tc>
          <w:tcPr>
            <w:tcW w:w="12790" w:type="dxa"/>
            <w:gridSpan w:val="2"/>
            <w:tcBorders>
              <w:top w:val="single" w:sz="18" w:space="0" w:color="000000"/>
            </w:tcBorders>
            <w:shd w:val="clear" w:color="auto" w:fill="C0C0C0"/>
          </w:tcPr>
          <w:p w:rsidR="001779B2" w:rsidRDefault="00F21BE4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Homeless at Enrollment (N= 33,629 ; excludes cases where housing disposition at enrollment could not be determined)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58.9%</w:t>
            </w:r>
          </w:p>
        </w:tc>
      </w:tr>
      <w:tr w:rsidR="001779B2">
        <w:trPr>
          <w:trHeight w:hRule="exact" w:val="324"/>
        </w:trPr>
        <w:tc>
          <w:tcPr>
            <w:tcW w:w="6395" w:type="dxa"/>
            <w:tcBorders>
              <w:bottom w:val="single" w:sz="16" w:space="0" w:color="000000"/>
            </w:tcBorders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395" w:type="dxa"/>
            <w:tcBorders>
              <w:bottom w:val="single" w:sz="16" w:space="0" w:color="000000"/>
            </w:tcBorders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41.1%</w:t>
            </w:r>
          </w:p>
        </w:tc>
      </w:tr>
      <w:tr w:rsidR="001779B2">
        <w:trPr>
          <w:trHeight w:hRule="exact" w:val="304"/>
        </w:trPr>
        <w:tc>
          <w:tcPr>
            <w:tcW w:w="1279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1779B2" w:rsidRDefault="00F21BE4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At Risk of Homelessness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Homeless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49.9%</w:t>
            </w:r>
          </w:p>
        </w:tc>
      </w:tr>
      <w:tr w:rsidR="001779B2">
        <w:trPr>
          <w:trHeight w:hRule="exact" w:val="324"/>
        </w:trPr>
        <w:tc>
          <w:tcPr>
            <w:tcW w:w="6395" w:type="dxa"/>
            <w:tcBorders>
              <w:bottom w:val="single" w:sz="16" w:space="0" w:color="000000"/>
            </w:tcBorders>
          </w:tcPr>
          <w:p w:rsidR="001779B2" w:rsidRDefault="00F21BE4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Not Homeless</w:t>
            </w:r>
          </w:p>
        </w:tc>
        <w:tc>
          <w:tcPr>
            <w:tcW w:w="6395" w:type="dxa"/>
            <w:tcBorders>
              <w:bottom w:val="single" w:sz="16" w:space="0" w:color="000000"/>
            </w:tcBorders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50.1%</w:t>
            </w:r>
          </w:p>
        </w:tc>
      </w:tr>
      <w:tr w:rsidR="001779B2">
        <w:trPr>
          <w:trHeight w:hRule="exact" w:val="304"/>
        </w:trPr>
        <w:tc>
          <w:tcPr>
            <w:tcW w:w="1279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1779B2" w:rsidRDefault="00F21BE4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Marital Status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Married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5.1%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Divorced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8.2%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Separated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3.3%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Never Married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81.0%</w:t>
            </w:r>
          </w:p>
        </w:tc>
      </w:tr>
    </w:tbl>
    <w:p w:rsidR="001779B2" w:rsidRDefault="00F21BE4">
      <w:pPr>
        <w:rPr>
          <w:sz w:val="2"/>
          <w:szCs w:val="2"/>
        </w:rPr>
      </w:pPr>
      <w:r>
        <w:pict>
          <v:group id="_x0000_s1042" style="position:absolute;margin-left:36pt;margin-top:36pt;width:9in;height:91.5pt;z-index:-44416;mso-position-horizontal-relative:page;mso-position-vertical-relative:page" coordorigin="720,720" coordsize="12960,1830">
            <v:rect id="_x0000_s1044" style="position:absolute;left:788;top:787;width:12825;height:1695" filled="f" strokecolor="navy" strokeweight="2.25pt"/>
            <v:rect id="_x0000_s1043" style="position:absolute;left:743;top:742;width:12915;height:1785" filled="f" strokecolor="green" strokeweight="2.25pt"/>
            <w10:wrap anchorx="page" anchory="page"/>
          </v:group>
        </w:pict>
      </w:r>
    </w:p>
    <w:p w:rsidR="001779B2" w:rsidRDefault="001779B2">
      <w:pPr>
        <w:rPr>
          <w:sz w:val="2"/>
          <w:szCs w:val="2"/>
        </w:rPr>
        <w:sectPr w:rsidR="001779B2" w:rsidSect="00F21BE4">
          <w:headerReference w:type="default" r:id="rId8"/>
          <w:footerReference w:type="default" r:id="rId9"/>
          <w:type w:val="continuous"/>
          <w:pgSz w:w="14400" w:h="18440"/>
          <w:pgMar w:top="0" w:right="600" w:bottom="860" w:left="620" w:header="0" w:footer="661" w:gutter="0"/>
          <w:pgBorders w:offsetFrom="page">
            <w:bottom w:val="double" w:sz="4" w:space="24" w:color="auto"/>
          </w:pgBorders>
          <w:pgNumType w:start="1"/>
          <w:cols w:space="720"/>
        </w:sect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5"/>
        <w:gridCol w:w="6395"/>
      </w:tblGrid>
      <w:tr w:rsidR="001779B2">
        <w:trPr>
          <w:trHeight w:hRule="exact" w:val="3873"/>
        </w:trPr>
        <w:tc>
          <w:tcPr>
            <w:tcW w:w="12790" w:type="dxa"/>
            <w:gridSpan w:val="2"/>
            <w:tcBorders>
              <w:top w:val="nil"/>
              <w:left w:val="nil"/>
              <w:right w:val="nil"/>
            </w:tcBorders>
          </w:tcPr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1779B2" w:rsidRDefault="00F21BE4">
            <w:pPr>
              <w:pStyle w:val="TableParagraph"/>
              <w:spacing w:before="234"/>
              <w:ind w:left="4060" w:right="4060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</w:t>
            </w:r>
          </w:p>
          <w:p w:rsidR="001779B2" w:rsidRDefault="00F21BE4">
            <w:pPr>
              <w:pStyle w:val="TableParagraph"/>
              <w:spacing w:before="0"/>
              <w:ind w:left="4061" w:right="4060"/>
              <w:rPr>
                <w:b/>
                <w:sz w:val="24"/>
              </w:rPr>
            </w:pPr>
            <w:r>
              <w:rPr>
                <w:b/>
                <w:sz w:val="24"/>
              </w:rPr>
              <w:t>Fact Sheet - Persons Who Inject Drugs FY 2017</w:t>
            </w: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1779B2" w:rsidRDefault="00F21BE4">
            <w:pPr>
              <w:pStyle w:val="TableParagraph"/>
              <w:spacing w:before="181"/>
              <w:ind w:left="-10" w:right="180"/>
              <w:jc w:val="left"/>
              <w:rPr>
                <w:sz w:val="20"/>
              </w:rPr>
            </w:pPr>
            <w:r>
              <w:rPr>
                <w:sz w:val="20"/>
              </w:rPr>
              <w:t>This annual report provides information on persons who inject drugs admitted to BSAS funded and/or licensed services. In FY 2017, there were 47,847 admi</w:t>
            </w:r>
            <w:r>
              <w:rPr>
                <w:sz w:val="20"/>
              </w:rPr>
              <w:t>ssions where the client reported injecting drugs in the year preceding admission. Starting in FY 2017, this fact sheet includes all age groups (including &lt;18 years of age). To ensure proper interpretation of this data, please read the footnotes and refer t</w:t>
            </w:r>
            <w:r>
              <w:rPr>
                <w:sz w:val="20"/>
              </w:rPr>
              <w:t>o the appendix at the end of 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report.</w:t>
            </w:r>
          </w:p>
        </w:tc>
      </w:tr>
      <w:tr w:rsidR="001779B2">
        <w:trPr>
          <w:trHeight w:hRule="exact" w:val="224"/>
        </w:trPr>
        <w:tc>
          <w:tcPr>
            <w:tcW w:w="6395" w:type="dxa"/>
            <w:tcBorders>
              <w:bottom w:val="single" w:sz="16" w:space="0" w:color="000000"/>
            </w:tcBorders>
          </w:tcPr>
          <w:p w:rsidR="001779B2" w:rsidRDefault="001779B2"/>
        </w:tc>
        <w:tc>
          <w:tcPr>
            <w:tcW w:w="6395" w:type="dxa"/>
            <w:tcBorders>
              <w:bottom w:val="single" w:sz="16" w:space="0" w:color="000000"/>
            </w:tcBorders>
          </w:tcPr>
          <w:p w:rsidR="001779B2" w:rsidRDefault="00F21BE4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% of Enrollments</w:t>
            </w:r>
          </w:p>
        </w:tc>
      </w:tr>
      <w:tr w:rsidR="001779B2">
        <w:trPr>
          <w:trHeight w:hRule="exact" w:val="314"/>
        </w:trPr>
        <w:tc>
          <w:tcPr>
            <w:tcW w:w="1279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1779B2" w:rsidRDefault="00F21BE4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Marital Status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Partnership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1.5%</w:t>
            </w:r>
          </w:p>
        </w:tc>
      </w:tr>
      <w:tr w:rsidR="001779B2">
        <w:trPr>
          <w:trHeight w:hRule="exact" w:val="324"/>
        </w:trPr>
        <w:tc>
          <w:tcPr>
            <w:tcW w:w="6395" w:type="dxa"/>
            <w:tcBorders>
              <w:bottom w:val="single" w:sz="16" w:space="0" w:color="000000"/>
            </w:tcBorders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Widowed</w:t>
            </w:r>
          </w:p>
        </w:tc>
        <w:tc>
          <w:tcPr>
            <w:tcW w:w="6395" w:type="dxa"/>
            <w:tcBorders>
              <w:bottom w:val="single" w:sz="16" w:space="0" w:color="000000"/>
            </w:tcBorders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0.9%</w:t>
            </w:r>
          </w:p>
        </w:tc>
      </w:tr>
      <w:tr w:rsidR="001779B2">
        <w:trPr>
          <w:trHeight w:hRule="exact" w:val="304"/>
        </w:trPr>
        <w:tc>
          <w:tcPr>
            <w:tcW w:w="1279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1779B2" w:rsidRDefault="00F21BE4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Client's Region of Residence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Central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14.0%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Greater Boston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18.3%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Metro West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10.2%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Northeast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16.5%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Southeast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23.7%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Western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16.7%</w:t>
            </w:r>
          </w:p>
        </w:tc>
      </w:tr>
      <w:tr w:rsidR="001779B2">
        <w:trPr>
          <w:trHeight w:hRule="exact" w:val="324"/>
        </w:trPr>
        <w:tc>
          <w:tcPr>
            <w:tcW w:w="6395" w:type="dxa"/>
            <w:tcBorders>
              <w:bottom w:val="single" w:sz="16" w:space="0" w:color="000000"/>
            </w:tcBorders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Out of State</w:t>
            </w:r>
          </w:p>
        </w:tc>
        <w:tc>
          <w:tcPr>
            <w:tcW w:w="6395" w:type="dxa"/>
            <w:tcBorders>
              <w:bottom w:val="single" w:sz="16" w:space="0" w:color="000000"/>
            </w:tcBorders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0.6%</w:t>
            </w:r>
          </w:p>
        </w:tc>
      </w:tr>
      <w:tr w:rsidR="001779B2">
        <w:trPr>
          <w:trHeight w:hRule="exact" w:val="304"/>
        </w:trPr>
        <w:tc>
          <w:tcPr>
            <w:tcW w:w="1279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1779B2" w:rsidRDefault="00F21BE4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Prior Mental Health Treatment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54.7%</w:t>
            </w:r>
          </w:p>
        </w:tc>
      </w:tr>
      <w:tr w:rsidR="001779B2">
        <w:trPr>
          <w:trHeight w:hRule="exact" w:val="324"/>
        </w:trPr>
        <w:tc>
          <w:tcPr>
            <w:tcW w:w="6395" w:type="dxa"/>
            <w:tcBorders>
              <w:bottom w:val="single" w:sz="16" w:space="0" w:color="000000"/>
            </w:tcBorders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395" w:type="dxa"/>
            <w:tcBorders>
              <w:bottom w:val="single" w:sz="16" w:space="0" w:color="000000"/>
            </w:tcBorders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45.3%</w:t>
            </w:r>
          </w:p>
        </w:tc>
      </w:tr>
      <w:tr w:rsidR="001779B2">
        <w:trPr>
          <w:trHeight w:hRule="exact" w:val="304"/>
        </w:trPr>
        <w:tc>
          <w:tcPr>
            <w:tcW w:w="1279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1779B2" w:rsidRDefault="00F21BE4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Prior Mental Health Medication (in the past 12 months)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65.5%</w:t>
            </w:r>
          </w:p>
        </w:tc>
      </w:tr>
      <w:tr w:rsidR="001779B2">
        <w:trPr>
          <w:trHeight w:hRule="exact" w:val="304"/>
        </w:trPr>
        <w:tc>
          <w:tcPr>
            <w:tcW w:w="6395" w:type="dxa"/>
          </w:tcPr>
          <w:p w:rsidR="001779B2" w:rsidRDefault="00F21BE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395" w:type="dxa"/>
          </w:tcPr>
          <w:p w:rsidR="001779B2" w:rsidRDefault="00F21BE4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34.5%</w:t>
            </w:r>
          </w:p>
        </w:tc>
      </w:tr>
    </w:tbl>
    <w:p w:rsidR="001779B2" w:rsidRDefault="00F21BE4">
      <w:pPr>
        <w:rPr>
          <w:sz w:val="2"/>
          <w:szCs w:val="2"/>
        </w:rPr>
      </w:pPr>
      <w:r>
        <w:pict>
          <v:group id="_x0000_s1039" style="position:absolute;margin-left:36pt;margin-top:36pt;width:9in;height:91.5pt;z-index:-44392;mso-position-horizontal-relative:page;mso-position-vertical-relative:page" coordorigin="720,720" coordsize="12960,1830">
            <v:rect id="_x0000_s1041" style="position:absolute;left:788;top:787;width:12825;height:1695" filled="f" strokecolor="navy" strokeweight="2.25pt"/>
            <v:rect id="_x0000_s1040" style="position:absolute;left:743;top:742;width:12915;height:1785" filled="f" strokecolor="green" strokeweight="2.25pt"/>
            <w10:wrap anchorx="page" anchory="page"/>
          </v:group>
        </w:pict>
      </w:r>
    </w:p>
    <w:p w:rsidR="001779B2" w:rsidRDefault="001779B2">
      <w:pPr>
        <w:rPr>
          <w:sz w:val="2"/>
          <w:szCs w:val="2"/>
        </w:rPr>
        <w:sectPr w:rsidR="001779B2" w:rsidSect="00F21BE4">
          <w:pgSz w:w="14400" w:h="18440"/>
          <w:pgMar w:top="0" w:right="600" w:bottom="860" w:left="620" w:header="0" w:footer="661" w:gutter="0"/>
          <w:pgBorders w:offsetFrom="page">
            <w:bottom w:val="double" w:sz="4" w:space="24" w:color="auto"/>
          </w:pgBorders>
          <w:cols w:space="720"/>
        </w:sect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1617"/>
        <w:gridCol w:w="1170"/>
        <w:gridCol w:w="761"/>
        <w:gridCol w:w="1359"/>
        <w:gridCol w:w="748"/>
        <w:gridCol w:w="807"/>
        <w:gridCol w:w="2425"/>
        <w:gridCol w:w="1398"/>
        <w:gridCol w:w="1615"/>
      </w:tblGrid>
      <w:tr w:rsidR="001779B2">
        <w:trPr>
          <w:trHeight w:hRule="exact" w:val="11281"/>
        </w:trPr>
        <w:tc>
          <w:tcPr>
            <w:tcW w:w="12790" w:type="dxa"/>
            <w:gridSpan w:val="10"/>
            <w:tcBorders>
              <w:top w:val="nil"/>
              <w:left w:val="nil"/>
              <w:right w:val="nil"/>
            </w:tcBorders>
          </w:tcPr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779B2" w:rsidRDefault="00F21BE4">
            <w:pPr>
              <w:pStyle w:val="TableParagraph"/>
              <w:spacing w:before="153"/>
              <w:ind w:left="-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- Drug Categories:</w:t>
            </w:r>
          </w:p>
          <w:p w:rsidR="001779B2" w:rsidRDefault="00F21BE4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Opioids </w:t>
            </w:r>
            <w:r>
              <w:rPr>
                <w:i/>
                <w:sz w:val="16"/>
              </w:rPr>
              <w:t>includes: Prescription and Non Prescription Opioids.</w:t>
            </w:r>
          </w:p>
          <w:p w:rsidR="001779B2" w:rsidRDefault="00F21BE4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</w:t>
            </w:r>
            <w:r>
              <w:rPr>
                <w:i/>
                <w:sz w:val="16"/>
              </w:rPr>
              <w:t>includes: PCP, Other Hallucinogens, Inhalants, OTC, and Other.</w:t>
            </w:r>
          </w:p>
          <w:p w:rsidR="001779B2" w:rsidRDefault="00F21BE4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Sedatives/Hypnotics </w:t>
            </w:r>
            <w:r>
              <w:rPr>
                <w:i/>
                <w:sz w:val="16"/>
              </w:rPr>
              <w:t>includes: Benzodiazepines, Other Tranquilizers, Barbituates, and Other Sedatives.</w:t>
            </w:r>
          </w:p>
          <w:p w:rsidR="001779B2" w:rsidRDefault="00F21BE4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Stimulants </w:t>
            </w:r>
            <w:r>
              <w:rPr>
                <w:i/>
                <w:sz w:val="16"/>
              </w:rPr>
              <w:t>includes:</w:t>
            </w:r>
            <w:r>
              <w:rPr>
                <w:i/>
                <w:sz w:val="16"/>
              </w:rPr>
              <w:t xml:space="preserve"> Methamphetamine, Other Amphetamines, Other Stimulants, and Club Drugs.</w:t>
            </w:r>
          </w:p>
          <w:p w:rsidR="001779B2" w:rsidRDefault="00F21BE4">
            <w:pPr>
              <w:pStyle w:val="TableParagraph"/>
              <w:spacing w:before="0"/>
              <w:ind w:left="-10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- The total admissions reported in this table may vary from the total admissions for persons who inject drugs; for additional information, please refer to the appendix.</w:t>
            </w:r>
          </w:p>
          <w:p w:rsidR="001779B2" w:rsidRDefault="001779B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1779B2" w:rsidRDefault="00F21BE4">
            <w:pPr>
              <w:pStyle w:val="TableParagraph"/>
              <w:spacing w:before="145"/>
              <w:ind w:left="-10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Past Year Subs</w:t>
            </w:r>
            <w:r>
              <w:rPr>
                <w:b/>
                <w:sz w:val="20"/>
                <w:u w:val="single"/>
              </w:rPr>
              <w:t>tance Use</w:t>
            </w:r>
          </w:p>
          <w:p w:rsidR="001779B2" w:rsidRDefault="00F21BE4">
            <w:pPr>
              <w:pStyle w:val="TableParagraph"/>
              <w:spacing w:before="0"/>
              <w:ind w:left="-10" w:right="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At admission, clients are asked to report on all substances used in the past 12 months. Due to poly-substance use*, percentages may add up to more than 100%. Table 2 shows the distribution of past year substance use for all substances. This table includes </w:t>
            </w:r>
            <w:r>
              <w:rPr>
                <w:sz w:val="20"/>
              </w:rPr>
              <w:t>information about admissions that reported past year substance use.</w:t>
            </w:r>
          </w:p>
          <w:p w:rsidR="001779B2" w:rsidRDefault="00F21BE4">
            <w:pPr>
              <w:pStyle w:val="TableParagraph"/>
              <w:spacing w:before="150"/>
              <w:ind w:left="4059" w:right="4060"/>
              <w:rPr>
                <w:b/>
                <w:sz w:val="16"/>
              </w:rPr>
            </w:pPr>
            <w:r>
              <w:rPr>
                <w:b/>
                <w:sz w:val="16"/>
              </w:rPr>
              <w:t>Table 2</w:t>
            </w:r>
          </w:p>
          <w:p w:rsidR="001779B2" w:rsidRDefault="00F21BE4">
            <w:pPr>
              <w:pStyle w:val="TableParagraph"/>
              <w:spacing w:before="0"/>
              <w:ind w:left="4060" w:right="4060"/>
              <w:rPr>
                <w:b/>
                <w:sz w:val="16"/>
              </w:rPr>
            </w:pPr>
            <w:r>
              <w:rPr>
                <w:b/>
                <w:sz w:val="16"/>
              </w:rPr>
              <w:t>Past Year Substance Use Trend: FY 2008 - FY 2017</w:t>
            </w:r>
          </w:p>
        </w:tc>
      </w:tr>
      <w:tr w:rsidR="001779B2">
        <w:trPr>
          <w:trHeight w:hRule="exact" w:val="304"/>
        </w:trPr>
        <w:tc>
          <w:tcPr>
            <w:tcW w:w="890" w:type="dxa"/>
            <w:vMerge w:val="restart"/>
          </w:tcPr>
          <w:p w:rsidR="001779B2" w:rsidRDefault="001779B2"/>
        </w:tc>
        <w:tc>
          <w:tcPr>
            <w:tcW w:w="1617" w:type="dxa"/>
            <w:vMerge w:val="restart"/>
          </w:tcPr>
          <w:p w:rsidR="001779B2" w:rsidRDefault="001779B2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:rsidR="001779B2" w:rsidRDefault="00F21BE4">
            <w:pPr>
              <w:pStyle w:val="TableParagraph"/>
              <w:spacing w:before="0"/>
              <w:ind w:left="205"/>
              <w:jc w:val="left"/>
              <w:rPr>
                <w:sz w:val="16"/>
              </w:rPr>
            </w:pPr>
            <w:r>
              <w:rPr>
                <w:sz w:val="16"/>
              </w:rPr>
              <w:t>Total Admissions</w:t>
            </w:r>
          </w:p>
        </w:tc>
        <w:tc>
          <w:tcPr>
            <w:tcW w:w="1170" w:type="dxa"/>
          </w:tcPr>
          <w:p w:rsidR="001779B2" w:rsidRDefault="00F21BE4">
            <w:pPr>
              <w:pStyle w:val="TableParagraph"/>
              <w:ind w:left="149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Marijuana</w:t>
            </w:r>
          </w:p>
        </w:tc>
        <w:tc>
          <w:tcPr>
            <w:tcW w:w="2120" w:type="dxa"/>
            <w:gridSpan w:val="2"/>
          </w:tcPr>
          <w:p w:rsidR="001779B2" w:rsidRDefault="00F21BE4">
            <w:pPr>
              <w:pStyle w:val="TableParagraph"/>
              <w:ind w:left="728" w:right="729"/>
              <w:rPr>
                <w:b/>
                <w:sz w:val="16"/>
              </w:rPr>
            </w:pPr>
            <w:r>
              <w:rPr>
                <w:b/>
                <w:sz w:val="16"/>
              </w:rPr>
              <w:t>Opioids</w:t>
            </w:r>
          </w:p>
        </w:tc>
        <w:tc>
          <w:tcPr>
            <w:tcW w:w="748" w:type="dxa"/>
          </w:tcPr>
          <w:p w:rsidR="001779B2" w:rsidRDefault="00F21BE4">
            <w:pPr>
              <w:pStyle w:val="TableParagraph"/>
              <w:ind w:left="1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</w:tc>
        <w:tc>
          <w:tcPr>
            <w:tcW w:w="3232" w:type="dxa"/>
            <w:gridSpan w:val="2"/>
          </w:tcPr>
          <w:p w:rsidR="001779B2" w:rsidRDefault="00F21BE4">
            <w:pPr>
              <w:pStyle w:val="TableParagraph"/>
              <w:ind w:left="7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Sedatives/Hypnotics</w:t>
            </w:r>
          </w:p>
        </w:tc>
        <w:tc>
          <w:tcPr>
            <w:tcW w:w="3013" w:type="dxa"/>
            <w:gridSpan w:val="2"/>
          </w:tcPr>
          <w:p w:rsidR="001779B2" w:rsidRDefault="00F21BE4">
            <w:pPr>
              <w:pStyle w:val="TableParagraph"/>
              <w:ind w:left="1042" w:right="1043"/>
              <w:rPr>
                <w:b/>
                <w:sz w:val="16"/>
              </w:rPr>
            </w:pPr>
            <w:r>
              <w:rPr>
                <w:b/>
                <w:sz w:val="16"/>
              </w:rPr>
              <w:t>Stimulants</w:t>
            </w:r>
          </w:p>
        </w:tc>
      </w:tr>
      <w:tr w:rsidR="001779B2">
        <w:trPr>
          <w:trHeight w:hRule="exact" w:val="304"/>
        </w:trPr>
        <w:tc>
          <w:tcPr>
            <w:tcW w:w="890" w:type="dxa"/>
            <w:vMerge/>
          </w:tcPr>
          <w:p w:rsidR="001779B2" w:rsidRDefault="001779B2"/>
        </w:tc>
        <w:tc>
          <w:tcPr>
            <w:tcW w:w="1617" w:type="dxa"/>
            <w:vMerge/>
          </w:tcPr>
          <w:p w:rsidR="001779B2" w:rsidRDefault="001779B2"/>
        </w:tc>
        <w:tc>
          <w:tcPr>
            <w:tcW w:w="1170" w:type="dxa"/>
          </w:tcPr>
          <w:p w:rsidR="001779B2" w:rsidRDefault="00F21BE4">
            <w:pPr>
              <w:pStyle w:val="TableParagraph"/>
              <w:ind w:left="149" w:right="149"/>
              <w:rPr>
                <w:sz w:val="16"/>
              </w:rPr>
            </w:pPr>
            <w:r>
              <w:rPr>
                <w:sz w:val="16"/>
              </w:rPr>
              <w:t>Marijuana</w:t>
            </w:r>
          </w:p>
        </w:tc>
        <w:tc>
          <w:tcPr>
            <w:tcW w:w="761" w:type="dxa"/>
          </w:tcPr>
          <w:p w:rsidR="001779B2" w:rsidRDefault="00F21BE4">
            <w:pPr>
              <w:pStyle w:val="TableParagraph"/>
              <w:ind w:left="117" w:right="117"/>
              <w:rPr>
                <w:sz w:val="16"/>
              </w:rPr>
            </w:pPr>
            <w:r>
              <w:rPr>
                <w:sz w:val="16"/>
              </w:rPr>
              <w:t>Heroin</w:t>
            </w:r>
          </w:p>
        </w:tc>
        <w:tc>
          <w:tcPr>
            <w:tcW w:w="1359" w:type="dxa"/>
          </w:tcPr>
          <w:p w:rsidR="001779B2" w:rsidRDefault="00F21BE4">
            <w:pPr>
              <w:pStyle w:val="TableParagraph"/>
              <w:ind w:left="164" w:right="165"/>
              <w:rPr>
                <w:sz w:val="16"/>
              </w:rPr>
            </w:pPr>
            <w:r>
              <w:rPr>
                <w:sz w:val="16"/>
              </w:rPr>
              <w:t>Other Opioids</w:t>
            </w:r>
          </w:p>
        </w:tc>
        <w:tc>
          <w:tcPr>
            <w:tcW w:w="748" w:type="dxa"/>
          </w:tcPr>
          <w:p w:rsidR="001779B2" w:rsidRDefault="00F21BE4">
            <w:pPr>
              <w:pStyle w:val="TableParagraph"/>
              <w:ind w:left="165"/>
              <w:jc w:val="lef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807" w:type="dxa"/>
          </w:tcPr>
          <w:p w:rsidR="001779B2" w:rsidRDefault="00F21BE4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sz w:val="16"/>
              </w:rPr>
              <w:t>Alcohol</w:t>
            </w:r>
          </w:p>
        </w:tc>
        <w:tc>
          <w:tcPr>
            <w:tcW w:w="2425" w:type="dxa"/>
          </w:tcPr>
          <w:p w:rsidR="001779B2" w:rsidRDefault="00F21BE4">
            <w:pPr>
              <w:pStyle w:val="TableParagraph"/>
              <w:ind w:left="248" w:right="249"/>
              <w:rPr>
                <w:sz w:val="16"/>
              </w:rPr>
            </w:pPr>
            <w:r>
              <w:rPr>
                <w:sz w:val="16"/>
              </w:rPr>
              <w:t>Other Sedatives/Hypnotics</w:t>
            </w:r>
          </w:p>
        </w:tc>
        <w:tc>
          <w:tcPr>
            <w:tcW w:w="1398" w:type="dxa"/>
          </w:tcPr>
          <w:p w:rsidR="001779B2" w:rsidRDefault="00F21BE4">
            <w:pPr>
              <w:pStyle w:val="TableParagraph"/>
              <w:ind w:left="167" w:right="167"/>
              <w:rPr>
                <w:sz w:val="16"/>
              </w:rPr>
            </w:pPr>
            <w:r>
              <w:rPr>
                <w:sz w:val="16"/>
              </w:rPr>
              <w:t>Crack/Cocaine</w:t>
            </w:r>
          </w:p>
        </w:tc>
        <w:tc>
          <w:tcPr>
            <w:tcW w:w="1615" w:type="dxa"/>
          </w:tcPr>
          <w:p w:rsidR="001779B2" w:rsidRDefault="00F21BE4">
            <w:pPr>
              <w:pStyle w:val="TableParagraph"/>
              <w:ind w:left="184" w:right="185"/>
              <w:rPr>
                <w:sz w:val="16"/>
              </w:rPr>
            </w:pPr>
            <w:r>
              <w:rPr>
                <w:sz w:val="16"/>
              </w:rPr>
              <w:t>Other Stimulants</w:t>
            </w:r>
          </w:p>
        </w:tc>
      </w:tr>
      <w:tr w:rsidR="001779B2">
        <w:trPr>
          <w:trHeight w:hRule="exact" w:val="304"/>
        </w:trPr>
        <w:tc>
          <w:tcPr>
            <w:tcW w:w="890" w:type="dxa"/>
          </w:tcPr>
          <w:p w:rsidR="001779B2" w:rsidRDefault="00F21BE4">
            <w:pPr>
              <w:pStyle w:val="TableParagraph"/>
              <w:ind w:left="127" w:right="127"/>
              <w:rPr>
                <w:sz w:val="16"/>
              </w:rPr>
            </w:pPr>
            <w:r>
              <w:rPr>
                <w:sz w:val="16"/>
              </w:rPr>
              <w:t>FY 2008</w:t>
            </w:r>
          </w:p>
        </w:tc>
        <w:tc>
          <w:tcPr>
            <w:tcW w:w="1617" w:type="dxa"/>
          </w:tcPr>
          <w:p w:rsidR="001779B2" w:rsidRDefault="00F21BE4">
            <w:pPr>
              <w:pStyle w:val="TableParagraph"/>
              <w:ind w:left="535" w:right="536"/>
              <w:rPr>
                <w:sz w:val="16"/>
              </w:rPr>
            </w:pPr>
            <w:r>
              <w:rPr>
                <w:sz w:val="16"/>
              </w:rPr>
              <w:t>34,299</w:t>
            </w:r>
          </w:p>
        </w:tc>
        <w:tc>
          <w:tcPr>
            <w:tcW w:w="1170" w:type="dxa"/>
          </w:tcPr>
          <w:p w:rsidR="001779B2" w:rsidRDefault="00F21BE4">
            <w:pPr>
              <w:pStyle w:val="TableParagraph"/>
              <w:ind w:left="149" w:right="150"/>
              <w:rPr>
                <w:sz w:val="16"/>
              </w:rPr>
            </w:pPr>
            <w:r>
              <w:rPr>
                <w:sz w:val="16"/>
              </w:rPr>
              <w:t>23.0%</w:t>
            </w:r>
          </w:p>
        </w:tc>
        <w:tc>
          <w:tcPr>
            <w:tcW w:w="761" w:type="dxa"/>
          </w:tcPr>
          <w:p w:rsidR="001779B2" w:rsidRDefault="00F21BE4">
            <w:pPr>
              <w:pStyle w:val="TableParagraph"/>
              <w:ind w:left="117" w:right="117"/>
              <w:rPr>
                <w:sz w:val="16"/>
              </w:rPr>
            </w:pPr>
            <w:r>
              <w:rPr>
                <w:sz w:val="16"/>
              </w:rPr>
              <w:t>93.5%</w:t>
            </w:r>
          </w:p>
        </w:tc>
        <w:tc>
          <w:tcPr>
            <w:tcW w:w="1359" w:type="dxa"/>
          </w:tcPr>
          <w:p w:rsidR="001779B2" w:rsidRDefault="00F21BE4">
            <w:pPr>
              <w:pStyle w:val="TableParagraph"/>
              <w:ind w:left="164" w:right="164"/>
              <w:rPr>
                <w:sz w:val="16"/>
              </w:rPr>
            </w:pPr>
            <w:r>
              <w:rPr>
                <w:sz w:val="16"/>
              </w:rPr>
              <w:t>22.2%</w:t>
            </w:r>
          </w:p>
        </w:tc>
        <w:tc>
          <w:tcPr>
            <w:tcW w:w="748" w:type="dxa"/>
          </w:tcPr>
          <w:p w:rsidR="001779B2" w:rsidRDefault="00F21BE4">
            <w:pPr>
              <w:pStyle w:val="TableParagraph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4.4%</w:t>
            </w:r>
          </w:p>
        </w:tc>
        <w:tc>
          <w:tcPr>
            <w:tcW w:w="807" w:type="dxa"/>
          </w:tcPr>
          <w:p w:rsidR="001779B2" w:rsidRDefault="00F21BE4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sz w:val="16"/>
              </w:rPr>
              <w:t>39.3%</w:t>
            </w:r>
          </w:p>
        </w:tc>
        <w:tc>
          <w:tcPr>
            <w:tcW w:w="2425" w:type="dxa"/>
          </w:tcPr>
          <w:p w:rsidR="001779B2" w:rsidRDefault="00F21BE4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23.7%</w:t>
            </w:r>
          </w:p>
        </w:tc>
        <w:tc>
          <w:tcPr>
            <w:tcW w:w="1398" w:type="dxa"/>
          </w:tcPr>
          <w:p w:rsidR="001779B2" w:rsidRDefault="00F21BE4">
            <w:pPr>
              <w:pStyle w:val="TableParagraph"/>
              <w:ind w:left="166" w:right="167"/>
              <w:rPr>
                <w:sz w:val="16"/>
              </w:rPr>
            </w:pPr>
            <w:r>
              <w:rPr>
                <w:sz w:val="16"/>
              </w:rPr>
              <w:t>44.7%</w:t>
            </w:r>
          </w:p>
        </w:tc>
        <w:tc>
          <w:tcPr>
            <w:tcW w:w="1615" w:type="dxa"/>
          </w:tcPr>
          <w:p w:rsidR="001779B2" w:rsidRDefault="00F21BE4">
            <w:pPr>
              <w:pStyle w:val="TableParagraph"/>
              <w:ind w:left="184" w:right="185"/>
              <w:rPr>
                <w:sz w:val="16"/>
              </w:rPr>
            </w:pPr>
            <w:r>
              <w:rPr>
                <w:sz w:val="16"/>
              </w:rPr>
              <w:t>2.9%</w:t>
            </w:r>
          </w:p>
        </w:tc>
      </w:tr>
      <w:tr w:rsidR="001779B2">
        <w:trPr>
          <w:trHeight w:hRule="exact" w:val="304"/>
        </w:trPr>
        <w:tc>
          <w:tcPr>
            <w:tcW w:w="890" w:type="dxa"/>
          </w:tcPr>
          <w:p w:rsidR="001779B2" w:rsidRDefault="00F21BE4">
            <w:pPr>
              <w:pStyle w:val="TableParagraph"/>
              <w:ind w:left="127" w:right="127"/>
              <w:rPr>
                <w:sz w:val="16"/>
              </w:rPr>
            </w:pPr>
            <w:r>
              <w:rPr>
                <w:sz w:val="16"/>
              </w:rPr>
              <w:t>FY 2009</w:t>
            </w:r>
          </w:p>
        </w:tc>
        <w:tc>
          <w:tcPr>
            <w:tcW w:w="1617" w:type="dxa"/>
          </w:tcPr>
          <w:p w:rsidR="001779B2" w:rsidRDefault="00F21BE4">
            <w:pPr>
              <w:pStyle w:val="TableParagraph"/>
              <w:ind w:left="535" w:right="536"/>
              <w:rPr>
                <w:sz w:val="16"/>
              </w:rPr>
            </w:pPr>
            <w:r>
              <w:rPr>
                <w:sz w:val="16"/>
              </w:rPr>
              <w:t>37,381</w:t>
            </w:r>
          </w:p>
        </w:tc>
        <w:tc>
          <w:tcPr>
            <w:tcW w:w="1170" w:type="dxa"/>
          </w:tcPr>
          <w:p w:rsidR="001779B2" w:rsidRDefault="00F21BE4">
            <w:pPr>
              <w:pStyle w:val="TableParagraph"/>
              <w:ind w:left="149" w:right="150"/>
              <w:rPr>
                <w:sz w:val="16"/>
              </w:rPr>
            </w:pPr>
            <w:r>
              <w:rPr>
                <w:sz w:val="16"/>
              </w:rPr>
              <w:t>23.5%</w:t>
            </w:r>
          </w:p>
        </w:tc>
        <w:tc>
          <w:tcPr>
            <w:tcW w:w="761" w:type="dxa"/>
          </w:tcPr>
          <w:p w:rsidR="001779B2" w:rsidRDefault="00F21BE4">
            <w:pPr>
              <w:pStyle w:val="TableParagraph"/>
              <w:ind w:left="117" w:right="117"/>
              <w:rPr>
                <w:sz w:val="16"/>
              </w:rPr>
            </w:pPr>
            <w:r>
              <w:rPr>
                <w:sz w:val="16"/>
              </w:rPr>
              <w:t>94.3%</w:t>
            </w:r>
          </w:p>
        </w:tc>
        <w:tc>
          <w:tcPr>
            <w:tcW w:w="1359" w:type="dxa"/>
          </w:tcPr>
          <w:p w:rsidR="001779B2" w:rsidRDefault="00F21BE4">
            <w:pPr>
              <w:pStyle w:val="TableParagraph"/>
              <w:ind w:left="164" w:right="164"/>
              <w:rPr>
                <w:sz w:val="16"/>
              </w:rPr>
            </w:pPr>
            <w:r>
              <w:rPr>
                <w:sz w:val="16"/>
              </w:rPr>
              <w:t>25.4%</w:t>
            </w:r>
          </w:p>
        </w:tc>
        <w:tc>
          <w:tcPr>
            <w:tcW w:w="748" w:type="dxa"/>
          </w:tcPr>
          <w:p w:rsidR="001779B2" w:rsidRDefault="00F21BE4">
            <w:pPr>
              <w:pStyle w:val="TableParagraph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3.7%</w:t>
            </w:r>
          </w:p>
        </w:tc>
        <w:tc>
          <w:tcPr>
            <w:tcW w:w="807" w:type="dxa"/>
          </w:tcPr>
          <w:p w:rsidR="001779B2" w:rsidRDefault="00F21BE4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sz w:val="16"/>
              </w:rPr>
              <w:t>38.3%</w:t>
            </w:r>
          </w:p>
        </w:tc>
        <w:tc>
          <w:tcPr>
            <w:tcW w:w="2425" w:type="dxa"/>
          </w:tcPr>
          <w:p w:rsidR="001779B2" w:rsidRDefault="00F21BE4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26.9%</w:t>
            </w:r>
          </w:p>
        </w:tc>
        <w:tc>
          <w:tcPr>
            <w:tcW w:w="1398" w:type="dxa"/>
          </w:tcPr>
          <w:p w:rsidR="001779B2" w:rsidRDefault="00F21BE4">
            <w:pPr>
              <w:pStyle w:val="TableParagraph"/>
              <w:ind w:left="166" w:right="167"/>
              <w:rPr>
                <w:sz w:val="16"/>
              </w:rPr>
            </w:pPr>
            <w:r>
              <w:rPr>
                <w:sz w:val="16"/>
              </w:rPr>
              <w:t>39.0%</w:t>
            </w:r>
          </w:p>
        </w:tc>
        <w:tc>
          <w:tcPr>
            <w:tcW w:w="1615" w:type="dxa"/>
          </w:tcPr>
          <w:p w:rsidR="001779B2" w:rsidRDefault="00F21BE4">
            <w:pPr>
              <w:pStyle w:val="TableParagraph"/>
              <w:ind w:left="184" w:right="185"/>
              <w:rPr>
                <w:sz w:val="16"/>
              </w:rPr>
            </w:pPr>
            <w:r>
              <w:rPr>
                <w:sz w:val="16"/>
              </w:rPr>
              <w:t>2.8%</w:t>
            </w:r>
          </w:p>
        </w:tc>
      </w:tr>
      <w:tr w:rsidR="001779B2">
        <w:trPr>
          <w:trHeight w:hRule="exact" w:val="304"/>
        </w:trPr>
        <w:tc>
          <w:tcPr>
            <w:tcW w:w="890" w:type="dxa"/>
          </w:tcPr>
          <w:p w:rsidR="001779B2" w:rsidRDefault="00F21BE4">
            <w:pPr>
              <w:pStyle w:val="TableParagraph"/>
              <w:ind w:left="127" w:right="127"/>
              <w:rPr>
                <w:sz w:val="16"/>
              </w:rPr>
            </w:pPr>
            <w:r>
              <w:rPr>
                <w:sz w:val="16"/>
              </w:rPr>
              <w:t>FY 2010</w:t>
            </w:r>
          </w:p>
        </w:tc>
        <w:tc>
          <w:tcPr>
            <w:tcW w:w="1617" w:type="dxa"/>
          </w:tcPr>
          <w:p w:rsidR="001779B2" w:rsidRDefault="00F21BE4">
            <w:pPr>
              <w:pStyle w:val="TableParagraph"/>
              <w:ind w:left="535" w:right="536"/>
              <w:rPr>
                <w:sz w:val="16"/>
              </w:rPr>
            </w:pPr>
            <w:r>
              <w:rPr>
                <w:sz w:val="16"/>
              </w:rPr>
              <w:t>41,086</w:t>
            </w:r>
          </w:p>
        </w:tc>
        <w:tc>
          <w:tcPr>
            <w:tcW w:w="1170" w:type="dxa"/>
          </w:tcPr>
          <w:p w:rsidR="001779B2" w:rsidRDefault="00F21BE4">
            <w:pPr>
              <w:pStyle w:val="TableParagraph"/>
              <w:ind w:left="149" w:right="150"/>
              <w:rPr>
                <w:sz w:val="16"/>
              </w:rPr>
            </w:pPr>
            <w:r>
              <w:rPr>
                <w:sz w:val="16"/>
              </w:rPr>
              <w:t>22.2%</w:t>
            </w:r>
          </w:p>
        </w:tc>
        <w:tc>
          <w:tcPr>
            <w:tcW w:w="761" w:type="dxa"/>
          </w:tcPr>
          <w:p w:rsidR="001779B2" w:rsidRDefault="00F21BE4">
            <w:pPr>
              <w:pStyle w:val="TableParagraph"/>
              <w:ind w:left="117" w:right="117"/>
              <w:rPr>
                <w:sz w:val="16"/>
              </w:rPr>
            </w:pPr>
            <w:r>
              <w:rPr>
                <w:sz w:val="16"/>
              </w:rPr>
              <w:t>93.5%</w:t>
            </w:r>
          </w:p>
        </w:tc>
        <w:tc>
          <w:tcPr>
            <w:tcW w:w="1359" w:type="dxa"/>
          </w:tcPr>
          <w:p w:rsidR="001779B2" w:rsidRDefault="00F21BE4">
            <w:pPr>
              <w:pStyle w:val="TableParagraph"/>
              <w:ind w:left="164" w:right="164"/>
              <w:rPr>
                <w:sz w:val="16"/>
              </w:rPr>
            </w:pPr>
            <w:r>
              <w:rPr>
                <w:sz w:val="16"/>
              </w:rPr>
              <w:t>25.9%</w:t>
            </w:r>
          </w:p>
        </w:tc>
        <w:tc>
          <w:tcPr>
            <w:tcW w:w="748" w:type="dxa"/>
          </w:tcPr>
          <w:p w:rsidR="001779B2" w:rsidRDefault="00F21BE4">
            <w:pPr>
              <w:pStyle w:val="TableParagraph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3.3%</w:t>
            </w:r>
          </w:p>
        </w:tc>
        <w:tc>
          <w:tcPr>
            <w:tcW w:w="807" w:type="dxa"/>
          </w:tcPr>
          <w:p w:rsidR="001779B2" w:rsidRDefault="00F21BE4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sz w:val="16"/>
              </w:rPr>
              <w:t>36.3%</w:t>
            </w:r>
          </w:p>
        </w:tc>
        <w:tc>
          <w:tcPr>
            <w:tcW w:w="2425" w:type="dxa"/>
          </w:tcPr>
          <w:p w:rsidR="001779B2" w:rsidRDefault="00F21BE4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26.6%</w:t>
            </w:r>
          </w:p>
        </w:tc>
        <w:tc>
          <w:tcPr>
            <w:tcW w:w="1398" w:type="dxa"/>
          </w:tcPr>
          <w:p w:rsidR="001779B2" w:rsidRDefault="00F21BE4">
            <w:pPr>
              <w:pStyle w:val="TableParagraph"/>
              <w:ind w:left="166" w:right="167"/>
              <w:rPr>
                <w:sz w:val="16"/>
              </w:rPr>
            </w:pPr>
            <w:r>
              <w:rPr>
                <w:sz w:val="16"/>
              </w:rPr>
              <w:t>35.9%</w:t>
            </w:r>
          </w:p>
        </w:tc>
        <w:tc>
          <w:tcPr>
            <w:tcW w:w="1615" w:type="dxa"/>
          </w:tcPr>
          <w:p w:rsidR="001779B2" w:rsidRDefault="00F21BE4">
            <w:pPr>
              <w:pStyle w:val="TableParagraph"/>
              <w:ind w:left="184" w:right="185"/>
              <w:rPr>
                <w:sz w:val="16"/>
              </w:rPr>
            </w:pPr>
            <w:r>
              <w:rPr>
                <w:sz w:val="16"/>
              </w:rPr>
              <w:t>2.6%</w:t>
            </w:r>
          </w:p>
        </w:tc>
      </w:tr>
      <w:tr w:rsidR="001779B2">
        <w:trPr>
          <w:trHeight w:hRule="exact" w:val="304"/>
        </w:trPr>
        <w:tc>
          <w:tcPr>
            <w:tcW w:w="890" w:type="dxa"/>
          </w:tcPr>
          <w:p w:rsidR="001779B2" w:rsidRDefault="00F21BE4">
            <w:pPr>
              <w:pStyle w:val="TableParagraph"/>
              <w:ind w:left="127" w:right="127"/>
              <w:rPr>
                <w:sz w:val="16"/>
              </w:rPr>
            </w:pPr>
            <w:r>
              <w:rPr>
                <w:sz w:val="16"/>
              </w:rPr>
              <w:t>FY 2011</w:t>
            </w:r>
          </w:p>
        </w:tc>
        <w:tc>
          <w:tcPr>
            <w:tcW w:w="1617" w:type="dxa"/>
          </w:tcPr>
          <w:p w:rsidR="001779B2" w:rsidRDefault="00F21BE4">
            <w:pPr>
              <w:pStyle w:val="TableParagraph"/>
              <w:ind w:left="535" w:right="536"/>
              <w:rPr>
                <w:sz w:val="16"/>
              </w:rPr>
            </w:pPr>
            <w:r>
              <w:rPr>
                <w:sz w:val="16"/>
              </w:rPr>
              <w:t>39,658</w:t>
            </w:r>
          </w:p>
        </w:tc>
        <w:tc>
          <w:tcPr>
            <w:tcW w:w="1170" w:type="dxa"/>
          </w:tcPr>
          <w:p w:rsidR="001779B2" w:rsidRDefault="00F21BE4">
            <w:pPr>
              <w:pStyle w:val="TableParagraph"/>
              <w:ind w:left="149" w:right="150"/>
              <w:rPr>
                <w:sz w:val="16"/>
              </w:rPr>
            </w:pPr>
            <w:r>
              <w:rPr>
                <w:sz w:val="16"/>
              </w:rPr>
              <w:t>22.4%</w:t>
            </w:r>
          </w:p>
        </w:tc>
        <w:tc>
          <w:tcPr>
            <w:tcW w:w="761" w:type="dxa"/>
          </w:tcPr>
          <w:p w:rsidR="001779B2" w:rsidRDefault="00F21BE4">
            <w:pPr>
              <w:pStyle w:val="TableParagraph"/>
              <w:ind w:left="117" w:right="117"/>
              <w:rPr>
                <w:sz w:val="16"/>
              </w:rPr>
            </w:pPr>
            <w:r>
              <w:rPr>
                <w:sz w:val="16"/>
              </w:rPr>
              <w:t>92.2%</w:t>
            </w:r>
          </w:p>
        </w:tc>
        <w:tc>
          <w:tcPr>
            <w:tcW w:w="1359" w:type="dxa"/>
          </w:tcPr>
          <w:p w:rsidR="001779B2" w:rsidRDefault="00F21BE4">
            <w:pPr>
              <w:pStyle w:val="TableParagraph"/>
              <w:ind w:left="164" w:right="164"/>
              <w:rPr>
                <w:sz w:val="16"/>
              </w:rPr>
            </w:pPr>
            <w:r>
              <w:rPr>
                <w:sz w:val="16"/>
              </w:rPr>
              <w:t>29.1%</w:t>
            </w:r>
          </w:p>
        </w:tc>
        <w:tc>
          <w:tcPr>
            <w:tcW w:w="748" w:type="dxa"/>
          </w:tcPr>
          <w:p w:rsidR="001779B2" w:rsidRDefault="00F21BE4">
            <w:pPr>
              <w:pStyle w:val="TableParagraph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3.4%</w:t>
            </w:r>
          </w:p>
        </w:tc>
        <w:tc>
          <w:tcPr>
            <w:tcW w:w="807" w:type="dxa"/>
          </w:tcPr>
          <w:p w:rsidR="001779B2" w:rsidRDefault="00F21BE4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sz w:val="16"/>
              </w:rPr>
              <w:t>36.8%</w:t>
            </w:r>
          </w:p>
        </w:tc>
        <w:tc>
          <w:tcPr>
            <w:tcW w:w="2425" w:type="dxa"/>
          </w:tcPr>
          <w:p w:rsidR="001779B2" w:rsidRDefault="00F21BE4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29.3%</w:t>
            </w:r>
          </w:p>
        </w:tc>
        <w:tc>
          <w:tcPr>
            <w:tcW w:w="1398" w:type="dxa"/>
          </w:tcPr>
          <w:p w:rsidR="001779B2" w:rsidRDefault="00F21BE4">
            <w:pPr>
              <w:pStyle w:val="TableParagraph"/>
              <w:ind w:left="166" w:right="167"/>
              <w:rPr>
                <w:sz w:val="16"/>
              </w:rPr>
            </w:pPr>
            <w:r>
              <w:rPr>
                <w:sz w:val="16"/>
              </w:rPr>
              <w:t>38.0%</w:t>
            </w:r>
          </w:p>
        </w:tc>
        <w:tc>
          <w:tcPr>
            <w:tcW w:w="1615" w:type="dxa"/>
          </w:tcPr>
          <w:p w:rsidR="001779B2" w:rsidRDefault="00F21BE4">
            <w:pPr>
              <w:pStyle w:val="TableParagraph"/>
              <w:ind w:left="184" w:right="185"/>
              <w:rPr>
                <w:sz w:val="16"/>
              </w:rPr>
            </w:pPr>
            <w:r>
              <w:rPr>
                <w:sz w:val="16"/>
              </w:rPr>
              <w:t>3.1%</w:t>
            </w:r>
          </w:p>
        </w:tc>
      </w:tr>
      <w:tr w:rsidR="001779B2">
        <w:trPr>
          <w:trHeight w:hRule="exact" w:val="304"/>
        </w:trPr>
        <w:tc>
          <w:tcPr>
            <w:tcW w:w="890" w:type="dxa"/>
          </w:tcPr>
          <w:p w:rsidR="001779B2" w:rsidRDefault="00F21BE4">
            <w:pPr>
              <w:pStyle w:val="TableParagraph"/>
              <w:ind w:left="127" w:right="127"/>
              <w:rPr>
                <w:sz w:val="16"/>
              </w:rPr>
            </w:pPr>
            <w:r>
              <w:rPr>
                <w:sz w:val="16"/>
              </w:rPr>
              <w:t>FY 2012</w:t>
            </w:r>
          </w:p>
        </w:tc>
        <w:tc>
          <w:tcPr>
            <w:tcW w:w="1617" w:type="dxa"/>
          </w:tcPr>
          <w:p w:rsidR="001779B2" w:rsidRDefault="00F21BE4">
            <w:pPr>
              <w:pStyle w:val="TableParagraph"/>
              <w:ind w:left="535" w:right="536"/>
              <w:rPr>
                <w:sz w:val="16"/>
              </w:rPr>
            </w:pPr>
            <w:r>
              <w:rPr>
                <w:sz w:val="16"/>
              </w:rPr>
              <w:t>43,032</w:t>
            </w:r>
          </w:p>
        </w:tc>
        <w:tc>
          <w:tcPr>
            <w:tcW w:w="1170" w:type="dxa"/>
          </w:tcPr>
          <w:p w:rsidR="001779B2" w:rsidRDefault="00F21BE4">
            <w:pPr>
              <w:pStyle w:val="TableParagraph"/>
              <w:ind w:left="149" w:right="150"/>
              <w:rPr>
                <w:sz w:val="16"/>
              </w:rPr>
            </w:pPr>
            <w:r>
              <w:rPr>
                <w:sz w:val="16"/>
              </w:rPr>
              <w:t>22.9%</w:t>
            </w:r>
          </w:p>
        </w:tc>
        <w:tc>
          <w:tcPr>
            <w:tcW w:w="761" w:type="dxa"/>
          </w:tcPr>
          <w:p w:rsidR="001779B2" w:rsidRDefault="00F21BE4">
            <w:pPr>
              <w:pStyle w:val="TableParagraph"/>
              <w:ind w:left="117" w:right="117"/>
              <w:rPr>
                <w:sz w:val="16"/>
              </w:rPr>
            </w:pPr>
            <w:r>
              <w:rPr>
                <w:sz w:val="16"/>
              </w:rPr>
              <w:t>93.4%</w:t>
            </w:r>
          </w:p>
        </w:tc>
        <w:tc>
          <w:tcPr>
            <w:tcW w:w="1359" w:type="dxa"/>
          </w:tcPr>
          <w:p w:rsidR="001779B2" w:rsidRDefault="00F21BE4">
            <w:pPr>
              <w:pStyle w:val="TableParagraph"/>
              <w:ind w:left="164" w:right="164"/>
              <w:rPr>
                <w:sz w:val="16"/>
              </w:rPr>
            </w:pPr>
            <w:r>
              <w:rPr>
                <w:sz w:val="16"/>
              </w:rPr>
              <w:t>28.0%</w:t>
            </w:r>
          </w:p>
        </w:tc>
        <w:tc>
          <w:tcPr>
            <w:tcW w:w="748" w:type="dxa"/>
          </w:tcPr>
          <w:p w:rsidR="001779B2" w:rsidRDefault="00F21BE4">
            <w:pPr>
              <w:pStyle w:val="TableParagraph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3.6%</w:t>
            </w:r>
          </w:p>
        </w:tc>
        <w:tc>
          <w:tcPr>
            <w:tcW w:w="807" w:type="dxa"/>
          </w:tcPr>
          <w:p w:rsidR="001779B2" w:rsidRDefault="00F21BE4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sz w:val="16"/>
              </w:rPr>
              <w:t>35.7%</w:t>
            </w:r>
          </w:p>
        </w:tc>
        <w:tc>
          <w:tcPr>
            <w:tcW w:w="2425" w:type="dxa"/>
          </w:tcPr>
          <w:p w:rsidR="001779B2" w:rsidRDefault="00F21BE4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29.4%</w:t>
            </w:r>
          </w:p>
        </w:tc>
        <w:tc>
          <w:tcPr>
            <w:tcW w:w="1398" w:type="dxa"/>
          </w:tcPr>
          <w:p w:rsidR="001779B2" w:rsidRDefault="00F21BE4">
            <w:pPr>
              <w:pStyle w:val="TableParagraph"/>
              <w:ind w:left="166" w:right="167"/>
              <w:rPr>
                <w:sz w:val="16"/>
              </w:rPr>
            </w:pPr>
            <w:r>
              <w:rPr>
                <w:sz w:val="16"/>
              </w:rPr>
              <w:t>36.9%</w:t>
            </w:r>
          </w:p>
        </w:tc>
        <w:tc>
          <w:tcPr>
            <w:tcW w:w="1615" w:type="dxa"/>
          </w:tcPr>
          <w:p w:rsidR="001779B2" w:rsidRDefault="00F21BE4">
            <w:pPr>
              <w:pStyle w:val="TableParagraph"/>
              <w:ind w:left="184" w:right="185"/>
              <w:rPr>
                <w:sz w:val="16"/>
              </w:rPr>
            </w:pPr>
            <w:r>
              <w:rPr>
                <w:sz w:val="16"/>
              </w:rPr>
              <w:t>3.2%</w:t>
            </w:r>
          </w:p>
        </w:tc>
      </w:tr>
      <w:tr w:rsidR="001779B2">
        <w:trPr>
          <w:trHeight w:hRule="exact" w:val="304"/>
        </w:trPr>
        <w:tc>
          <w:tcPr>
            <w:tcW w:w="890" w:type="dxa"/>
          </w:tcPr>
          <w:p w:rsidR="001779B2" w:rsidRDefault="00F21BE4">
            <w:pPr>
              <w:pStyle w:val="TableParagraph"/>
              <w:ind w:left="127" w:right="127"/>
              <w:rPr>
                <w:sz w:val="16"/>
              </w:rPr>
            </w:pPr>
            <w:r>
              <w:rPr>
                <w:sz w:val="16"/>
              </w:rPr>
              <w:t>FY 2013</w:t>
            </w:r>
          </w:p>
        </w:tc>
        <w:tc>
          <w:tcPr>
            <w:tcW w:w="1617" w:type="dxa"/>
          </w:tcPr>
          <w:p w:rsidR="001779B2" w:rsidRDefault="00F21BE4">
            <w:pPr>
              <w:pStyle w:val="TableParagraph"/>
              <w:ind w:left="535" w:right="536"/>
              <w:rPr>
                <w:sz w:val="16"/>
              </w:rPr>
            </w:pPr>
            <w:r>
              <w:rPr>
                <w:sz w:val="16"/>
              </w:rPr>
              <w:t>46,438</w:t>
            </w:r>
          </w:p>
        </w:tc>
        <w:tc>
          <w:tcPr>
            <w:tcW w:w="1170" w:type="dxa"/>
          </w:tcPr>
          <w:p w:rsidR="001779B2" w:rsidRDefault="00F21BE4">
            <w:pPr>
              <w:pStyle w:val="TableParagraph"/>
              <w:ind w:left="149" w:right="150"/>
              <w:rPr>
                <w:sz w:val="16"/>
              </w:rPr>
            </w:pPr>
            <w:r>
              <w:rPr>
                <w:sz w:val="16"/>
              </w:rPr>
              <w:t>23.5%</w:t>
            </w:r>
          </w:p>
        </w:tc>
        <w:tc>
          <w:tcPr>
            <w:tcW w:w="761" w:type="dxa"/>
          </w:tcPr>
          <w:p w:rsidR="001779B2" w:rsidRDefault="00F21BE4">
            <w:pPr>
              <w:pStyle w:val="TableParagraph"/>
              <w:ind w:left="117" w:right="117"/>
              <w:rPr>
                <w:sz w:val="16"/>
              </w:rPr>
            </w:pPr>
            <w:r>
              <w:rPr>
                <w:sz w:val="16"/>
              </w:rPr>
              <w:t>94.5%</w:t>
            </w:r>
          </w:p>
        </w:tc>
        <w:tc>
          <w:tcPr>
            <w:tcW w:w="1359" w:type="dxa"/>
          </w:tcPr>
          <w:p w:rsidR="001779B2" w:rsidRDefault="00F21BE4">
            <w:pPr>
              <w:pStyle w:val="TableParagraph"/>
              <w:ind w:left="164" w:right="164"/>
              <w:rPr>
                <w:sz w:val="16"/>
              </w:rPr>
            </w:pPr>
            <w:r>
              <w:rPr>
                <w:sz w:val="16"/>
              </w:rPr>
              <w:t>21.9%</w:t>
            </w:r>
          </w:p>
        </w:tc>
        <w:tc>
          <w:tcPr>
            <w:tcW w:w="748" w:type="dxa"/>
          </w:tcPr>
          <w:p w:rsidR="001779B2" w:rsidRDefault="00F21BE4">
            <w:pPr>
              <w:pStyle w:val="TableParagraph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4.8%</w:t>
            </w:r>
          </w:p>
        </w:tc>
        <w:tc>
          <w:tcPr>
            <w:tcW w:w="807" w:type="dxa"/>
          </w:tcPr>
          <w:p w:rsidR="001779B2" w:rsidRDefault="00F21BE4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sz w:val="16"/>
              </w:rPr>
              <w:t>34.9%</w:t>
            </w:r>
          </w:p>
        </w:tc>
        <w:tc>
          <w:tcPr>
            <w:tcW w:w="2425" w:type="dxa"/>
          </w:tcPr>
          <w:p w:rsidR="001779B2" w:rsidRDefault="00F21BE4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27.3%</w:t>
            </w:r>
          </w:p>
        </w:tc>
        <w:tc>
          <w:tcPr>
            <w:tcW w:w="1398" w:type="dxa"/>
          </w:tcPr>
          <w:p w:rsidR="001779B2" w:rsidRDefault="00F21BE4">
            <w:pPr>
              <w:pStyle w:val="TableParagraph"/>
              <w:ind w:left="166" w:right="167"/>
              <w:rPr>
                <w:sz w:val="16"/>
              </w:rPr>
            </w:pPr>
            <w:r>
              <w:rPr>
                <w:sz w:val="16"/>
              </w:rPr>
              <w:t>35.0%</w:t>
            </w:r>
          </w:p>
        </w:tc>
        <w:tc>
          <w:tcPr>
            <w:tcW w:w="1615" w:type="dxa"/>
          </w:tcPr>
          <w:p w:rsidR="001779B2" w:rsidRDefault="00F21BE4">
            <w:pPr>
              <w:pStyle w:val="TableParagraph"/>
              <w:ind w:left="184" w:right="185"/>
              <w:rPr>
                <w:sz w:val="16"/>
              </w:rPr>
            </w:pPr>
            <w:r>
              <w:rPr>
                <w:sz w:val="16"/>
              </w:rPr>
              <w:t>3.8%</w:t>
            </w:r>
          </w:p>
        </w:tc>
      </w:tr>
      <w:tr w:rsidR="001779B2">
        <w:trPr>
          <w:trHeight w:hRule="exact" w:val="304"/>
        </w:trPr>
        <w:tc>
          <w:tcPr>
            <w:tcW w:w="890" w:type="dxa"/>
          </w:tcPr>
          <w:p w:rsidR="001779B2" w:rsidRDefault="00F21BE4">
            <w:pPr>
              <w:pStyle w:val="TableParagraph"/>
              <w:ind w:left="127" w:right="127"/>
              <w:rPr>
                <w:sz w:val="16"/>
              </w:rPr>
            </w:pPr>
            <w:r>
              <w:rPr>
                <w:sz w:val="16"/>
              </w:rPr>
              <w:t>FY 2014</w:t>
            </w:r>
          </w:p>
        </w:tc>
        <w:tc>
          <w:tcPr>
            <w:tcW w:w="1617" w:type="dxa"/>
          </w:tcPr>
          <w:p w:rsidR="001779B2" w:rsidRDefault="00F21BE4">
            <w:pPr>
              <w:pStyle w:val="TableParagraph"/>
              <w:ind w:left="535" w:right="536"/>
              <w:rPr>
                <w:sz w:val="16"/>
              </w:rPr>
            </w:pPr>
            <w:r>
              <w:rPr>
                <w:sz w:val="16"/>
              </w:rPr>
              <w:t>52,943</w:t>
            </w:r>
          </w:p>
        </w:tc>
        <w:tc>
          <w:tcPr>
            <w:tcW w:w="1170" w:type="dxa"/>
          </w:tcPr>
          <w:p w:rsidR="001779B2" w:rsidRDefault="00F21BE4">
            <w:pPr>
              <w:pStyle w:val="TableParagraph"/>
              <w:ind w:left="149" w:right="150"/>
              <w:rPr>
                <w:sz w:val="16"/>
              </w:rPr>
            </w:pPr>
            <w:r>
              <w:rPr>
                <w:sz w:val="16"/>
              </w:rPr>
              <w:t>21.4%</w:t>
            </w:r>
          </w:p>
        </w:tc>
        <w:tc>
          <w:tcPr>
            <w:tcW w:w="761" w:type="dxa"/>
          </w:tcPr>
          <w:p w:rsidR="001779B2" w:rsidRDefault="00F21BE4">
            <w:pPr>
              <w:pStyle w:val="TableParagraph"/>
              <w:ind w:left="117" w:right="117"/>
              <w:rPr>
                <w:sz w:val="16"/>
              </w:rPr>
            </w:pPr>
            <w:r>
              <w:rPr>
                <w:sz w:val="16"/>
              </w:rPr>
              <w:t>95.1%</w:t>
            </w:r>
          </w:p>
        </w:tc>
        <w:tc>
          <w:tcPr>
            <w:tcW w:w="1359" w:type="dxa"/>
          </w:tcPr>
          <w:p w:rsidR="001779B2" w:rsidRDefault="00F21BE4">
            <w:pPr>
              <w:pStyle w:val="TableParagraph"/>
              <w:ind w:left="164" w:right="164"/>
              <w:rPr>
                <w:sz w:val="16"/>
              </w:rPr>
            </w:pPr>
            <w:r>
              <w:rPr>
                <w:sz w:val="16"/>
              </w:rPr>
              <w:t>17.1%</w:t>
            </w:r>
          </w:p>
        </w:tc>
        <w:tc>
          <w:tcPr>
            <w:tcW w:w="748" w:type="dxa"/>
          </w:tcPr>
          <w:p w:rsidR="001779B2" w:rsidRDefault="00F21BE4">
            <w:pPr>
              <w:pStyle w:val="TableParagraph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3.9%</w:t>
            </w:r>
          </w:p>
        </w:tc>
        <w:tc>
          <w:tcPr>
            <w:tcW w:w="807" w:type="dxa"/>
          </w:tcPr>
          <w:p w:rsidR="001779B2" w:rsidRDefault="00F21BE4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sz w:val="16"/>
              </w:rPr>
              <w:t>32.8%</w:t>
            </w:r>
          </w:p>
        </w:tc>
        <w:tc>
          <w:tcPr>
            <w:tcW w:w="2425" w:type="dxa"/>
          </w:tcPr>
          <w:p w:rsidR="001779B2" w:rsidRDefault="00F21BE4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26.6%</w:t>
            </w:r>
          </w:p>
        </w:tc>
        <w:tc>
          <w:tcPr>
            <w:tcW w:w="1398" w:type="dxa"/>
          </w:tcPr>
          <w:p w:rsidR="001779B2" w:rsidRDefault="00F21BE4">
            <w:pPr>
              <w:pStyle w:val="TableParagraph"/>
              <w:ind w:left="166" w:right="167"/>
              <w:rPr>
                <w:sz w:val="16"/>
              </w:rPr>
            </w:pPr>
            <w:r>
              <w:rPr>
                <w:sz w:val="16"/>
              </w:rPr>
              <w:t>33.5%</w:t>
            </w:r>
          </w:p>
        </w:tc>
        <w:tc>
          <w:tcPr>
            <w:tcW w:w="1615" w:type="dxa"/>
          </w:tcPr>
          <w:p w:rsidR="001779B2" w:rsidRDefault="00F21BE4">
            <w:pPr>
              <w:pStyle w:val="TableParagraph"/>
              <w:ind w:left="184" w:right="185"/>
              <w:rPr>
                <w:sz w:val="16"/>
              </w:rPr>
            </w:pPr>
            <w:r>
              <w:rPr>
                <w:sz w:val="16"/>
              </w:rPr>
              <w:t>4.3%</w:t>
            </w:r>
          </w:p>
        </w:tc>
      </w:tr>
      <w:tr w:rsidR="001779B2">
        <w:trPr>
          <w:trHeight w:hRule="exact" w:val="304"/>
        </w:trPr>
        <w:tc>
          <w:tcPr>
            <w:tcW w:w="890" w:type="dxa"/>
          </w:tcPr>
          <w:p w:rsidR="001779B2" w:rsidRDefault="00F21BE4">
            <w:pPr>
              <w:pStyle w:val="TableParagraph"/>
              <w:ind w:left="127" w:right="127"/>
              <w:rPr>
                <w:sz w:val="16"/>
              </w:rPr>
            </w:pPr>
            <w:r>
              <w:rPr>
                <w:sz w:val="16"/>
              </w:rPr>
              <w:t>FY 2015</w:t>
            </w:r>
          </w:p>
        </w:tc>
        <w:tc>
          <w:tcPr>
            <w:tcW w:w="1617" w:type="dxa"/>
          </w:tcPr>
          <w:p w:rsidR="001779B2" w:rsidRDefault="00F21BE4">
            <w:pPr>
              <w:pStyle w:val="TableParagraph"/>
              <w:ind w:left="535" w:right="536"/>
              <w:rPr>
                <w:sz w:val="16"/>
              </w:rPr>
            </w:pPr>
            <w:r>
              <w:rPr>
                <w:sz w:val="16"/>
              </w:rPr>
              <w:t>48,822</w:t>
            </w:r>
          </w:p>
        </w:tc>
        <w:tc>
          <w:tcPr>
            <w:tcW w:w="1170" w:type="dxa"/>
          </w:tcPr>
          <w:p w:rsidR="001779B2" w:rsidRDefault="00F21BE4">
            <w:pPr>
              <w:pStyle w:val="TableParagraph"/>
              <w:ind w:left="149" w:right="150"/>
              <w:rPr>
                <w:sz w:val="16"/>
              </w:rPr>
            </w:pPr>
            <w:r>
              <w:rPr>
                <w:sz w:val="16"/>
              </w:rPr>
              <w:t>21.2%</w:t>
            </w:r>
          </w:p>
        </w:tc>
        <w:tc>
          <w:tcPr>
            <w:tcW w:w="761" w:type="dxa"/>
          </w:tcPr>
          <w:p w:rsidR="001779B2" w:rsidRDefault="00F21BE4">
            <w:pPr>
              <w:pStyle w:val="TableParagraph"/>
              <w:ind w:left="117" w:right="117"/>
              <w:rPr>
                <w:sz w:val="16"/>
              </w:rPr>
            </w:pPr>
            <w:r>
              <w:rPr>
                <w:sz w:val="16"/>
              </w:rPr>
              <w:t>95.7%</w:t>
            </w:r>
          </w:p>
        </w:tc>
        <w:tc>
          <w:tcPr>
            <w:tcW w:w="1359" w:type="dxa"/>
          </w:tcPr>
          <w:p w:rsidR="001779B2" w:rsidRDefault="00F21BE4">
            <w:pPr>
              <w:pStyle w:val="TableParagraph"/>
              <w:ind w:left="164" w:right="164"/>
              <w:rPr>
                <w:sz w:val="16"/>
              </w:rPr>
            </w:pPr>
            <w:r>
              <w:rPr>
                <w:sz w:val="16"/>
              </w:rPr>
              <w:t>14.6%</w:t>
            </w:r>
          </w:p>
        </w:tc>
        <w:tc>
          <w:tcPr>
            <w:tcW w:w="748" w:type="dxa"/>
          </w:tcPr>
          <w:p w:rsidR="001779B2" w:rsidRDefault="00F21BE4">
            <w:pPr>
              <w:pStyle w:val="TableParagraph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3.7%</w:t>
            </w:r>
          </w:p>
        </w:tc>
        <w:tc>
          <w:tcPr>
            <w:tcW w:w="807" w:type="dxa"/>
          </w:tcPr>
          <w:p w:rsidR="001779B2" w:rsidRDefault="00F21BE4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sz w:val="16"/>
              </w:rPr>
              <w:t>33.4%</w:t>
            </w:r>
          </w:p>
        </w:tc>
        <w:tc>
          <w:tcPr>
            <w:tcW w:w="2425" w:type="dxa"/>
          </w:tcPr>
          <w:p w:rsidR="001779B2" w:rsidRDefault="00F21BE4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24.6%</w:t>
            </w:r>
          </w:p>
        </w:tc>
        <w:tc>
          <w:tcPr>
            <w:tcW w:w="1398" w:type="dxa"/>
          </w:tcPr>
          <w:p w:rsidR="001779B2" w:rsidRDefault="00F21BE4">
            <w:pPr>
              <w:pStyle w:val="TableParagraph"/>
              <w:ind w:left="166" w:right="167"/>
              <w:rPr>
                <w:sz w:val="16"/>
              </w:rPr>
            </w:pPr>
            <w:r>
              <w:rPr>
                <w:sz w:val="16"/>
              </w:rPr>
              <w:t>32.5%</w:t>
            </w:r>
          </w:p>
        </w:tc>
        <w:tc>
          <w:tcPr>
            <w:tcW w:w="1615" w:type="dxa"/>
          </w:tcPr>
          <w:p w:rsidR="001779B2" w:rsidRDefault="00F21BE4">
            <w:pPr>
              <w:pStyle w:val="TableParagraph"/>
              <w:ind w:left="184" w:right="185"/>
              <w:rPr>
                <w:sz w:val="16"/>
              </w:rPr>
            </w:pPr>
            <w:r>
              <w:rPr>
                <w:sz w:val="16"/>
              </w:rPr>
              <w:t>4.6%</w:t>
            </w:r>
          </w:p>
        </w:tc>
      </w:tr>
      <w:tr w:rsidR="001779B2">
        <w:trPr>
          <w:trHeight w:hRule="exact" w:val="304"/>
        </w:trPr>
        <w:tc>
          <w:tcPr>
            <w:tcW w:w="890" w:type="dxa"/>
          </w:tcPr>
          <w:p w:rsidR="001779B2" w:rsidRDefault="00F21BE4">
            <w:pPr>
              <w:pStyle w:val="TableParagraph"/>
              <w:ind w:left="127" w:right="127"/>
              <w:rPr>
                <w:sz w:val="16"/>
              </w:rPr>
            </w:pPr>
            <w:r>
              <w:rPr>
                <w:sz w:val="16"/>
              </w:rPr>
              <w:t>FY 2016</w:t>
            </w:r>
          </w:p>
        </w:tc>
        <w:tc>
          <w:tcPr>
            <w:tcW w:w="1617" w:type="dxa"/>
          </w:tcPr>
          <w:p w:rsidR="001779B2" w:rsidRDefault="00F21BE4">
            <w:pPr>
              <w:pStyle w:val="TableParagraph"/>
              <w:ind w:left="535" w:right="536"/>
              <w:rPr>
                <w:sz w:val="16"/>
              </w:rPr>
            </w:pPr>
            <w:r>
              <w:rPr>
                <w:sz w:val="16"/>
              </w:rPr>
              <w:t>48,236</w:t>
            </w:r>
          </w:p>
        </w:tc>
        <w:tc>
          <w:tcPr>
            <w:tcW w:w="1170" w:type="dxa"/>
          </w:tcPr>
          <w:p w:rsidR="001779B2" w:rsidRDefault="00F21BE4">
            <w:pPr>
              <w:pStyle w:val="TableParagraph"/>
              <w:ind w:left="149" w:right="150"/>
              <w:rPr>
                <w:sz w:val="16"/>
              </w:rPr>
            </w:pPr>
            <w:r>
              <w:rPr>
                <w:sz w:val="16"/>
              </w:rPr>
              <w:t>21.5%</w:t>
            </w:r>
          </w:p>
        </w:tc>
        <w:tc>
          <w:tcPr>
            <w:tcW w:w="761" w:type="dxa"/>
          </w:tcPr>
          <w:p w:rsidR="001779B2" w:rsidRDefault="00F21BE4">
            <w:pPr>
              <w:pStyle w:val="TableParagraph"/>
              <w:ind w:left="117" w:right="117"/>
              <w:rPr>
                <w:sz w:val="16"/>
              </w:rPr>
            </w:pPr>
            <w:r>
              <w:rPr>
                <w:sz w:val="16"/>
              </w:rPr>
              <w:t>95.5%</w:t>
            </w:r>
          </w:p>
        </w:tc>
        <w:tc>
          <w:tcPr>
            <w:tcW w:w="1359" w:type="dxa"/>
          </w:tcPr>
          <w:p w:rsidR="001779B2" w:rsidRDefault="00F21BE4">
            <w:pPr>
              <w:pStyle w:val="TableParagraph"/>
              <w:ind w:left="164" w:right="164"/>
              <w:rPr>
                <w:sz w:val="16"/>
              </w:rPr>
            </w:pPr>
            <w:r>
              <w:rPr>
                <w:sz w:val="16"/>
              </w:rPr>
              <w:t>13.3%</w:t>
            </w:r>
          </w:p>
        </w:tc>
        <w:tc>
          <w:tcPr>
            <w:tcW w:w="748" w:type="dxa"/>
          </w:tcPr>
          <w:p w:rsidR="001779B2" w:rsidRDefault="00F21BE4">
            <w:pPr>
              <w:pStyle w:val="TableParagraph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3.7%</w:t>
            </w:r>
          </w:p>
        </w:tc>
        <w:tc>
          <w:tcPr>
            <w:tcW w:w="807" w:type="dxa"/>
          </w:tcPr>
          <w:p w:rsidR="001779B2" w:rsidRDefault="00F21BE4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sz w:val="16"/>
              </w:rPr>
              <w:t>34.2%</w:t>
            </w:r>
          </w:p>
        </w:tc>
        <w:tc>
          <w:tcPr>
            <w:tcW w:w="2425" w:type="dxa"/>
          </w:tcPr>
          <w:p w:rsidR="001779B2" w:rsidRDefault="00F21BE4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23.5%</w:t>
            </w:r>
          </w:p>
        </w:tc>
        <w:tc>
          <w:tcPr>
            <w:tcW w:w="1398" w:type="dxa"/>
          </w:tcPr>
          <w:p w:rsidR="001779B2" w:rsidRDefault="00F21BE4">
            <w:pPr>
              <w:pStyle w:val="TableParagraph"/>
              <w:ind w:left="166" w:right="167"/>
              <w:rPr>
                <w:sz w:val="16"/>
              </w:rPr>
            </w:pPr>
            <w:r>
              <w:rPr>
                <w:sz w:val="16"/>
              </w:rPr>
              <w:t>35.0%</w:t>
            </w:r>
          </w:p>
        </w:tc>
        <w:tc>
          <w:tcPr>
            <w:tcW w:w="1615" w:type="dxa"/>
          </w:tcPr>
          <w:p w:rsidR="001779B2" w:rsidRDefault="00F21BE4">
            <w:pPr>
              <w:pStyle w:val="TableParagraph"/>
              <w:ind w:left="184" w:right="185"/>
              <w:rPr>
                <w:sz w:val="16"/>
              </w:rPr>
            </w:pPr>
            <w:r>
              <w:rPr>
                <w:sz w:val="16"/>
              </w:rPr>
              <w:t>4.9%</w:t>
            </w:r>
          </w:p>
        </w:tc>
      </w:tr>
      <w:tr w:rsidR="001779B2">
        <w:trPr>
          <w:trHeight w:hRule="exact" w:val="304"/>
        </w:trPr>
        <w:tc>
          <w:tcPr>
            <w:tcW w:w="890" w:type="dxa"/>
          </w:tcPr>
          <w:p w:rsidR="001779B2" w:rsidRDefault="00F21BE4">
            <w:pPr>
              <w:pStyle w:val="TableParagraph"/>
              <w:ind w:left="127" w:right="127"/>
              <w:rPr>
                <w:sz w:val="16"/>
              </w:rPr>
            </w:pPr>
            <w:r>
              <w:rPr>
                <w:sz w:val="16"/>
              </w:rPr>
              <w:t>FY 2017</w:t>
            </w:r>
          </w:p>
        </w:tc>
        <w:tc>
          <w:tcPr>
            <w:tcW w:w="1617" w:type="dxa"/>
          </w:tcPr>
          <w:p w:rsidR="001779B2" w:rsidRDefault="00F21BE4">
            <w:pPr>
              <w:pStyle w:val="TableParagraph"/>
              <w:ind w:left="535" w:right="536"/>
              <w:rPr>
                <w:sz w:val="16"/>
              </w:rPr>
            </w:pPr>
            <w:r>
              <w:rPr>
                <w:sz w:val="16"/>
              </w:rPr>
              <w:t>47,685</w:t>
            </w:r>
          </w:p>
        </w:tc>
        <w:tc>
          <w:tcPr>
            <w:tcW w:w="1170" w:type="dxa"/>
          </w:tcPr>
          <w:p w:rsidR="001779B2" w:rsidRDefault="00F21BE4">
            <w:pPr>
              <w:pStyle w:val="TableParagraph"/>
              <w:ind w:left="149" w:right="150"/>
              <w:rPr>
                <w:sz w:val="16"/>
              </w:rPr>
            </w:pPr>
            <w:r>
              <w:rPr>
                <w:sz w:val="16"/>
              </w:rPr>
              <w:t>21.2%</w:t>
            </w:r>
          </w:p>
        </w:tc>
        <w:tc>
          <w:tcPr>
            <w:tcW w:w="761" w:type="dxa"/>
          </w:tcPr>
          <w:p w:rsidR="001779B2" w:rsidRDefault="00F21BE4">
            <w:pPr>
              <w:pStyle w:val="TableParagraph"/>
              <w:ind w:left="117" w:right="117"/>
              <w:rPr>
                <w:sz w:val="16"/>
              </w:rPr>
            </w:pPr>
            <w:r>
              <w:rPr>
                <w:sz w:val="16"/>
              </w:rPr>
              <w:t>94.3%</w:t>
            </w:r>
          </w:p>
        </w:tc>
        <w:tc>
          <w:tcPr>
            <w:tcW w:w="1359" w:type="dxa"/>
          </w:tcPr>
          <w:p w:rsidR="001779B2" w:rsidRDefault="00F21BE4">
            <w:pPr>
              <w:pStyle w:val="TableParagraph"/>
              <w:ind w:left="164" w:right="164"/>
              <w:rPr>
                <w:sz w:val="16"/>
              </w:rPr>
            </w:pPr>
            <w:r>
              <w:rPr>
                <w:sz w:val="16"/>
              </w:rPr>
              <w:t>12.7%</w:t>
            </w:r>
          </w:p>
        </w:tc>
        <w:tc>
          <w:tcPr>
            <w:tcW w:w="748" w:type="dxa"/>
          </w:tcPr>
          <w:p w:rsidR="001779B2" w:rsidRDefault="00F21BE4">
            <w:pPr>
              <w:pStyle w:val="TableParagraph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3.4%</w:t>
            </w:r>
          </w:p>
        </w:tc>
        <w:tc>
          <w:tcPr>
            <w:tcW w:w="807" w:type="dxa"/>
          </w:tcPr>
          <w:p w:rsidR="001779B2" w:rsidRDefault="00F21BE4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sz w:val="16"/>
              </w:rPr>
              <w:t>34.7%</w:t>
            </w:r>
          </w:p>
        </w:tc>
        <w:tc>
          <w:tcPr>
            <w:tcW w:w="2425" w:type="dxa"/>
          </w:tcPr>
          <w:p w:rsidR="001779B2" w:rsidRDefault="00F21BE4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24.1%</w:t>
            </w:r>
          </w:p>
        </w:tc>
        <w:tc>
          <w:tcPr>
            <w:tcW w:w="1398" w:type="dxa"/>
          </w:tcPr>
          <w:p w:rsidR="001779B2" w:rsidRDefault="00F21BE4">
            <w:pPr>
              <w:pStyle w:val="TableParagraph"/>
              <w:ind w:left="166" w:right="167"/>
              <w:rPr>
                <w:sz w:val="16"/>
              </w:rPr>
            </w:pPr>
            <w:r>
              <w:rPr>
                <w:sz w:val="16"/>
              </w:rPr>
              <w:t>39.8%</w:t>
            </w:r>
          </w:p>
        </w:tc>
        <w:tc>
          <w:tcPr>
            <w:tcW w:w="1615" w:type="dxa"/>
          </w:tcPr>
          <w:p w:rsidR="001779B2" w:rsidRDefault="00F21BE4">
            <w:pPr>
              <w:pStyle w:val="TableParagraph"/>
              <w:ind w:left="184" w:right="185"/>
              <w:rPr>
                <w:sz w:val="16"/>
              </w:rPr>
            </w:pPr>
            <w:r>
              <w:rPr>
                <w:sz w:val="16"/>
              </w:rPr>
              <w:t>5.8%</w:t>
            </w:r>
          </w:p>
        </w:tc>
      </w:tr>
    </w:tbl>
    <w:p w:rsidR="001779B2" w:rsidRDefault="00F21BE4">
      <w:pPr>
        <w:spacing w:before="75"/>
        <w:ind w:left="175"/>
        <w:rPr>
          <w:b/>
          <w:sz w:val="16"/>
        </w:rPr>
      </w:pPr>
      <w:r>
        <w:pict>
          <v:group id="_x0000_s1036" style="position:absolute;left:0;text-align:left;margin-left:36pt;margin-top:36pt;width:9in;height:91.5pt;z-index:-44368;mso-position-horizontal-relative:page;mso-position-vertical-relative:page" coordorigin="720,720" coordsize="12960,1830">
            <v:rect id="_x0000_s1038" style="position:absolute;left:788;top:787;width:12825;height:1695" filled="f" strokecolor="navy" strokeweight="2.25pt"/>
            <v:rect id="_x0000_s1037" style="position:absolute;left:743;top:742;width:12915;height:1785" filled="f" strokecolor="green" strokeweight="2.25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9.75pt;margin-top:0;width:641pt;height:407.55pt;z-index:1096;mso-position-horizontal-relative:page;mso-position-vertical-relative:page" filled="f" stroked="f">
            <v:textbox style="mso-next-textbox:#_x0000_s1035"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90"/>
                    <w:gridCol w:w="1617"/>
                    <w:gridCol w:w="1170"/>
                    <w:gridCol w:w="761"/>
                    <w:gridCol w:w="1359"/>
                    <w:gridCol w:w="748"/>
                    <w:gridCol w:w="807"/>
                    <w:gridCol w:w="2425"/>
                    <w:gridCol w:w="1398"/>
                    <w:gridCol w:w="1615"/>
                  </w:tblGrid>
                  <w:tr w:rsidR="001779B2">
                    <w:trPr>
                      <w:trHeight w:hRule="exact" w:val="4493"/>
                    </w:trPr>
                    <w:tc>
                      <w:tcPr>
                        <w:tcW w:w="12790" w:type="dxa"/>
                        <w:gridSpan w:val="10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779B2" w:rsidRDefault="001779B2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1779B2" w:rsidRDefault="001779B2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1779B2" w:rsidRDefault="001779B2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1779B2" w:rsidRDefault="00F21BE4">
                        <w:pPr>
                          <w:pStyle w:val="TableParagraph"/>
                          <w:spacing w:before="186"/>
                          <w:ind w:left="4060" w:right="40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Description of Admissions</w:t>
                        </w:r>
                      </w:p>
                      <w:p w:rsidR="001779B2" w:rsidRDefault="00F21BE4">
                        <w:pPr>
                          <w:pStyle w:val="TableParagraph"/>
                          <w:spacing w:before="0"/>
                          <w:ind w:left="4061" w:right="40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Fact Sheet - Persons Who Inject Drugs FY 2017</w:t>
                        </w:r>
                      </w:p>
                      <w:p w:rsidR="001779B2" w:rsidRDefault="001779B2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1779B2" w:rsidRDefault="001779B2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1779B2" w:rsidRDefault="001779B2">
                        <w:pPr>
                          <w:pStyle w:val="TableParagraph"/>
                          <w:spacing w:before="9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1779B2" w:rsidRDefault="00F21BE4">
                        <w:pPr>
                          <w:pStyle w:val="TableParagraph"/>
                          <w:spacing w:before="0"/>
                          <w:ind w:left="4060" w:right="40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Substance Use Trends</w:t>
                        </w:r>
                      </w:p>
                      <w:p w:rsidR="001779B2" w:rsidRDefault="00F21BE4">
                        <w:pPr>
                          <w:pStyle w:val="TableParagraph"/>
                          <w:spacing w:before="150"/>
                          <w:ind w:left="-1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Primary Substance of Use</w:t>
                        </w:r>
                      </w:p>
                      <w:p w:rsidR="001779B2" w:rsidRDefault="00F21BE4">
                        <w:pPr>
                          <w:pStyle w:val="TableParagraph"/>
                          <w:spacing w:before="0"/>
                          <w:ind w:lef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Table 1 provides a summary of the "primary drug" reported at admission.</w:t>
                        </w:r>
                      </w:p>
                      <w:p w:rsidR="001779B2" w:rsidRDefault="00F21BE4">
                        <w:pPr>
                          <w:pStyle w:val="TableParagraph"/>
                          <w:spacing w:before="150"/>
                          <w:ind w:left="4059" w:right="406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Table 1</w:t>
                        </w:r>
                      </w:p>
                      <w:p w:rsidR="001779B2" w:rsidRDefault="00F21BE4">
                        <w:pPr>
                          <w:pStyle w:val="TableParagraph"/>
                          <w:spacing w:before="1"/>
                          <w:ind w:left="4059" w:right="406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Primary Drug Trend: FY 2008 - FY 2017</w:t>
                        </w:r>
                      </w:p>
                    </w:tc>
                  </w:tr>
                  <w:tr w:rsidR="001779B2">
                    <w:trPr>
                      <w:trHeight w:hRule="exact" w:val="304"/>
                    </w:trPr>
                    <w:tc>
                      <w:tcPr>
                        <w:tcW w:w="890" w:type="dxa"/>
                        <w:vMerge w:val="restart"/>
                      </w:tcPr>
                      <w:p w:rsidR="001779B2" w:rsidRDefault="001779B2"/>
                    </w:tc>
                    <w:tc>
                      <w:tcPr>
                        <w:tcW w:w="1617" w:type="dxa"/>
                        <w:vMerge w:val="restart"/>
                      </w:tcPr>
                      <w:p w:rsidR="001779B2" w:rsidRDefault="001779B2">
                        <w:pPr>
                          <w:pStyle w:val="TableParagraph"/>
                          <w:spacing w:before="3"/>
                          <w:jc w:val="left"/>
                          <w:rPr>
                            <w:i/>
                            <w:sz w:val="16"/>
                          </w:rPr>
                        </w:pPr>
                      </w:p>
                      <w:p w:rsidR="001779B2" w:rsidRDefault="00F21BE4">
                        <w:pPr>
                          <w:pStyle w:val="TableParagraph"/>
                          <w:spacing w:before="1"/>
                          <w:ind w:left="2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Admissions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779B2" w:rsidRDefault="00F21BE4">
                        <w:pPr>
                          <w:pStyle w:val="TableParagraph"/>
                          <w:ind w:left="149" w:right="1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Marijuana</w:t>
                        </w:r>
                      </w:p>
                    </w:tc>
                    <w:tc>
                      <w:tcPr>
                        <w:tcW w:w="2120" w:type="dxa"/>
                        <w:gridSpan w:val="2"/>
                      </w:tcPr>
                      <w:p w:rsidR="001779B2" w:rsidRDefault="00F21BE4">
                        <w:pPr>
                          <w:pStyle w:val="TableParagraph"/>
                          <w:ind w:left="728" w:right="7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Opioids</w:t>
                        </w:r>
                      </w:p>
                    </w:tc>
                    <w:tc>
                      <w:tcPr>
                        <w:tcW w:w="748" w:type="dxa"/>
                      </w:tcPr>
                      <w:p w:rsidR="001779B2" w:rsidRDefault="00F21BE4">
                        <w:pPr>
                          <w:pStyle w:val="TableParagraph"/>
                          <w:ind w:left="13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3232" w:type="dxa"/>
                        <w:gridSpan w:val="2"/>
                      </w:tcPr>
                      <w:p w:rsidR="001779B2" w:rsidRDefault="00F21BE4">
                        <w:pPr>
                          <w:pStyle w:val="TableParagraph"/>
                          <w:ind w:left="77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Sedatives/Hypnotics</w:t>
                        </w:r>
                      </w:p>
                    </w:tc>
                    <w:tc>
                      <w:tcPr>
                        <w:tcW w:w="3013" w:type="dxa"/>
                        <w:gridSpan w:val="2"/>
                      </w:tcPr>
                      <w:p w:rsidR="001779B2" w:rsidRDefault="00F21BE4">
                        <w:pPr>
                          <w:pStyle w:val="TableParagraph"/>
                          <w:ind w:left="1042" w:right="10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Stimulants</w:t>
                        </w:r>
                      </w:p>
                    </w:tc>
                  </w:tr>
                  <w:tr w:rsidR="001779B2">
                    <w:trPr>
                      <w:trHeight w:hRule="exact" w:val="304"/>
                    </w:trPr>
                    <w:tc>
                      <w:tcPr>
                        <w:tcW w:w="890" w:type="dxa"/>
                        <w:vMerge/>
                      </w:tcPr>
                      <w:p w:rsidR="001779B2" w:rsidRDefault="001779B2"/>
                    </w:tc>
                    <w:tc>
                      <w:tcPr>
                        <w:tcW w:w="1617" w:type="dxa"/>
                        <w:vMerge/>
                      </w:tcPr>
                      <w:p w:rsidR="001779B2" w:rsidRDefault="001779B2"/>
                    </w:tc>
                    <w:tc>
                      <w:tcPr>
                        <w:tcW w:w="1170" w:type="dxa"/>
                      </w:tcPr>
                      <w:p w:rsidR="001779B2" w:rsidRDefault="00F21BE4">
                        <w:pPr>
                          <w:pStyle w:val="TableParagraph"/>
                          <w:ind w:left="149" w:righ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Marijuana</w:t>
                        </w:r>
                      </w:p>
                    </w:tc>
                    <w:tc>
                      <w:tcPr>
                        <w:tcW w:w="761" w:type="dxa"/>
                      </w:tcPr>
                      <w:p w:rsidR="001779B2" w:rsidRDefault="00F21BE4">
                        <w:pPr>
                          <w:pStyle w:val="TableParagraph"/>
                          <w:ind w:left="117" w:righ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Heroin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1779B2" w:rsidRDefault="00F21BE4">
                        <w:pPr>
                          <w:pStyle w:val="TableParagraph"/>
                          <w:ind w:left="164" w:right="1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Opioids</w:t>
                        </w:r>
                      </w:p>
                    </w:tc>
                    <w:tc>
                      <w:tcPr>
                        <w:tcW w:w="748" w:type="dxa"/>
                      </w:tcPr>
                      <w:p w:rsidR="001779B2" w:rsidRDefault="00F21BE4">
                        <w:pPr>
                          <w:pStyle w:val="TableParagraph"/>
                          <w:ind w:left="1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807" w:type="dxa"/>
                      </w:tcPr>
                      <w:p w:rsidR="001779B2" w:rsidRDefault="00F21BE4">
                        <w:pPr>
                          <w:pStyle w:val="TableParagraph"/>
                          <w:ind w:left="120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Alcohol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1779B2" w:rsidRDefault="00F21BE4">
                        <w:pPr>
                          <w:pStyle w:val="TableParagraph"/>
                          <w:ind w:left="248" w:righ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Sedatives/Hypnotics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1779B2" w:rsidRDefault="00F21BE4">
                        <w:pPr>
                          <w:pStyle w:val="TableParagraph"/>
                          <w:ind w:left="167" w:right="1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Crack/Cocaine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1779B2" w:rsidRDefault="00F21BE4">
                        <w:pPr>
                          <w:pStyle w:val="TableParagraph"/>
                          <w:ind w:left="184" w:right="1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Stimulants</w:t>
                        </w:r>
                      </w:p>
                    </w:tc>
                  </w:tr>
                  <w:tr w:rsidR="001779B2">
                    <w:trPr>
                      <w:trHeight w:hRule="exact" w:val="304"/>
                    </w:trPr>
                    <w:tc>
                      <w:tcPr>
                        <w:tcW w:w="890" w:type="dxa"/>
                      </w:tcPr>
                      <w:p w:rsidR="001779B2" w:rsidRDefault="00F21BE4">
                        <w:pPr>
                          <w:pStyle w:val="TableParagraph"/>
                          <w:ind w:left="127" w:righ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2008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1779B2" w:rsidRDefault="00F21BE4">
                        <w:pPr>
                          <w:pStyle w:val="TableParagraph"/>
                          <w:ind w:left="535" w:right="5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34,443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779B2" w:rsidRDefault="00F21BE4">
                        <w:pPr>
                          <w:pStyle w:val="TableParagraph"/>
                          <w:ind w:left="149" w:righ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0.6%</w:t>
                        </w:r>
                      </w:p>
                    </w:tc>
                    <w:tc>
                      <w:tcPr>
                        <w:tcW w:w="761" w:type="dxa"/>
                      </w:tcPr>
                      <w:p w:rsidR="001779B2" w:rsidRDefault="00F21BE4">
                        <w:pPr>
                          <w:pStyle w:val="TableParagraph"/>
                          <w:ind w:left="117" w:righ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86.3%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1779B2" w:rsidRDefault="00F21BE4">
                        <w:pPr>
                          <w:pStyle w:val="TableParagraph"/>
                          <w:ind w:left="164" w:right="1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2.9%</w:t>
                        </w:r>
                      </w:p>
                    </w:tc>
                    <w:tc>
                      <w:tcPr>
                        <w:tcW w:w="748" w:type="dxa"/>
                      </w:tcPr>
                      <w:p w:rsidR="001779B2" w:rsidRDefault="00F21BE4">
                        <w:pPr>
                          <w:pStyle w:val="TableParagraph"/>
                          <w:ind w:left="1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  <w:tc>
                      <w:tcPr>
                        <w:tcW w:w="807" w:type="dxa"/>
                      </w:tcPr>
                      <w:p w:rsidR="001779B2" w:rsidRDefault="00F21BE4">
                        <w:pPr>
                          <w:pStyle w:val="TableParagraph"/>
                          <w:ind w:left="119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5.5%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1779B2" w:rsidRDefault="00F21BE4">
                        <w:pPr>
                          <w:pStyle w:val="TableParagraph"/>
                          <w:ind w:left="248" w:righ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0.5%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1779B2" w:rsidRDefault="00F21BE4">
                        <w:pPr>
                          <w:pStyle w:val="TableParagraph"/>
                          <w:ind w:left="167" w:right="1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3.8%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1779B2" w:rsidRDefault="00F21BE4">
                        <w:pPr>
                          <w:pStyle w:val="TableParagraph"/>
                          <w:ind w:left="184" w:right="1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</w:tr>
                  <w:tr w:rsidR="001779B2">
                    <w:trPr>
                      <w:trHeight w:hRule="exact" w:val="304"/>
                    </w:trPr>
                    <w:tc>
                      <w:tcPr>
                        <w:tcW w:w="890" w:type="dxa"/>
                      </w:tcPr>
                      <w:p w:rsidR="001779B2" w:rsidRDefault="00F21BE4">
                        <w:pPr>
                          <w:pStyle w:val="TableParagraph"/>
                          <w:ind w:left="127" w:righ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2009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1779B2" w:rsidRDefault="00F21BE4">
                        <w:pPr>
                          <w:pStyle w:val="TableParagraph"/>
                          <w:ind w:left="535" w:right="5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37,474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779B2" w:rsidRDefault="00F21BE4">
                        <w:pPr>
                          <w:pStyle w:val="TableParagraph"/>
                          <w:ind w:left="149" w:righ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0.6%</w:t>
                        </w:r>
                      </w:p>
                    </w:tc>
                    <w:tc>
                      <w:tcPr>
                        <w:tcW w:w="761" w:type="dxa"/>
                      </w:tcPr>
                      <w:p w:rsidR="001779B2" w:rsidRDefault="00F21BE4">
                        <w:pPr>
                          <w:pStyle w:val="TableParagraph"/>
                          <w:ind w:left="117" w:righ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85.8%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1779B2" w:rsidRDefault="00F21BE4">
                        <w:pPr>
                          <w:pStyle w:val="TableParagraph"/>
                          <w:ind w:left="164" w:right="1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3.3%</w:t>
                        </w:r>
                      </w:p>
                    </w:tc>
                    <w:tc>
                      <w:tcPr>
                        <w:tcW w:w="748" w:type="dxa"/>
                      </w:tcPr>
                      <w:p w:rsidR="001779B2" w:rsidRDefault="00F21BE4">
                        <w:pPr>
                          <w:pStyle w:val="TableParagraph"/>
                          <w:ind w:left="1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  <w:tc>
                      <w:tcPr>
                        <w:tcW w:w="807" w:type="dxa"/>
                      </w:tcPr>
                      <w:p w:rsidR="001779B2" w:rsidRDefault="00F21BE4">
                        <w:pPr>
                          <w:pStyle w:val="TableParagraph"/>
                          <w:ind w:left="119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6.1%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1779B2" w:rsidRDefault="00F21BE4">
                        <w:pPr>
                          <w:pStyle w:val="TableParagraph"/>
                          <w:ind w:left="248" w:righ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0.8%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1779B2" w:rsidRDefault="00F21BE4">
                        <w:pPr>
                          <w:pStyle w:val="TableParagraph"/>
                          <w:ind w:left="167" w:right="1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3.1%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1779B2" w:rsidRDefault="00F21BE4">
                        <w:pPr>
                          <w:pStyle w:val="TableParagraph"/>
                          <w:ind w:left="184" w:right="1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0.1%</w:t>
                        </w:r>
                      </w:p>
                    </w:tc>
                  </w:tr>
                  <w:tr w:rsidR="001779B2">
                    <w:trPr>
                      <w:trHeight w:hRule="exact" w:val="304"/>
                    </w:trPr>
                    <w:tc>
                      <w:tcPr>
                        <w:tcW w:w="890" w:type="dxa"/>
                      </w:tcPr>
                      <w:p w:rsidR="001779B2" w:rsidRDefault="00F21BE4">
                        <w:pPr>
                          <w:pStyle w:val="TableParagraph"/>
                          <w:ind w:left="127" w:righ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2010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1779B2" w:rsidRDefault="00F21BE4">
                        <w:pPr>
                          <w:pStyle w:val="TableParagraph"/>
                          <w:ind w:left="535" w:right="5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41,179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779B2" w:rsidRDefault="00F21BE4">
                        <w:pPr>
                          <w:pStyle w:val="TableParagraph"/>
                          <w:ind w:left="149" w:righ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0.6%</w:t>
                        </w:r>
                      </w:p>
                    </w:tc>
                    <w:tc>
                      <w:tcPr>
                        <w:tcW w:w="761" w:type="dxa"/>
                      </w:tcPr>
                      <w:p w:rsidR="001779B2" w:rsidRDefault="00F21BE4">
                        <w:pPr>
                          <w:pStyle w:val="TableParagraph"/>
                          <w:ind w:left="117" w:righ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84.9%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1779B2" w:rsidRDefault="00F21BE4">
                        <w:pPr>
                          <w:pStyle w:val="TableParagraph"/>
                          <w:ind w:left="164" w:right="1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4.5%</w:t>
                        </w:r>
                      </w:p>
                    </w:tc>
                    <w:tc>
                      <w:tcPr>
                        <w:tcW w:w="748" w:type="dxa"/>
                      </w:tcPr>
                      <w:p w:rsidR="001779B2" w:rsidRDefault="00F21BE4">
                        <w:pPr>
                          <w:pStyle w:val="TableParagraph"/>
                          <w:ind w:left="1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0.1%</w:t>
                        </w:r>
                      </w:p>
                    </w:tc>
                    <w:tc>
                      <w:tcPr>
                        <w:tcW w:w="807" w:type="dxa"/>
                      </w:tcPr>
                      <w:p w:rsidR="001779B2" w:rsidRDefault="00F21BE4">
                        <w:pPr>
                          <w:pStyle w:val="TableParagraph"/>
                          <w:ind w:left="119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6.2%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1779B2" w:rsidRDefault="00F21BE4">
                        <w:pPr>
                          <w:pStyle w:val="TableParagraph"/>
                          <w:ind w:left="248" w:righ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1.0%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1779B2" w:rsidRDefault="00F21BE4">
                        <w:pPr>
                          <w:pStyle w:val="TableParagraph"/>
                          <w:ind w:left="167" w:right="1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2.7%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1779B2" w:rsidRDefault="00F21BE4">
                        <w:pPr>
                          <w:pStyle w:val="TableParagraph"/>
                          <w:ind w:left="184" w:right="1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0.1%</w:t>
                        </w:r>
                      </w:p>
                    </w:tc>
                  </w:tr>
                  <w:tr w:rsidR="001779B2">
                    <w:trPr>
                      <w:trHeight w:hRule="exact" w:val="304"/>
                    </w:trPr>
                    <w:tc>
                      <w:tcPr>
                        <w:tcW w:w="890" w:type="dxa"/>
                      </w:tcPr>
                      <w:p w:rsidR="001779B2" w:rsidRDefault="00F21BE4">
                        <w:pPr>
                          <w:pStyle w:val="TableParagraph"/>
                          <w:ind w:left="127" w:righ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2011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1779B2" w:rsidRDefault="00F21BE4">
                        <w:pPr>
                          <w:pStyle w:val="TableParagraph"/>
                          <w:ind w:left="535" w:right="5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39,757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779B2" w:rsidRDefault="00F21BE4">
                        <w:pPr>
                          <w:pStyle w:val="TableParagraph"/>
                          <w:ind w:left="149" w:righ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0.6%</w:t>
                        </w:r>
                      </w:p>
                    </w:tc>
                    <w:tc>
                      <w:tcPr>
                        <w:tcW w:w="761" w:type="dxa"/>
                      </w:tcPr>
                      <w:p w:rsidR="001779B2" w:rsidRDefault="00F21BE4">
                        <w:pPr>
                          <w:pStyle w:val="TableParagraph"/>
                          <w:ind w:left="117" w:righ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82.9%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1779B2" w:rsidRDefault="00F21BE4">
                        <w:pPr>
                          <w:pStyle w:val="TableParagraph"/>
                          <w:ind w:left="164" w:right="1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6.3%</w:t>
                        </w:r>
                      </w:p>
                    </w:tc>
                    <w:tc>
                      <w:tcPr>
                        <w:tcW w:w="748" w:type="dxa"/>
                      </w:tcPr>
                      <w:p w:rsidR="001779B2" w:rsidRDefault="00F21BE4">
                        <w:pPr>
                          <w:pStyle w:val="TableParagraph"/>
                          <w:ind w:left="1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0.1%</w:t>
                        </w:r>
                      </w:p>
                    </w:tc>
                    <w:tc>
                      <w:tcPr>
                        <w:tcW w:w="807" w:type="dxa"/>
                      </w:tcPr>
                      <w:p w:rsidR="001779B2" w:rsidRDefault="00F21BE4">
                        <w:pPr>
                          <w:pStyle w:val="TableParagraph"/>
                          <w:ind w:left="119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5.8%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1779B2" w:rsidRDefault="00F21BE4">
                        <w:pPr>
                          <w:pStyle w:val="TableParagraph"/>
                          <w:ind w:left="248" w:righ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1.2%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1779B2" w:rsidRDefault="00F21BE4">
                        <w:pPr>
                          <w:pStyle w:val="TableParagraph"/>
                          <w:ind w:left="167" w:right="1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2.9%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1779B2" w:rsidRDefault="00F21BE4">
                        <w:pPr>
                          <w:pStyle w:val="TableParagraph"/>
                          <w:ind w:left="184" w:right="1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0.1%</w:t>
                        </w:r>
                      </w:p>
                    </w:tc>
                  </w:tr>
                  <w:tr w:rsidR="001779B2">
                    <w:trPr>
                      <w:trHeight w:hRule="exact" w:val="304"/>
                    </w:trPr>
                    <w:tc>
                      <w:tcPr>
                        <w:tcW w:w="890" w:type="dxa"/>
                      </w:tcPr>
                      <w:p w:rsidR="001779B2" w:rsidRDefault="00F21BE4">
                        <w:pPr>
                          <w:pStyle w:val="TableParagraph"/>
                          <w:ind w:left="127" w:righ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2012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1779B2" w:rsidRDefault="00F21BE4">
                        <w:pPr>
                          <w:pStyle w:val="TableParagraph"/>
                          <w:ind w:left="535" w:right="5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43,111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779B2" w:rsidRDefault="00F21BE4">
                        <w:pPr>
                          <w:pStyle w:val="TableParagraph"/>
                          <w:ind w:left="149" w:righ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0.4%</w:t>
                        </w:r>
                      </w:p>
                    </w:tc>
                    <w:tc>
                      <w:tcPr>
                        <w:tcW w:w="761" w:type="dxa"/>
                      </w:tcPr>
                      <w:p w:rsidR="001779B2" w:rsidRDefault="00F21BE4">
                        <w:pPr>
                          <w:pStyle w:val="TableParagraph"/>
                          <w:ind w:left="117" w:righ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85.3%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1779B2" w:rsidRDefault="00F21BE4">
                        <w:pPr>
                          <w:pStyle w:val="TableParagraph"/>
                          <w:ind w:left="164" w:right="1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5.5%</w:t>
                        </w:r>
                      </w:p>
                    </w:tc>
                    <w:tc>
                      <w:tcPr>
                        <w:tcW w:w="748" w:type="dxa"/>
                      </w:tcPr>
                      <w:p w:rsidR="001779B2" w:rsidRDefault="00F21BE4">
                        <w:pPr>
                          <w:pStyle w:val="TableParagraph"/>
                          <w:ind w:left="1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0.1%</w:t>
                        </w:r>
                      </w:p>
                    </w:tc>
                    <w:tc>
                      <w:tcPr>
                        <w:tcW w:w="807" w:type="dxa"/>
                      </w:tcPr>
                      <w:p w:rsidR="001779B2" w:rsidRDefault="00F21BE4">
                        <w:pPr>
                          <w:pStyle w:val="TableParagraph"/>
                          <w:ind w:left="119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4.7%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1779B2" w:rsidRDefault="00F21BE4">
                        <w:pPr>
                          <w:pStyle w:val="TableParagraph"/>
                          <w:ind w:left="248" w:righ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1.2%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1779B2" w:rsidRDefault="00F21BE4">
                        <w:pPr>
                          <w:pStyle w:val="TableParagraph"/>
                          <w:ind w:left="167" w:right="1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2.7%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1779B2" w:rsidRDefault="00F21BE4">
                        <w:pPr>
                          <w:pStyle w:val="TableParagraph"/>
                          <w:ind w:left="184" w:right="1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</w:tr>
                  <w:tr w:rsidR="001779B2">
                    <w:trPr>
                      <w:trHeight w:hRule="exact" w:val="304"/>
                    </w:trPr>
                    <w:tc>
                      <w:tcPr>
                        <w:tcW w:w="890" w:type="dxa"/>
                      </w:tcPr>
                      <w:p w:rsidR="001779B2" w:rsidRDefault="00F21BE4">
                        <w:pPr>
                          <w:pStyle w:val="TableParagraph"/>
                          <w:ind w:left="127" w:righ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2013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1779B2" w:rsidRDefault="00F21BE4">
                        <w:pPr>
                          <w:pStyle w:val="TableParagraph"/>
                          <w:ind w:left="535" w:right="5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46,580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779B2" w:rsidRDefault="00F21BE4">
                        <w:pPr>
                          <w:pStyle w:val="TableParagraph"/>
                          <w:ind w:left="149" w:righ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0.5%</w:t>
                        </w:r>
                      </w:p>
                    </w:tc>
                    <w:tc>
                      <w:tcPr>
                        <w:tcW w:w="761" w:type="dxa"/>
                      </w:tcPr>
                      <w:p w:rsidR="001779B2" w:rsidRDefault="00F21BE4">
                        <w:pPr>
                          <w:pStyle w:val="TableParagraph"/>
                          <w:ind w:left="117" w:righ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88.4%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1779B2" w:rsidRDefault="00F21BE4">
                        <w:pPr>
                          <w:pStyle w:val="TableParagraph"/>
                          <w:ind w:left="164" w:right="1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3.2%</w:t>
                        </w:r>
                      </w:p>
                    </w:tc>
                    <w:tc>
                      <w:tcPr>
                        <w:tcW w:w="748" w:type="dxa"/>
                      </w:tcPr>
                      <w:p w:rsidR="001779B2" w:rsidRDefault="00F21BE4">
                        <w:pPr>
                          <w:pStyle w:val="TableParagraph"/>
                          <w:ind w:left="1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  <w:tc>
                      <w:tcPr>
                        <w:tcW w:w="807" w:type="dxa"/>
                      </w:tcPr>
                      <w:p w:rsidR="001779B2" w:rsidRDefault="00F21BE4">
                        <w:pPr>
                          <w:pStyle w:val="TableParagraph"/>
                          <w:ind w:left="119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4.3%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1779B2" w:rsidRDefault="00F21BE4">
                        <w:pPr>
                          <w:pStyle w:val="TableParagraph"/>
                          <w:ind w:left="248" w:righ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1.0%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1779B2" w:rsidRDefault="00F21BE4">
                        <w:pPr>
                          <w:pStyle w:val="TableParagraph"/>
                          <w:ind w:left="167" w:right="1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2.3%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1779B2" w:rsidRDefault="00F21BE4">
                        <w:pPr>
                          <w:pStyle w:val="TableParagraph"/>
                          <w:ind w:left="184" w:right="1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</w:tr>
                  <w:tr w:rsidR="001779B2">
                    <w:trPr>
                      <w:trHeight w:hRule="exact" w:val="304"/>
                    </w:trPr>
                    <w:tc>
                      <w:tcPr>
                        <w:tcW w:w="890" w:type="dxa"/>
                      </w:tcPr>
                      <w:p w:rsidR="001779B2" w:rsidRDefault="00F21BE4">
                        <w:pPr>
                          <w:pStyle w:val="TableParagraph"/>
                          <w:ind w:left="127" w:righ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2014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1779B2" w:rsidRDefault="00F21BE4">
                        <w:pPr>
                          <w:pStyle w:val="TableParagraph"/>
                          <w:ind w:left="535" w:right="5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53,077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779B2" w:rsidRDefault="00F21BE4">
                        <w:pPr>
                          <w:pStyle w:val="TableParagraph"/>
                          <w:ind w:left="149" w:righ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0.5%</w:t>
                        </w:r>
                      </w:p>
                    </w:tc>
                    <w:tc>
                      <w:tcPr>
                        <w:tcW w:w="761" w:type="dxa"/>
                      </w:tcPr>
                      <w:p w:rsidR="001779B2" w:rsidRDefault="00F21BE4">
                        <w:pPr>
                          <w:pStyle w:val="TableParagraph"/>
                          <w:ind w:left="117" w:righ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89.4%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1779B2" w:rsidRDefault="00F21BE4">
                        <w:pPr>
                          <w:pStyle w:val="TableParagraph"/>
                          <w:ind w:left="164" w:right="1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2.1%</w:t>
                        </w:r>
                      </w:p>
                    </w:tc>
                    <w:tc>
                      <w:tcPr>
                        <w:tcW w:w="748" w:type="dxa"/>
                      </w:tcPr>
                      <w:p w:rsidR="001779B2" w:rsidRDefault="00F21BE4">
                        <w:pPr>
                          <w:pStyle w:val="TableParagraph"/>
                          <w:ind w:left="1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0.1%</w:t>
                        </w:r>
                      </w:p>
                    </w:tc>
                    <w:tc>
                      <w:tcPr>
                        <w:tcW w:w="807" w:type="dxa"/>
                      </w:tcPr>
                      <w:p w:rsidR="001779B2" w:rsidRDefault="00F21BE4">
                        <w:pPr>
                          <w:pStyle w:val="TableParagraph"/>
                          <w:ind w:left="119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4.7%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1779B2" w:rsidRDefault="00F21BE4">
                        <w:pPr>
                          <w:pStyle w:val="TableParagraph"/>
                          <w:ind w:left="248" w:righ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0.9%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1779B2" w:rsidRDefault="00F21BE4">
                        <w:pPr>
                          <w:pStyle w:val="TableParagraph"/>
                          <w:ind w:left="167" w:right="1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2.0%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1779B2" w:rsidRDefault="00F21BE4">
                        <w:pPr>
                          <w:pStyle w:val="TableParagraph"/>
                          <w:ind w:left="184" w:right="1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</w:tr>
                  <w:tr w:rsidR="001779B2">
                    <w:trPr>
                      <w:trHeight w:hRule="exact" w:val="304"/>
                    </w:trPr>
                    <w:tc>
                      <w:tcPr>
                        <w:tcW w:w="890" w:type="dxa"/>
                      </w:tcPr>
                      <w:p w:rsidR="001779B2" w:rsidRDefault="00F21BE4">
                        <w:pPr>
                          <w:pStyle w:val="TableParagraph"/>
                          <w:ind w:left="127" w:righ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2015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1779B2" w:rsidRDefault="00F21BE4">
                        <w:pPr>
                          <w:pStyle w:val="TableParagraph"/>
                          <w:ind w:left="535" w:right="5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48,943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779B2" w:rsidRDefault="00F21BE4">
                        <w:pPr>
                          <w:pStyle w:val="TableParagraph"/>
                          <w:ind w:left="149" w:righ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0.4%</w:t>
                        </w:r>
                      </w:p>
                    </w:tc>
                    <w:tc>
                      <w:tcPr>
                        <w:tcW w:w="761" w:type="dxa"/>
                      </w:tcPr>
                      <w:p w:rsidR="001779B2" w:rsidRDefault="00F21BE4">
                        <w:pPr>
                          <w:pStyle w:val="TableParagraph"/>
                          <w:ind w:left="117" w:righ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89.5%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1779B2" w:rsidRDefault="00F21BE4">
                        <w:pPr>
                          <w:pStyle w:val="TableParagraph"/>
                          <w:ind w:left="164" w:right="1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1.8%</w:t>
                        </w:r>
                      </w:p>
                    </w:tc>
                    <w:tc>
                      <w:tcPr>
                        <w:tcW w:w="748" w:type="dxa"/>
                      </w:tcPr>
                      <w:p w:rsidR="001779B2" w:rsidRDefault="00F21BE4">
                        <w:pPr>
                          <w:pStyle w:val="TableParagraph"/>
                          <w:ind w:left="1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0.1%</w:t>
                        </w:r>
                      </w:p>
                    </w:tc>
                    <w:tc>
                      <w:tcPr>
                        <w:tcW w:w="807" w:type="dxa"/>
                      </w:tcPr>
                      <w:p w:rsidR="001779B2" w:rsidRDefault="00F21BE4">
                        <w:pPr>
                          <w:pStyle w:val="TableParagraph"/>
                          <w:ind w:left="119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5.3%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1779B2" w:rsidRDefault="00F21BE4">
                        <w:pPr>
                          <w:pStyle w:val="TableParagraph"/>
                          <w:ind w:left="248" w:righ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0.8%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1779B2" w:rsidRDefault="00F21BE4">
                        <w:pPr>
                          <w:pStyle w:val="TableParagraph"/>
                          <w:ind w:left="167" w:right="1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1.9%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1779B2" w:rsidRDefault="00F21BE4">
                        <w:pPr>
                          <w:pStyle w:val="TableParagraph"/>
                          <w:ind w:left="184" w:right="1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</w:tr>
                  <w:tr w:rsidR="001779B2">
                    <w:trPr>
                      <w:trHeight w:hRule="exact" w:val="304"/>
                    </w:trPr>
                    <w:tc>
                      <w:tcPr>
                        <w:tcW w:w="890" w:type="dxa"/>
                      </w:tcPr>
                      <w:p w:rsidR="001779B2" w:rsidRDefault="00F21BE4">
                        <w:pPr>
                          <w:pStyle w:val="TableParagraph"/>
                          <w:ind w:left="127" w:righ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2016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1779B2" w:rsidRDefault="00F21BE4">
                        <w:pPr>
                          <w:pStyle w:val="TableParagraph"/>
                          <w:ind w:left="535" w:right="5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48,399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779B2" w:rsidRDefault="00F21BE4">
                        <w:pPr>
                          <w:pStyle w:val="TableParagraph"/>
                          <w:ind w:left="149" w:righ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0.5%</w:t>
                        </w:r>
                      </w:p>
                    </w:tc>
                    <w:tc>
                      <w:tcPr>
                        <w:tcW w:w="761" w:type="dxa"/>
                      </w:tcPr>
                      <w:p w:rsidR="001779B2" w:rsidRDefault="00F21BE4">
                        <w:pPr>
                          <w:pStyle w:val="TableParagraph"/>
                          <w:ind w:left="117" w:righ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89.1%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1779B2" w:rsidRDefault="00F21BE4">
                        <w:pPr>
                          <w:pStyle w:val="TableParagraph"/>
                          <w:ind w:left="164" w:right="1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1.5%</w:t>
                        </w:r>
                      </w:p>
                    </w:tc>
                    <w:tc>
                      <w:tcPr>
                        <w:tcW w:w="748" w:type="dxa"/>
                      </w:tcPr>
                      <w:p w:rsidR="001779B2" w:rsidRDefault="00F21BE4">
                        <w:pPr>
                          <w:pStyle w:val="TableParagraph"/>
                          <w:ind w:left="1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  <w:tc>
                      <w:tcPr>
                        <w:tcW w:w="807" w:type="dxa"/>
                      </w:tcPr>
                      <w:p w:rsidR="001779B2" w:rsidRDefault="00F21BE4">
                        <w:pPr>
                          <w:pStyle w:val="TableParagraph"/>
                          <w:ind w:left="119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5.4%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1779B2" w:rsidRDefault="00F21BE4">
                        <w:pPr>
                          <w:pStyle w:val="TableParagraph"/>
                          <w:ind w:left="248" w:righ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1.0%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1779B2" w:rsidRDefault="00F21BE4">
                        <w:pPr>
                          <w:pStyle w:val="TableParagraph"/>
                          <w:ind w:left="167" w:right="1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2.2%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1779B2" w:rsidRDefault="00F21BE4">
                        <w:pPr>
                          <w:pStyle w:val="TableParagraph"/>
                          <w:ind w:left="184" w:right="1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</w:tr>
                  <w:tr w:rsidR="001779B2">
                    <w:trPr>
                      <w:trHeight w:hRule="exact" w:val="304"/>
                    </w:trPr>
                    <w:tc>
                      <w:tcPr>
                        <w:tcW w:w="890" w:type="dxa"/>
                      </w:tcPr>
                      <w:p w:rsidR="001779B2" w:rsidRDefault="00F21BE4">
                        <w:pPr>
                          <w:pStyle w:val="TableParagraph"/>
                          <w:ind w:left="127" w:righ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2017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1779B2" w:rsidRDefault="00F21BE4">
                        <w:pPr>
                          <w:pStyle w:val="TableParagraph"/>
                          <w:ind w:left="535" w:right="5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47,847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779B2" w:rsidRDefault="00F21BE4">
                        <w:pPr>
                          <w:pStyle w:val="TableParagraph"/>
                          <w:ind w:left="149" w:righ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0.5%</w:t>
                        </w:r>
                      </w:p>
                    </w:tc>
                    <w:tc>
                      <w:tcPr>
                        <w:tcW w:w="761" w:type="dxa"/>
                      </w:tcPr>
                      <w:p w:rsidR="001779B2" w:rsidRDefault="00F21BE4">
                        <w:pPr>
                          <w:pStyle w:val="TableParagraph"/>
                          <w:ind w:left="117" w:righ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86.5%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1779B2" w:rsidRDefault="00F21BE4">
                        <w:pPr>
                          <w:pStyle w:val="TableParagraph"/>
                          <w:ind w:left="164" w:right="1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1.8%</w:t>
                        </w:r>
                      </w:p>
                    </w:tc>
                    <w:tc>
                      <w:tcPr>
                        <w:tcW w:w="748" w:type="dxa"/>
                      </w:tcPr>
                      <w:p w:rsidR="001779B2" w:rsidRDefault="00F21BE4">
                        <w:pPr>
                          <w:pStyle w:val="TableParagraph"/>
                          <w:ind w:left="1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  <w:tc>
                      <w:tcPr>
                        <w:tcW w:w="807" w:type="dxa"/>
                      </w:tcPr>
                      <w:p w:rsidR="001779B2" w:rsidRDefault="00F21BE4">
                        <w:pPr>
                          <w:pStyle w:val="TableParagraph"/>
                          <w:ind w:left="119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6.0%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1779B2" w:rsidRDefault="00F21BE4">
                        <w:pPr>
                          <w:pStyle w:val="TableParagraph"/>
                          <w:ind w:left="248" w:righ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1.3%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1779B2" w:rsidRDefault="00F21BE4">
                        <w:pPr>
                          <w:pStyle w:val="TableParagraph"/>
                          <w:ind w:left="167" w:right="1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3.3%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1779B2" w:rsidRDefault="00F21BE4">
                        <w:pPr>
                          <w:pStyle w:val="TableParagraph"/>
                          <w:ind w:left="184" w:right="1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0.5%</w:t>
                        </w:r>
                      </w:p>
                    </w:tc>
                  </w:tr>
                </w:tbl>
                <w:p w:rsidR="001779B2" w:rsidRDefault="001779B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16"/>
        </w:rPr>
        <w:t>- Drug Categories:</w:t>
      </w:r>
    </w:p>
    <w:p w:rsidR="001779B2" w:rsidRDefault="00F21BE4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Opioids </w:t>
      </w:r>
      <w:r>
        <w:rPr>
          <w:i/>
          <w:sz w:val="16"/>
        </w:rPr>
        <w:t>includes: Prescription and Non Prescription Opioids.</w:t>
      </w:r>
    </w:p>
    <w:p w:rsidR="001779B2" w:rsidRDefault="00F21BE4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</w:t>
      </w:r>
      <w:r>
        <w:rPr>
          <w:i/>
          <w:sz w:val="16"/>
        </w:rPr>
        <w:t>includes: PCP, Other Hallucinogens, Inhalants, OTC, and Other.</w:t>
      </w:r>
    </w:p>
    <w:p w:rsidR="001779B2" w:rsidRDefault="00F21BE4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Sedatives/Hypnotics </w:t>
      </w:r>
      <w:r>
        <w:rPr>
          <w:i/>
          <w:sz w:val="16"/>
        </w:rPr>
        <w:t>includes: Benzodiazepines, Other Tranquilizers, Barbituates, and Other Sedatives.</w:t>
      </w:r>
    </w:p>
    <w:p w:rsidR="001779B2" w:rsidRDefault="00F21BE4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Stimulants </w:t>
      </w:r>
      <w:r>
        <w:rPr>
          <w:i/>
          <w:sz w:val="16"/>
        </w:rPr>
        <w:t>includes: Methamphetamine, Other Amphetamines, Other Stimulants, and</w:t>
      </w:r>
      <w:r>
        <w:rPr>
          <w:i/>
          <w:sz w:val="16"/>
        </w:rPr>
        <w:t xml:space="preserve"> Club Drugs.</w:t>
      </w:r>
    </w:p>
    <w:p w:rsidR="001779B2" w:rsidRDefault="00F21BE4">
      <w:pPr>
        <w:spacing w:before="1"/>
        <w:ind w:left="175"/>
        <w:rPr>
          <w:i/>
          <w:sz w:val="16"/>
        </w:rPr>
      </w:pPr>
      <w:r>
        <w:rPr>
          <w:i/>
          <w:sz w:val="16"/>
        </w:rPr>
        <w:t>- The total admissions reported in this table may vary from the total admissions for persons who inject drugs; for additional information, please refer to the appendix.</w:t>
      </w:r>
    </w:p>
    <w:p w:rsidR="001779B2" w:rsidRDefault="00F21BE4">
      <w:pPr>
        <w:spacing w:before="1"/>
        <w:ind w:left="175"/>
        <w:rPr>
          <w:i/>
          <w:sz w:val="16"/>
        </w:rPr>
      </w:pPr>
      <w:r>
        <w:rPr>
          <w:i/>
          <w:sz w:val="16"/>
        </w:rPr>
        <w:t>* Poly-substance use refers to either the use of multiple substances at th</w:t>
      </w:r>
      <w:r>
        <w:rPr>
          <w:i/>
          <w:sz w:val="16"/>
        </w:rPr>
        <w:t>e same time, or the use of multiple substances during a specified time frame.</w:t>
      </w:r>
    </w:p>
    <w:p w:rsidR="001779B2" w:rsidRDefault="001779B2">
      <w:pPr>
        <w:rPr>
          <w:sz w:val="16"/>
        </w:rPr>
        <w:sectPr w:rsidR="001779B2" w:rsidSect="00F21BE4">
          <w:pgSz w:w="14400" w:h="18440"/>
          <w:pgMar w:top="0" w:right="600" w:bottom="860" w:left="620" w:header="0" w:footer="661" w:gutter="0"/>
          <w:pgBorders w:offsetFrom="page">
            <w:bottom w:val="double" w:sz="4" w:space="24" w:color="auto"/>
          </w:pgBorders>
          <w:cols w:space="720"/>
        </w:sect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954"/>
        <w:gridCol w:w="905"/>
        <w:gridCol w:w="1085"/>
        <w:gridCol w:w="964"/>
        <w:gridCol w:w="1290"/>
        <w:gridCol w:w="1034"/>
        <w:gridCol w:w="1029"/>
        <w:gridCol w:w="916"/>
        <w:gridCol w:w="1017"/>
        <w:gridCol w:w="816"/>
        <w:gridCol w:w="816"/>
        <w:gridCol w:w="934"/>
      </w:tblGrid>
      <w:tr w:rsidR="001779B2">
        <w:trPr>
          <w:trHeight w:hRule="exact" w:val="4493"/>
        </w:trPr>
        <w:tc>
          <w:tcPr>
            <w:tcW w:w="12790" w:type="dxa"/>
            <w:gridSpan w:val="13"/>
            <w:tcBorders>
              <w:top w:val="nil"/>
              <w:left w:val="nil"/>
              <w:right w:val="nil"/>
            </w:tcBorders>
          </w:tcPr>
          <w:p w:rsidR="001779B2" w:rsidRDefault="001779B2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1779B2" w:rsidRDefault="00F21BE4">
            <w:pPr>
              <w:pStyle w:val="TableParagraph"/>
              <w:spacing w:before="186"/>
              <w:ind w:left="4060" w:right="4060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</w:t>
            </w:r>
          </w:p>
          <w:p w:rsidR="001779B2" w:rsidRDefault="00F21BE4">
            <w:pPr>
              <w:pStyle w:val="TableParagraph"/>
              <w:spacing w:before="0"/>
              <w:ind w:left="4061" w:right="4060"/>
              <w:rPr>
                <w:b/>
                <w:sz w:val="24"/>
              </w:rPr>
            </w:pPr>
            <w:r>
              <w:rPr>
                <w:b/>
                <w:sz w:val="24"/>
              </w:rPr>
              <w:t>Fact Sheet - Persons Who Inject Drugs FY 2017</w:t>
            </w:r>
          </w:p>
          <w:p w:rsidR="001779B2" w:rsidRDefault="001779B2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1779B2" w:rsidRDefault="001779B2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1779B2" w:rsidRDefault="001779B2">
            <w:pPr>
              <w:pStyle w:val="TableParagraph"/>
              <w:spacing w:before="9"/>
              <w:jc w:val="left"/>
              <w:rPr>
                <w:i/>
                <w:sz w:val="24"/>
              </w:rPr>
            </w:pPr>
          </w:p>
          <w:p w:rsidR="001779B2" w:rsidRDefault="00F21BE4">
            <w:pPr>
              <w:pStyle w:val="TableParagraph"/>
              <w:spacing w:before="0"/>
              <w:ind w:left="4060" w:right="4060"/>
              <w:rPr>
                <w:b/>
              </w:rPr>
            </w:pPr>
            <w:r>
              <w:rPr>
                <w:b/>
              </w:rPr>
              <w:t>Service Utilization</w:t>
            </w:r>
          </w:p>
          <w:p w:rsidR="001779B2" w:rsidRDefault="00F21BE4">
            <w:pPr>
              <w:pStyle w:val="TableParagraph"/>
              <w:spacing w:before="150"/>
              <w:ind w:left="-1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Service Utilization</w:t>
            </w:r>
          </w:p>
          <w:p w:rsidR="001779B2" w:rsidRDefault="00F21BE4">
            <w:pPr>
              <w:pStyle w:val="TableParagraph"/>
              <w:spacing w:before="0"/>
              <w:ind w:left="-10"/>
              <w:jc w:val="left"/>
              <w:rPr>
                <w:sz w:val="20"/>
              </w:rPr>
            </w:pPr>
            <w:r>
              <w:rPr>
                <w:sz w:val="20"/>
              </w:rPr>
              <w:t>Table 3 contains a list of the types of services utilized by persons who inject drugs.</w:t>
            </w:r>
          </w:p>
          <w:p w:rsidR="001779B2" w:rsidRDefault="00F21BE4">
            <w:pPr>
              <w:pStyle w:val="TableParagraph"/>
              <w:spacing w:before="150"/>
              <w:ind w:left="4059" w:right="4060"/>
              <w:rPr>
                <w:b/>
                <w:sz w:val="16"/>
              </w:rPr>
            </w:pPr>
            <w:r>
              <w:rPr>
                <w:b/>
                <w:sz w:val="16"/>
              </w:rPr>
              <w:t>Table 3</w:t>
            </w:r>
          </w:p>
          <w:p w:rsidR="001779B2" w:rsidRDefault="00F21BE4">
            <w:pPr>
              <w:pStyle w:val="TableParagraph"/>
              <w:spacing w:before="1"/>
              <w:ind w:left="4060" w:right="4060"/>
              <w:rPr>
                <w:b/>
                <w:sz w:val="16"/>
              </w:rPr>
            </w:pPr>
            <w:r>
              <w:rPr>
                <w:b/>
                <w:sz w:val="16"/>
              </w:rPr>
              <w:t>Service Category Trend: FY 2008 - FY 2017</w:t>
            </w:r>
          </w:p>
        </w:tc>
      </w:tr>
      <w:tr w:rsidR="001779B2">
        <w:trPr>
          <w:trHeight w:hRule="exact" w:val="692"/>
        </w:trPr>
        <w:tc>
          <w:tcPr>
            <w:tcW w:w="1030" w:type="dxa"/>
          </w:tcPr>
          <w:p w:rsidR="001779B2" w:rsidRDefault="001779B2"/>
        </w:tc>
        <w:tc>
          <w:tcPr>
            <w:tcW w:w="954" w:type="dxa"/>
          </w:tcPr>
          <w:p w:rsidR="001779B2" w:rsidRDefault="00F21BE4">
            <w:pPr>
              <w:pStyle w:val="TableParagraph"/>
              <w:ind w:left="75" w:right="56" w:firstLine="214"/>
              <w:jc w:val="left"/>
              <w:rPr>
                <w:sz w:val="16"/>
              </w:rPr>
            </w:pPr>
            <w:r>
              <w:rPr>
                <w:sz w:val="16"/>
              </w:rPr>
              <w:t>Total Admissions</w:t>
            </w:r>
          </w:p>
        </w:tc>
        <w:tc>
          <w:tcPr>
            <w:tcW w:w="905" w:type="dxa"/>
          </w:tcPr>
          <w:p w:rsidR="001779B2" w:rsidRDefault="00F21BE4">
            <w:pPr>
              <w:pStyle w:val="TableParagraph"/>
              <w:ind w:left="75" w:right="73" w:firstLine="1"/>
              <w:rPr>
                <w:sz w:val="16"/>
              </w:rPr>
            </w:pPr>
            <w:r>
              <w:rPr>
                <w:sz w:val="16"/>
              </w:rPr>
              <w:t>Acute Treatment Services</w:t>
            </w:r>
          </w:p>
        </w:tc>
        <w:tc>
          <w:tcPr>
            <w:tcW w:w="1085" w:type="dxa"/>
          </w:tcPr>
          <w:p w:rsidR="001779B2" w:rsidRDefault="00F21BE4">
            <w:pPr>
              <w:pStyle w:val="TableParagraph"/>
              <w:ind w:left="75" w:right="55" w:firstLine="289"/>
              <w:jc w:val="left"/>
              <w:rPr>
                <w:sz w:val="16"/>
              </w:rPr>
            </w:pPr>
            <w:r>
              <w:rPr>
                <w:sz w:val="16"/>
              </w:rPr>
              <w:t>Case Management</w:t>
            </w:r>
          </w:p>
        </w:tc>
        <w:tc>
          <w:tcPr>
            <w:tcW w:w="964" w:type="dxa"/>
          </w:tcPr>
          <w:p w:rsidR="001779B2" w:rsidRDefault="00F21BE4">
            <w:pPr>
              <w:pStyle w:val="TableParagraph"/>
              <w:ind w:left="75" w:right="55" w:firstLine="149"/>
              <w:jc w:val="left"/>
              <w:rPr>
                <w:sz w:val="16"/>
              </w:rPr>
            </w:pPr>
            <w:r>
              <w:rPr>
                <w:sz w:val="16"/>
              </w:rPr>
              <w:t>County Corrections</w:t>
            </w:r>
          </w:p>
        </w:tc>
        <w:tc>
          <w:tcPr>
            <w:tcW w:w="1290" w:type="dxa"/>
          </w:tcPr>
          <w:p w:rsidR="001779B2" w:rsidRDefault="00F21BE4">
            <w:pPr>
              <w:pStyle w:val="TableParagraph"/>
              <w:ind w:left="201" w:right="148" w:hanging="33"/>
              <w:jc w:val="left"/>
              <w:rPr>
                <w:sz w:val="16"/>
              </w:rPr>
            </w:pPr>
            <w:r>
              <w:rPr>
                <w:sz w:val="16"/>
              </w:rPr>
              <w:t>Engagement, Assessment and Referral</w:t>
            </w:r>
          </w:p>
        </w:tc>
        <w:tc>
          <w:tcPr>
            <w:tcW w:w="10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Intervention</w:t>
            </w:r>
          </w:p>
        </w:tc>
        <w:tc>
          <w:tcPr>
            <w:tcW w:w="1029" w:type="dxa"/>
          </w:tcPr>
          <w:p w:rsidR="001779B2" w:rsidRDefault="00F21BE4">
            <w:pPr>
              <w:pStyle w:val="TableParagraph"/>
              <w:ind w:left="125" w:right="122"/>
              <w:rPr>
                <w:sz w:val="16"/>
              </w:rPr>
            </w:pPr>
            <w:r>
              <w:rPr>
                <w:sz w:val="16"/>
              </w:rPr>
              <w:t>Medication Assisted Treatment</w:t>
            </w:r>
          </w:p>
        </w:tc>
        <w:tc>
          <w:tcPr>
            <w:tcW w:w="916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Outpatient</w:t>
            </w:r>
          </w:p>
        </w:tc>
        <w:tc>
          <w:tcPr>
            <w:tcW w:w="1017" w:type="dxa"/>
          </w:tcPr>
          <w:p w:rsidR="001779B2" w:rsidRDefault="00F21BE4">
            <w:pPr>
              <w:pStyle w:val="TableParagraph"/>
              <w:ind w:left="75" w:right="56" w:firstLine="42"/>
              <w:jc w:val="left"/>
              <w:rPr>
                <w:sz w:val="16"/>
              </w:rPr>
            </w:pPr>
            <w:r>
              <w:rPr>
                <w:sz w:val="16"/>
              </w:rPr>
              <w:t>Post Detox Stabilization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left="75" w:right="72"/>
              <w:rPr>
                <w:sz w:val="16"/>
              </w:rPr>
            </w:pPr>
            <w:r>
              <w:rPr>
                <w:sz w:val="16"/>
              </w:rPr>
              <w:t>Recovery High School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left="120" w:right="56" w:hanging="46"/>
              <w:jc w:val="left"/>
              <w:rPr>
                <w:sz w:val="16"/>
              </w:rPr>
            </w:pPr>
            <w:r>
              <w:rPr>
                <w:sz w:val="16"/>
              </w:rPr>
              <w:t>Recovery Support</w:t>
            </w:r>
          </w:p>
        </w:tc>
        <w:tc>
          <w:tcPr>
            <w:tcW w:w="9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Residential</w:t>
            </w:r>
          </w:p>
        </w:tc>
      </w:tr>
      <w:tr w:rsidR="001779B2">
        <w:trPr>
          <w:trHeight w:hRule="exact" w:val="304"/>
        </w:trPr>
        <w:tc>
          <w:tcPr>
            <w:tcW w:w="1030" w:type="dxa"/>
          </w:tcPr>
          <w:p w:rsidR="001779B2" w:rsidRDefault="00F21BE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2008</w:t>
            </w:r>
          </w:p>
        </w:tc>
        <w:tc>
          <w:tcPr>
            <w:tcW w:w="954" w:type="dxa"/>
          </w:tcPr>
          <w:p w:rsidR="001779B2" w:rsidRDefault="00F21BE4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34,356</w:t>
            </w:r>
          </w:p>
        </w:tc>
        <w:tc>
          <w:tcPr>
            <w:tcW w:w="905" w:type="dxa"/>
          </w:tcPr>
          <w:p w:rsidR="001779B2" w:rsidRDefault="00F21BE4">
            <w:pPr>
              <w:pStyle w:val="TableParagraph"/>
              <w:ind w:left="189" w:right="189"/>
              <w:rPr>
                <w:sz w:val="16"/>
              </w:rPr>
            </w:pPr>
            <w:r>
              <w:rPr>
                <w:sz w:val="16"/>
              </w:rPr>
              <w:t>54.7%</w:t>
            </w:r>
          </w:p>
        </w:tc>
        <w:tc>
          <w:tcPr>
            <w:tcW w:w="1085" w:type="dxa"/>
          </w:tcPr>
          <w:p w:rsidR="001779B2" w:rsidRDefault="00F21BE4">
            <w:pPr>
              <w:pStyle w:val="TableParagraph"/>
              <w:ind w:left="322" w:right="323"/>
              <w:rPr>
                <w:sz w:val="16"/>
              </w:rPr>
            </w:pPr>
            <w:r>
              <w:rPr>
                <w:sz w:val="16"/>
              </w:rPr>
              <w:t>1.0%</w:t>
            </w:r>
          </w:p>
        </w:tc>
        <w:tc>
          <w:tcPr>
            <w:tcW w:w="964" w:type="dxa"/>
          </w:tcPr>
          <w:p w:rsidR="001779B2" w:rsidRDefault="00F21BE4"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1.5%</w:t>
            </w:r>
          </w:p>
        </w:tc>
        <w:tc>
          <w:tcPr>
            <w:tcW w:w="1290" w:type="dxa"/>
          </w:tcPr>
          <w:p w:rsidR="001779B2" w:rsidRDefault="00F21BE4">
            <w:pPr>
              <w:pStyle w:val="TableParagraph"/>
              <w:ind w:left="445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29" w:type="dxa"/>
          </w:tcPr>
          <w:p w:rsidR="001779B2" w:rsidRDefault="00F21BE4">
            <w:pPr>
              <w:pStyle w:val="TableParagraph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11.5%</w:t>
            </w:r>
          </w:p>
        </w:tc>
        <w:tc>
          <w:tcPr>
            <w:tcW w:w="916" w:type="dxa"/>
          </w:tcPr>
          <w:p w:rsidR="001779B2" w:rsidRDefault="00F21BE4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15.6%</w:t>
            </w:r>
          </w:p>
        </w:tc>
        <w:tc>
          <w:tcPr>
            <w:tcW w:w="1017" w:type="dxa"/>
          </w:tcPr>
          <w:p w:rsidR="001779B2" w:rsidRDefault="00F21BE4">
            <w:pPr>
              <w:pStyle w:val="TableParagraph"/>
              <w:ind w:left="244" w:right="245"/>
              <w:rPr>
                <w:sz w:val="16"/>
              </w:rPr>
            </w:pPr>
            <w:r>
              <w:rPr>
                <w:sz w:val="16"/>
              </w:rPr>
              <w:t>7.8%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left="72" w:right="72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8.0%</w:t>
            </w:r>
          </w:p>
        </w:tc>
      </w:tr>
      <w:tr w:rsidR="001779B2">
        <w:trPr>
          <w:trHeight w:hRule="exact" w:val="304"/>
        </w:trPr>
        <w:tc>
          <w:tcPr>
            <w:tcW w:w="1030" w:type="dxa"/>
          </w:tcPr>
          <w:p w:rsidR="001779B2" w:rsidRDefault="00F21BE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2009</w:t>
            </w:r>
          </w:p>
        </w:tc>
        <w:tc>
          <w:tcPr>
            <w:tcW w:w="954" w:type="dxa"/>
          </w:tcPr>
          <w:p w:rsidR="001779B2" w:rsidRDefault="00F21BE4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37,405</w:t>
            </w:r>
          </w:p>
        </w:tc>
        <w:tc>
          <w:tcPr>
            <w:tcW w:w="905" w:type="dxa"/>
          </w:tcPr>
          <w:p w:rsidR="001779B2" w:rsidRDefault="00F21BE4">
            <w:pPr>
              <w:pStyle w:val="TableParagraph"/>
              <w:ind w:left="189" w:right="189"/>
              <w:rPr>
                <w:sz w:val="16"/>
              </w:rPr>
            </w:pPr>
            <w:r>
              <w:rPr>
                <w:sz w:val="16"/>
              </w:rPr>
              <w:t>54.6%</w:t>
            </w:r>
          </w:p>
        </w:tc>
        <w:tc>
          <w:tcPr>
            <w:tcW w:w="1085" w:type="dxa"/>
          </w:tcPr>
          <w:p w:rsidR="001779B2" w:rsidRDefault="00F21BE4">
            <w:pPr>
              <w:pStyle w:val="TableParagraph"/>
              <w:ind w:left="322" w:right="323"/>
              <w:rPr>
                <w:sz w:val="16"/>
              </w:rPr>
            </w:pPr>
            <w:r>
              <w:rPr>
                <w:sz w:val="16"/>
              </w:rPr>
              <w:t>1.0%</w:t>
            </w:r>
          </w:p>
        </w:tc>
        <w:tc>
          <w:tcPr>
            <w:tcW w:w="964" w:type="dxa"/>
          </w:tcPr>
          <w:p w:rsidR="001779B2" w:rsidRDefault="00F21BE4"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1.1%</w:t>
            </w:r>
          </w:p>
        </w:tc>
        <w:tc>
          <w:tcPr>
            <w:tcW w:w="1290" w:type="dxa"/>
          </w:tcPr>
          <w:p w:rsidR="001779B2" w:rsidRDefault="00F21BE4">
            <w:pPr>
              <w:pStyle w:val="TableParagraph"/>
              <w:ind w:left="445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29" w:type="dxa"/>
          </w:tcPr>
          <w:p w:rsidR="001779B2" w:rsidRDefault="00F21BE4">
            <w:pPr>
              <w:pStyle w:val="TableParagraph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12.9%</w:t>
            </w:r>
          </w:p>
        </w:tc>
        <w:tc>
          <w:tcPr>
            <w:tcW w:w="916" w:type="dxa"/>
          </w:tcPr>
          <w:p w:rsidR="001779B2" w:rsidRDefault="00F21BE4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12.0%</w:t>
            </w:r>
          </w:p>
        </w:tc>
        <w:tc>
          <w:tcPr>
            <w:tcW w:w="1017" w:type="dxa"/>
          </w:tcPr>
          <w:p w:rsidR="001779B2" w:rsidRDefault="00F21BE4">
            <w:pPr>
              <w:pStyle w:val="TableParagraph"/>
              <w:ind w:left="245" w:right="245"/>
              <w:rPr>
                <w:sz w:val="16"/>
              </w:rPr>
            </w:pPr>
            <w:r>
              <w:rPr>
                <w:sz w:val="16"/>
              </w:rPr>
              <w:t>10.9%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left="72" w:right="72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7.5%</w:t>
            </w:r>
          </w:p>
        </w:tc>
      </w:tr>
      <w:tr w:rsidR="001779B2">
        <w:trPr>
          <w:trHeight w:hRule="exact" w:val="304"/>
        </w:trPr>
        <w:tc>
          <w:tcPr>
            <w:tcW w:w="1030" w:type="dxa"/>
          </w:tcPr>
          <w:p w:rsidR="001779B2" w:rsidRDefault="00F21BE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2010</w:t>
            </w:r>
          </w:p>
        </w:tc>
        <w:tc>
          <w:tcPr>
            <w:tcW w:w="954" w:type="dxa"/>
          </w:tcPr>
          <w:p w:rsidR="001779B2" w:rsidRDefault="00F21BE4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41,125</w:t>
            </w:r>
          </w:p>
        </w:tc>
        <w:tc>
          <w:tcPr>
            <w:tcW w:w="905" w:type="dxa"/>
          </w:tcPr>
          <w:p w:rsidR="001779B2" w:rsidRDefault="00F21BE4">
            <w:pPr>
              <w:pStyle w:val="TableParagraph"/>
              <w:ind w:left="189" w:right="189"/>
              <w:rPr>
                <w:sz w:val="16"/>
              </w:rPr>
            </w:pPr>
            <w:r>
              <w:rPr>
                <w:sz w:val="16"/>
              </w:rPr>
              <w:t>53.6%</w:t>
            </w:r>
          </w:p>
        </w:tc>
        <w:tc>
          <w:tcPr>
            <w:tcW w:w="1085" w:type="dxa"/>
          </w:tcPr>
          <w:p w:rsidR="001779B2" w:rsidRDefault="00F21BE4">
            <w:pPr>
              <w:pStyle w:val="TableParagraph"/>
              <w:ind w:left="322" w:right="323"/>
              <w:rPr>
                <w:sz w:val="16"/>
              </w:rPr>
            </w:pPr>
            <w:r>
              <w:rPr>
                <w:sz w:val="16"/>
              </w:rPr>
              <w:t>1.1%</w:t>
            </w:r>
          </w:p>
        </w:tc>
        <w:tc>
          <w:tcPr>
            <w:tcW w:w="964" w:type="dxa"/>
          </w:tcPr>
          <w:p w:rsidR="001779B2" w:rsidRDefault="00F21BE4"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0.8%</w:t>
            </w:r>
          </w:p>
        </w:tc>
        <w:tc>
          <w:tcPr>
            <w:tcW w:w="1290" w:type="dxa"/>
          </w:tcPr>
          <w:p w:rsidR="001779B2" w:rsidRDefault="00F21BE4">
            <w:pPr>
              <w:pStyle w:val="TableParagraph"/>
              <w:ind w:left="445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29" w:type="dxa"/>
          </w:tcPr>
          <w:p w:rsidR="001779B2" w:rsidRDefault="00F21BE4">
            <w:pPr>
              <w:pStyle w:val="TableParagraph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12.0%</w:t>
            </w:r>
          </w:p>
        </w:tc>
        <w:tc>
          <w:tcPr>
            <w:tcW w:w="916" w:type="dxa"/>
          </w:tcPr>
          <w:p w:rsidR="001779B2" w:rsidRDefault="00F21BE4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10.4%</w:t>
            </w:r>
          </w:p>
        </w:tc>
        <w:tc>
          <w:tcPr>
            <w:tcW w:w="1017" w:type="dxa"/>
          </w:tcPr>
          <w:p w:rsidR="001779B2" w:rsidRDefault="00F21BE4">
            <w:pPr>
              <w:pStyle w:val="TableParagraph"/>
              <w:ind w:left="245" w:right="245"/>
              <w:rPr>
                <w:sz w:val="16"/>
              </w:rPr>
            </w:pPr>
            <w:r>
              <w:rPr>
                <w:sz w:val="16"/>
              </w:rPr>
              <w:t>14.4%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left="72" w:right="72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9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7.6%</w:t>
            </w:r>
          </w:p>
        </w:tc>
      </w:tr>
      <w:tr w:rsidR="001779B2">
        <w:trPr>
          <w:trHeight w:hRule="exact" w:val="304"/>
        </w:trPr>
        <w:tc>
          <w:tcPr>
            <w:tcW w:w="1030" w:type="dxa"/>
          </w:tcPr>
          <w:p w:rsidR="001779B2" w:rsidRDefault="00F21BE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2011</w:t>
            </w:r>
          </w:p>
        </w:tc>
        <w:tc>
          <w:tcPr>
            <w:tcW w:w="954" w:type="dxa"/>
          </w:tcPr>
          <w:p w:rsidR="001779B2" w:rsidRDefault="00F21BE4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39,700</w:t>
            </w:r>
          </w:p>
        </w:tc>
        <w:tc>
          <w:tcPr>
            <w:tcW w:w="905" w:type="dxa"/>
          </w:tcPr>
          <w:p w:rsidR="001779B2" w:rsidRDefault="00F21BE4">
            <w:pPr>
              <w:pStyle w:val="TableParagraph"/>
              <w:ind w:left="189" w:right="189"/>
              <w:rPr>
                <w:sz w:val="16"/>
              </w:rPr>
            </w:pPr>
            <w:r>
              <w:rPr>
                <w:sz w:val="16"/>
              </w:rPr>
              <w:t>53.9%</w:t>
            </w:r>
          </w:p>
        </w:tc>
        <w:tc>
          <w:tcPr>
            <w:tcW w:w="1085" w:type="dxa"/>
          </w:tcPr>
          <w:p w:rsidR="001779B2" w:rsidRDefault="00F21BE4">
            <w:pPr>
              <w:pStyle w:val="TableParagraph"/>
              <w:ind w:left="322" w:right="323"/>
              <w:rPr>
                <w:sz w:val="16"/>
              </w:rPr>
            </w:pPr>
            <w:r>
              <w:rPr>
                <w:sz w:val="16"/>
              </w:rPr>
              <w:t>1.0%</w:t>
            </w:r>
          </w:p>
        </w:tc>
        <w:tc>
          <w:tcPr>
            <w:tcW w:w="964" w:type="dxa"/>
          </w:tcPr>
          <w:p w:rsidR="001779B2" w:rsidRDefault="00F21BE4"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1.0%</w:t>
            </w:r>
          </w:p>
        </w:tc>
        <w:tc>
          <w:tcPr>
            <w:tcW w:w="1290" w:type="dxa"/>
          </w:tcPr>
          <w:p w:rsidR="001779B2" w:rsidRDefault="00F21BE4">
            <w:pPr>
              <w:pStyle w:val="TableParagraph"/>
              <w:ind w:left="445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29" w:type="dxa"/>
          </w:tcPr>
          <w:p w:rsidR="001779B2" w:rsidRDefault="00F21BE4">
            <w:pPr>
              <w:pStyle w:val="TableParagraph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10.5%</w:t>
            </w:r>
          </w:p>
        </w:tc>
        <w:tc>
          <w:tcPr>
            <w:tcW w:w="916" w:type="dxa"/>
          </w:tcPr>
          <w:p w:rsidR="001779B2" w:rsidRDefault="00F21BE4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10.0%</w:t>
            </w:r>
          </w:p>
        </w:tc>
        <w:tc>
          <w:tcPr>
            <w:tcW w:w="1017" w:type="dxa"/>
          </w:tcPr>
          <w:p w:rsidR="001779B2" w:rsidRDefault="00F21BE4">
            <w:pPr>
              <w:pStyle w:val="TableParagraph"/>
              <w:ind w:left="245" w:right="245"/>
              <w:rPr>
                <w:sz w:val="16"/>
              </w:rPr>
            </w:pPr>
            <w:r>
              <w:rPr>
                <w:sz w:val="16"/>
              </w:rPr>
              <w:t>15.7%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left="72" w:right="72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7.9%</w:t>
            </w:r>
          </w:p>
        </w:tc>
      </w:tr>
      <w:tr w:rsidR="001779B2">
        <w:trPr>
          <w:trHeight w:hRule="exact" w:val="304"/>
        </w:trPr>
        <w:tc>
          <w:tcPr>
            <w:tcW w:w="1030" w:type="dxa"/>
          </w:tcPr>
          <w:p w:rsidR="001779B2" w:rsidRDefault="00F21BE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2012</w:t>
            </w:r>
          </w:p>
        </w:tc>
        <w:tc>
          <w:tcPr>
            <w:tcW w:w="954" w:type="dxa"/>
          </w:tcPr>
          <w:p w:rsidR="001779B2" w:rsidRDefault="00F21BE4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43,071</w:t>
            </w:r>
          </w:p>
        </w:tc>
        <w:tc>
          <w:tcPr>
            <w:tcW w:w="905" w:type="dxa"/>
          </w:tcPr>
          <w:p w:rsidR="001779B2" w:rsidRDefault="00F21BE4">
            <w:pPr>
              <w:pStyle w:val="TableParagraph"/>
              <w:ind w:left="189" w:right="189"/>
              <w:rPr>
                <w:sz w:val="16"/>
              </w:rPr>
            </w:pPr>
            <w:r>
              <w:rPr>
                <w:sz w:val="16"/>
              </w:rPr>
              <w:t>53.2%</w:t>
            </w:r>
          </w:p>
        </w:tc>
        <w:tc>
          <w:tcPr>
            <w:tcW w:w="1085" w:type="dxa"/>
          </w:tcPr>
          <w:p w:rsidR="001779B2" w:rsidRDefault="00F21BE4">
            <w:pPr>
              <w:pStyle w:val="TableParagraph"/>
              <w:ind w:left="322" w:right="323"/>
              <w:rPr>
                <w:sz w:val="16"/>
              </w:rPr>
            </w:pPr>
            <w:r>
              <w:rPr>
                <w:sz w:val="16"/>
              </w:rPr>
              <w:t>1.0%</w:t>
            </w:r>
          </w:p>
        </w:tc>
        <w:tc>
          <w:tcPr>
            <w:tcW w:w="964" w:type="dxa"/>
          </w:tcPr>
          <w:p w:rsidR="001779B2" w:rsidRDefault="00F21BE4"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1.0%</w:t>
            </w:r>
          </w:p>
        </w:tc>
        <w:tc>
          <w:tcPr>
            <w:tcW w:w="1290" w:type="dxa"/>
          </w:tcPr>
          <w:p w:rsidR="001779B2" w:rsidRDefault="00F21BE4">
            <w:pPr>
              <w:pStyle w:val="TableParagraph"/>
              <w:ind w:left="445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29" w:type="dxa"/>
          </w:tcPr>
          <w:p w:rsidR="001779B2" w:rsidRDefault="00F21BE4">
            <w:pPr>
              <w:pStyle w:val="TableParagraph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11.1%</w:t>
            </w:r>
          </w:p>
        </w:tc>
        <w:tc>
          <w:tcPr>
            <w:tcW w:w="916" w:type="dxa"/>
          </w:tcPr>
          <w:p w:rsidR="001779B2" w:rsidRDefault="00F21BE4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10.2%</w:t>
            </w:r>
          </w:p>
        </w:tc>
        <w:tc>
          <w:tcPr>
            <w:tcW w:w="1017" w:type="dxa"/>
          </w:tcPr>
          <w:p w:rsidR="001779B2" w:rsidRDefault="00F21BE4">
            <w:pPr>
              <w:pStyle w:val="TableParagraph"/>
              <w:ind w:left="245" w:right="245"/>
              <w:rPr>
                <w:sz w:val="16"/>
              </w:rPr>
            </w:pPr>
            <w:r>
              <w:rPr>
                <w:sz w:val="16"/>
              </w:rPr>
              <w:t>15.0%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left="72" w:right="72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8.5%</w:t>
            </w:r>
          </w:p>
        </w:tc>
      </w:tr>
      <w:tr w:rsidR="001779B2">
        <w:trPr>
          <w:trHeight w:hRule="exact" w:val="304"/>
        </w:trPr>
        <w:tc>
          <w:tcPr>
            <w:tcW w:w="1030" w:type="dxa"/>
          </w:tcPr>
          <w:p w:rsidR="001779B2" w:rsidRDefault="00F21BE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2013</w:t>
            </w:r>
          </w:p>
        </w:tc>
        <w:tc>
          <w:tcPr>
            <w:tcW w:w="954" w:type="dxa"/>
          </w:tcPr>
          <w:p w:rsidR="001779B2" w:rsidRDefault="00F21BE4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46,494</w:t>
            </w:r>
          </w:p>
        </w:tc>
        <w:tc>
          <w:tcPr>
            <w:tcW w:w="905" w:type="dxa"/>
          </w:tcPr>
          <w:p w:rsidR="001779B2" w:rsidRDefault="00F21BE4">
            <w:pPr>
              <w:pStyle w:val="TableParagraph"/>
              <w:ind w:left="189" w:right="189"/>
              <w:rPr>
                <w:sz w:val="16"/>
              </w:rPr>
            </w:pPr>
            <w:r>
              <w:rPr>
                <w:sz w:val="16"/>
              </w:rPr>
              <w:t>55.2%</w:t>
            </w:r>
          </w:p>
        </w:tc>
        <w:tc>
          <w:tcPr>
            <w:tcW w:w="1085" w:type="dxa"/>
          </w:tcPr>
          <w:p w:rsidR="001779B2" w:rsidRDefault="00F21BE4">
            <w:pPr>
              <w:pStyle w:val="TableParagraph"/>
              <w:ind w:left="322" w:right="323"/>
              <w:rPr>
                <w:sz w:val="16"/>
              </w:rPr>
            </w:pPr>
            <w:r>
              <w:rPr>
                <w:sz w:val="16"/>
              </w:rPr>
              <w:t>0.9%</w:t>
            </w:r>
          </w:p>
        </w:tc>
        <w:tc>
          <w:tcPr>
            <w:tcW w:w="964" w:type="dxa"/>
          </w:tcPr>
          <w:p w:rsidR="001779B2" w:rsidRDefault="00F21BE4"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1.0%</w:t>
            </w:r>
          </w:p>
        </w:tc>
        <w:tc>
          <w:tcPr>
            <w:tcW w:w="1290" w:type="dxa"/>
          </w:tcPr>
          <w:p w:rsidR="001779B2" w:rsidRDefault="00F21BE4">
            <w:pPr>
              <w:pStyle w:val="TableParagraph"/>
              <w:ind w:left="445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29" w:type="dxa"/>
          </w:tcPr>
          <w:p w:rsidR="001779B2" w:rsidRDefault="00F21BE4">
            <w:pPr>
              <w:pStyle w:val="TableParagraph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10.9%</w:t>
            </w:r>
          </w:p>
        </w:tc>
        <w:tc>
          <w:tcPr>
            <w:tcW w:w="916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9.6%</w:t>
            </w:r>
          </w:p>
        </w:tc>
        <w:tc>
          <w:tcPr>
            <w:tcW w:w="1017" w:type="dxa"/>
          </w:tcPr>
          <w:p w:rsidR="001779B2" w:rsidRDefault="00F21BE4">
            <w:pPr>
              <w:pStyle w:val="TableParagraph"/>
              <w:ind w:left="245" w:right="245"/>
              <w:rPr>
                <w:sz w:val="16"/>
              </w:rPr>
            </w:pPr>
            <w:r>
              <w:rPr>
                <w:sz w:val="16"/>
              </w:rPr>
              <w:t>14.2%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left="72" w:right="72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8.2%</w:t>
            </w:r>
          </w:p>
        </w:tc>
      </w:tr>
      <w:tr w:rsidR="001779B2">
        <w:trPr>
          <w:trHeight w:hRule="exact" w:val="304"/>
        </w:trPr>
        <w:tc>
          <w:tcPr>
            <w:tcW w:w="1030" w:type="dxa"/>
          </w:tcPr>
          <w:p w:rsidR="001779B2" w:rsidRDefault="00F21BE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2014</w:t>
            </w:r>
          </w:p>
        </w:tc>
        <w:tc>
          <w:tcPr>
            <w:tcW w:w="954" w:type="dxa"/>
          </w:tcPr>
          <w:p w:rsidR="001779B2" w:rsidRDefault="00F21BE4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53,022</w:t>
            </w:r>
          </w:p>
        </w:tc>
        <w:tc>
          <w:tcPr>
            <w:tcW w:w="905" w:type="dxa"/>
          </w:tcPr>
          <w:p w:rsidR="001779B2" w:rsidRDefault="00F21BE4">
            <w:pPr>
              <w:pStyle w:val="TableParagraph"/>
              <w:ind w:left="189" w:right="189"/>
              <w:rPr>
                <w:sz w:val="16"/>
              </w:rPr>
            </w:pPr>
            <w:r>
              <w:rPr>
                <w:sz w:val="16"/>
              </w:rPr>
              <w:t>57.0%</w:t>
            </w:r>
          </w:p>
        </w:tc>
        <w:tc>
          <w:tcPr>
            <w:tcW w:w="1085" w:type="dxa"/>
          </w:tcPr>
          <w:p w:rsidR="001779B2" w:rsidRDefault="00F21BE4">
            <w:pPr>
              <w:pStyle w:val="TableParagraph"/>
              <w:ind w:left="322" w:right="323"/>
              <w:rPr>
                <w:sz w:val="16"/>
              </w:rPr>
            </w:pPr>
            <w:r>
              <w:rPr>
                <w:sz w:val="16"/>
              </w:rPr>
              <w:t>0.9%</w:t>
            </w:r>
          </w:p>
        </w:tc>
        <w:tc>
          <w:tcPr>
            <w:tcW w:w="964" w:type="dxa"/>
          </w:tcPr>
          <w:p w:rsidR="001779B2" w:rsidRDefault="00F21BE4"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0.9%</w:t>
            </w:r>
          </w:p>
        </w:tc>
        <w:tc>
          <w:tcPr>
            <w:tcW w:w="1290" w:type="dxa"/>
          </w:tcPr>
          <w:p w:rsidR="001779B2" w:rsidRDefault="00F21BE4">
            <w:pPr>
              <w:pStyle w:val="TableParagraph"/>
              <w:ind w:left="445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29" w:type="dxa"/>
          </w:tcPr>
          <w:p w:rsidR="001779B2" w:rsidRDefault="00F21BE4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9.0%</w:t>
            </w:r>
          </w:p>
        </w:tc>
        <w:tc>
          <w:tcPr>
            <w:tcW w:w="916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8.7%</w:t>
            </w:r>
          </w:p>
        </w:tc>
        <w:tc>
          <w:tcPr>
            <w:tcW w:w="1017" w:type="dxa"/>
          </w:tcPr>
          <w:p w:rsidR="001779B2" w:rsidRDefault="00F21BE4">
            <w:pPr>
              <w:pStyle w:val="TableParagraph"/>
              <w:ind w:left="245" w:right="245"/>
              <w:rPr>
                <w:sz w:val="16"/>
              </w:rPr>
            </w:pPr>
            <w:r>
              <w:rPr>
                <w:sz w:val="16"/>
              </w:rPr>
              <w:t>15.1%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left="72" w:right="72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9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8.4%</w:t>
            </w:r>
          </w:p>
        </w:tc>
      </w:tr>
      <w:tr w:rsidR="001779B2">
        <w:trPr>
          <w:trHeight w:hRule="exact" w:val="304"/>
        </w:trPr>
        <w:tc>
          <w:tcPr>
            <w:tcW w:w="1030" w:type="dxa"/>
          </w:tcPr>
          <w:p w:rsidR="001779B2" w:rsidRDefault="00F21BE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2015</w:t>
            </w:r>
          </w:p>
        </w:tc>
        <w:tc>
          <w:tcPr>
            <w:tcW w:w="954" w:type="dxa"/>
          </w:tcPr>
          <w:p w:rsidR="001779B2" w:rsidRDefault="00F21BE4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48,940</w:t>
            </w:r>
          </w:p>
        </w:tc>
        <w:tc>
          <w:tcPr>
            <w:tcW w:w="905" w:type="dxa"/>
          </w:tcPr>
          <w:p w:rsidR="001779B2" w:rsidRDefault="00F21BE4">
            <w:pPr>
              <w:pStyle w:val="TableParagraph"/>
              <w:ind w:left="189" w:right="189"/>
              <w:rPr>
                <w:sz w:val="16"/>
              </w:rPr>
            </w:pPr>
            <w:r>
              <w:rPr>
                <w:sz w:val="16"/>
              </w:rPr>
              <w:t>59.3%</w:t>
            </w:r>
          </w:p>
        </w:tc>
        <w:tc>
          <w:tcPr>
            <w:tcW w:w="1085" w:type="dxa"/>
          </w:tcPr>
          <w:p w:rsidR="001779B2" w:rsidRDefault="00F21BE4">
            <w:pPr>
              <w:pStyle w:val="TableParagraph"/>
              <w:ind w:left="322" w:right="323"/>
              <w:rPr>
                <w:sz w:val="16"/>
              </w:rPr>
            </w:pPr>
            <w:r>
              <w:rPr>
                <w:sz w:val="16"/>
              </w:rPr>
              <w:t>1.2%</w:t>
            </w:r>
          </w:p>
        </w:tc>
        <w:tc>
          <w:tcPr>
            <w:tcW w:w="964" w:type="dxa"/>
          </w:tcPr>
          <w:p w:rsidR="001779B2" w:rsidRDefault="00F21BE4"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1.0%</w:t>
            </w:r>
          </w:p>
        </w:tc>
        <w:tc>
          <w:tcPr>
            <w:tcW w:w="1290" w:type="dxa"/>
          </w:tcPr>
          <w:p w:rsidR="001779B2" w:rsidRDefault="00F21BE4">
            <w:pPr>
              <w:pStyle w:val="TableParagraph"/>
              <w:ind w:left="445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29" w:type="dxa"/>
          </w:tcPr>
          <w:p w:rsidR="001779B2" w:rsidRDefault="00F21BE4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4.2%</w:t>
            </w:r>
          </w:p>
        </w:tc>
        <w:tc>
          <w:tcPr>
            <w:tcW w:w="916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9.2%</w:t>
            </w:r>
          </w:p>
        </w:tc>
        <w:tc>
          <w:tcPr>
            <w:tcW w:w="1017" w:type="dxa"/>
          </w:tcPr>
          <w:p w:rsidR="001779B2" w:rsidRDefault="00F21BE4">
            <w:pPr>
              <w:pStyle w:val="TableParagraph"/>
              <w:ind w:left="245" w:right="245"/>
              <w:rPr>
                <w:sz w:val="16"/>
              </w:rPr>
            </w:pPr>
            <w:r>
              <w:rPr>
                <w:sz w:val="16"/>
              </w:rPr>
              <w:t>16.4%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left="72" w:right="72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8.7%</w:t>
            </w:r>
          </w:p>
        </w:tc>
      </w:tr>
      <w:tr w:rsidR="001779B2">
        <w:trPr>
          <w:trHeight w:hRule="exact" w:val="304"/>
        </w:trPr>
        <w:tc>
          <w:tcPr>
            <w:tcW w:w="1030" w:type="dxa"/>
          </w:tcPr>
          <w:p w:rsidR="001779B2" w:rsidRDefault="00F21BE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2016</w:t>
            </w:r>
          </w:p>
        </w:tc>
        <w:tc>
          <w:tcPr>
            <w:tcW w:w="954" w:type="dxa"/>
          </w:tcPr>
          <w:p w:rsidR="001779B2" w:rsidRDefault="00F21BE4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48,395</w:t>
            </w:r>
          </w:p>
        </w:tc>
        <w:tc>
          <w:tcPr>
            <w:tcW w:w="905" w:type="dxa"/>
          </w:tcPr>
          <w:p w:rsidR="001779B2" w:rsidRDefault="00F21BE4">
            <w:pPr>
              <w:pStyle w:val="TableParagraph"/>
              <w:ind w:left="189" w:right="189"/>
              <w:rPr>
                <w:sz w:val="16"/>
              </w:rPr>
            </w:pPr>
            <w:r>
              <w:rPr>
                <w:sz w:val="16"/>
              </w:rPr>
              <w:t>57.0%</w:t>
            </w:r>
          </w:p>
        </w:tc>
        <w:tc>
          <w:tcPr>
            <w:tcW w:w="1085" w:type="dxa"/>
          </w:tcPr>
          <w:p w:rsidR="001779B2" w:rsidRDefault="00F21BE4">
            <w:pPr>
              <w:pStyle w:val="TableParagraph"/>
              <w:ind w:left="322" w:right="323"/>
              <w:rPr>
                <w:sz w:val="16"/>
              </w:rPr>
            </w:pPr>
            <w:r>
              <w:rPr>
                <w:sz w:val="16"/>
              </w:rPr>
              <w:t>1.0%</w:t>
            </w:r>
          </w:p>
        </w:tc>
        <w:tc>
          <w:tcPr>
            <w:tcW w:w="964" w:type="dxa"/>
          </w:tcPr>
          <w:p w:rsidR="001779B2" w:rsidRDefault="00F21BE4"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1.0%</w:t>
            </w:r>
          </w:p>
        </w:tc>
        <w:tc>
          <w:tcPr>
            <w:tcW w:w="1290" w:type="dxa"/>
          </w:tcPr>
          <w:p w:rsidR="001779B2" w:rsidRDefault="00F21BE4">
            <w:pPr>
              <w:pStyle w:val="TableParagraph"/>
              <w:ind w:left="445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29" w:type="dxa"/>
          </w:tcPr>
          <w:p w:rsidR="001779B2" w:rsidRDefault="00F21BE4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5.0%</w:t>
            </w:r>
          </w:p>
        </w:tc>
        <w:tc>
          <w:tcPr>
            <w:tcW w:w="916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9.3%</w:t>
            </w:r>
          </w:p>
        </w:tc>
        <w:tc>
          <w:tcPr>
            <w:tcW w:w="1017" w:type="dxa"/>
          </w:tcPr>
          <w:p w:rsidR="001779B2" w:rsidRDefault="00F21BE4">
            <w:pPr>
              <w:pStyle w:val="TableParagraph"/>
              <w:ind w:left="245" w:right="245"/>
              <w:rPr>
                <w:sz w:val="16"/>
              </w:rPr>
            </w:pPr>
            <w:r>
              <w:rPr>
                <w:sz w:val="16"/>
              </w:rPr>
              <w:t>17.0%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left="72" w:right="72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0.3%</w:t>
            </w:r>
          </w:p>
        </w:tc>
        <w:tc>
          <w:tcPr>
            <w:tcW w:w="9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9.4%</w:t>
            </w:r>
          </w:p>
        </w:tc>
      </w:tr>
      <w:tr w:rsidR="001779B2">
        <w:trPr>
          <w:trHeight w:hRule="exact" w:val="304"/>
        </w:trPr>
        <w:tc>
          <w:tcPr>
            <w:tcW w:w="1030" w:type="dxa"/>
          </w:tcPr>
          <w:p w:rsidR="001779B2" w:rsidRDefault="00F21BE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2017</w:t>
            </w:r>
          </w:p>
        </w:tc>
        <w:tc>
          <w:tcPr>
            <w:tcW w:w="954" w:type="dxa"/>
          </w:tcPr>
          <w:p w:rsidR="001779B2" w:rsidRDefault="00F21BE4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47,839</w:t>
            </w:r>
          </w:p>
        </w:tc>
        <w:tc>
          <w:tcPr>
            <w:tcW w:w="905" w:type="dxa"/>
          </w:tcPr>
          <w:p w:rsidR="001779B2" w:rsidRDefault="00F21BE4">
            <w:pPr>
              <w:pStyle w:val="TableParagraph"/>
              <w:ind w:left="189" w:right="189"/>
              <w:rPr>
                <w:sz w:val="16"/>
              </w:rPr>
            </w:pPr>
            <w:r>
              <w:rPr>
                <w:sz w:val="16"/>
              </w:rPr>
              <w:t>53.8%</w:t>
            </w:r>
          </w:p>
        </w:tc>
        <w:tc>
          <w:tcPr>
            <w:tcW w:w="1085" w:type="dxa"/>
          </w:tcPr>
          <w:p w:rsidR="001779B2" w:rsidRDefault="00F21BE4">
            <w:pPr>
              <w:pStyle w:val="TableParagraph"/>
              <w:ind w:left="322" w:right="323"/>
              <w:rPr>
                <w:sz w:val="16"/>
              </w:rPr>
            </w:pPr>
            <w:r>
              <w:rPr>
                <w:sz w:val="16"/>
              </w:rPr>
              <w:t>1.0%</w:t>
            </w:r>
          </w:p>
        </w:tc>
        <w:tc>
          <w:tcPr>
            <w:tcW w:w="964" w:type="dxa"/>
          </w:tcPr>
          <w:p w:rsidR="001779B2" w:rsidRDefault="00F21BE4"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0.9%</w:t>
            </w:r>
          </w:p>
        </w:tc>
        <w:tc>
          <w:tcPr>
            <w:tcW w:w="1290" w:type="dxa"/>
          </w:tcPr>
          <w:p w:rsidR="001779B2" w:rsidRDefault="00F21BE4">
            <w:pPr>
              <w:pStyle w:val="TableParagraph"/>
              <w:ind w:left="445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29" w:type="dxa"/>
          </w:tcPr>
          <w:p w:rsidR="001779B2" w:rsidRDefault="00F21BE4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7.0%</w:t>
            </w:r>
          </w:p>
        </w:tc>
        <w:tc>
          <w:tcPr>
            <w:tcW w:w="916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8.4%</w:t>
            </w:r>
          </w:p>
        </w:tc>
        <w:tc>
          <w:tcPr>
            <w:tcW w:w="1017" w:type="dxa"/>
          </w:tcPr>
          <w:p w:rsidR="001779B2" w:rsidRDefault="00F21BE4">
            <w:pPr>
              <w:pStyle w:val="TableParagraph"/>
              <w:ind w:left="245" w:right="245"/>
              <w:rPr>
                <w:sz w:val="16"/>
              </w:rPr>
            </w:pPr>
            <w:r>
              <w:rPr>
                <w:sz w:val="16"/>
              </w:rPr>
              <w:t>18.1%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left="72" w:right="72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16" w:type="dxa"/>
          </w:tcPr>
          <w:p w:rsidR="001779B2" w:rsidRDefault="00F21BE4"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1.7%</w:t>
            </w:r>
          </w:p>
        </w:tc>
        <w:tc>
          <w:tcPr>
            <w:tcW w:w="934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9.1%</w:t>
            </w:r>
          </w:p>
        </w:tc>
      </w:tr>
    </w:tbl>
    <w:p w:rsidR="001779B2" w:rsidRDefault="00F21BE4">
      <w:pPr>
        <w:pStyle w:val="ListParagraph"/>
        <w:numPr>
          <w:ilvl w:val="0"/>
          <w:numId w:val="2"/>
        </w:numPr>
        <w:tabs>
          <w:tab w:val="left" w:pos="284"/>
        </w:tabs>
        <w:spacing w:before="75"/>
        <w:ind w:hanging="108"/>
        <w:rPr>
          <w:i/>
          <w:sz w:val="16"/>
        </w:rPr>
      </w:pPr>
      <w:r>
        <w:pict>
          <v:group id="_x0000_s1032" style="position:absolute;left:0;text-align:left;margin-left:36pt;margin-top:36pt;width:9in;height:91.5pt;z-index:-44320;mso-position-horizontal-relative:page;mso-position-vertical-relative:page" coordorigin="720,720" coordsize="12960,1830">
            <v:rect id="_x0000_s1034" style="position:absolute;left:788;top:787;width:12825;height:1695" filled="f" strokecolor="navy" strokeweight="2.25pt"/>
            <v:rect id="_x0000_s1033" style="position:absolute;left:743;top:742;width:12915;height:1785" filled="f" strokecolor="green" strokeweight="2.25pt"/>
            <w10:wrap anchorx="page" anchory="page"/>
          </v:group>
        </w:pic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total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admissions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reported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table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vary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total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admissions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persons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who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inject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drugs;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additional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information,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please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refer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appendix.</w:t>
      </w:r>
    </w:p>
    <w:p w:rsidR="001779B2" w:rsidRDefault="00F21BE4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Service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types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classified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into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service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categories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based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setting.</w:t>
      </w:r>
    </w:p>
    <w:p w:rsidR="001779B2" w:rsidRDefault="00F21BE4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Engagement, Assessment and Referral includes opioid urgent care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centers</w:t>
      </w:r>
    </w:p>
    <w:p w:rsidR="001779B2" w:rsidRDefault="00F21BE4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Medication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Assisted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Treatment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includes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three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FDA-approved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treatments: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methadone,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buprenorphine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extended-release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injectable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naltrexone</w:t>
      </w:r>
    </w:p>
    <w:p w:rsidR="001779B2" w:rsidRDefault="00F21BE4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Acute Treatment Services includes acute treatment services and section</w:t>
      </w:r>
      <w:r>
        <w:rPr>
          <w:i/>
          <w:spacing w:val="-31"/>
          <w:sz w:val="16"/>
        </w:rPr>
        <w:t xml:space="preserve"> </w:t>
      </w:r>
      <w:r>
        <w:rPr>
          <w:i/>
          <w:sz w:val="16"/>
        </w:rPr>
        <w:t>35</w:t>
      </w:r>
    </w:p>
    <w:p w:rsidR="001779B2" w:rsidRDefault="001779B2">
      <w:pPr>
        <w:rPr>
          <w:sz w:val="16"/>
        </w:rPr>
        <w:sectPr w:rsidR="001779B2" w:rsidSect="00F21BE4">
          <w:pgSz w:w="14400" w:h="18440"/>
          <w:pgMar w:top="0" w:right="600" w:bottom="920" w:left="620" w:header="0" w:footer="661" w:gutter="0"/>
          <w:pgBorders w:offsetFrom="page">
            <w:bottom w:val="double" w:sz="4" w:space="24" w:color="auto"/>
          </w:pgBorders>
          <w:cols w:space="720"/>
        </w:sectPr>
      </w:pPr>
    </w:p>
    <w:p w:rsidR="001779B2" w:rsidRDefault="00F21BE4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9in;height:91.5pt;mso-position-horizontal-relative:char;mso-position-vertical-relative:line" coordsize="12960,18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40;top:90;width:1619;height:1650">
              <v:imagedata r:id="rId10" o:title=""/>
            </v:shape>
            <v:shape id="_x0000_s1030" type="#_x0000_t75" style="position:absolute;left:10020;top:90;width:2850;height:1650">
              <v:imagedata r:id="rId11" o:title=""/>
            </v:shape>
            <v:rect id="_x0000_s1029" style="position:absolute;left:68;top:68;width:12825;height:1695" filled="f" strokecolor="navy" strokeweight="2.25pt"/>
            <v:rect id="_x0000_s1028" style="position:absolute;left:23;top:23;width:12915;height:1785" filled="f" strokecolor="green" strokeweight="2.25pt"/>
            <v:shape id="_x0000_s1027" type="#_x0000_t202" style="position:absolute;left:45;top:45;width:12870;height:1740" filled="f" stroked="f">
              <v:textbox style="mso-next-textbox:#_x0000_s1027" inset="0,0,0,0">
                <w:txbxContent>
                  <w:p w:rsidR="001779B2" w:rsidRDefault="001779B2">
                    <w:pPr>
                      <w:rPr>
                        <w:i/>
                        <w:sz w:val="36"/>
                      </w:rPr>
                    </w:pPr>
                  </w:p>
                  <w:p w:rsidR="001779B2" w:rsidRDefault="00F21BE4">
                    <w:pPr>
                      <w:ind w:left="4100" w:right="410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Description of Admissions</w:t>
                    </w:r>
                  </w:p>
                  <w:p w:rsidR="001779B2" w:rsidRDefault="00F21BE4">
                    <w:pPr>
                      <w:ind w:left="4100" w:right="410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Fact Sheet - Persons Who Inject Drugs FY 2017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779B2" w:rsidRDefault="001779B2">
      <w:pPr>
        <w:pStyle w:val="BodyText"/>
        <w:spacing w:before="5"/>
        <w:rPr>
          <w:i/>
          <w:sz w:val="12"/>
        </w:rPr>
      </w:pPr>
    </w:p>
    <w:p w:rsidR="001779B2" w:rsidRDefault="001779B2">
      <w:pPr>
        <w:rPr>
          <w:sz w:val="12"/>
        </w:rPr>
        <w:sectPr w:rsidR="001779B2" w:rsidSect="00F21BE4">
          <w:headerReference w:type="default" r:id="rId12"/>
          <w:footerReference w:type="default" r:id="rId13"/>
          <w:pgSz w:w="14400" w:h="18440"/>
          <w:pgMar w:top="720" w:right="600" w:bottom="920" w:left="620" w:header="0" w:footer="721" w:gutter="0"/>
          <w:pgBorders w:offsetFrom="page">
            <w:bottom w:val="double" w:sz="4" w:space="24" w:color="auto"/>
          </w:pgBorders>
          <w:pgNumType w:start="5"/>
          <w:cols w:space="720"/>
        </w:sectPr>
      </w:pPr>
    </w:p>
    <w:p w:rsidR="001779B2" w:rsidRDefault="001779B2">
      <w:pPr>
        <w:pStyle w:val="BodyText"/>
        <w:rPr>
          <w:i/>
          <w:sz w:val="24"/>
        </w:rPr>
      </w:pPr>
    </w:p>
    <w:p w:rsidR="001779B2" w:rsidRDefault="001779B2">
      <w:pPr>
        <w:pStyle w:val="BodyText"/>
        <w:spacing w:before="11"/>
        <w:rPr>
          <w:i/>
          <w:sz w:val="30"/>
        </w:rPr>
      </w:pPr>
    </w:p>
    <w:p w:rsidR="001779B2" w:rsidRDefault="00F21BE4">
      <w:pPr>
        <w:pStyle w:val="Heading1"/>
      </w:pPr>
      <w:r>
        <w:rPr>
          <w:u w:val="single"/>
        </w:rPr>
        <w:t>General Notes</w:t>
      </w:r>
    </w:p>
    <w:p w:rsidR="001779B2" w:rsidRDefault="00F21BE4">
      <w:pPr>
        <w:spacing w:before="100"/>
        <w:ind w:left="17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Appendix</w:t>
      </w:r>
    </w:p>
    <w:p w:rsidR="001779B2" w:rsidRDefault="001779B2">
      <w:pPr>
        <w:rPr>
          <w:sz w:val="28"/>
        </w:rPr>
        <w:sectPr w:rsidR="001779B2" w:rsidSect="00F21BE4">
          <w:type w:val="continuous"/>
          <w:pgSz w:w="14400" w:h="18440"/>
          <w:pgMar w:top="0" w:right="600" w:bottom="860" w:left="620" w:header="720" w:footer="720" w:gutter="0"/>
          <w:pgBorders w:offsetFrom="page">
            <w:bottom w:val="double" w:sz="4" w:space="24" w:color="auto"/>
          </w:pgBorders>
          <w:cols w:num="2" w:space="720" w:equalWidth="0">
            <w:col w:w="1599" w:space="4146"/>
            <w:col w:w="7435"/>
          </w:cols>
        </w:sectPr>
      </w:pPr>
    </w:p>
    <w:p w:rsidR="001779B2" w:rsidRDefault="00F21BE4">
      <w:pPr>
        <w:pStyle w:val="ListParagraph"/>
        <w:numPr>
          <w:ilvl w:val="0"/>
          <w:numId w:val="1"/>
        </w:numPr>
        <w:tabs>
          <w:tab w:val="left" w:pos="297"/>
        </w:tabs>
        <w:spacing w:before="150"/>
        <w:ind w:firstLine="0"/>
        <w:rPr>
          <w:sz w:val="18"/>
        </w:rPr>
      </w:pPr>
      <w:r>
        <w:rPr>
          <w:sz w:val="18"/>
        </w:rPr>
        <w:lastRenderedPageBreak/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protect</w:t>
      </w:r>
      <w:r>
        <w:rPr>
          <w:spacing w:val="-5"/>
          <w:sz w:val="18"/>
        </w:rPr>
        <w:t xml:space="preserve"> </w:t>
      </w:r>
      <w:r>
        <w:rPr>
          <w:sz w:val="18"/>
        </w:rPr>
        <w:t>client</w:t>
      </w:r>
      <w:r>
        <w:rPr>
          <w:spacing w:val="-4"/>
          <w:sz w:val="18"/>
        </w:rPr>
        <w:t xml:space="preserve"> </w:t>
      </w:r>
      <w:r>
        <w:rPr>
          <w:sz w:val="18"/>
        </w:rPr>
        <w:t>confidentiality,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cells</w:t>
      </w:r>
      <w:r>
        <w:rPr>
          <w:spacing w:val="-4"/>
          <w:sz w:val="18"/>
        </w:rPr>
        <w:t xml:space="preserve"> </w:t>
      </w:r>
      <w:r>
        <w:rPr>
          <w:sz w:val="18"/>
        </w:rPr>
        <w:t>containing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fewer</w:t>
      </w:r>
      <w:r>
        <w:rPr>
          <w:spacing w:val="-4"/>
          <w:sz w:val="18"/>
        </w:rPr>
        <w:t xml:space="preserve"> </w:t>
      </w:r>
      <w:r>
        <w:rPr>
          <w:sz w:val="18"/>
        </w:rPr>
        <w:t>counts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suppressed.</w:t>
      </w:r>
    </w:p>
    <w:p w:rsidR="001779B2" w:rsidRDefault="00F21BE4">
      <w:pPr>
        <w:pStyle w:val="ListParagraph"/>
        <w:numPr>
          <w:ilvl w:val="0"/>
          <w:numId w:val="1"/>
        </w:numPr>
        <w:tabs>
          <w:tab w:val="left" w:pos="297"/>
        </w:tabs>
        <w:ind w:left="296" w:hanging="121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includes</w:t>
      </w:r>
      <w:r>
        <w:rPr>
          <w:spacing w:val="-4"/>
          <w:sz w:val="18"/>
        </w:rPr>
        <w:t xml:space="preserve"> </w:t>
      </w:r>
      <w:r>
        <w:rPr>
          <w:sz w:val="18"/>
        </w:rPr>
        <w:t>primary</w:t>
      </w:r>
      <w:r>
        <w:rPr>
          <w:spacing w:val="-4"/>
          <w:sz w:val="18"/>
        </w:rPr>
        <w:t xml:space="preserve"> </w:t>
      </w:r>
      <w:r>
        <w:rPr>
          <w:sz w:val="18"/>
        </w:rPr>
        <w:t>clients</w:t>
      </w:r>
      <w:r>
        <w:rPr>
          <w:spacing w:val="-3"/>
          <w:sz w:val="18"/>
        </w:rPr>
        <w:t xml:space="preserve"> </w:t>
      </w:r>
      <w:r>
        <w:rPr>
          <w:sz w:val="18"/>
        </w:rPr>
        <w:t>only;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primary</w:t>
      </w:r>
      <w:r>
        <w:rPr>
          <w:spacing w:val="-4"/>
          <w:sz w:val="18"/>
        </w:rPr>
        <w:t xml:space="preserve"> </w:t>
      </w:r>
      <w:r>
        <w:rPr>
          <w:sz w:val="18"/>
        </w:rPr>
        <w:t>client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defined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person</w:t>
      </w:r>
      <w:r>
        <w:rPr>
          <w:spacing w:val="-4"/>
          <w:sz w:val="18"/>
        </w:rPr>
        <w:t xml:space="preserve"> </w:t>
      </w:r>
      <w:r>
        <w:rPr>
          <w:sz w:val="18"/>
        </w:rPr>
        <w:t>seeking</w:t>
      </w:r>
      <w:r>
        <w:rPr>
          <w:spacing w:val="-3"/>
          <w:sz w:val="18"/>
        </w:rPr>
        <w:t xml:space="preserve"> </w:t>
      </w:r>
      <w:r>
        <w:rPr>
          <w:sz w:val="18"/>
        </w:rPr>
        <w:t>treatment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substance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problem(s).</w:t>
      </w:r>
    </w:p>
    <w:p w:rsidR="001779B2" w:rsidRDefault="00F21BE4">
      <w:pPr>
        <w:pStyle w:val="ListParagraph"/>
        <w:numPr>
          <w:ilvl w:val="0"/>
          <w:numId w:val="1"/>
        </w:numPr>
        <w:tabs>
          <w:tab w:val="left" w:pos="297"/>
        </w:tabs>
        <w:ind w:right="382" w:firstLine="0"/>
        <w:rPr>
          <w:sz w:val="18"/>
        </w:rPr>
      </w:pPr>
      <w:r>
        <w:rPr>
          <w:sz w:val="18"/>
        </w:rPr>
        <w:t>Missing/unknown/not applicable responses are excluded from the data. Therefore, the number of admissions for each category/table may vary from the total number of</w:t>
      </w:r>
      <w:r>
        <w:rPr>
          <w:spacing w:val="-1"/>
          <w:sz w:val="18"/>
        </w:rPr>
        <w:t xml:space="preserve"> </w:t>
      </w:r>
      <w:r>
        <w:rPr>
          <w:sz w:val="18"/>
        </w:rPr>
        <w:t>admissions.</w:t>
      </w:r>
    </w:p>
    <w:p w:rsidR="001779B2" w:rsidRDefault="00F21BE4">
      <w:pPr>
        <w:pStyle w:val="ListParagraph"/>
        <w:numPr>
          <w:ilvl w:val="0"/>
          <w:numId w:val="1"/>
        </w:numPr>
        <w:tabs>
          <w:tab w:val="left" w:pos="297"/>
        </w:tabs>
        <w:ind w:right="214" w:firstLine="0"/>
        <w:rPr>
          <w:sz w:val="18"/>
        </w:rPr>
      </w:pPr>
      <w:r>
        <w:rPr>
          <w:sz w:val="18"/>
        </w:rPr>
        <w:t>In 2014, a new system of reporting was adopted by some Methadone treatment provid</w:t>
      </w:r>
      <w:r>
        <w:rPr>
          <w:sz w:val="18"/>
        </w:rPr>
        <w:t>ers. Due to this system change, the reported enrollment numbers for FY 2014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higher</w:t>
      </w:r>
      <w:r>
        <w:rPr>
          <w:spacing w:val="-3"/>
          <w:sz w:val="18"/>
        </w:rPr>
        <w:t xml:space="preserve"> </w:t>
      </w:r>
      <w:r>
        <w:rPr>
          <w:sz w:val="18"/>
        </w:rPr>
        <w:t>than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actual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enrollments.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2"/>
          <w:sz w:val="18"/>
        </w:rPr>
        <w:t xml:space="preserve"> </w:t>
      </w:r>
      <w:r>
        <w:rPr>
          <w:sz w:val="18"/>
        </w:rPr>
        <w:t>influences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assessment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captured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trend</w:t>
      </w:r>
      <w:r>
        <w:rPr>
          <w:spacing w:val="-2"/>
          <w:sz w:val="18"/>
        </w:rPr>
        <w:t xml:space="preserve"> </w:t>
      </w:r>
      <w:r>
        <w:rPr>
          <w:sz w:val="18"/>
        </w:rPr>
        <w:t>tables</w:t>
      </w:r>
      <w:r>
        <w:rPr>
          <w:spacing w:val="-2"/>
          <w:sz w:val="18"/>
        </w:rPr>
        <w:t xml:space="preserve"> </w:t>
      </w:r>
      <w:r>
        <w:rPr>
          <w:sz w:val="18"/>
        </w:rPr>
        <w:t>starting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2014</w:t>
      </w:r>
      <w:r>
        <w:rPr>
          <w:spacing w:val="-2"/>
          <w:sz w:val="18"/>
        </w:rPr>
        <w:t xml:space="preserve"> </w:t>
      </w:r>
      <w:r>
        <w:rPr>
          <w:sz w:val="18"/>
        </w:rPr>
        <w:t>onward.</w:t>
      </w:r>
    </w:p>
    <w:p w:rsidR="001779B2" w:rsidRDefault="00F21BE4">
      <w:pPr>
        <w:pStyle w:val="ListParagraph"/>
        <w:numPr>
          <w:ilvl w:val="0"/>
          <w:numId w:val="1"/>
        </w:numPr>
        <w:tabs>
          <w:tab w:val="left" w:pos="297"/>
        </w:tabs>
        <w:ind w:left="296" w:hanging="121"/>
        <w:rPr>
          <w:sz w:val="18"/>
        </w:rPr>
      </w:pPr>
      <w:r>
        <w:rPr>
          <w:sz w:val="18"/>
        </w:rPr>
        <w:t>Homelessness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enrollment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determined</w:t>
      </w:r>
      <w:r>
        <w:rPr>
          <w:spacing w:val="-4"/>
          <w:sz w:val="18"/>
        </w:rPr>
        <w:t xml:space="preserve"> </w:t>
      </w:r>
      <w:r>
        <w:rPr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client's</w:t>
      </w:r>
      <w:r>
        <w:rPr>
          <w:spacing w:val="-3"/>
          <w:sz w:val="18"/>
        </w:rPr>
        <w:t xml:space="preserve"> </w:t>
      </w:r>
      <w:r>
        <w:rPr>
          <w:sz w:val="18"/>
        </w:rPr>
        <w:t>housing</w:t>
      </w:r>
      <w:r>
        <w:rPr>
          <w:spacing w:val="-4"/>
          <w:sz w:val="18"/>
        </w:rPr>
        <w:t xml:space="preserve"> </w:t>
      </w:r>
      <w:r>
        <w:rPr>
          <w:sz w:val="18"/>
        </w:rPr>
        <w:t>disposition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enrollment.</w:t>
      </w:r>
    </w:p>
    <w:p w:rsidR="001779B2" w:rsidRDefault="00F21BE4">
      <w:pPr>
        <w:pStyle w:val="ListParagraph"/>
        <w:numPr>
          <w:ilvl w:val="0"/>
          <w:numId w:val="1"/>
        </w:numPr>
        <w:tabs>
          <w:tab w:val="left" w:pos="297"/>
        </w:tabs>
        <w:spacing w:line="213" w:lineRule="exact"/>
        <w:ind w:left="296" w:hanging="121"/>
        <w:rPr>
          <w:sz w:val="18"/>
        </w:rPr>
      </w:pPr>
      <w:r>
        <w:rPr>
          <w:sz w:val="18"/>
        </w:rPr>
        <w:t>Due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updates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changes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definitions,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included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fact</w:t>
      </w:r>
      <w:r>
        <w:rPr>
          <w:spacing w:val="-2"/>
          <w:sz w:val="18"/>
        </w:rPr>
        <w:t xml:space="preserve"> </w:t>
      </w:r>
      <w:r>
        <w:rPr>
          <w:sz w:val="18"/>
        </w:rPr>
        <w:t>sheet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should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compared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similar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published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prior</w:t>
      </w:r>
      <w:r>
        <w:rPr>
          <w:spacing w:val="-3"/>
          <w:sz w:val="18"/>
        </w:rPr>
        <w:t xml:space="preserve"> </w:t>
      </w:r>
      <w:r>
        <w:rPr>
          <w:sz w:val="18"/>
        </w:rPr>
        <w:t>years.</w:t>
      </w:r>
    </w:p>
    <w:p w:rsidR="001779B2" w:rsidRDefault="00F21BE4">
      <w:pPr>
        <w:pStyle w:val="ListParagraph"/>
        <w:numPr>
          <w:ilvl w:val="0"/>
          <w:numId w:val="1"/>
        </w:numPr>
        <w:tabs>
          <w:tab w:val="left" w:pos="297"/>
        </w:tabs>
        <w:spacing w:line="219" w:lineRule="exact"/>
        <w:ind w:left="296" w:hanging="121"/>
        <w:rPr>
          <w:sz w:val="16"/>
        </w:rPr>
      </w:pP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definitions</w:t>
      </w:r>
      <w:r>
        <w:rPr>
          <w:spacing w:val="-9"/>
          <w:sz w:val="18"/>
        </w:rPr>
        <w:t xml:space="preserve"> </w:t>
      </w:r>
      <w:r>
        <w:rPr>
          <w:sz w:val="18"/>
        </w:rPr>
        <w:t>used</w:t>
      </w:r>
      <w:r>
        <w:rPr>
          <w:spacing w:val="-9"/>
          <w:sz w:val="18"/>
        </w:rPr>
        <w:t xml:space="preserve"> </w:t>
      </w:r>
      <w:r>
        <w:rPr>
          <w:sz w:val="18"/>
        </w:rPr>
        <w:t>were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i/>
          <w:sz w:val="19"/>
        </w:rPr>
        <w:t>August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10,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2018</w:t>
      </w:r>
      <w:r>
        <w:rPr>
          <w:sz w:val="16"/>
        </w:rPr>
        <w:t>.</w:t>
      </w:r>
    </w:p>
    <w:p w:rsidR="001779B2" w:rsidRDefault="00F21BE4">
      <w:pPr>
        <w:pStyle w:val="ListParagraph"/>
        <w:numPr>
          <w:ilvl w:val="0"/>
          <w:numId w:val="1"/>
        </w:numPr>
        <w:tabs>
          <w:tab w:val="left" w:pos="297"/>
        </w:tabs>
        <w:spacing w:line="224" w:lineRule="exact"/>
        <w:ind w:left="296" w:hanging="121"/>
        <w:rPr>
          <w:sz w:val="16"/>
        </w:rPr>
      </w:pPr>
      <w:r>
        <w:rPr>
          <w:sz w:val="18"/>
        </w:rPr>
        <w:t>Prepared</w:t>
      </w:r>
      <w:r>
        <w:rPr>
          <w:spacing w:val="-8"/>
          <w:sz w:val="18"/>
        </w:rPr>
        <w:t xml:space="preserve"> </w:t>
      </w:r>
      <w:r>
        <w:rPr>
          <w:sz w:val="18"/>
        </w:rPr>
        <w:t>by:</w:t>
      </w:r>
      <w:r>
        <w:rPr>
          <w:spacing w:val="-8"/>
          <w:sz w:val="18"/>
        </w:rPr>
        <w:t xml:space="preserve"> </w:t>
      </w:r>
      <w:r>
        <w:rPr>
          <w:sz w:val="18"/>
        </w:rPr>
        <w:t>Massachusetts</w:t>
      </w:r>
      <w:r>
        <w:rPr>
          <w:spacing w:val="-10"/>
          <w:sz w:val="18"/>
        </w:rPr>
        <w:t xml:space="preserve"> </w:t>
      </w:r>
      <w:r>
        <w:rPr>
          <w:sz w:val="18"/>
        </w:rPr>
        <w:t>Department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Public</w:t>
      </w:r>
      <w:r>
        <w:rPr>
          <w:spacing w:val="-8"/>
          <w:sz w:val="18"/>
        </w:rPr>
        <w:t xml:space="preserve"> </w:t>
      </w:r>
      <w:r>
        <w:rPr>
          <w:sz w:val="18"/>
        </w:rPr>
        <w:t>Health,</w:t>
      </w:r>
      <w:r>
        <w:rPr>
          <w:spacing w:val="-8"/>
          <w:sz w:val="18"/>
        </w:rPr>
        <w:t xml:space="preserve"> </w:t>
      </w:r>
      <w:r>
        <w:rPr>
          <w:sz w:val="18"/>
        </w:rPr>
        <w:t>Bureau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Substance</w:t>
      </w:r>
      <w:r>
        <w:rPr>
          <w:spacing w:val="-8"/>
          <w:sz w:val="18"/>
        </w:rPr>
        <w:t xml:space="preserve"> </w:t>
      </w:r>
      <w:r>
        <w:rPr>
          <w:sz w:val="18"/>
        </w:rPr>
        <w:t>Addiction</w:t>
      </w:r>
      <w:r>
        <w:rPr>
          <w:spacing w:val="-9"/>
          <w:sz w:val="18"/>
        </w:rPr>
        <w:t xml:space="preserve"> </w:t>
      </w:r>
      <w:r>
        <w:rPr>
          <w:sz w:val="18"/>
        </w:rPr>
        <w:t>Services,</w:t>
      </w:r>
      <w:r>
        <w:rPr>
          <w:spacing w:val="-8"/>
          <w:sz w:val="18"/>
        </w:rPr>
        <w:t xml:space="preserve"> </w:t>
      </w:r>
      <w:r>
        <w:rPr>
          <w:sz w:val="18"/>
        </w:rPr>
        <w:t>Office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Statistics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Evaluation</w:t>
      </w:r>
      <w:r>
        <w:rPr>
          <w:spacing w:val="-8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i/>
          <w:sz w:val="19"/>
        </w:rPr>
        <w:t>September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6,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2018</w:t>
      </w:r>
      <w:r>
        <w:rPr>
          <w:sz w:val="16"/>
        </w:rPr>
        <w:t>.</w:t>
      </w:r>
    </w:p>
    <w:p w:rsidR="001779B2" w:rsidRDefault="001779B2">
      <w:pPr>
        <w:pStyle w:val="BodyText"/>
        <w:spacing w:before="8"/>
        <w:rPr>
          <w:sz w:val="24"/>
        </w:rPr>
      </w:pPr>
    </w:p>
    <w:p w:rsidR="001779B2" w:rsidRDefault="00F21BE4">
      <w:pPr>
        <w:pStyle w:val="Heading1"/>
      </w:pPr>
      <w:bookmarkStart w:id="1" w:name="_bookmark0"/>
      <w:bookmarkEnd w:id="1"/>
      <w:r>
        <w:rPr>
          <w:u w:val="single"/>
        </w:rPr>
        <w:t>Not Applicable Values</w:t>
      </w:r>
    </w:p>
    <w:p w:rsidR="001779B2" w:rsidRDefault="00F21BE4">
      <w:pPr>
        <w:pStyle w:val="BodyText"/>
        <w:spacing w:before="150"/>
        <w:ind w:left="175" w:right="477"/>
      </w:pPr>
      <w:r>
        <w:t>The table below shows values that reflect a valid respo</w:t>
      </w:r>
      <w:r>
        <w:t>nse for the element, but were excluded from the percent calculations. Specifically, in the calculation of the % employed, we exclude clients who are not in the labor force and clients who reported an employment status of other.</w:t>
      </w:r>
    </w:p>
    <w:p w:rsidR="001779B2" w:rsidRDefault="001779B2">
      <w:pPr>
        <w:pStyle w:val="BodyText"/>
        <w:spacing w:before="6"/>
        <w:rPr>
          <w:sz w:val="19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1499"/>
        <w:gridCol w:w="1978"/>
      </w:tblGrid>
      <w:tr w:rsidR="001779B2" w:rsidTr="00F21BE4">
        <w:trPr>
          <w:trHeight w:hRule="exact" w:val="304"/>
        </w:trPr>
        <w:tc>
          <w:tcPr>
            <w:tcW w:w="1048" w:type="dxa"/>
          </w:tcPr>
          <w:p w:rsidR="001779B2" w:rsidRDefault="00F21BE4">
            <w:pPr>
              <w:pStyle w:val="TableParagraph"/>
              <w:ind w:left="64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1499" w:type="dxa"/>
          </w:tcPr>
          <w:p w:rsidR="001779B2" w:rsidRDefault="00F21BE4">
            <w:pPr>
              <w:pStyle w:val="TableParagraph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Response</w:t>
            </w:r>
          </w:p>
        </w:tc>
        <w:tc>
          <w:tcPr>
            <w:tcW w:w="1978" w:type="dxa"/>
          </w:tcPr>
          <w:p w:rsidR="001779B2" w:rsidRDefault="00F21BE4">
            <w:pPr>
              <w:pStyle w:val="TableParagraph"/>
              <w:ind w:left="55"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% of Total Admissions</w:t>
            </w:r>
          </w:p>
        </w:tc>
      </w:tr>
      <w:tr w:rsidR="001779B2" w:rsidTr="00F21BE4">
        <w:trPr>
          <w:trHeight w:hRule="exact" w:val="304"/>
        </w:trPr>
        <w:tc>
          <w:tcPr>
            <w:tcW w:w="1048" w:type="dxa"/>
          </w:tcPr>
          <w:p w:rsidR="001779B2" w:rsidRDefault="00F21BE4">
            <w:pPr>
              <w:pStyle w:val="TableParagraph"/>
              <w:ind w:left="64" w:right="56"/>
              <w:rPr>
                <w:sz w:val="16"/>
              </w:rPr>
            </w:pPr>
            <w:r>
              <w:rPr>
                <w:sz w:val="16"/>
              </w:rPr>
              <w:t>Employment</w:t>
            </w:r>
          </w:p>
        </w:tc>
        <w:tc>
          <w:tcPr>
            <w:tcW w:w="1499" w:type="dxa"/>
          </w:tcPr>
          <w:p w:rsidR="001779B2" w:rsidRDefault="00F21BE4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Not In Labor Force</w:t>
            </w:r>
          </w:p>
        </w:tc>
        <w:tc>
          <w:tcPr>
            <w:tcW w:w="1978" w:type="dxa"/>
          </w:tcPr>
          <w:p w:rsidR="001779B2" w:rsidRDefault="00F21BE4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59.3%</w:t>
            </w:r>
          </w:p>
        </w:tc>
      </w:tr>
      <w:tr w:rsidR="001779B2" w:rsidTr="00F21BE4">
        <w:trPr>
          <w:trHeight w:hRule="exact" w:val="304"/>
        </w:trPr>
        <w:tc>
          <w:tcPr>
            <w:tcW w:w="1048" w:type="dxa"/>
          </w:tcPr>
          <w:p w:rsidR="001779B2" w:rsidRDefault="001779B2"/>
        </w:tc>
        <w:tc>
          <w:tcPr>
            <w:tcW w:w="1499" w:type="dxa"/>
          </w:tcPr>
          <w:p w:rsidR="001779B2" w:rsidRDefault="00F21BE4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978" w:type="dxa"/>
          </w:tcPr>
          <w:p w:rsidR="001779B2" w:rsidRDefault="00F21BE4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0.3%</w:t>
            </w:r>
          </w:p>
        </w:tc>
      </w:tr>
    </w:tbl>
    <w:p w:rsidR="00000000" w:rsidRDefault="00F21BE4"/>
    <w:sectPr w:rsidR="00000000" w:rsidSect="00F21BE4">
      <w:type w:val="continuous"/>
      <w:pgSz w:w="14400" w:h="18440"/>
      <w:pgMar w:top="0" w:right="600" w:bottom="860" w:left="620" w:header="720" w:footer="720" w:gutter="0"/>
      <w:pgBorders w:offsetFrom="page">
        <w:bottom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1BE4">
      <w:r>
        <w:separator/>
      </w:r>
    </w:p>
  </w:endnote>
  <w:endnote w:type="continuationSeparator" w:id="0">
    <w:p w:rsidR="00000000" w:rsidRDefault="00F2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B2" w:rsidRDefault="00F21BE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874.55pt;width:74.95pt;height:12.15pt;z-index:-44392;mso-position-horizontal-relative:page;mso-position-vertical-relative:page" filled="f" stroked="f">
          <v:textbox style="mso-next-textbox:#_x0000_s2054" inset="0,0,0,0">
            <w:txbxContent>
              <w:p w:rsidR="001779B2" w:rsidRDefault="00F21BE4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Run on: Sep 6, 2018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69.1pt;margin-top:874.55pt;width:139.2pt;height:12.15pt;z-index:-44368;mso-position-horizontal-relative:page;mso-position-vertical-relative:page" filled="f" stroked="f">
          <v:textbox style="mso-next-textbox:#_x0000_s2053" inset="0,0,0,0">
            <w:txbxContent>
              <w:p w:rsidR="001779B2" w:rsidRDefault="00F21BE4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Fact Sheet - Persons Who Inject Drugs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42.6pt;margin-top:874.55pt;width:42.4pt;height:12.15pt;z-index:-44344;mso-position-horizontal-relative:page;mso-position-vertical-relative:page" filled="f" stroked="f">
          <v:textbox style="mso-next-textbox:#_x0000_s2052" inset="0,0,0,0">
            <w:txbxContent>
              <w:p w:rsidR="001779B2" w:rsidRDefault="00F21BE4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i/>
                    <w:sz w:val="16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B2" w:rsidRDefault="00F21BE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874.55pt;width:74.95pt;height:12.15pt;z-index:-44320;mso-position-horizontal-relative:page;mso-position-vertical-relative:page" filled="f" stroked="f">
          <v:textbox style="mso-next-textbox:#_x0000_s2051" inset="0,0,0,0">
            <w:txbxContent>
              <w:p w:rsidR="001779B2" w:rsidRDefault="00F21BE4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Run on: Sep 6, 2018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69.1pt;margin-top:874.55pt;width:139.2pt;height:12.15pt;z-index:-44296;mso-position-horizontal-relative:page;mso-position-vertical-relative:page" filled="f" stroked="f">
          <v:textbox style="mso-next-textbox:#_x0000_s2050" inset="0,0,0,0">
            <w:txbxContent>
              <w:p w:rsidR="001779B2" w:rsidRDefault="00F21BE4">
                <w:pPr>
                  <w:spacing w:before="27"/>
                  <w:ind w:left="20"/>
                  <w:rPr>
                    <w:sz w:val="16"/>
                  </w:rPr>
                </w:pPr>
                <w:r>
                  <w:rPr>
                    <w:i/>
                    <w:sz w:val="16"/>
                  </w:rPr>
                  <w:t xml:space="preserve">Fact Sheet - </w:t>
                </w:r>
                <w:r>
                  <w:rPr>
                    <w:sz w:val="16"/>
                  </w:rPr>
                  <w:t>Persons Who Inject Drugs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42.6pt;margin-top:874.55pt;width:42.4pt;height:12.15pt;z-index:-44272;mso-position-horizontal-relative:page;mso-position-vertical-relative:page" filled="f" stroked="f">
          <v:textbox style="mso-next-textbox:#_x0000_s2049" inset="0,0,0,0">
            <w:txbxContent>
              <w:p w:rsidR="001779B2" w:rsidRDefault="00F21BE4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i/>
                    <w:sz w:val="16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1BE4">
      <w:r>
        <w:separator/>
      </w:r>
    </w:p>
  </w:footnote>
  <w:footnote w:type="continuationSeparator" w:id="0">
    <w:p w:rsidR="00000000" w:rsidRDefault="00F2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B2" w:rsidRDefault="00F21BE4">
    <w:pPr>
      <w:pStyle w:val="BodyText"/>
      <w:spacing w:line="14" w:lineRule="auto"/>
      <w:rPr>
        <w:sz w:val="2"/>
      </w:rPr>
    </w:pPr>
    <w:r>
      <w:pict>
        <v:group id="_x0000_s2055" style="position:absolute;margin-left:36pt;margin-top:36pt;width:9in;height:91.5pt;z-index:-44416;mso-position-horizontal-relative:page;mso-position-vertical-relative:page" coordorigin="720,720" coordsize="12960,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960;top:810;width:1619;height:1650">
            <v:imagedata r:id="rId1" o:title=""/>
          </v:shape>
          <v:shape id="_x0000_s2058" type="#_x0000_t75" style="position:absolute;left:10740;top:810;width:2850;height:1650">
            <v:imagedata r:id="rId2" o:title=""/>
          </v:shape>
          <v:rect id="_x0000_s2057" style="position:absolute;left:788;top:787;width:12825;height:1695" filled="f" strokecolor="navy" strokeweight="2.25pt"/>
          <v:rect id="_x0000_s2056" style="position:absolute;left:743;top:742;width:12915;height:1785" filled="f" strokecolor="green" strokeweight="2.25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B2" w:rsidRDefault="001779B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CE2"/>
    <w:multiLevelType w:val="hybridMultilevel"/>
    <w:tmpl w:val="2C481388"/>
    <w:lvl w:ilvl="0" w:tplc="CFBAC8D6">
      <w:numFmt w:val="bullet"/>
      <w:lvlText w:val="-"/>
      <w:lvlJc w:val="left"/>
      <w:pPr>
        <w:ind w:left="125" w:hanging="136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3F0CF8DC">
      <w:numFmt w:val="bullet"/>
      <w:lvlText w:val="•"/>
      <w:lvlJc w:val="left"/>
      <w:pPr>
        <w:ind w:left="1387" w:hanging="136"/>
      </w:pPr>
      <w:rPr>
        <w:rFonts w:hint="default"/>
      </w:rPr>
    </w:lvl>
    <w:lvl w:ilvl="2" w:tplc="BBD8F21C">
      <w:numFmt w:val="bullet"/>
      <w:lvlText w:val="•"/>
      <w:lvlJc w:val="left"/>
      <w:pPr>
        <w:ind w:left="2654" w:hanging="136"/>
      </w:pPr>
      <w:rPr>
        <w:rFonts w:hint="default"/>
      </w:rPr>
    </w:lvl>
    <w:lvl w:ilvl="3" w:tplc="D02A7E88">
      <w:numFmt w:val="bullet"/>
      <w:lvlText w:val="•"/>
      <w:lvlJc w:val="left"/>
      <w:pPr>
        <w:ind w:left="3921" w:hanging="136"/>
      </w:pPr>
      <w:rPr>
        <w:rFonts w:hint="default"/>
      </w:rPr>
    </w:lvl>
    <w:lvl w:ilvl="4" w:tplc="9E34E1A6">
      <w:numFmt w:val="bullet"/>
      <w:lvlText w:val="•"/>
      <w:lvlJc w:val="left"/>
      <w:pPr>
        <w:ind w:left="5188" w:hanging="136"/>
      </w:pPr>
      <w:rPr>
        <w:rFonts w:hint="default"/>
      </w:rPr>
    </w:lvl>
    <w:lvl w:ilvl="5" w:tplc="20FE3266">
      <w:numFmt w:val="bullet"/>
      <w:lvlText w:val="•"/>
      <w:lvlJc w:val="left"/>
      <w:pPr>
        <w:ind w:left="6455" w:hanging="136"/>
      </w:pPr>
      <w:rPr>
        <w:rFonts w:hint="default"/>
      </w:rPr>
    </w:lvl>
    <w:lvl w:ilvl="6" w:tplc="EF96EC8A">
      <w:numFmt w:val="bullet"/>
      <w:lvlText w:val="•"/>
      <w:lvlJc w:val="left"/>
      <w:pPr>
        <w:ind w:left="7722" w:hanging="136"/>
      </w:pPr>
      <w:rPr>
        <w:rFonts w:hint="default"/>
      </w:rPr>
    </w:lvl>
    <w:lvl w:ilvl="7" w:tplc="EF309DA6">
      <w:numFmt w:val="bullet"/>
      <w:lvlText w:val="•"/>
      <w:lvlJc w:val="left"/>
      <w:pPr>
        <w:ind w:left="8989" w:hanging="136"/>
      </w:pPr>
      <w:rPr>
        <w:rFonts w:hint="default"/>
      </w:rPr>
    </w:lvl>
    <w:lvl w:ilvl="8" w:tplc="5704C1AA">
      <w:numFmt w:val="bullet"/>
      <w:lvlText w:val="•"/>
      <w:lvlJc w:val="left"/>
      <w:pPr>
        <w:ind w:left="10256" w:hanging="136"/>
      </w:pPr>
      <w:rPr>
        <w:rFonts w:hint="default"/>
      </w:rPr>
    </w:lvl>
  </w:abstractNum>
  <w:abstractNum w:abstractNumId="1">
    <w:nsid w:val="201864E3"/>
    <w:multiLevelType w:val="hybridMultilevel"/>
    <w:tmpl w:val="2D28CEC0"/>
    <w:lvl w:ilvl="0" w:tplc="1422D1CE">
      <w:numFmt w:val="bullet"/>
      <w:lvlText w:val="-"/>
      <w:lvlJc w:val="left"/>
      <w:pPr>
        <w:ind w:left="283" w:hanging="109"/>
      </w:pPr>
      <w:rPr>
        <w:rFonts w:ascii="Tahoma" w:eastAsia="Tahoma" w:hAnsi="Tahoma" w:cs="Tahoma" w:hint="default"/>
        <w:i/>
        <w:spacing w:val="-2"/>
        <w:w w:val="100"/>
        <w:sz w:val="16"/>
        <w:szCs w:val="16"/>
      </w:rPr>
    </w:lvl>
    <w:lvl w:ilvl="1" w:tplc="42A4F852">
      <w:numFmt w:val="bullet"/>
      <w:lvlText w:val="•"/>
      <w:lvlJc w:val="left"/>
      <w:pPr>
        <w:ind w:left="1570" w:hanging="109"/>
      </w:pPr>
      <w:rPr>
        <w:rFonts w:hint="default"/>
      </w:rPr>
    </w:lvl>
    <w:lvl w:ilvl="2" w:tplc="09D80CD0">
      <w:numFmt w:val="bullet"/>
      <w:lvlText w:val="•"/>
      <w:lvlJc w:val="left"/>
      <w:pPr>
        <w:ind w:left="2860" w:hanging="109"/>
      </w:pPr>
      <w:rPr>
        <w:rFonts w:hint="default"/>
      </w:rPr>
    </w:lvl>
    <w:lvl w:ilvl="3" w:tplc="EB20E9CC">
      <w:numFmt w:val="bullet"/>
      <w:lvlText w:val="•"/>
      <w:lvlJc w:val="left"/>
      <w:pPr>
        <w:ind w:left="4150" w:hanging="109"/>
      </w:pPr>
      <w:rPr>
        <w:rFonts w:hint="default"/>
      </w:rPr>
    </w:lvl>
    <w:lvl w:ilvl="4" w:tplc="E700708C">
      <w:numFmt w:val="bullet"/>
      <w:lvlText w:val="•"/>
      <w:lvlJc w:val="left"/>
      <w:pPr>
        <w:ind w:left="5440" w:hanging="109"/>
      </w:pPr>
      <w:rPr>
        <w:rFonts w:hint="default"/>
      </w:rPr>
    </w:lvl>
    <w:lvl w:ilvl="5" w:tplc="0A0014FA">
      <w:numFmt w:val="bullet"/>
      <w:lvlText w:val="•"/>
      <w:lvlJc w:val="left"/>
      <w:pPr>
        <w:ind w:left="6730" w:hanging="109"/>
      </w:pPr>
      <w:rPr>
        <w:rFonts w:hint="default"/>
      </w:rPr>
    </w:lvl>
    <w:lvl w:ilvl="6" w:tplc="315C1F96">
      <w:numFmt w:val="bullet"/>
      <w:lvlText w:val="•"/>
      <w:lvlJc w:val="left"/>
      <w:pPr>
        <w:ind w:left="8020" w:hanging="109"/>
      </w:pPr>
      <w:rPr>
        <w:rFonts w:hint="default"/>
      </w:rPr>
    </w:lvl>
    <w:lvl w:ilvl="7" w:tplc="2BFA5A4A">
      <w:numFmt w:val="bullet"/>
      <w:lvlText w:val="•"/>
      <w:lvlJc w:val="left"/>
      <w:pPr>
        <w:ind w:left="9310" w:hanging="109"/>
      </w:pPr>
      <w:rPr>
        <w:rFonts w:hint="default"/>
      </w:rPr>
    </w:lvl>
    <w:lvl w:ilvl="8" w:tplc="27C070E8">
      <w:numFmt w:val="bullet"/>
      <w:lvlText w:val="•"/>
      <w:lvlJc w:val="left"/>
      <w:pPr>
        <w:ind w:left="10600" w:hanging="109"/>
      </w:pPr>
      <w:rPr>
        <w:rFonts w:hint="default"/>
      </w:rPr>
    </w:lvl>
  </w:abstractNum>
  <w:abstractNum w:abstractNumId="2">
    <w:nsid w:val="5F4239E6"/>
    <w:multiLevelType w:val="hybridMultilevel"/>
    <w:tmpl w:val="EAB002FA"/>
    <w:lvl w:ilvl="0" w:tplc="AC328704">
      <w:numFmt w:val="bullet"/>
      <w:lvlText w:val="-"/>
      <w:lvlJc w:val="left"/>
      <w:pPr>
        <w:ind w:left="175" w:hanging="122"/>
      </w:pPr>
      <w:rPr>
        <w:rFonts w:ascii="Tahoma" w:eastAsia="Tahoma" w:hAnsi="Tahoma" w:cs="Tahoma" w:hint="default"/>
        <w:spacing w:val="-1"/>
        <w:w w:val="100"/>
        <w:sz w:val="18"/>
        <w:szCs w:val="18"/>
      </w:rPr>
    </w:lvl>
    <w:lvl w:ilvl="1" w:tplc="3B48A17A">
      <w:numFmt w:val="bullet"/>
      <w:lvlText w:val="•"/>
      <w:lvlJc w:val="left"/>
      <w:pPr>
        <w:ind w:left="1480" w:hanging="122"/>
      </w:pPr>
      <w:rPr>
        <w:rFonts w:hint="default"/>
      </w:rPr>
    </w:lvl>
    <w:lvl w:ilvl="2" w:tplc="731A2D2A">
      <w:numFmt w:val="bullet"/>
      <w:lvlText w:val="•"/>
      <w:lvlJc w:val="left"/>
      <w:pPr>
        <w:ind w:left="2780" w:hanging="122"/>
      </w:pPr>
      <w:rPr>
        <w:rFonts w:hint="default"/>
      </w:rPr>
    </w:lvl>
    <w:lvl w:ilvl="3" w:tplc="16BC9BBA">
      <w:numFmt w:val="bullet"/>
      <w:lvlText w:val="•"/>
      <w:lvlJc w:val="left"/>
      <w:pPr>
        <w:ind w:left="4080" w:hanging="122"/>
      </w:pPr>
      <w:rPr>
        <w:rFonts w:hint="default"/>
      </w:rPr>
    </w:lvl>
    <w:lvl w:ilvl="4" w:tplc="AA96C590">
      <w:numFmt w:val="bullet"/>
      <w:lvlText w:val="•"/>
      <w:lvlJc w:val="left"/>
      <w:pPr>
        <w:ind w:left="5380" w:hanging="122"/>
      </w:pPr>
      <w:rPr>
        <w:rFonts w:hint="default"/>
      </w:rPr>
    </w:lvl>
    <w:lvl w:ilvl="5" w:tplc="DD00FBF2">
      <w:numFmt w:val="bullet"/>
      <w:lvlText w:val="•"/>
      <w:lvlJc w:val="left"/>
      <w:pPr>
        <w:ind w:left="6680" w:hanging="122"/>
      </w:pPr>
      <w:rPr>
        <w:rFonts w:hint="default"/>
      </w:rPr>
    </w:lvl>
    <w:lvl w:ilvl="6" w:tplc="103401D6">
      <w:numFmt w:val="bullet"/>
      <w:lvlText w:val="•"/>
      <w:lvlJc w:val="left"/>
      <w:pPr>
        <w:ind w:left="7980" w:hanging="122"/>
      </w:pPr>
      <w:rPr>
        <w:rFonts w:hint="default"/>
      </w:rPr>
    </w:lvl>
    <w:lvl w:ilvl="7" w:tplc="E39C5CA6">
      <w:numFmt w:val="bullet"/>
      <w:lvlText w:val="•"/>
      <w:lvlJc w:val="left"/>
      <w:pPr>
        <w:ind w:left="9280" w:hanging="122"/>
      </w:pPr>
      <w:rPr>
        <w:rFonts w:hint="default"/>
      </w:rPr>
    </w:lvl>
    <w:lvl w:ilvl="8" w:tplc="ADE848D4">
      <w:numFmt w:val="bullet"/>
      <w:lvlText w:val="•"/>
      <w:lvlJc w:val="left"/>
      <w:pPr>
        <w:ind w:left="10580" w:hanging="12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779B2"/>
    <w:rsid w:val="001779B2"/>
    <w:rsid w:val="00F2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7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83" w:hanging="121"/>
    </w:pPr>
  </w:style>
  <w:style w:type="paragraph" w:customStyle="1" w:styleId="TableParagraph">
    <w:name w:val="Table Paragraph"/>
    <w:basedOn w:val="Normal"/>
    <w:uiPriority w:val="1"/>
    <w:qFormat/>
    <w:pPr>
      <w:spacing w:before="4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21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BE4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F21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BE4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1258</Words>
  <Characters>7175</Characters>
  <Application>Microsoft Office Word</Application>
  <DocSecurity>0</DocSecurity>
  <Lines>59</Lines>
  <Paragraphs>16</Paragraphs>
  <ScaleCrop>false</ScaleCrop>
  <Company>EOHHS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2019-02-12T10:12:00Z</dcterms:created>
  <dcterms:modified xsi:type="dcterms:W3CDTF">2019-02-12T19:12:00Z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2018-09-06T00:00:00Z</vt:filetime>
  </property>
</Properties>
</file>