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AB6A38" w14:textId="77777777" w:rsidR="00F25C07" w:rsidRDefault="00F25C07" w:rsidP="00F25C07">
      <w:pPr>
        <w:pStyle w:val="Title"/>
      </w:pPr>
      <w:r>
        <w:t>COMMONWEALTH OF MASSACHUSETTS</w:t>
      </w:r>
    </w:p>
    <w:p w14:paraId="5F16BAB6" w14:textId="77777777" w:rsidR="00F25C07" w:rsidRDefault="00F25C07" w:rsidP="00F25C07">
      <w:pPr>
        <w:jc w:val="center"/>
        <w:rPr>
          <w:rFonts w:ascii="Courier New" w:hAnsi="Courier New" w:cs="Courier New"/>
          <w:b/>
          <w:bCs/>
        </w:rPr>
      </w:pPr>
    </w:p>
    <w:p w14:paraId="2690F2C2" w14:textId="1BDE7B47" w:rsidR="00F25C07" w:rsidRDefault="00F25C07" w:rsidP="00563946">
      <w:pPr>
        <w:jc w:val="center"/>
        <w:rPr>
          <w:rFonts w:ascii="Courier New" w:hAnsi="Courier New" w:cs="Courier New"/>
          <w:b/>
          <w:bCs/>
        </w:rPr>
      </w:pPr>
      <w:r>
        <w:rPr>
          <w:rFonts w:ascii="Courier New" w:hAnsi="Courier New" w:cs="Courier New"/>
          <w:b/>
          <w:bCs/>
        </w:rPr>
        <w:t>APPELLATE TAX BOARD</w:t>
      </w:r>
    </w:p>
    <w:p w14:paraId="21BDD5B8" w14:textId="77777777" w:rsidR="00F25C07" w:rsidRDefault="00F25C07" w:rsidP="00F25C07">
      <w:pPr>
        <w:jc w:val="both"/>
        <w:rPr>
          <w:rFonts w:ascii="Courier New" w:hAnsi="Courier New" w:cs="Courier New"/>
          <w:b/>
          <w:bCs/>
        </w:rPr>
      </w:pPr>
    </w:p>
    <w:p w14:paraId="412098E2" w14:textId="77777777" w:rsidR="00563946" w:rsidRDefault="00563946" w:rsidP="00F25C07">
      <w:pPr>
        <w:jc w:val="both"/>
        <w:rPr>
          <w:rFonts w:ascii="Courier New" w:hAnsi="Courier New" w:cs="Courier New"/>
          <w:b/>
          <w:bCs/>
        </w:rPr>
      </w:pPr>
    </w:p>
    <w:p w14:paraId="0ABCB423" w14:textId="3BC06F69" w:rsidR="00F25C07" w:rsidRDefault="002147C2" w:rsidP="00F25C07">
      <w:pPr>
        <w:pStyle w:val="Heading1"/>
        <w:tabs>
          <w:tab w:val="left" w:pos="4320"/>
        </w:tabs>
      </w:pPr>
      <w:r>
        <w:t>IPERS TAUNTON CROSSI</w:t>
      </w:r>
      <w:r w:rsidR="00A86801">
        <w:t>NG</w:t>
      </w:r>
      <w:r w:rsidR="00697DD5">
        <w:t xml:space="preserve"> and   </w:t>
      </w:r>
      <w:r w:rsidR="00F25C07">
        <w:t xml:space="preserve"> </w:t>
      </w:r>
      <w:r w:rsidR="00375F2A">
        <w:t xml:space="preserve"> </w:t>
      </w:r>
      <w:r w:rsidR="00F25C07">
        <w:t>v.</w:t>
      </w:r>
      <w:r w:rsidR="00F25C07">
        <w:tab/>
        <w:t> </w:t>
      </w:r>
      <w:r w:rsidR="00697DD5">
        <w:t xml:space="preserve"> </w:t>
      </w:r>
      <w:r w:rsidR="00A22FB1">
        <w:t>     </w:t>
      </w:r>
      <w:r w:rsidR="00F25C07">
        <w:t xml:space="preserve">BOARD OF ASSESSORS OF  </w:t>
      </w:r>
    </w:p>
    <w:p w14:paraId="0457505A" w14:textId="607EEC81" w:rsidR="00F25C07" w:rsidRDefault="00184BFC" w:rsidP="00A86801">
      <w:pPr>
        <w:pStyle w:val="Heading1"/>
        <w:ind w:left="0" w:firstLine="0"/>
      </w:pPr>
      <w:r>
        <w:t>RK TAUNTON CROSSING</w:t>
      </w:r>
      <w:r w:rsidR="00A86801">
        <w:t xml:space="preserve"> LLC</w:t>
      </w:r>
      <w:r w:rsidR="00A86801">
        <w:tab/>
      </w:r>
      <w:r w:rsidR="00A86801">
        <w:tab/>
      </w:r>
      <w:r w:rsidR="00F25C07">
        <w:tab/>
        <w:t> </w:t>
      </w:r>
      <w:r w:rsidR="00697DD5">
        <w:t xml:space="preserve"> </w:t>
      </w:r>
      <w:r w:rsidR="00A22FB1">
        <w:t>     </w:t>
      </w:r>
      <w:r w:rsidR="00F25C07">
        <w:t>THE CITY OF TAUNTON</w:t>
      </w:r>
    </w:p>
    <w:p w14:paraId="0B0E680A" w14:textId="77777777" w:rsidR="000043FE" w:rsidRPr="000043FE" w:rsidRDefault="000043FE" w:rsidP="000043FE"/>
    <w:p w14:paraId="24B23190" w14:textId="77777777" w:rsidR="00F25C07" w:rsidRDefault="00F25C07" w:rsidP="00F25C07">
      <w:pPr>
        <w:jc w:val="both"/>
        <w:rPr>
          <w:rFonts w:ascii="Courier New" w:hAnsi="Courier New" w:cs="Courier New"/>
        </w:rPr>
      </w:pPr>
    </w:p>
    <w:p w14:paraId="7C5AC2BD" w14:textId="0043F725" w:rsidR="00F25C07" w:rsidRDefault="00F25C07" w:rsidP="00F25C07">
      <w:pPr>
        <w:jc w:val="both"/>
        <w:rPr>
          <w:rFonts w:ascii="Courier New" w:hAnsi="Courier New" w:cs="Courier New"/>
        </w:rPr>
      </w:pPr>
      <w:r>
        <w:rPr>
          <w:rFonts w:ascii="Courier New" w:hAnsi="Courier New" w:cs="Courier New"/>
        </w:rPr>
        <w:t>Docket Nos.</w:t>
      </w:r>
      <w:r w:rsidR="007A1623">
        <w:rPr>
          <w:rFonts w:ascii="Courier New" w:hAnsi="Courier New" w:cs="Courier New"/>
        </w:rPr>
        <w:t xml:space="preserve"> F326631, F329</w:t>
      </w:r>
      <w:r w:rsidR="00697DD5">
        <w:rPr>
          <w:rFonts w:ascii="Courier New" w:hAnsi="Courier New" w:cs="Courier New"/>
        </w:rPr>
        <w:t xml:space="preserve">314, </w:t>
      </w:r>
      <w:r w:rsidR="00697DD5">
        <w:rPr>
          <w:rFonts w:ascii="Courier New" w:hAnsi="Courier New" w:cs="Courier New"/>
        </w:rPr>
        <w:tab/>
        <w:t xml:space="preserve">  </w:t>
      </w:r>
      <w:r w:rsidR="00A22FB1">
        <w:rPr>
          <w:rFonts w:ascii="Courier New" w:hAnsi="Courier New" w:cs="Courier New"/>
        </w:rPr>
        <w:t>     </w:t>
      </w:r>
      <w:r w:rsidR="00563946">
        <w:rPr>
          <w:rFonts w:ascii="Courier New" w:hAnsi="Courier New" w:cs="Courier New"/>
        </w:rPr>
        <w:t>Promulgated:</w:t>
      </w:r>
    </w:p>
    <w:p w14:paraId="0200D65E" w14:textId="6BBE3749" w:rsidR="00697DD5" w:rsidRDefault="00697DD5" w:rsidP="00F25C07">
      <w:pPr>
        <w:jc w:val="both"/>
        <w:rPr>
          <w:rFonts w:ascii="Courier New" w:hAnsi="Courier New" w:cs="Courier New"/>
        </w:rPr>
      </w:pPr>
      <w:r>
        <w:rPr>
          <w:rFonts w:ascii="Courier New" w:hAnsi="Courier New" w:cs="Courier New"/>
        </w:rPr>
        <w:tab/>
      </w:r>
      <w:r>
        <w:rPr>
          <w:rFonts w:ascii="Courier New" w:hAnsi="Courier New" w:cs="Courier New"/>
        </w:rPr>
        <w:tab/>
        <w:t xml:space="preserve">  F332482</w:t>
      </w:r>
      <w:r w:rsidR="00A22FB1">
        <w:rPr>
          <w:rFonts w:ascii="Courier New" w:hAnsi="Courier New" w:cs="Courier New"/>
        </w:rPr>
        <w:t>                       </w:t>
      </w:r>
      <w:r w:rsidR="00735C58">
        <w:rPr>
          <w:rFonts w:ascii="Courier New" w:hAnsi="Courier New" w:cs="Courier New"/>
        </w:rPr>
        <w:t>January 18, 2019</w:t>
      </w:r>
      <w:bookmarkStart w:id="0" w:name="_GoBack"/>
      <w:bookmarkEnd w:id="0"/>
    </w:p>
    <w:p w14:paraId="40EDC4EC" w14:textId="77777777" w:rsidR="00F25C07" w:rsidRDefault="00F25C07" w:rsidP="00F25C07">
      <w:pPr>
        <w:jc w:val="both"/>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w:t>
      </w:r>
    </w:p>
    <w:p w14:paraId="7CA859BD" w14:textId="77777777" w:rsidR="00F25C07" w:rsidRDefault="00F25C07" w:rsidP="00F25C07">
      <w:pPr>
        <w:jc w:val="both"/>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p>
    <w:p w14:paraId="5CE4E4B0" w14:textId="77777777" w:rsidR="000E1EB5" w:rsidRDefault="000E1EB5" w:rsidP="000E1EB5">
      <w:pPr>
        <w:spacing w:line="480" w:lineRule="auto"/>
        <w:ind w:firstLine="720"/>
        <w:jc w:val="both"/>
        <w:rPr>
          <w:rFonts w:ascii="Courier New" w:hAnsi="Courier New" w:cs="Courier New"/>
        </w:rPr>
      </w:pPr>
      <w:r>
        <w:rPr>
          <w:rFonts w:ascii="Courier New" w:hAnsi="Courier New" w:cs="Courier New"/>
        </w:rPr>
        <w:t xml:space="preserve">These are appeals heard under the </w:t>
      </w:r>
      <w:r w:rsidRPr="00676B87">
        <w:rPr>
          <w:rFonts w:ascii="Courier New" w:hAnsi="Courier New" w:cs="Courier New"/>
        </w:rPr>
        <w:t>formal</w:t>
      </w:r>
      <w:r>
        <w:rPr>
          <w:rFonts w:ascii="Courier New" w:hAnsi="Courier New" w:cs="Courier New"/>
        </w:rPr>
        <w:t xml:space="preserve"> procedure pursuant to G.L. c. 58A, </w:t>
      </w:r>
      <w:r w:rsidRPr="00676B87">
        <w:rPr>
          <w:rFonts w:ascii="Courier New" w:hAnsi="Courier New" w:cs="Courier New"/>
        </w:rPr>
        <w:t>§ 7</w:t>
      </w:r>
      <w:r>
        <w:rPr>
          <w:rFonts w:ascii="Courier New" w:hAnsi="Courier New" w:cs="Courier New"/>
        </w:rPr>
        <w:t xml:space="preserve"> and G.L. c. 59, §§ 64 and 65, from the refusal of the Board of Assessors of the City of Taunton (“appellee” or “assessors”) to abate taxes on a certain parcel of real estate located in Taunton for fiscal years 2015, 2016, and 2017 (“fiscal years at issue”), owned by and assessed to IPERS Taunton Crossing (“IPERS”) for fiscal years 2015 and 2016, and subsequently owned by and assessed to RK Taunton Crossing LLC (“RK”) (IPERS and RK collectively “appellants”) for fiscal year 2017.</w:t>
      </w:r>
    </w:p>
    <w:p w14:paraId="29B31851" w14:textId="52B3C997" w:rsidR="00F25C07" w:rsidRDefault="00F25C07" w:rsidP="00F25C07">
      <w:pPr>
        <w:pStyle w:val="BodyText2"/>
        <w:spacing w:after="0"/>
        <w:jc w:val="both"/>
        <w:rPr>
          <w:rFonts w:ascii="Courier New" w:hAnsi="Courier New" w:cs="Courier New"/>
        </w:rPr>
      </w:pPr>
      <w:r>
        <w:tab/>
      </w:r>
      <w:r>
        <w:rPr>
          <w:rFonts w:ascii="Courier New" w:hAnsi="Courier New" w:cs="Courier New"/>
        </w:rPr>
        <w:t>Commissioner Chmielinski</w:t>
      </w:r>
      <w:r w:rsidRPr="00B86AF5">
        <w:rPr>
          <w:rFonts w:ascii="Courier New" w:hAnsi="Courier New" w:cs="Courier New"/>
        </w:rPr>
        <w:t xml:space="preserve"> heard</w:t>
      </w:r>
      <w:r>
        <w:rPr>
          <w:rFonts w:ascii="Courier New" w:hAnsi="Courier New" w:cs="Courier New"/>
        </w:rPr>
        <w:t xml:space="preserve"> these appeals.  Chairman Hammond </w:t>
      </w:r>
      <w:r w:rsidRPr="007731F6">
        <w:rPr>
          <w:rFonts w:ascii="Courier New" w:hAnsi="Courier New" w:cs="Courier New"/>
        </w:rPr>
        <w:t xml:space="preserve">and Commissioners Scharaffa, </w:t>
      </w:r>
      <w:r>
        <w:rPr>
          <w:rFonts w:ascii="Courier New" w:hAnsi="Courier New" w:cs="Courier New"/>
        </w:rPr>
        <w:t>Rose</w:t>
      </w:r>
      <w:r w:rsidR="00A33A81">
        <w:rPr>
          <w:rFonts w:ascii="Courier New" w:hAnsi="Courier New" w:cs="Courier New"/>
        </w:rPr>
        <w:t>,</w:t>
      </w:r>
      <w:r>
        <w:rPr>
          <w:rFonts w:ascii="Courier New" w:hAnsi="Courier New" w:cs="Courier New"/>
        </w:rPr>
        <w:t xml:space="preserve"> </w:t>
      </w:r>
      <w:r w:rsidRPr="007731F6">
        <w:rPr>
          <w:rFonts w:ascii="Courier New" w:hAnsi="Courier New" w:cs="Courier New"/>
        </w:rPr>
        <w:t>and Good</w:t>
      </w:r>
      <w:r w:rsidR="00A33A81">
        <w:rPr>
          <w:rFonts w:ascii="Courier New" w:hAnsi="Courier New" w:cs="Courier New"/>
        </w:rPr>
        <w:t xml:space="preserve"> joined him in the decision</w:t>
      </w:r>
      <w:r>
        <w:rPr>
          <w:rFonts w:ascii="Courier New" w:hAnsi="Courier New" w:cs="Courier New"/>
        </w:rPr>
        <w:t xml:space="preserve"> for the appellant</w:t>
      </w:r>
      <w:r w:rsidR="00846D01">
        <w:rPr>
          <w:rFonts w:ascii="Courier New" w:hAnsi="Courier New" w:cs="Courier New"/>
        </w:rPr>
        <w:t>s</w:t>
      </w:r>
      <w:r>
        <w:rPr>
          <w:rFonts w:ascii="Courier New" w:hAnsi="Courier New" w:cs="Courier New"/>
        </w:rPr>
        <w:t xml:space="preserve">. </w:t>
      </w:r>
      <w:r w:rsidRPr="00B86AF5">
        <w:rPr>
          <w:rFonts w:ascii="Courier New" w:hAnsi="Courier New" w:cs="Courier New"/>
        </w:rPr>
        <w:t xml:space="preserve"> </w:t>
      </w:r>
    </w:p>
    <w:p w14:paraId="03740CE5" w14:textId="1A95DC50" w:rsidR="00F25C07" w:rsidRDefault="00F25C07" w:rsidP="00563946">
      <w:pPr>
        <w:pStyle w:val="BodyText2"/>
        <w:spacing w:after="0"/>
        <w:ind w:firstLine="720"/>
        <w:jc w:val="both"/>
        <w:rPr>
          <w:rFonts w:ascii="Courier New" w:hAnsi="Courier New" w:cs="Courier New"/>
        </w:rPr>
      </w:pPr>
      <w:r w:rsidRPr="00B86AF5">
        <w:rPr>
          <w:rFonts w:ascii="Courier New" w:hAnsi="Courier New" w:cs="Courier New"/>
        </w:rPr>
        <w:t xml:space="preserve">These findings of fact and report are made pursuant to a </w:t>
      </w:r>
      <w:r>
        <w:rPr>
          <w:rFonts w:ascii="Courier New" w:hAnsi="Courier New" w:cs="Courier New"/>
        </w:rPr>
        <w:t xml:space="preserve">request by the </w:t>
      </w:r>
      <w:r w:rsidRPr="00315A08">
        <w:rPr>
          <w:rFonts w:ascii="Courier New" w:hAnsi="Courier New" w:cs="Courier New"/>
        </w:rPr>
        <w:t>appellee u</w:t>
      </w:r>
      <w:r w:rsidRPr="00B86AF5">
        <w:rPr>
          <w:rFonts w:ascii="Courier New" w:hAnsi="Courier New" w:cs="Courier New"/>
        </w:rPr>
        <w:t xml:space="preserve">nder G.L. c. 58A, § 13 and 831 CMR 1.32. </w:t>
      </w:r>
    </w:p>
    <w:p w14:paraId="283CF69B" w14:textId="77777777" w:rsidR="00184BFC" w:rsidRDefault="00184BFC" w:rsidP="00563946">
      <w:pPr>
        <w:pStyle w:val="BodyText2"/>
        <w:spacing w:after="0"/>
        <w:ind w:firstLine="720"/>
        <w:jc w:val="both"/>
        <w:rPr>
          <w:rFonts w:ascii="Courier New" w:hAnsi="Courier New" w:cs="Courier New"/>
        </w:rPr>
      </w:pPr>
    </w:p>
    <w:p w14:paraId="161F4C5D" w14:textId="2A5794D4" w:rsidR="00F25C07" w:rsidRDefault="00F25C07" w:rsidP="00F25C07">
      <w:pPr>
        <w:jc w:val="both"/>
        <w:rPr>
          <w:rFonts w:ascii="Courier New" w:hAnsi="Courier New" w:cs="Courier New"/>
        </w:rPr>
      </w:pPr>
      <w:r>
        <w:rPr>
          <w:rFonts w:ascii="Courier New" w:hAnsi="Courier New" w:cs="Courier New"/>
        </w:rPr>
        <w:lastRenderedPageBreak/>
        <w:tab/>
      </w:r>
      <w:r w:rsidR="002147C2">
        <w:rPr>
          <w:rFonts w:ascii="Courier New" w:hAnsi="Courier New" w:cs="Courier New"/>
          <w:i/>
        </w:rPr>
        <w:t>Richard L. Wulsin</w:t>
      </w:r>
      <w:r>
        <w:rPr>
          <w:rFonts w:ascii="Courier New" w:hAnsi="Courier New" w:cs="Courier New"/>
        </w:rPr>
        <w:t>, Esq.</w:t>
      </w:r>
      <w:r w:rsidR="00315A08">
        <w:rPr>
          <w:rFonts w:ascii="Courier New" w:hAnsi="Courier New" w:cs="Courier New"/>
        </w:rPr>
        <w:t xml:space="preserve"> and </w:t>
      </w:r>
      <w:r w:rsidR="00315A08" w:rsidRPr="00315A08">
        <w:rPr>
          <w:rFonts w:ascii="Courier New" w:hAnsi="Courier New" w:cs="Courier New"/>
          <w:i/>
        </w:rPr>
        <w:t>Rachel A. Wulsin</w:t>
      </w:r>
      <w:r w:rsidR="00315A08">
        <w:rPr>
          <w:rFonts w:ascii="Courier New" w:hAnsi="Courier New" w:cs="Courier New"/>
        </w:rPr>
        <w:t>, Esq.</w:t>
      </w:r>
      <w:r>
        <w:rPr>
          <w:rFonts w:ascii="Courier New" w:hAnsi="Courier New" w:cs="Courier New"/>
        </w:rPr>
        <w:t xml:space="preserve"> for the appellant</w:t>
      </w:r>
      <w:r w:rsidR="00846D01">
        <w:rPr>
          <w:rFonts w:ascii="Courier New" w:hAnsi="Courier New" w:cs="Courier New"/>
        </w:rPr>
        <w:t>s</w:t>
      </w:r>
      <w:r>
        <w:rPr>
          <w:rFonts w:ascii="Courier New" w:hAnsi="Courier New" w:cs="Courier New"/>
        </w:rPr>
        <w:t>.</w:t>
      </w:r>
    </w:p>
    <w:p w14:paraId="49C154D7" w14:textId="77777777" w:rsidR="00F25C07" w:rsidRDefault="00F25C07" w:rsidP="00F25C07">
      <w:pPr>
        <w:jc w:val="both"/>
        <w:rPr>
          <w:rFonts w:ascii="Courier New" w:hAnsi="Courier New" w:cs="Courier New"/>
        </w:rPr>
      </w:pPr>
    </w:p>
    <w:p w14:paraId="18E099C5" w14:textId="77777777" w:rsidR="00F25C07" w:rsidRDefault="00F25C07" w:rsidP="00F25C07">
      <w:pPr>
        <w:jc w:val="both"/>
        <w:rPr>
          <w:rFonts w:ascii="Courier New" w:hAnsi="Courier New" w:cs="Courier New"/>
        </w:rPr>
      </w:pPr>
      <w:r>
        <w:rPr>
          <w:rFonts w:ascii="Courier New" w:hAnsi="Courier New" w:cs="Courier New"/>
        </w:rPr>
        <w:tab/>
      </w:r>
      <w:r w:rsidRPr="00010260">
        <w:rPr>
          <w:rFonts w:ascii="Courier New" w:hAnsi="Courier New" w:cs="Courier New"/>
          <w:i/>
        </w:rPr>
        <w:t>Ellen M. Hutchinson</w:t>
      </w:r>
      <w:r>
        <w:rPr>
          <w:rFonts w:ascii="Courier New" w:hAnsi="Courier New" w:cs="Courier New"/>
        </w:rPr>
        <w:t xml:space="preserve">, Esq. for the appellee.  </w:t>
      </w:r>
    </w:p>
    <w:p w14:paraId="54260BC1" w14:textId="77777777" w:rsidR="000E1EB5" w:rsidRDefault="000E1EB5" w:rsidP="00F25C07">
      <w:pPr>
        <w:jc w:val="both"/>
        <w:rPr>
          <w:rFonts w:ascii="Courier New" w:hAnsi="Courier New" w:cs="Courier New"/>
        </w:rPr>
      </w:pPr>
    </w:p>
    <w:p w14:paraId="529DC075" w14:textId="77777777" w:rsidR="000E1EB5" w:rsidRDefault="000E1EB5" w:rsidP="00F25C07">
      <w:pPr>
        <w:jc w:val="both"/>
        <w:rPr>
          <w:rFonts w:ascii="Courier New" w:hAnsi="Courier New" w:cs="Courier New"/>
        </w:rPr>
      </w:pPr>
    </w:p>
    <w:p w14:paraId="2C1E4E0A" w14:textId="77777777" w:rsidR="00EC182A" w:rsidRDefault="00EC182A" w:rsidP="00F25C07">
      <w:pPr>
        <w:pStyle w:val="Heading2"/>
        <w:spacing w:line="480" w:lineRule="auto"/>
      </w:pPr>
    </w:p>
    <w:p w14:paraId="7B77CFFD" w14:textId="77777777" w:rsidR="00F25C07" w:rsidRDefault="00F25C07" w:rsidP="00F25C07">
      <w:pPr>
        <w:pStyle w:val="Heading2"/>
        <w:spacing w:line="480" w:lineRule="auto"/>
      </w:pPr>
      <w:r>
        <w:t>FINDINGS OF FACT AND REPORT</w:t>
      </w:r>
    </w:p>
    <w:p w14:paraId="3E730A4E" w14:textId="77777777" w:rsidR="00F25C07" w:rsidRDefault="00F25C07" w:rsidP="009B35B5">
      <w:pPr>
        <w:spacing w:line="480" w:lineRule="auto"/>
        <w:ind w:firstLine="720"/>
        <w:jc w:val="both"/>
        <w:rPr>
          <w:rFonts w:ascii="Courier New" w:hAnsi="Courier New" w:cs="Courier New"/>
        </w:rPr>
      </w:pPr>
      <w:r>
        <w:rPr>
          <w:rFonts w:ascii="Courier New" w:hAnsi="Courier New" w:cs="Courier New"/>
        </w:rPr>
        <w:t>On the basis of testimony and exhibits offered into evidence at the hearing of these appeals, the Appellate Tax Board (“Board”) made the following findings of fact.</w:t>
      </w:r>
    </w:p>
    <w:p w14:paraId="5E5F33AB" w14:textId="7216D933" w:rsidR="0095005A" w:rsidRDefault="00A33A81" w:rsidP="009B35B5">
      <w:pPr>
        <w:spacing w:line="480" w:lineRule="auto"/>
        <w:ind w:firstLine="720"/>
        <w:jc w:val="both"/>
        <w:rPr>
          <w:rFonts w:ascii="Courier New" w:hAnsi="Courier New" w:cs="Courier New"/>
        </w:rPr>
      </w:pPr>
      <w:r>
        <w:rPr>
          <w:rFonts w:ascii="Courier New" w:hAnsi="Courier New" w:cs="Courier New"/>
        </w:rPr>
        <w:t>The</w:t>
      </w:r>
      <w:r w:rsidR="00680DC8">
        <w:rPr>
          <w:rFonts w:ascii="Courier New" w:hAnsi="Courier New" w:cs="Courier New"/>
        </w:rPr>
        <w:t>s</w:t>
      </w:r>
      <w:r>
        <w:rPr>
          <w:rFonts w:ascii="Courier New" w:hAnsi="Courier New" w:cs="Courier New"/>
        </w:rPr>
        <w:t>e</w:t>
      </w:r>
      <w:r w:rsidR="00680DC8">
        <w:rPr>
          <w:rFonts w:ascii="Courier New" w:hAnsi="Courier New" w:cs="Courier New"/>
        </w:rPr>
        <w:t xml:space="preserve"> appeal</w:t>
      </w:r>
      <w:r>
        <w:rPr>
          <w:rFonts w:ascii="Courier New" w:hAnsi="Courier New" w:cs="Courier New"/>
        </w:rPr>
        <w:t>s pertain</w:t>
      </w:r>
      <w:r w:rsidR="00680DC8">
        <w:rPr>
          <w:rFonts w:ascii="Courier New" w:hAnsi="Courier New" w:cs="Courier New"/>
        </w:rPr>
        <w:t xml:space="preserve"> to a </w:t>
      </w:r>
      <w:r w:rsidR="00767F78">
        <w:rPr>
          <w:rFonts w:ascii="Courier New" w:hAnsi="Courier New" w:cs="Courier New"/>
        </w:rPr>
        <w:t>7.5</w:t>
      </w:r>
      <w:r w:rsidR="0041006C">
        <w:rPr>
          <w:rFonts w:ascii="Courier New" w:hAnsi="Courier New" w:cs="Courier New"/>
        </w:rPr>
        <w:t>-acre parcel of land</w:t>
      </w:r>
      <w:r w:rsidR="00F25C07">
        <w:rPr>
          <w:rFonts w:ascii="Courier New" w:hAnsi="Courier New" w:cs="Courier New"/>
        </w:rPr>
        <w:t xml:space="preserve"> with an address of</w:t>
      </w:r>
      <w:r w:rsidR="005F2DD4">
        <w:rPr>
          <w:rFonts w:ascii="Courier New" w:hAnsi="Courier New" w:cs="Courier New"/>
        </w:rPr>
        <w:t xml:space="preserve"> 9 Mozzone Boulevard</w:t>
      </w:r>
      <w:r w:rsidR="00F25C07">
        <w:rPr>
          <w:rFonts w:ascii="Courier New" w:hAnsi="Courier New" w:cs="Courier New"/>
        </w:rPr>
        <w:t xml:space="preserve"> (“subject property”).  The subject property is improved with</w:t>
      </w:r>
      <w:r w:rsidR="005F2DD4">
        <w:rPr>
          <w:rFonts w:ascii="Courier New" w:hAnsi="Courier New" w:cs="Courier New"/>
        </w:rPr>
        <w:t xml:space="preserve"> </w:t>
      </w:r>
      <w:r w:rsidR="007D4030">
        <w:rPr>
          <w:rFonts w:ascii="Courier New" w:hAnsi="Courier New" w:cs="Courier New"/>
        </w:rPr>
        <w:t xml:space="preserve">a multi-tenant retail </w:t>
      </w:r>
      <w:r w:rsidR="00CC0439" w:rsidRPr="00CC0439">
        <w:rPr>
          <w:rFonts w:ascii="Courier New" w:hAnsi="Courier New" w:cs="Courier New"/>
        </w:rPr>
        <w:t>property</w:t>
      </w:r>
      <w:r w:rsidR="007D4030">
        <w:rPr>
          <w:rFonts w:ascii="Courier New" w:hAnsi="Courier New" w:cs="Courier New"/>
        </w:rPr>
        <w:t xml:space="preserve"> containing 84,658 sq</w:t>
      </w:r>
      <w:r w:rsidR="00C86AED">
        <w:rPr>
          <w:rFonts w:ascii="Courier New" w:hAnsi="Courier New" w:cs="Courier New"/>
        </w:rPr>
        <w:t>uare feet of gross leasable space</w:t>
      </w:r>
      <w:r w:rsidR="007A6F04">
        <w:rPr>
          <w:rFonts w:ascii="Courier New" w:hAnsi="Courier New" w:cs="Courier New"/>
        </w:rPr>
        <w:t xml:space="preserve">. </w:t>
      </w:r>
      <w:r w:rsidR="00BB066F">
        <w:rPr>
          <w:rFonts w:ascii="Courier New" w:hAnsi="Courier New" w:cs="Courier New"/>
        </w:rPr>
        <w:t xml:space="preserve"> At</w:t>
      </w:r>
      <w:r w:rsidR="00D53BB2">
        <w:rPr>
          <w:rFonts w:ascii="Courier New" w:hAnsi="Courier New" w:cs="Courier New"/>
        </w:rPr>
        <w:t xml:space="preserve"> all times relevant to these ap</w:t>
      </w:r>
      <w:r w:rsidR="00BB066F">
        <w:rPr>
          <w:rFonts w:ascii="Courier New" w:hAnsi="Courier New" w:cs="Courier New"/>
        </w:rPr>
        <w:t>p</w:t>
      </w:r>
      <w:r w:rsidR="00D53BB2">
        <w:rPr>
          <w:rFonts w:ascii="Courier New" w:hAnsi="Courier New" w:cs="Courier New"/>
        </w:rPr>
        <w:t>e</w:t>
      </w:r>
      <w:r w:rsidR="00BB066F">
        <w:rPr>
          <w:rFonts w:ascii="Courier New" w:hAnsi="Courier New" w:cs="Courier New"/>
        </w:rPr>
        <w:t>als, the subject property’s tenants were</w:t>
      </w:r>
      <w:r w:rsidR="004555BE">
        <w:rPr>
          <w:rFonts w:ascii="Courier New" w:hAnsi="Courier New" w:cs="Courier New"/>
        </w:rPr>
        <w:t>: T</w:t>
      </w:r>
      <w:r w:rsidR="00B1518E">
        <w:rPr>
          <w:rFonts w:ascii="Courier New" w:hAnsi="Courier New" w:cs="Courier New"/>
        </w:rPr>
        <w:t>.</w:t>
      </w:r>
      <w:r w:rsidR="004555BE">
        <w:rPr>
          <w:rFonts w:ascii="Courier New" w:hAnsi="Courier New" w:cs="Courier New"/>
        </w:rPr>
        <w:t>J</w:t>
      </w:r>
      <w:r w:rsidR="00B1518E">
        <w:rPr>
          <w:rFonts w:ascii="Courier New" w:hAnsi="Courier New" w:cs="Courier New"/>
        </w:rPr>
        <w:t>.</w:t>
      </w:r>
      <w:r w:rsidR="004555BE">
        <w:rPr>
          <w:rFonts w:ascii="Courier New" w:hAnsi="Courier New" w:cs="Courier New"/>
        </w:rPr>
        <w:t xml:space="preserve"> Maxx as the anchor tenant;</w:t>
      </w:r>
      <w:r w:rsidR="00BB066F">
        <w:rPr>
          <w:rFonts w:ascii="Courier New" w:hAnsi="Courier New" w:cs="Courier New"/>
        </w:rPr>
        <w:t xml:space="preserve"> Michael</w:t>
      </w:r>
      <w:r w:rsidR="004555BE">
        <w:rPr>
          <w:rFonts w:ascii="Courier New" w:hAnsi="Courier New" w:cs="Courier New"/>
        </w:rPr>
        <w:t>s; Pier 1 Imports;</w:t>
      </w:r>
      <w:r w:rsidR="00B80DB4">
        <w:rPr>
          <w:rFonts w:ascii="Courier New" w:hAnsi="Courier New" w:cs="Courier New"/>
        </w:rPr>
        <w:t xml:space="preserve"> and </w:t>
      </w:r>
      <w:r w:rsidR="00BB066F">
        <w:rPr>
          <w:rFonts w:ascii="Courier New" w:hAnsi="Courier New" w:cs="Courier New"/>
        </w:rPr>
        <w:t>Office Depot.</w:t>
      </w:r>
      <w:r w:rsidR="00B80DB4">
        <w:rPr>
          <w:rFonts w:ascii="Courier New" w:hAnsi="Courier New" w:cs="Courier New"/>
        </w:rPr>
        <w:t xml:space="preserve">  Although the subject property was fully leased, the Office Depot store was vacated in 2009.</w:t>
      </w:r>
      <w:r w:rsidR="001E1BD3">
        <w:rPr>
          <w:rStyle w:val="FootnoteReference"/>
          <w:rFonts w:ascii="Courier New" w:hAnsi="Courier New" w:cs="Courier New"/>
        </w:rPr>
        <w:footnoteReference w:id="1"/>
      </w:r>
      <w:r w:rsidR="00BB066F">
        <w:rPr>
          <w:rFonts w:ascii="Courier New" w:hAnsi="Courier New" w:cs="Courier New"/>
        </w:rPr>
        <w:t xml:space="preserve">  </w:t>
      </w:r>
      <w:r w:rsidR="006C0531">
        <w:rPr>
          <w:rFonts w:ascii="Courier New" w:hAnsi="Courier New" w:cs="Courier New"/>
        </w:rPr>
        <w:t>There wa</w:t>
      </w:r>
      <w:r w:rsidR="007A6F04">
        <w:rPr>
          <w:rFonts w:ascii="Courier New" w:hAnsi="Courier New" w:cs="Courier New"/>
        </w:rPr>
        <w:t>s also a freestanding automatic teller machine (“ATM”) kiosk.</w:t>
      </w:r>
      <w:r w:rsidR="007D4030">
        <w:rPr>
          <w:rFonts w:ascii="Courier New" w:hAnsi="Courier New" w:cs="Courier New"/>
        </w:rPr>
        <w:t xml:space="preserve"> </w:t>
      </w:r>
    </w:p>
    <w:p w14:paraId="03E98CBE" w14:textId="0BA78304" w:rsidR="00C24CF6" w:rsidRDefault="00C24CF6" w:rsidP="00C24CF6">
      <w:pPr>
        <w:spacing w:line="480" w:lineRule="auto"/>
        <w:jc w:val="both"/>
        <w:rPr>
          <w:rFonts w:ascii="Courier New" w:hAnsi="Courier New" w:cs="Courier New"/>
        </w:rPr>
      </w:pPr>
      <w:r>
        <w:rPr>
          <w:rFonts w:ascii="Courier New" w:hAnsi="Courier New" w:cs="Courier New"/>
        </w:rPr>
        <w:tab/>
      </w:r>
      <w:r w:rsidR="00680DC8">
        <w:rPr>
          <w:rFonts w:ascii="Courier New" w:hAnsi="Courier New" w:cs="Courier New"/>
        </w:rPr>
        <w:t>As of January 1, 2014,</w:t>
      </w:r>
      <w:r w:rsidR="00184BFC">
        <w:rPr>
          <w:rFonts w:ascii="Courier New" w:hAnsi="Courier New" w:cs="Courier New"/>
        </w:rPr>
        <w:t xml:space="preserve"> and January 1, 2015,</w:t>
      </w:r>
      <w:r w:rsidR="00A33A81">
        <w:rPr>
          <w:rFonts w:ascii="Courier New" w:hAnsi="Courier New" w:cs="Courier New"/>
        </w:rPr>
        <w:t xml:space="preserve"> IPERS</w:t>
      </w:r>
      <w:r w:rsidR="00680DC8">
        <w:rPr>
          <w:rFonts w:ascii="Courier New" w:hAnsi="Courier New" w:cs="Courier New"/>
        </w:rPr>
        <w:t xml:space="preserve"> </w:t>
      </w:r>
      <w:r w:rsidR="00184BFC">
        <w:rPr>
          <w:rFonts w:ascii="Courier New" w:hAnsi="Courier New" w:cs="Courier New"/>
        </w:rPr>
        <w:t>was the assessed owner of the subject property.  As</w:t>
      </w:r>
      <w:r w:rsidR="00A33A81">
        <w:rPr>
          <w:rFonts w:ascii="Courier New" w:hAnsi="Courier New" w:cs="Courier New"/>
        </w:rPr>
        <w:t xml:space="preserve"> of January 1, 2016, </w:t>
      </w:r>
      <w:r w:rsidR="00184BFC">
        <w:rPr>
          <w:rFonts w:ascii="Courier New" w:hAnsi="Courier New" w:cs="Courier New"/>
        </w:rPr>
        <w:t xml:space="preserve">RK was the assessed owner of the subject property.  </w:t>
      </w:r>
      <w:r w:rsidR="009D2DD0">
        <w:rPr>
          <w:rFonts w:ascii="Courier New" w:hAnsi="Courier New" w:cs="Courier New"/>
        </w:rPr>
        <w:t>On November 2, 2015, RK purchased the existing note and mortgage</w:t>
      </w:r>
      <w:r w:rsidR="001E1BD3">
        <w:rPr>
          <w:rFonts w:ascii="Courier New" w:hAnsi="Courier New" w:cs="Courier New"/>
        </w:rPr>
        <w:t xml:space="preserve"> on the subject property</w:t>
      </w:r>
      <w:r w:rsidR="009D2DD0">
        <w:rPr>
          <w:rFonts w:ascii="Courier New" w:hAnsi="Courier New" w:cs="Courier New"/>
        </w:rPr>
        <w:t xml:space="preserve"> from State</w:t>
      </w:r>
      <w:r w:rsidR="00846A9C">
        <w:rPr>
          <w:rFonts w:ascii="Courier New" w:hAnsi="Courier New" w:cs="Courier New"/>
        </w:rPr>
        <w:t xml:space="preserve"> Farm </w:t>
      </w:r>
      <w:r w:rsidR="001E1BD3">
        <w:rPr>
          <w:rFonts w:ascii="Courier New" w:hAnsi="Courier New" w:cs="Courier New"/>
        </w:rPr>
        <w:t>Life Insurance Company for</w:t>
      </w:r>
      <w:r w:rsidR="009D2DD0">
        <w:rPr>
          <w:rFonts w:ascii="Courier New" w:hAnsi="Courier New" w:cs="Courier New"/>
        </w:rPr>
        <w:t xml:space="preserve"> </w:t>
      </w:r>
      <w:r w:rsidR="009D2DD0">
        <w:rPr>
          <w:rFonts w:ascii="Courier New" w:hAnsi="Courier New" w:cs="Courier New"/>
        </w:rPr>
        <w:lastRenderedPageBreak/>
        <w:t>$4,550,000.  RK then took a deed in li</w:t>
      </w:r>
      <w:r w:rsidR="00A33A81">
        <w:rPr>
          <w:rFonts w:ascii="Courier New" w:hAnsi="Courier New" w:cs="Courier New"/>
        </w:rPr>
        <w:t>eu of foreclosure from IPERS</w:t>
      </w:r>
      <w:r w:rsidR="00846A9C">
        <w:rPr>
          <w:rFonts w:ascii="Courier New" w:hAnsi="Courier New" w:cs="Courier New"/>
        </w:rPr>
        <w:t xml:space="preserve">.  </w:t>
      </w:r>
      <w:r w:rsidR="001E1BD3">
        <w:rPr>
          <w:rFonts w:ascii="Courier New" w:hAnsi="Courier New" w:cs="Courier New"/>
        </w:rPr>
        <w:t xml:space="preserve">Although the stated consideration on the deed was $9,200,000, this amount represented the forgiveness of the $9,200,000 outstanding balance on the mortgage. </w:t>
      </w:r>
      <w:r w:rsidR="00846A9C">
        <w:rPr>
          <w:rFonts w:ascii="Courier New" w:hAnsi="Courier New" w:cs="Courier New"/>
        </w:rPr>
        <w:t>The partie</w:t>
      </w:r>
      <w:r w:rsidR="001E1BD3">
        <w:rPr>
          <w:rFonts w:ascii="Courier New" w:hAnsi="Courier New" w:cs="Courier New"/>
        </w:rPr>
        <w:t xml:space="preserve">s stipulated that RK paid $4,550,000 to acquire the subject property. </w:t>
      </w:r>
      <w:r w:rsidR="009D2DD0">
        <w:rPr>
          <w:rFonts w:ascii="Courier New" w:hAnsi="Courier New" w:cs="Courier New"/>
        </w:rPr>
        <w:t xml:space="preserve"> </w:t>
      </w:r>
      <w:r>
        <w:rPr>
          <w:rFonts w:ascii="Courier New" w:hAnsi="Courier New" w:cs="Courier New"/>
        </w:rPr>
        <w:t xml:space="preserve">Relevant jurisdictional facts are summarized in the following table: </w:t>
      </w:r>
    </w:p>
    <w:tbl>
      <w:tblPr>
        <w:tblStyle w:val="TableGrid"/>
        <w:tblW w:w="9331" w:type="dxa"/>
        <w:jc w:val="center"/>
        <w:tblLook w:val="04A0" w:firstRow="1" w:lastRow="0" w:firstColumn="1" w:lastColumn="0" w:noHBand="0" w:noVBand="1"/>
      </w:tblPr>
      <w:tblGrid>
        <w:gridCol w:w="937"/>
        <w:gridCol w:w="1537"/>
        <w:gridCol w:w="1777"/>
        <w:gridCol w:w="937"/>
        <w:gridCol w:w="1537"/>
        <w:gridCol w:w="1417"/>
        <w:gridCol w:w="1417"/>
      </w:tblGrid>
      <w:tr w:rsidR="00C24CF6" w14:paraId="6235A55F" w14:textId="77777777" w:rsidTr="000E1EB5">
        <w:trPr>
          <w:jc w:val="center"/>
        </w:trPr>
        <w:tc>
          <w:tcPr>
            <w:tcW w:w="990" w:type="dxa"/>
          </w:tcPr>
          <w:p w14:paraId="31C8FEC2" w14:textId="77777777" w:rsidR="00C24CF6" w:rsidRPr="00563946" w:rsidRDefault="00C24CF6" w:rsidP="00C24CF6">
            <w:pPr>
              <w:jc w:val="center"/>
              <w:rPr>
                <w:rFonts w:ascii="Courier New" w:hAnsi="Courier New" w:cs="Courier New"/>
                <w:b/>
                <w:sz w:val="20"/>
                <w:szCs w:val="20"/>
              </w:rPr>
            </w:pPr>
            <w:r w:rsidRPr="00563946">
              <w:rPr>
                <w:rFonts w:ascii="Courier New" w:hAnsi="Courier New" w:cs="Courier New"/>
                <w:b/>
                <w:sz w:val="20"/>
                <w:szCs w:val="20"/>
              </w:rPr>
              <w:t>Fiscal Year</w:t>
            </w:r>
          </w:p>
        </w:tc>
        <w:tc>
          <w:tcPr>
            <w:tcW w:w="1440" w:type="dxa"/>
          </w:tcPr>
          <w:p w14:paraId="06E238FD" w14:textId="60DBCE49" w:rsidR="00C24CF6" w:rsidRPr="00563946" w:rsidRDefault="008202B0" w:rsidP="00C24CF6">
            <w:pPr>
              <w:jc w:val="center"/>
              <w:rPr>
                <w:rFonts w:ascii="Courier New" w:hAnsi="Courier New" w:cs="Courier New"/>
                <w:b/>
                <w:sz w:val="20"/>
                <w:szCs w:val="20"/>
              </w:rPr>
            </w:pPr>
            <w:r>
              <w:rPr>
                <w:rFonts w:ascii="Courier New" w:hAnsi="Courier New" w:cs="Courier New"/>
                <w:b/>
                <w:sz w:val="20"/>
                <w:szCs w:val="20"/>
              </w:rPr>
              <w:t>Assessed Value</w:t>
            </w:r>
          </w:p>
        </w:tc>
        <w:tc>
          <w:tcPr>
            <w:tcW w:w="1593" w:type="dxa"/>
          </w:tcPr>
          <w:p w14:paraId="7D8A0A27" w14:textId="77777777" w:rsidR="00C24CF6" w:rsidRDefault="00C24CF6" w:rsidP="008202B0">
            <w:pPr>
              <w:jc w:val="center"/>
              <w:rPr>
                <w:rFonts w:ascii="Courier New" w:hAnsi="Courier New" w:cs="Courier New"/>
                <w:b/>
                <w:sz w:val="20"/>
                <w:szCs w:val="20"/>
              </w:rPr>
            </w:pPr>
            <w:r w:rsidRPr="00563946">
              <w:rPr>
                <w:rFonts w:ascii="Courier New" w:hAnsi="Courier New" w:cs="Courier New"/>
                <w:b/>
                <w:sz w:val="20"/>
                <w:szCs w:val="20"/>
              </w:rPr>
              <w:t>Tax Amount</w:t>
            </w:r>
          </w:p>
          <w:p w14:paraId="327DABBE" w14:textId="3A02DFFC" w:rsidR="008202B0" w:rsidRPr="00563946" w:rsidRDefault="008202B0" w:rsidP="008202B0">
            <w:pPr>
              <w:jc w:val="center"/>
              <w:rPr>
                <w:rFonts w:ascii="Courier New" w:hAnsi="Courier New" w:cs="Courier New"/>
                <w:b/>
                <w:sz w:val="20"/>
                <w:szCs w:val="20"/>
              </w:rPr>
            </w:pPr>
            <w:r>
              <w:rPr>
                <w:rFonts w:ascii="Courier New" w:hAnsi="Courier New" w:cs="Courier New"/>
                <w:b/>
                <w:sz w:val="20"/>
                <w:szCs w:val="20"/>
              </w:rPr>
              <w:t>Tax Rate</w:t>
            </w:r>
          </w:p>
        </w:tc>
        <w:tc>
          <w:tcPr>
            <w:tcW w:w="937" w:type="dxa"/>
          </w:tcPr>
          <w:p w14:paraId="1A32613B" w14:textId="77777777" w:rsidR="00C24CF6" w:rsidRPr="00563946" w:rsidRDefault="00C24CF6" w:rsidP="00C24CF6">
            <w:pPr>
              <w:jc w:val="center"/>
              <w:rPr>
                <w:rFonts w:ascii="Courier New" w:hAnsi="Courier New" w:cs="Courier New"/>
                <w:b/>
                <w:sz w:val="20"/>
                <w:szCs w:val="20"/>
              </w:rPr>
            </w:pPr>
            <w:r w:rsidRPr="00563946">
              <w:rPr>
                <w:rFonts w:ascii="Courier New" w:hAnsi="Courier New" w:cs="Courier New"/>
                <w:b/>
                <w:sz w:val="20"/>
                <w:szCs w:val="20"/>
              </w:rPr>
              <w:t>Taxes Timely Paid</w:t>
            </w:r>
          </w:p>
          <w:p w14:paraId="19C8D9AC" w14:textId="77777777" w:rsidR="00C24CF6" w:rsidRPr="00563946" w:rsidRDefault="00C24CF6" w:rsidP="00C24CF6">
            <w:pPr>
              <w:jc w:val="center"/>
              <w:rPr>
                <w:rFonts w:ascii="Courier New" w:hAnsi="Courier New" w:cs="Courier New"/>
                <w:b/>
                <w:sz w:val="20"/>
                <w:szCs w:val="20"/>
              </w:rPr>
            </w:pPr>
            <w:r w:rsidRPr="00563946">
              <w:rPr>
                <w:rFonts w:ascii="Courier New" w:hAnsi="Courier New" w:cs="Courier New"/>
                <w:b/>
                <w:sz w:val="20"/>
                <w:szCs w:val="20"/>
              </w:rPr>
              <w:t>(Y/N)</w:t>
            </w:r>
          </w:p>
        </w:tc>
        <w:tc>
          <w:tcPr>
            <w:tcW w:w="1537" w:type="dxa"/>
          </w:tcPr>
          <w:p w14:paraId="495348AA" w14:textId="77777777" w:rsidR="00C24CF6" w:rsidRPr="00563946" w:rsidRDefault="00C24CF6" w:rsidP="00C24CF6">
            <w:pPr>
              <w:jc w:val="center"/>
              <w:rPr>
                <w:rFonts w:ascii="Courier New" w:hAnsi="Courier New" w:cs="Courier New"/>
                <w:b/>
                <w:sz w:val="20"/>
                <w:szCs w:val="20"/>
              </w:rPr>
            </w:pPr>
            <w:r w:rsidRPr="00563946">
              <w:rPr>
                <w:rFonts w:ascii="Courier New" w:hAnsi="Courier New" w:cs="Courier New"/>
                <w:b/>
                <w:sz w:val="20"/>
                <w:szCs w:val="20"/>
              </w:rPr>
              <w:t>Abatement Application Filed</w:t>
            </w:r>
          </w:p>
        </w:tc>
        <w:tc>
          <w:tcPr>
            <w:tcW w:w="1417" w:type="dxa"/>
          </w:tcPr>
          <w:p w14:paraId="1B178FE8" w14:textId="77777777" w:rsidR="00C24CF6" w:rsidRPr="00563946" w:rsidRDefault="00C24CF6" w:rsidP="00C24CF6">
            <w:pPr>
              <w:jc w:val="center"/>
              <w:rPr>
                <w:rFonts w:ascii="Courier New" w:hAnsi="Courier New" w:cs="Courier New"/>
                <w:b/>
                <w:sz w:val="20"/>
                <w:szCs w:val="20"/>
              </w:rPr>
            </w:pPr>
            <w:r w:rsidRPr="00563946">
              <w:rPr>
                <w:rFonts w:ascii="Courier New" w:hAnsi="Courier New" w:cs="Courier New"/>
                <w:b/>
                <w:sz w:val="20"/>
                <w:szCs w:val="20"/>
              </w:rPr>
              <w:t>Date of Denial</w:t>
            </w:r>
          </w:p>
        </w:tc>
        <w:tc>
          <w:tcPr>
            <w:tcW w:w="1417" w:type="dxa"/>
          </w:tcPr>
          <w:p w14:paraId="71F86B34" w14:textId="77777777" w:rsidR="00C24CF6" w:rsidRPr="00563946" w:rsidRDefault="00C24CF6" w:rsidP="00C24CF6">
            <w:pPr>
              <w:jc w:val="center"/>
              <w:rPr>
                <w:rFonts w:ascii="Courier New" w:hAnsi="Courier New" w:cs="Courier New"/>
                <w:b/>
                <w:sz w:val="20"/>
                <w:szCs w:val="20"/>
              </w:rPr>
            </w:pPr>
            <w:r w:rsidRPr="00563946">
              <w:rPr>
                <w:rFonts w:ascii="Courier New" w:hAnsi="Courier New" w:cs="Courier New"/>
                <w:b/>
                <w:sz w:val="20"/>
                <w:szCs w:val="20"/>
              </w:rPr>
              <w:t>Date Petition Filed With Board</w:t>
            </w:r>
          </w:p>
        </w:tc>
      </w:tr>
      <w:tr w:rsidR="00C24CF6" w14:paraId="65415071" w14:textId="77777777" w:rsidTr="000E1EB5">
        <w:trPr>
          <w:jc w:val="center"/>
        </w:trPr>
        <w:tc>
          <w:tcPr>
            <w:tcW w:w="990" w:type="dxa"/>
          </w:tcPr>
          <w:p w14:paraId="3F16148A" w14:textId="77777777" w:rsidR="00C24CF6" w:rsidRPr="00563946" w:rsidRDefault="00C24CF6" w:rsidP="00C24CF6">
            <w:pPr>
              <w:jc w:val="center"/>
              <w:rPr>
                <w:rFonts w:ascii="Courier New" w:hAnsi="Courier New" w:cs="Courier New"/>
                <w:b/>
                <w:sz w:val="20"/>
                <w:szCs w:val="20"/>
              </w:rPr>
            </w:pPr>
            <w:r w:rsidRPr="00563946">
              <w:rPr>
                <w:rFonts w:ascii="Courier New" w:hAnsi="Courier New" w:cs="Courier New"/>
                <w:b/>
                <w:sz w:val="20"/>
                <w:szCs w:val="20"/>
              </w:rPr>
              <w:t>2015</w:t>
            </w:r>
          </w:p>
        </w:tc>
        <w:tc>
          <w:tcPr>
            <w:tcW w:w="1440" w:type="dxa"/>
          </w:tcPr>
          <w:p w14:paraId="2912130B" w14:textId="3E8B5C6B" w:rsidR="00C3739C" w:rsidRPr="00563946" w:rsidRDefault="00C24CF6" w:rsidP="00C3739C">
            <w:pPr>
              <w:rPr>
                <w:rFonts w:ascii="Courier New" w:hAnsi="Courier New" w:cs="Courier New"/>
                <w:sz w:val="20"/>
                <w:szCs w:val="20"/>
              </w:rPr>
            </w:pPr>
            <w:r w:rsidRPr="00563946">
              <w:rPr>
                <w:rFonts w:ascii="Courier New" w:hAnsi="Courier New" w:cs="Courier New"/>
                <w:sz w:val="20"/>
                <w:szCs w:val="20"/>
              </w:rPr>
              <w:t>$</w:t>
            </w:r>
            <w:r w:rsidR="00C3739C">
              <w:rPr>
                <w:rFonts w:ascii="Courier New" w:hAnsi="Courier New" w:cs="Courier New"/>
                <w:sz w:val="20"/>
                <w:szCs w:val="20"/>
              </w:rPr>
              <w:t>10,032</w:t>
            </w:r>
            <w:r w:rsidR="00C02D00" w:rsidRPr="00563946">
              <w:rPr>
                <w:rFonts w:ascii="Courier New" w:hAnsi="Courier New" w:cs="Courier New"/>
                <w:sz w:val="20"/>
                <w:szCs w:val="20"/>
              </w:rPr>
              <w:t>,000</w:t>
            </w:r>
            <w:r w:rsidR="00056CD3" w:rsidRPr="00563946">
              <w:rPr>
                <w:rFonts w:ascii="Courier New" w:hAnsi="Courier New" w:cs="Courier New"/>
                <w:sz w:val="20"/>
                <w:szCs w:val="20"/>
              </w:rPr>
              <w:t xml:space="preserve"> </w:t>
            </w:r>
          </w:p>
          <w:p w14:paraId="4D1EC29B" w14:textId="13DA8122" w:rsidR="00056CD3" w:rsidRPr="00563946" w:rsidRDefault="00056CD3" w:rsidP="00C24CF6">
            <w:pPr>
              <w:rPr>
                <w:rFonts w:ascii="Courier New" w:hAnsi="Courier New" w:cs="Courier New"/>
                <w:sz w:val="20"/>
                <w:szCs w:val="20"/>
              </w:rPr>
            </w:pPr>
          </w:p>
        </w:tc>
        <w:tc>
          <w:tcPr>
            <w:tcW w:w="1593" w:type="dxa"/>
          </w:tcPr>
          <w:p w14:paraId="301C914C" w14:textId="704CAA98" w:rsidR="00C24CF6" w:rsidRPr="00563946" w:rsidRDefault="00F45742" w:rsidP="00C24CF6">
            <w:pPr>
              <w:rPr>
                <w:rFonts w:ascii="Courier New" w:hAnsi="Courier New" w:cs="Courier New"/>
                <w:sz w:val="20"/>
                <w:szCs w:val="20"/>
              </w:rPr>
            </w:pPr>
            <w:r w:rsidRPr="00563946">
              <w:rPr>
                <w:rFonts w:ascii="Courier New" w:hAnsi="Courier New" w:cs="Courier New"/>
                <w:sz w:val="20"/>
                <w:szCs w:val="20"/>
              </w:rPr>
              <w:t>$</w:t>
            </w:r>
            <w:r w:rsidR="00563946" w:rsidRPr="00563946">
              <w:rPr>
                <w:rFonts w:ascii="Courier New" w:hAnsi="Courier New" w:cs="Courier New"/>
                <w:sz w:val="20"/>
                <w:szCs w:val="20"/>
              </w:rPr>
              <w:t>333,564</w:t>
            </w:r>
            <w:r w:rsidR="00C24CF6" w:rsidRPr="00563946">
              <w:rPr>
                <w:rFonts w:ascii="Courier New" w:hAnsi="Courier New" w:cs="Courier New"/>
                <w:sz w:val="20"/>
                <w:szCs w:val="20"/>
              </w:rPr>
              <w:t xml:space="preserve"> </w:t>
            </w:r>
          </w:p>
          <w:p w14:paraId="52FED40B" w14:textId="5B26EC82" w:rsidR="00C24CF6" w:rsidRPr="00563946" w:rsidRDefault="00071716" w:rsidP="00C24CF6">
            <w:pPr>
              <w:rPr>
                <w:rFonts w:ascii="Courier New" w:hAnsi="Courier New" w:cs="Courier New"/>
                <w:sz w:val="20"/>
                <w:szCs w:val="20"/>
              </w:rPr>
            </w:pPr>
            <w:r w:rsidRPr="00563946">
              <w:rPr>
                <w:rFonts w:ascii="Courier New" w:hAnsi="Courier New" w:cs="Courier New"/>
                <w:sz w:val="20"/>
                <w:szCs w:val="20"/>
              </w:rPr>
              <w:t>$33.25/$1</w:t>
            </w:r>
            <w:r w:rsidR="00EE152C" w:rsidRPr="00563946">
              <w:rPr>
                <w:rFonts w:ascii="Courier New" w:hAnsi="Courier New" w:cs="Courier New"/>
                <w:sz w:val="20"/>
                <w:szCs w:val="20"/>
              </w:rPr>
              <w:t>,</w:t>
            </w:r>
            <w:r w:rsidRPr="00563946">
              <w:rPr>
                <w:rFonts w:ascii="Courier New" w:hAnsi="Courier New" w:cs="Courier New"/>
                <w:sz w:val="20"/>
                <w:szCs w:val="20"/>
              </w:rPr>
              <w:t>000</w:t>
            </w:r>
          </w:p>
        </w:tc>
        <w:tc>
          <w:tcPr>
            <w:tcW w:w="937" w:type="dxa"/>
          </w:tcPr>
          <w:p w14:paraId="1519961F" w14:textId="77777777" w:rsidR="00C24CF6" w:rsidRPr="00563946" w:rsidRDefault="00C24CF6" w:rsidP="00C24CF6">
            <w:pPr>
              <w:jc w:val="center"/>
              <w:rPr>
                <w:rFonts w:ascii="Courier New" w:hAnsi="Courier New" w:cs="Courier New"/>
                <w:sz w:val="20"/>
                <w:szCs w:val="20"/>
              </w:rPr>
            </w:pPr>
            <w:r w:rsidRPr="00563946">
              <w:rPr>
                <w:rFonts w:ascii="Courier New" w:hAnsi="Courier New" w:cs="Courier New"/>
                <w:sz w:val="20"/>
                <w:szCs w:val="20"/>
              </w:rPr>
              <w:t>Y</w:t>
            </w:r>
          </w:p>
        </w:tc>
        <w:tc>
          <w:tcPr>
            <w:tcW w:w="1537" w:type="dxa"/>
          </w:tcPr>
          <w:p w14:paraId="11A0DADD" w14:textId="0D0CAEFF" w:rsidR="00C24CF6" w:rsidRPr="00563946" w:rsidRDefault="00C3739C" w:rsidP="00C24CF6">
            <w:pPr>
              <w:rPr>
                <w:rFonts w:ascii="Courier New" w:hAnsi="Courier New" w:cs="Courier New"/>
                <w:sz w:val="20"/>
                <w:szCs w:val="20"/>
              </w:rPr>
            </w:pPr>
            <w:r>
              <w:rPr>
                <w:rFonts w:ascii="Courier New" w:hAnsi="Courier New" w:cs="Courier New"/>
                <w:sz w:val="20"/>
                <w:szCs w:val="20"/>
              </w:rPr>
              <w:t>02/04</w:t>
            </w:r>
            <w:r w:rsidR="00563946" w:rsidRPr="00563946">
              <w:rPr>
                <w:rFonts w:ascii="Courier New" w:hAnsi="Courier New" w:cs="Courier New"/>
                <w:sz w:val="20"/>
                <w:szCs w:val="20"/>
              </w:rPr>
              <w:t>/2015</w:t>
            </w:r>
            <w:r w:rsidR="008202B0" w:rsidRPr="008E1623">
              <w:rPr>
                <w:rStyle w:val="FootnoteReference"/>
                <w:rFonts w:ascii="Courier New" w:hAnsi="Courier New" w:cs="Courier New"/>
                <w:sz w:val="20"/>
                <w:szCs w:val="20"/>
              </w:rPr>
              <w:footnoteReference w:id="2"/>
            </w:r>
          </w:p>
        </w:tc>
        <w:tc>
          <w:tcPr>
            <w:tcW w:w="1417" w:type="dxa"/>
          </w:tcPr>
          <w:p w14:paraId="03942122" w14:textId="64C7D078" w:rsidR="00C3739C" w:rsidRDefault="00C3739C" w:rsidP="00C24CF6">
            <w:pPr>
              <w:rPr>
                <w:rFonts w:ascii="Courier New" w:hAnsi="Courier New" w:cs="Courier New"/>
                <w:sz w:val="20"/>
                <w:szCs w:val="20"/>
              </w:rPr>
            </w:pPr>
            <w:r>
              <w:rPr>
                <w:rFonts w:ascii="Courier New" w:hAnsi="Courier New" w:cs="Courier New"/>
                <w:sz w:val="20"/>
                <w:szCs w:val="20"/>
              </w:rPr>
              <w:t>03/05/2015</w:t>
            </w:r>
          </w:p>
          <w:p w14:paraId="62F8FB38" w14:textId="587FC3CD" w:rsidR="00FE47C9" w:rsidRPr="00563946" w:rsidRDefault="00FE47C9" w:rsidP="00C24CF6">
            <w:pPr>
              <w:rPr>
                <w:rFonts w:ascii="Courier New" w:hAnsi="Courier New" w:cs="Courier New"/>
                <w:sz w:val="20"/>
                <w:szCs w:val="20"/>
              </w:rPr>
            </w:pPr>
          </w:p>
        </w:tc>
        <w:tc>
          <w:tcPr>
            <w:tcW w:w="1417" w:type="dxa"/>
          </w:tcPr>
          <w:p w14:paraId="04CA7042" w14:textId="1E9B1678" w:rsidR="00C24CF6" w:rsidRPr="00563946" w:rsidRDefault="00563946" w:rsidP="00C24CF6">
            <w:pPr>
              <w:rPr>
                <w:rFonts w:ascii="Courier New" w:hAnsi="Courier New" w:cs="Courier New"/>
                <w:sz w:val="20"/>
                <w:szCs w:val="20"/>
              </w:rPr>
            </w:pPr>
            <w:r>
              <w:rPr>
                <w:rFonts w:ascii="Courier New" w:hAnsi="Courier New" w:cs="Courier New"/>
                <w:sz w:val="20"/>
                <w:szCs w:val="20"/>
              </w:rPr>
              <w:t>06/01/2015</w:t>
            </w:r>
          </w:p>
        </w:tc>
      </w:tr>
      <w:tr w:rsidR="00C24CF6" w14:paraId="2F7A19D4" w14:textId="77777777" w:rsidTr="000E1EB5">
        <w:trPr>
          <w:jc w:val="center"/>
        </w:trPr>
        <w:tc>
          <w:tcPr>
            <w:tcW w:w="990" w:type="dxa"/>
          </w:tcPr>
          <w:p w14:paraId="15B7EF4C" w14:textId="3571657D" w:rsidR="00C24CF6" w:rsidRPr="00563946" w:rsidRDefault="00C24CF6" w:rsidP="00C24CF6">
            <w:pPr>
              <w:jc w:val="center"/>
              <w:rPr>
                <w:rFonts w:ascii="Courier New" w:hAnsi="Courier New" w:cs="Courier New"/>
                <w:b/>
                <w:sz w:val="20"/>
                <w:szCs w:val="20"/>
              </w:rPr>
            </w:pPr>
            <w:r w:rsidRPr="00563946">
              <w:rPr>
                <w:rFonts w:ascii="Courier New" w:hAnsi="Courier New" w:cs="Courier New"/>
                <w:b/>
                <w:sz w:val="20"/>
                <w:szCs w:val="20"/>
              </w:rPr>
              <w:t>2016</w:t>
            </w:r>
          </w:p>
        </w:tc>
        <w:tc>
          <w:tcPr>
            <w:tcW w:w="1440" w:type="dxa"/>
          </w:tcPr>
          <w:p w14:paraId="4C63EDD5" w14:textId="6018960F" w:rsidR="00C24CF6" w:rsidRPr="00563946" w:rsidRDefault="00F45742" w:rsidP="00C24CF6">
            <w:pPr>
              <w:rPr>
                <w:rFonts w:ascii="Courier New" w:hAnsi="Courier New" w:cs="Courier New"/>
                <w:sz w:val="20"/>
                <w:szCs w:val="20"/>
              </w:rPr>
            </w:pPr>
            <w:r w:rsidRPr="00563946">
              <w:rPr>
                <w:rFonts w:ascii="Courier New" w:hAnsi="Courier New" w:cs="Courier New"/>
                <w:sz w:val="20"/>
                <w:szCs w:val="20"/>
              </w:rPr>
              <w:t>$</w:t>
            </w:r>
            <w:r w:rsidR="00C02D00" w:rsidRPr="00563946">
              <w:rPr>
                <w:rFonts w:ascii="Courier New" w:hAnsi="Courier New" w:cs="Courier New"/>
                <w:sz w:val="20"/>
                <w:szCs w:val="20"/>
              </w:rPr>
              <w:t xml:space="preserve"> 8,690,100</w:t>
            </w:r>
          </w:p>
        </w:tc>
        <w:tc>
          <w:tcPr>
            <w:tcW w:w="1593" w:type="dxa"/>
          </w:tcPr>
          <w:p w14:paraId="30A7D933" w14:textId="67991138" w:rsidR="00C24CF6" w:rsidRPr="00563946" w:rsidRDefault="00F45742" w:rsidP="00C24CF6">
            <w:pPr>
              <w:rPr>
                <w:rFonts w:ascii="Courier New" w:hAnsi="Courier New" w:cs="Courier New"/>
                <w:sz w:val="20"/>
                <w:szCs w:val="20"/>
              </w:rPr>
            </w:pPr>
            <w:r w:rsidRPr="00563946">
              <w:rPr>
                <w:rFonts w:ascii="Courier New" w:hAnsi="Courier New" w:cs="Courier New"/>
                <w:sz w:val="20"/>
                <w:szCs w:val="20"/>
              </w:rPr>
              <w:t>$</w:t>
            </w:r>
            <w:r w:rsidR="00071716" w:rsidRPr="00563946">
              <w:rPr>
                <w:rFonts w:ascii="Courier New" w:hAnsi="Courier New" w:cs="Courier New"/>
                <w:sz w:val="20"/>
                <w:szCs w:val="20"/>
              </w:rPr>
              <w:t>294,942</w:t>
            </w:r>
          </w:p>
          <w:p w14:paraId="324444AE" w14:textId="7F4C1B1A" w:rsidR="00C24CF6" w:rsidRPr="00563946" w:rsidRDefault="00F45742" w:rsidP="00C24CF6">
            <w:pPr>
              <w:rPr>
                <w:rFonts w:ascii="Courier New" w:hAnsi="Courier New" w:cs="Courier New"/>
                <w:sz w:val="20"/>
                <w:szCs w:val="20"/>
              </w:rPr>
            </w:pPr>
            <w:r w:rsidRPr="00563946">
              <w:rPr>
                <w:rFonts w:ascii="Courier New" w:hAnsi="Courier New" w:cs="Courier New"/>
                <w:sz w:val="20"/>
                <w:szCs w:val="20"/>
              </w:rPr>
              <w:t>$</w:t>
            </w:r>
            <w:r w:rsidR="00071716" w:rsidRPr="00563946">
              <w:rPr>
                <w:rFonts w:ascii="Courier New" w:hAnsi="Courier New" w:cs="Courier New"/>
                <w:sz w:val="20"/>
                <w:szCs w:val="20"/>
              </w:rPr>
              <w:t>33.94/$1</w:t>
            </w:r>
            <w:r w:rsidR="00EE152C" w:rsidRPr="00563946">
              <w:rPr>
                <w:rFonts w:ascii="Courier New" w:hAnsi="Courier New" w:cs="Courier New"/>
                <w:sz w:val="20"/>
                <w:szCs w:val="20"/>
              </w:rPr>
              <w:t>,</w:t>
            </w:r>
            <w:r w:rsidR="00071716" w:rsidRPr="00563946">
              <w:rPr>
                <w:rFonts w:ascii="Courier New" w:hAnsi="Courier New" w:cs="Courier New"/>
                <w:sz w:val="20"/>
                <w:szCs w:val="20"/>
              </w:rPr>
              <w:t>000</w:t>
            </w:r>
          </w:p>
        </w:tc>
        <w:tc>
          <w:tcPr>
            <w:tcW w:w="937" w:type="dxa"/>
          </w:tcPr>
          <w:p w14:paraId="000BA82C" w14:textId="77777777" w:rsidR="00C24CF6" w:rsidRPr="00563946" w:rsidRDefault="00C24CF6" w:rsidP="00C24CF6">
            <w:pPr>
              <w:jc w:val="center"/>
              <w:rPr>
                <w:rFonts w:ascii="Courier New" w:hAnsi="Courier New" w:cs="Courier New"/>
                <w:sz w:val="20"/>
                <w:szCs w:val="20"/>
              </w:rPr>
            </w:pPr>
            <w:r w:rsidRPr="00563946">
              <w:rPr>
                <w:rFonts w:ascii="Courier New" w:hAnsi="Courier New" w:cs="Courier New"/>
                <w:sz w:val="20"/>
                <w:szCs w:val="20"/>
              </w:rPr>
              <w:t>Y</w:t>
            </w:r>
          </w:p>
        </w:tc>
        <w:tc>
          <w:tcPr>
            <w:tcW w:w="1537" w:type="dxa"/>
          </w:tcPr>
          <w:p w14:paraId="5A3F551B" w14:textId="1D66C36E" w:rsidR="00C24CF6" w:rsidRPr="00563946" w:rsidRDefault="00E04A5D" w:rsidP="00C24CF6">
            <w:pPr>
              <w:rPr>
                <w:rFonts w:ascii="Courier New" w:hAnsi="Courier New" w:cs="Courier New"/>
                <w:sz w:val="20"/>
                <w:szCs w:val="20"/>
              </w:rPr>
            </w:pPr>
            <w:r>
              <w:rPr>
                <w:rFonts w:ascii="Courier New" w:hAnsi="Courier New" w:cs="Courier New"/>
                <w:sz w:val="20"/>
                <w:szCs w:val="20"/>
              </w:rPr>
              <w:t>01/25/2016</w:t>
            </w:r>
          </w:p>
        </w:tc>
        <w:tc>
          <w:tcPr>
            <w:tcW w:w="1417" w:type="dxa"/>
          </w:tcPr>
          <w:p w14:paraId="4AB0E4B2" w14:textId="0A6418B9" w:rsidR="00C24CF6" w:rsidRPr="00563946" w:rsidRDefault="00E04A5D" w:rsidP="00C24CF6">
            <w:pPr>
              <w:rPr>
                <w:rFonts w:ascii="Courier New" w:hAnsi="Courier New" w:cs="Courier New"/>
                <w:sz w:val="20"/>
                <w:szCs w:val="20"/>
              </w:rPr>
            </w:pPr>
            <w:r>
              <w:rPr>
                <w:rFonts w:ascii="Courier New" w:hAnsi="Courier New" w:cs="Courier New"/>
                <w:sz w:val="20"/>
                <w:szCs w:val="20"/>
              </w:rPr>
              <w:t>02/05/2016</w:t>
            </w:r>
          </w:p>
        </w:tc>
        <w:tc>
          <w:tcPr>
            <w:tcW w:w="1417" w:type="dxa"/>
          </w:tcPr>
          <w:p w14:paraId="7F4259C0" w14:textId="3D1528CE" w:rsidR="00C24CF6" w:rsidRPr="00563946" w:rsidRDefault="00E04A5D" w:rsidP="00C24CF6">
            <w:pPr>
              <w:rPr>
                <w:rFonts w:ascii="Courier New" w:hAnsi="Courier New" w:cs="Courier New"/>
                <w:sz w:val="20"/>
                <w:szCs w:val="20"/>
              </w:rPr>
            </w:pPr>
            <w:r>
              <w:rPr>
                <w:rFonts w:ascii="Courier New" w:hAnsi="Courier New" w:cs="Courier New"/>
                <w:sz w:val="20"/>
                <w:szCs w:val="20"/>
              </w:rPr>
              <w:t>04/28/2016</w:t>
            </w:r>
          </w:p>
        </w:tc>
      </w:tr>
      <w:tr w:rsidR="00F45742" w14:paraId="11A96AD5" w14:textId="77777777" w:rsidTr="000E1EB5">
        <w:trPr>
          <w:jc w:val="center"/>
        </w:trPr>
        <w:tc>
          <w:tcPr>
            <w:tcW w:w="990" w:type="dxa"/>
          </w:tcPr>
          <w:p w14:paraId="3D8547A6" w14:textId="2B74395C" w:rsidR="00F45742" w:rsidRPr="00563946" w:rsidRDefault="00F45742" w:rsidP="00C24CF6">
            <w:pPr>
              <w:jc w:val="center"/>
              <w:rPr>
                <w:rFonts w:ascii="Courier New" w:hAnsi="Courier New" w:cs="Courier New"/>
                <w:b/>
                <w:sz w:val="20"/>
                <w:szCs w:val="20"/>
              </w:rPr>
            </w:pPr>
            <w:r w:rsidRPr="00563946">
              <w:rPr>
                <w:rFonts w:ascii="Courier New" w:hAnsi="Courier New" w:cs="Courier New"/>
                <w:b/>
                <w:sz w:val="20"/>
                <w:szCs w:val="20"/>
              </w:rPr>
              <w:t>2017</w:t>
            </w:r>
          </w:p>
        </w:tc>
        <w:tc>
          <w:tcPr>
            <w:tcW w:w="1440" w:type="dxa"/>
          </w:tcPr>
          <w:p w14:paraId="3D1A6ED1" w14:textId="2A41B2B7" w:rsidR="00F45742" w:rsidRPr="00563946" w:rsidRDefault="00C02D00" w:rsidP="00C24CF6">
            <w:pPr>
              <w:rPr>
                <w:rFonts w:ascii="Courier New" w:hAnsi="Courier New" w:cs="Courier New"/>
                <w:sz w:val="20"/>
                <w:szCs w:val="20"/>
              </w:rPr>
            </w:pPr>
            <w:r w:rsidRPr="00563946">
              <w:rPr>
                <w:rFonts w:ascii="Courier New" w:hAnsi="Courier New" w:cs="Courier New"/>
                <w:sz w:val="20"/>
                <w:szCs w:val="20"/>
              </w:rPr>
              <w:t>$ 8,714,700</w:t>
            </w:r>
          </w:p>
        </w:tc>
        <w:tc>
          <w:tcPr>
            <w:tcW w:w="1593" w:type="dxa"/>
          </w:tcPr>
          <w:p w14:paraId="6AE75BF5" w14:textId="263E1C40" w:rsidR="00F45742" w:rsidRPr="00563946" w:rsidRDefault="00C02D00" w:rsidP="00C24CF6">
            <w:pPr>
              <w:rPr>
                <w:rFonts w:ascii="Courier New" w:hAnsi="Courier New" w:cs="Courier New"/>
                <w:sz w:val="20"/>
                <w:szCs w:val="20"/>
              </w:rPr>
            </w:pPr>
            <w:r w:rsidRPr="00563946">
              <w:rPr>
                <w:rFonts w:ascii="Courier New" w:hAnsi="Courier New" w:cs="Courier New"/>
                <w:sz w:val="20"/>
                <w:szCs w:val="20"/>
              </w:rPr>
              <w:t>$</w:t>
            </w:r>
            <w:r w:rsidR="00071716" w:rsidRPr="00563946">
              <w:rPr>
                <w:rFonts w:ascii="Courier New" w:hAnsi="Courier New" w:cs="Courier New"/>
                <w:sz w:val="20"/>
                <w:szCs w:val="20"/>
              </w:rPr>
              <w:t>302,400</w:t>
            </w:r>
          </w:p>
          <w:p w14:paraId="3A1A14A7" w14:textId="25B8B985" w:rsidR="00C02D00" w:rsidRPr="00563946" w:rsidRDefault="00C02D00" w:rsidP="00C24CF6">
            <w:pPr>
              <w:rPr>
                <w:rFonts w:ascii="Courier New" w:hAnsi="Courier New" w:cs="Courier New"/>
                <w:sz w:val="20"/>
                <w:szCs w:val="20"/>
              </w:rPr>
            </w:pPr>
            <w:r w:rsidRPr="00563946">
              <w:rPr>
                <w:rFonts w:ascii="Courier New" w:hAnsi="Courier New" w:cs="Courier New"/>
                <w:sz w:val="20"/>
                <w:szCs w:val="20"/>
              </w:rPr>
              <w:t>$</w:t>
            </w:r>
            <w:r w:rsidR="00071716" w:rsidRPr="00563946">
              <w:rPr>
                <w:rFonts w:ascii="Courier New" w:hAnsi="Courier New" w:cs="Courier New"/>
                <w:sz w:val="20"/>
                <w:szCs w:val="20"/>
              </w:rPr>
              <w:t>34.70/$1</w:t>
            </w:r>
            <w:r w:rsidR="00EE152C" w:rsidRPr="00563946">
              <w:rPr>
                <w:rFonts w:ascii="Courier New" w:hAnsi="Courier New" w:cs="Courier New"/>
                <w:sz w:val="20"/>
                <w:szCs w:val="20"/>
              </w:rPr>
              <w:t>,</w:t>
            </w:r>
            <w:r w:rsidR="00071716" w:rsidRPr="00563946">
              <w:rPr>
                <w:rFonts w:ascii="Courier New" w:hAnsi="Courier New" w:cs="Courier New"/>
                <w:sz w:val="20"/>
                <w:szCs w:val="20"/>
              </w:rPr>
              <w:t>000</w:t>
            </w:r>
          </w:p>
        </w:tc>
        <w:tc>
          <w:tcPr>
            <w:tcW w:w="937" w:type="dxa"/>
          </w:tcPr>
          <w:p w14:paraId="6D7E4FAE" w14:textId="77777777" w:rsidR="00F45742" w:rsidRPr="00563946" w:rsidRDefault="00F45742" w:rsidP="00C24CF6">
            <w:pPr>
              <w:jc w:val="center"/>
              <w:rPr>
                <w:rFonts w:ascii="Courier New" w:hAnsi="Courier New" w:cs="Courier New"/>
                <w:sz w:val="20"/>
                <w:szCs w:val="20"/>
              </w:rPr>
            </w:pPr>
            <w:r w:rsidRPr="00563946">
              <w:rPr>
                <w:rFonts w:ascii="Courier New" w:hAnsi="Courier New" w:cs="Courier New"/>
                <w:sz w:val="20"/>
                <w:szCs w:val="20"/>
              </w:rPr>
              <w:t>Y</w:t>
            </w:r>
          </w:p>
          <w:p w14:paraId="15972483" w14:textId="77777777" w:rsidR="00F45742" w:rsidRPr="00563946" w:rsidRDefault="00F45742" w:rsidP="00C24CF6">
            <w:pPr>
              <w:jc w:val="center"/>
              <w:rPr>
                <w:rFonts w:ascii="Courier New" w:hAnsi="Courier New" w:cs="Courier New"/>
                <w:sz w:val="20"/>
                <w:szCs w:val="20"/>
              </w:rPr>
            </w:pPr>
          </w:p>
        </w:tc>
        <w:tc>
          <w:tcPr>
            <w:tcW w:w="1537" w:type="dxa"/>
          </w:tcPr>
          <w:p w14:paraId="626060E6" w14:textId="4B0DDE31" w:rsidR="00F45742" w:rsidRPr="00563946" w:rsidRDefault="00EC0CC7" w:rsidP="00C24CF6">
            <w:pPr>
              <w:rPr>
                <w:rFonts w:ascii="Courier New" w:hAnsi="Courier New" w:cs="Courier New"/>
                <w:sz w:val="20"/>
                <w:szCs w:val="20"/>
              </w:rPr>
            </w:pPr>
            <w:r>
              <w:rPr>
                <w:rFonts w:ascii="Courier New" w:hAnsi="Courier New" w:cs="Courier New"/>
                <w:sz w:val="20"/>
                <w:szCs w:val="20"/>
              </w:rPr>
              <w:t>01/26/2017</w:t>
            </w:r>
          </w:p>
        </w:tc>
        <w:tc>
          <w:tcPr>
            <w:tcW w:w="1417" w:type="dxa"/>
          </w:tcPr>
          <w:p w14:paraId="267230F2" w14:textId="6E11E0EE" w:rsidR="00F45742" w:rsidRPr="00563946" w:rsidRDefault="00EC0CC7" w:rsidP="00C24CF6">
            <w:pPr>
              <w:rPr>
                <w:rFonts w:ascii="Courier New" w:hAnsi="Courier New" w:cs="Courier New"/>
                <w:sz w:val="20"/>
                <w:szCs w:val="20"/>
              </w:rPr>
            </w:pPr>
            <w:r>
              <w:rPr>
                <w:rFonts w:ascii="Courier New" w:hAnsi="Courier New" w:cs="Courier New"/>
                <w:sz w:val="20"/>
                <w:szCs w:val="20"/>
              </w:rPr>
              <w:t>02/09/2017</w:t>
            </w:r>
          </w:p>
        </w:tc>
        <w:tc>
          <w:tcPr>
            <w:tcW w:w="1417" w:type="dxa"/>
          </w:tcPr>
          <w:p w14:paraId="05CC8225" w14:textId="3EEEF037" w:rsidR="00F45742" w:rsidRPr="00563946" w:rsidRDefault="00EC0CC7" w:rsidP="00C24CF6">
            <w:pPr>
              <w:rPr>
                <w:rFonts w:ascii="Courier New" w:hAnsi="Courier New" w:cs="Courier New"/>
                <w:sz w:val="20"/>
                <w:szCs w:val="20"/>
              </w:rPr>
            </w:pPr>
            <w:r>
              <w:rPr>
                <w:rFonts w:ascii="Courier New" w:hAnsi="Courier New" w:cs="Courier New"/>
                <w:sz w:val="20"/>
                <w:szCs w:val="20"/>
              </w:rPr>
              <w:t>04/28/2017</w:t>
            </w:r>
          </w:p>
        </w:tc>
      </w:tr>
    </w:tbl>
    <w:p w14:paraId="7A3DB640" w14:textId="21C3B0EA" w:rsidR="00C24CF6" w:rsidRDefault="00C24CF6" w:rsidP="00C24CF6">
      <w:pPr>
        <w:spacing w:line="480" w:lineRule="auto"/>
        <w:jc w:val="both"/>
        <w:rPr>
          <w:rFonts w:ascii="Courier New" w:hAnsi="Courier New" w:cs="Courier New"/>
        </w:rPr>
      </w:pPr>
    </w:p>
    <w:p w14:paraId="085BD7D7" w14:textId="667878C0" w:rsidR="0026684B" w:rsidRDefault="00C24CF6" w:rsidP="009D2DD0">
      <w:pPr>
        <w:spacing w:line="480" w:lineRule="auto"/>
        <w:jc w:val="both"/>
        <w:rPr>
          <w:rFonts w:ascii="Courier New" w:hAnsi="Courier New" w:cs="Courier New"/>
        </w:rPr>
      </w:pPr>
      <w:r>
        <w:rPr>
          <w:rFonts w:ascii="Courier New" w:hAnsi="Courier New" w:cs="Courier New"/>
        </w:rPr>
        <w:t>Based on these facts, the Board found and ruled that it had jurisdiction over these appeals.</w:t>
      </w:r>
      <w:r w:rsidR="00010978">
        <w:rPr>
          <w:rFonts w:ascii="Courier New" w:hAnsi="Courier New" w:cs="Courier New"/>
        </w:rPr>
        <w:t xml:space="preserve">   </w:t>
      </w:r>
    </w:p>
    <w:p w14:paraId="1C3FD246" w14:textId="73EFA66F" w:rsidR="00817E8E" w:rsidRDefault="00A55598" w:rsidP="009B35B5">
      <w:pPr>
        <w:spacing w:line="480" w:lineRule="auto"/>
        <w:ind w:firstLine="720"/>
        <w:jc w:val="both"/>
        <w:rPr>
          <w:rFonts w:ascii="Courier New" w:hAnsi="Courier New" w:cs="Courier New"/>
        </w:rPr>
      </w:pPr>
      <w:r>
        <w:rPr>
          <w:rFonts w:ascii="Courier New" w:hAnsi="Courier New" w:cs="Courier New"/>
        </w:rPr>
        <w:t>The appellant</w:t>
      </w:r>
      <w:r w:rsidR="00846D01">
        <w:rPr>
          <w:rFonts w:ascii="Courier New" w:hAnsi="Courier New" w:cs="Courier New"/>
        </w:rPr>
        <w:t>s presented their</w:t>
      </w:r>
      <w:r>
        <w:rPr>
          <w:rFonts w:ascii="Courier New" w:hAnsi="Courier New" w:cs="Courier New"/>
        </w:rPr>
        <w:t xml:space="preserve"> case through the testimony and appraisal report of Matthew G. Pattison, certified general real estate appraiser, whom the Board qualified as an expert in the area of commercial real estate valuation.  </w:t>
      </w:r>
    </w:p>
    <w:p w14:paraId="577294C1" w14:textId="71977DB3" w:rsidR="00C731F6" w:rsidRDefault="00AA5418" w:rsidP="009B35B5">
      <w:pPr>
        <w:spacing w:line="480" w:lineRule="auto"/>
        <w:ind w:firstLine="720"/>
        <w:jc w:val="both"/>
        <w:rPr>
          <w:rFonts w:ascii="Courier New" w:hAnsi="Courier New" w:cs="Courier New"/>
        </w:rPr>
      </w:pPr>
      <w:r>
        <w:rPr>
          <w:rFonts w:ascii="Courier New" w:hAnsi="Courier New" w:cs="Courier New"/>
        </w:rPr>
        <w:t xml:space="preserve">Mr. Pattison first determined that the subject property’s highest and best use was its continued use </w:t>
      </w:r>
      <w:r w:rsidR="004159C7">
        <w:rPr>
          <w:rFonts w:ascii="Courier New" w:hAnsi="Courier New" w:cs="Courier New"/>
        </w:rPr>
        <w:t>as a multi-tenant retail property.</w:t>
      </w:r>
    </w:p>
    <w:p w14:paraId="3835243F" w14:textId="6CB58129" w:rsidR="00CF4D10" w:rsidRDefault="00CF4D10" w:rsidP="00CF4D10">
      <w:pPr>
        <w:spacing w:line="480" w:lineRule="auto"/>
        <w:ind w:firstLine="720"/>
        <w:jc w:val="both"/>
        <w:rPr>
          <w:rFonts w:ascii="Courier New" w:hAnsi="Courier New" w:cs="Courier New"/>
        </w:rPr>
      </w:pPr>
      <w:r>
        <w:rPr>
          <w:rFonts w:ascii="Courier New" w:hAnsi="Courier New" w:cs="Courier New"/>
        </w:rPr>
        <w:lastRenderedPageBreak/>
        <w:t>Mr. Pattison next considered the three approach</w:t>
      </w:r>
      <w:r w:rsidR="004746B8">
        <w:rPr>
          <w:rFonts w:ascii="Courier New" w:hAnsi="Courier New" w:cs="Courier New"/>
        </w:rPr>
        <w:t>es to value:  the cost approach, the sales-comparison approach,</w:t>
      </w:r>
      <w:r>
        <w:rPr>
          <w:rFonts w:ascii="Courier New" w:hAnsi="Courier New" w:cs="Courier New"/>
        </w:rPr>
        <w:t xml:space="preserve"> and the income-capitalization approach.  He did not develop the cost approach, opining that this approach is most reliable for newer properties that have no significant accrued depreciation.  Mr.</w:t>
      </w:r>
      <w:r w:rsidR="00A22FB1">
        <w:rPr>
          <w:rFonts w:ascii="Courier New" w:hAnsi="Courier New" w:cs="Courier New"/>
        </w:rPr>
        <w:t> </w:t>
      </w:r>
      <w:r>
        <w:rPr>
          <w:rFonts w:ascii="Courier New" w:hAnsi="Courier New" w:cs="Courier New"/>
        </w:rPr>
        <w:t xml:space="preserve">Pattison also did not develop the sales-comparison approach, opining that this approach is more appropriate for valuing </w:t>
      </w:r>
      <w:r w:rsidR="005B5028">
        <w:rPr>
          <w:rFonts w:ascii="Courier New" w:hAnsi="Courier New" w:cs="Courier New"/>
        </w:rPr>
        <w:t>leased-</w:t>
      </w:r>
      <w:r>
        <w:rPr>
          <w:rFonts w:ascii="Courier New" w:hAnsi="Courier New" w:cs="Courier New"/>
        </w:rPr>
        <w:t xml:space="preserve">fee interests, but </w:t>
      </w:r>
      <w:r w:rsidR="005B5028">
        <w:rPr>
          <w:rFonts w:ascii="Courier New" w:hAnsi="Courier New" w:cs="Courier New"/>
        </w:rPr>
        <w:t xml:space="preserve">that </w:t>
      </w:r>
      <w:r>
        <w:rPr>
          <w:rFonts w:ascii="Courier New" w:hAnsi="Courier New" w:cs="Courier New"/>
        </w:rPr>
        <w:t>he was analy</w:t>
      </w:r>
      <w:r w:rsidR="005B5028">
        <w:rPr>
          <w:rFonts w:ascii="Courier New" w:hAnsi="Courier New" w:cs="Courier New"/>
        </w:rPr>
        <w:t>zing the subject property’s fee-</w:t>
      </w:r>
      <w:r>
        <w:rPr>
          <w:rFonts w:ascii="Courier New" w:hAnsi="Courier New" w:cs="Courier New"/>
        </w:rPr>
        <w:t>simple market value.  Mr. Pattison thus developed only the income-capitalization approach, finding that this method is usually given the greatest weight when evaluating investment properties.</w:t>
      </w:r>
    </w:p>
    <w:p w14:paraId="73BA179C" w14:textId="76633FDB" w:rsidR="004159C7" w:rsidRDefault="00F94CE7" w:rsidP="009B35B5">
      <w:pPr>
        <w:spacing w:line="480" w:lineRule="auto"/>
        <w:ind w:firstLine="720"/>
        <w:jc w:val="both"/>
        <w:rPr>
          <w:rFonts w:ascii="Courier New" w:hAnsi="Courier New" w:cs="Courier New"/>
        </w:rPr>
      </w:pPr>
      <w:r>
        <w:rPr>
          <w:rFonts w:ascii="Courier New" w:hAnsi="Courier New" w:cs="Courier New"/>
        </w:rPr>
        <w:t>Mr. Pattison performed a market-</w:t>
      </w:r>
      <w:r w:rsidR="00630584">
        <w:rPr>
          <w:rFonts w:ascii="Courier New" w:hAnsi="Courier New" w:cs="Courier New"/>
        </w:rPr>
        <w:t>rental analysis</w:t>
      </w:r>
      <w:r w:rsidR="00C70B53">
        <w:rPr>
          <w:rFonts w:ascii="Courier New" w:hAnsi="Courier New" w:cs="Courier New"/>
        </w:rPr>
        <w:t xml:space="preserve"> to determine market rents</w:t>
      </w:r>
      <w:r w:rsidR="00630584">
        <w:rPr>
          <w:rFonts w:ascii="Courier New" w:hAnsi="Courier New" w:cs="Courier New"/>
        </w:rPr>
        <w:t>.  For his analysis, Mr. Pattison differentiated between anchor space and junior anchor/mid-size space</w:t>
      </w:r>
      <w:r w:rsidR="00BA3136">
        <w:rPr>
          <w:rFonts w:ascii="Courier New" w:hAnsi="Courier New" w:cs="Courier New"/>
        </w:rPr>
        <w:t>.  For anchor space, he selected four purportedly comparable properties, each in a different county - Plymouth, Bristol, Worcester</w:t>
      </w:r>
      <w:r w:rsidR="00A33A81">
        <w:rPr>
          <w:rFonts w:ascii="Courier New" w:hAnsi="Courier New" w:cs="Courier New"/>
        </w:rPr>
        <w:t>,</w:t>
      </w:r>
      <w:r w:rsidR="00BA3136">
        <w:rPr>
          <w:rFonts w:ascii="Courier New" w:hAnsi="Courier New" w:cs="Courier New"/>
        </w:rPr>
        <w:t xml:space="preserve"> and Norfolk - and ranging in siz</w:t>
      </w:r>
      <w:r w:rsidR="004E0E12">
        <w:rPr>
          <w:rFonts w:ascii="Courier New" w:hAnsi="Courier New" w:cs="Courier New"/>
        </w:rPr>
        <w:t xml:space="preserve">e from 24,602 </w:t>
      </w:r>
      <w:r w:rsidR="00BA3136">
        <w:rPr>
          <w:rFonts w:ascii="Courier New" w:hAnsi="Courier New" w:cs="Courier New"/>
        </w:rPr>
        <w:t>to 43,143 square feet.  The leases ranged from</w:t>
      </w:r>
      <w:r w:rsidR="004E0E12">
        <w:rPr>
          <w:rFonts w:ascii="Courier New" w:hAnsi="Courier New" w:cs="Courier New"/>
        </w:rPr>
        <w:t xml:space="preserve"> $7.75 to $10.00 per sq</w:t>
      </w:r>
      <w:r w:rsidR="00191CB7">
        <w:rPr>
          <w:rFonts w:ascii="Courier New" w:hAnsi="Courier New" w:cs="Courier New"/>
        </w:rPr>
        <w:t>uare foot.  For junior anchor and</w:t>
      </w:r>
      <w:r w:rsidR="004E0E12">
        <w:rPr>
          <w:rFonts w:ascii="Courier New" w:hAnsi="Courier New" w:cs="Courier New"/>
        </w:rPr>
        <w:t xml:space="preserve"> mid-size space, Mr. Pattison selected four purportedly comparable properties, two in Bristol County, one in Norfolk County</w:t>
      </w:r>
      <w:r w:rsidR="00A33A81">
        <w:rPr>
          <w:rFonts w:ascii="Courier New" w:hAnsi="Courier New" w:cs="Courier New"/>
        </w:rPr>
        <w:t>,</w:t>
      </w:r>
      <w:r w:rsidR="004E0E12">
        <w:rPr>
          <w:rFonts w:ascii="Courier New" w:hAnsi="Courier New" w:cs="Courier New"/>
        </w:rPr>
        <w:t xml:space="preserve"> and one in Plymouth County, and ranging in size from 7,583 to 15,775 square feet. Mr. Pattison made adjustments</w:t>
      </w:r>
      <w:r w:rsidR="002D75E2">
        <w:rPr>
          <w:rFonts w:ascii="Courier New" w:hAnsi="Courier New" w:cs="Courier New"/>
        </w:rPr>
        <w:t xml:space="preserve"> to his comparables</w:t>
      </w:r>
      <w:r w:rsidR="004E0E12">
        <w:rPr>
          <w:rFonts w:ascii="Courier New" w:hAnsi="Courier New" w:cs="Courier New"/>
        </w:rPr>
        <w:t xml:space="preserve"> for </w:t>
      </w:r>
      <w:r w:rsidR="004E0E12">
        <w:rPr>
          <w:rFonts w:ascii="Courier New" w:hAnsi="Courier New" w:cs="Courier New"/>
        </w:rPr>
        <w:lastRenderedPageBreak/>
        <w:t>differences in location, quality, and age as compared with the subject</w:t>
      </w:r>
      <w:r w:rsidR="00A33A81">
        <w:rPr>
          <w:rFonts w:ascii="Courier New" w:hAnsi="Courier New" w:cs="Courier New"/>
        </w:rPr>
        <w:t xml:space="preserve"> property</w:t>
      </w:r>
      <w:r w:rsidR="004E0E12">
        <w:rPr>
          <w:rFonts w:ascii="Courier New" w:hAnsi="Courier New" w:cs="Courier New"/>
        </w:rPr>
        <w:t>.  He also considered the subject property’s rent roll</w:t>
      </w:r>
      <w:r w:rsidR="00C70B53">
        <w:rPr>
          <w:rFonts w:ascii="Courier New" w:hAnsi="Courier New" w:cs="Courier New"/>
        </w:rPr>
        <w:t xml:space="preserve">, including </w:t>
      </w:r>
      <w:r w:rsidR="00063BAA">
        <w:rPr>
          <w:rFonts w:ascii="Courier New" w:hAnsi="Courier New" w:cs="Courier New"/>
        </w:rPr>
        <w:t>rents</w:t>
      </w:r>
      <w:r w:rsidR="00E82AA2">
        <w:rPr>
          <w:rFonts w:ascii="Courier New" w:hAnsi="Courier New" w:cs="Courier New"/>
        </w:rPr>
        <w:t xml:space="preserve"> under renewal leases</w:t>
      </w:r>
      <w:r w:rsidR="004E0E12">
        <w:rPr>
          <w:rFonts w:ascii="Courier New" w:hAnsi="Courier New" w:cs="Courier New"/>
        </w:rPr>
        <w:t>.</w:t>
      </w:r>
      <w:r w:rsidR="00DE0905">
        <w:rPr>
          <w:rFonts w:ascii="Courier New" w:hAnsi="Courier New" w:cs="Courier New"/>
        </w:rPr>
        <w:t xml:space="preserve">  Based on his analysis, Mr. Pattison selected</w:t>
      </w:r>
      <w:r w:rsidR="007A01AA">
        <w:rPr>
          <w:rFonts w:ascii="Courier New" w:hAnsi="Courier New" w:cs="Courier New"/>
        </w:rPr>
        <w:t xml:space="preserve"> $8.00 per square foot for the anchor space occupied by T</w:t>
      </w:r>
      <w:r w:rsidR="00B1518E">
        <w:rPr>
          <w:rFonts w:ascii="Courier New" w:hAnsi="Courier New" w:cs="Courier New"/>
        </w:rPr>
        <w:t>.</w:t>
      </w:r>
      <w:r w:rsidR="007A01AA">
        <w:rPr>
          <w:rFonts w:ascii="Courier New" w:hAnsi="Courier New" w:cs="Courier New"/>
        </w:rPr>
        <w:t>J</w:t>
      </w:r>
      <w:r w:rsidR="00B1518E">
        <w:rPr>
          <w:rFonts w:ascii="Courier New" w:hAnsi="Courier New" w:cs="Courier New"/>
        </w:rPr>
        <w:t>.</w:t>
      </w:r>
      <w:r w:rsidR="007A01AA">
        <w:rPr>
          <w:rFonts w:ascii="Courier New" w:hAnsi="Courier New" w:cs="Courier New"/>
        </w:rPr>
        <w:t xml:space="preserve"> Maxx,</w:t>
      </w:r>
      <w:r w:rsidR="00DE0905">
        <w:rPr>
          <w:rFonts w:ascii="Courier New" w:hAnsi="Courier New" w:cs="Courier New"/>
        </w:rPr>
        <w:t xml:space="preserve"> </w:t>
      </w:r>
      <w:r w:rsidR="007A01AA">
        <w:rPr>
          <w:rFonts w:ascii="Courier New" w:hAnsi="Courier New" w:cs="Courier New"/>
        </w:rPr>
        <w:t>$9.00 per square foo</w:t>
      </w:r>
      <w:r w:rsidR="00DE0905">
        <w:rPr>
          <w:rFonts w:ascii="Courier New" w:hAnsi="Courier New" w:cs="Courier New"/>
        </w:rPr>
        <w:t xml:space="preserve">t for the junior anchor spaces </w:t>
      </w:r>
      <w:r w:rsidR="00C70B53">
        <w:rPr>
          <w:rFonts w:ascii="Courier New" w:hAnsi="Courier New" w:cs="Courier New"/>
        </w:rPr>
        <w:t>renewed</w:t>
      </w:r>
      <w:r w:rsidR="007A01AA">
        <w:rPr>
          <w:rFonts w:ascii="Courier New" w:hAnsi="Courier New" w:cs="Courier New"/>
        </w:rPr>
        <w:t xml:space="preserve"> by Michaels and Office Depot, </w:t>
      </w:r>
      <w:r w:rsidR="00DE0905">
        <w:rPr>
          <w:rFonts w:ascii="Courier New" w:hAnsi="Courier New" w:cs="Courier New"/>
        </w:rPr>
        <w:t xml:space="preserve">and $10.00 per square foot for the mid-size space occupied by Pier 1.  </w:t>
      </w:r>
    </w:p>
    <w:p w14:paraId="338919B3" w14:textId="5E0F3B32" w:rsidR="00DE0905" w:rsidRDefault="007A01AA" w:rsidP="009B35B5">
      <w:pPr>
        <w:spacing w:line="480" w:lineRule="auto"/>
        <w:ind w:firstLine="720"/>
        <w:jc w:val="both"/>
        <w:rPr>
          <w:rFonts w:ascii="Courier New" w:hAnsi="Courier New" w:cs="Courier New"/>
        </w:rPr>
      </w:pPr>
      <w:r>
        <w:rPr>
          <w:rFonts w:ascii="Courier New" w:hAnsi="Courier New" w:cs="Courier New"/>
        </w:rPr>
        <w:t xml:space="preserve">Mr. Pattison next analyzed expenses.  </w:t>
      </w:r>
      <w:r w:rsidR="006724A5">
        <w:rPr>
          <w:rFonts w:ascii="Courier New" w:hAnsi="Courier New" w:cs="Courier New"/>
        </w:rPr>
        <w:t>Mr. Pattison</w:t>
      </w:r>
      <w:r w:rsidR="00C72128">
        <w:rPr>
          <w:rFonts w:ascii="Courier New" w:hAnsi="Courier New" w:cs="Courier New"/>
        </w:rPr>
        <w:t xml:space="preserve"> testified that he</w:t>
      </w:r>
      <w:r w:rsidR="006724A5">
        <w:rPr>
          <w:rFonts w:ascii="Courier New" w:hAnsi="Courier New" w:cs="Courier New"/>
        </w:rPr>
        <w:t xml:space="preserve"> estimated operating expenses bas</w:t>
      </w:r>
      <w:r w:rsidR="00C72128">
        <w:rPr>
          <w:rFonts w:ascii="Courier New" w:hAnsi="Courier New" w:cs="Courier New"/>
        </w:rPr>
        <w:t xml:space="preserve">ed in part on </w:t>
      </w:r>
      <w:r w:rsidR="00CD1389">
        <w:rPr>
          <w:rFonts w:ascii="Courier New" w:hAnsi="Courier New" w:cs="Courier New"/>
        </w:rPr>
        <w:t>data from unidentified properties as reported in his company’s database.  He testified that his company’s appraisers would enter income and expense data from completed appraisals into a company-wide database.  Mr. Pattison did not r</w:t>
      </w:r>
      <w:r w:rsidR="00EB72A3">
        <w:rPr>
          <w:rFonts w:ascii="Courier New" w:hAnsi="Courier New" w:cs="Courier New"/>
        </w:rPr>
        <w:t>eveal the sources of this</w:t>
      </w:r>
      <w:r w:rsidR="00CD1389">
        <w:rPr>
          <w:rFonts w:ascii="Courier New" w:hAnsi="Courier New" w:cs="Courier New"/>
        </w:rPr>
        <w:t xml:space="preserve"> data</w:t>
      </w:r>
      <w:r w:rsidR="00EB72A3">
        <w:rPr>
          <w:rFonts w:ascii="Courier New" w:hAnsi="Courier New" w:cs="Courier New"/>
        </w:rPr>
        <w:t xml:space="preserve">.  In fact, he admitted with respect to several of his expenses that he did not know precisely where they came from but that they were a “generic” figure from the company’s database and “a typical figure used by appraisers.”  </w:t>
      </w:r>
      <w:r w:rsidR="006B0637">
        <w:rPr>
          <w:rFonts w:ascii="Courier New" w:hAnsi="Courier New" w:cs="Courier New"/>
        </w:rPr>
        <w:t>Mr.</w:t>
      </w:r>
      <w:r w:rsidR="00A22FB1">
        <w:rPr>
          <w:rFonts w:ascii="Courier New" w:hAnsi="Courier New" w:cs="Courier New"/>
        </w:rPr>
        <w:t> </w:t>
      </w:r>
      <w:r w:rsidR="006B0637">
        <w:rPr>
          <w:rFonts w:ascii="Courier New" w:hAnsi="Courier New" w:cs="Courier New"/>
        </w:rPr>
        <w:t xml:space="preserve">Pattison concluded that a 10 percent vacancy factor was appropriate based on his database research. </w:t>
      </w:r>
    </w:p>
    <w:p w14:paraId="2EE2A5DD" w14:textId="16020C26" w:rsidR="00093BCE" w:rsidRDefault="004B1EFD" w:rsidP="009B35B5">
      <w:pPr>
        <w:spacing w:line="480" w:lineRule="auto"/>
        <w:ind w:firstLine="720"/>
        <w:jc w:val="both"/>
        <w:rPr>
          <w:rFonts w:ascii="Courier New" w:hAnsi="Courier New" w:cs="Courier New"/>
        </w:rPr>
      </w:pPr>
      <w:r>
        <w:rPr>
          <w:rFonts w:ascii="Courier New" w:hAnsi="Courier New" w:cs="Courier New"/>
        </w:rPr>
        <w:t xml:space="preserve">For his capitalization rate, Mr. Pattison </w:t>
      </w:r>
      <w:r w:rsidR="00A745A2">
        <w:rPr>
          <w:rFonts w:ascii="Courier New" w:hAnsi="Courier New" w:cs="Courier New"/>
        </w:rPr>
        <w:t>looked to national inv</w:t>
      </w:r>
      <w:r w:rsidR="00D25D6B">
        <w:rPr>
          <w:rFonts w:ascii="Courier New" w:hAnsi="Courier New" w:cs="Courier New"/>
        </w:rPr>
        <w:t>estor surveys for retail properties</w:t>
      </w:r>
      <w:r w:rsidR="00E6480E">
        <w:rPr>
          <w:rFonts w:ascii="Courier New" w:hAnsi="Courier New" w:cs="Courier New"/>
        </w:rPr>
        <w:t xml:space="preserve"> as well as developing a band-of-investment analysis</w:t>
      </w:r>
      <w:r w:rsidR="00D25D6B">
        <w:rPr>
          <w:rFonts w:ascii="Courier New" w:hAnsi="Courier New" w:cs="Courier New"/>
        </w:rPr>
        <w:t>.</w:t>
      </w:r>
      <w:r w:rsidR="00E6480E">
        <w:rPr>
          <w:rFonts w:ascii="Courier New" w:hAnsi="Courier New" w:cs="Courier New"/>
        </w:rPr>
        <w:t xml:space="preserve">  Based on his research, Mr. Pattison selected a </w:t>
      </w:r>
      <w:r w:rsidR="00B1518E">
        <w:rPr>
          <w:rFonts w:ascii="Courier New" w:hAnsi="Courier New" w:cs="Courier New"/>
        </w:rPr>
        <w:t xml:space="preserve">base capitalization rate of </w:t>
      </w:r>
      <w:r w:rsidR="00B1518E">
        <w:rPr>
          <w:rFonts w:ascii="Courier New" w:hAnsi="Courier New" w:cs="Courier New"/>
        </w:rPr>
        <w:lastRenderedPageBreak/>
        <w:t>9</w:t>
      </w:r>
      <w:r w:rsidR="00A22FB1">
        <w:rPr>
          <w:rFonts w:ascii="Courier New" w:hAnsi="Courier New" w:cs="Courier New"/>
        </w:rPr>
        <w:t> </w:t>
      </w:r>
      <w:r w:rsidR="00B1518E">
        <w:rPr>
          <w:rFonts w:ascii="Courier New" w:hAnsi="Courier New" w:cs="Courier New"/>
        </w:rPr>
        <w:t>percent, to which he added 10 percent</w:t>
      </w:r>
      <w:r w:rsidR="00E6480E">
        <w:rPr>
          <w:rFonts w:ascii="Courier New" w:hAnsi="Courier New" w:cs="Courier New"/>
        </w:rPr>
        <w:t xml:space="preserve"> of the applicable tax rate for each fiscal year at issue to reflect the landlord’s obligation for real estate taxes on the vacant portion of the subject property.  </w:t>
      </w:r>
      <w:r w:rsidR="00846B73">
        <w:rPr>
          <w:rFonts w:ascii="Courier New" w:hAnsi="Courier New" w:cs="Courier New"/>
        </w:rPr>
        <w:t xml:space="preserve"> </w:t>
      </w:r>
      <w:r w:rsidR="00E6480E">
        <w:rPr>
          <w:rFonts w:ascii="Courier New" w:hAnsi="Courier New" w:cs="Courier New"/>
        </w:rPr>
        <w:t xml:space="preserve">   </w:t>
      </w:r>
    </w:p>
    <w:p w14:paraId="681A4881" w14:textId="2554D944" w:rsidR="00C731F6" w:rsidRDefault="00E6480E" w:rsidP="00C9711E">
      <w:pPr>
        <w:spacing w:line="480" w:lineRule="auto"/>
        <w:ind w:firstLine="720"/>
        <w:jc w:val="both"/>
        <w:rPr>
          <w:rFonts w:ascii="Courier New" w:hAnsi="Courier New" w:cs="Courier New"/>
        </w:rPr>
      </w:pPr>
      <w:r>
        <w:rPr>
          <w:rFonts w:ascii="Courier New" w:hAnsi="Courier New" w:cs="Courier New"/>
        </w:rPr>
        <w:t xml:space="preserve">The appellee </w:t>
      </w:r>
      <w:r w:rsidR="002400AC">
        <w:rPr>
          <w:rFonts w:ascii="Courier New" w:hAnsi="Courier New" w:cs="Courier New"/>
        </w:rPr>
        <w:t>did not present an affirmative case</w:t>
      </w:r>
      <w:r w:rsidR="003C0788">
        <w:rPr>
          <w:rFonts w:ascii="Courier New" w:hAnsi="Courier New" w:cs="Courier New"/>
        </w:rPr>
        <w:t xml:space="preserve"> but instead rested on th</w:t>
      </w:r>
      <w:r w:rsidR="001E1BD3">
        <w:rPr>
          <w:rFonts w:ascii="Courier New" w:hAnsi="Courier New" w:cs="Courier New"/>
        </w:rPr>
        <w:t>e validity of the assessment</w:t>
      </w:r>
      <w:r w:rsidR="002400AC">
        <w:rPr>
          <w:rFonts w:ascii="Courier New" w:hAnsi="Courier New" w:cs="Courier New"/>
        </w:rPr>
        <w:t>s</w:t>
      </w:r>
      <w:r w:rsidR="001E1BD3">
        <w:rPr>
          <w:rFonts w:ascii="Courier New" w:hAnsi="Courier New" w:cs="Courier New"/>
        </w:rPr>
        <w:t>.  However, t</w:t>
      </w:r>
      <w:r w:rsidR="003C0788">
        <w:rPr>
          <w:rFonts w:ascii="Courier New" w:hAnsi="Courier New" w:cs="Courier New"/>
        </w:rPr>
        <w:t xml:space="preserve">he property record cards </w:t>
      </w:r>
      <w:r w:rsidR="001E1BD3">
        <w:rPr>
          <w:rFonts w:ascii="Courier New" w:hAnsi="Courier New" w:cs="Courier New"/>
        </w:rPr>
        <w:t xml:space="preserve">for the subject property were admitted into evidence.  These cards included </w:t>
      </w:r>
      <w:r w:rsidR="003C0788">
        <w:rPr>
          <w:rFonts w:ascii="Courier New" w:hAnsi="Courier New" w:cs="Courier New"/>
        </w:rPr>
        <w:t xml:space="preserve">an income-capitalization analysis.  The Board noted that, for fiscal year 2015, the </w:t>
      </w:r>
      <w:r w:rsidR="00505002">
        <w:rPr>
          <w:rFonts w:ascii="Courier New" w:hAnsi="Courier New" w:cs="Courier New"/>
        </w:rPr>
        <w:t>property record card reflected a value of $8,866,775 derived from the income-capitalization analysis for the subject property, yet the assessment for that fiscal year was $10,032,000</w:t>
      </w:r>
      <w:r w:rsidR="00780AE1">
        <w:rPr>
          <w:rFonts w:ascii="Courier New" w:hAnsi="Courier New" w:cs="Courier New"/>
        </w:rPr>
        <w:t>.</w:t>
      </w:r>
    </w:p>
    <w:p w14:paraId="535C7E30" w14:textId="14760C4E" w:rsidR="0049124E" w:rsidRDefault="00C731F6" w:rsidP="002351E5">
      <w:pPr>
        <w:spacing w:line="480" w:lineRule="auto"/>
        <w:ind w:firstLine="720"/>
        <w:jc w:val="both"/>
        <w:rPr>
          <w:rFonts w:ascii="Courier New" w:hAnsi="Courier New" w:cs="Courier New"/>
        </w:rPr>
      </w:pPr>
      <w:r>
        <w:rPr>
          <w:rFonts w:ascii="Courier New" w:hAnsi="Courier New" w:cs="Courier New"/>
        </w:rPr>
        <w:t xml:space="preserve">On the basis of the evidence, the Board </w:t>
      </w:r>
      <w:r w:rsidR="00537D8D">
        <w:rPr>
          <w:rFonts w:ascii="Courier New" w:hAnsi="Courier New" w:cs="Courier New"/>
        </w:rPr>
        <w:t>agreed with Mr.</w:t>
      </w:r>
      <w:r w:rsidR="00A22FB1">
        <w:rPr>
          <w:rFonts w:ascii="Courier New" w:hAnsi="Courier New" w:cs="Courier New"/>
        </w:rPr>
        <w:t> </w:t>
      </w:r>
      <w:r w:rsidR="00537D8D">
        <w:rPr>
          <w:rFonts w:ascii="Courier New" w:hAnsi="Courier New" w:cs="Courier New"/>
        </w:rPr>
        <w:t>Pattison and</w:t>
      </w:r>
      <w:r>
        <w:rPr>
          <w:rFonts w:ascii="Courier New" w:hAnsi="Courier New" w:cs="Courier New"/>
        </w:rPr>
        <w:t xml:space="preserve"> found that the subject property’s highest and best use was its current use as a retail shopping plaza with an anchor store</w:t>
      </w:r>
      <w:r w:rsidR="00F73F02">
        <w:rPr>
          <w:rFonts w:ascii="Courier New" w:hAnsi="Courier New" w:cs="Courier New"/>
        </w:rPr>
        <w:t xml:space="preserve"> and an ATM</w:t>
      </w:r>
      <w:r>
        <w:rPr>
          <w:rFonts w:ascii="Courier New" w:hAnsi="Courier New" w:cs="Courier New"/>
        </w:rPr>
        <w:t xml:space="preserve"> kiosk.  </w:t>
      </w:r>
    </w:p>
    <w:p w14:paraId="1E61E4E9" w14:textId="0A86D0EE" w:rsidR="00C731F6" w:rsidRDefault="005455FB" w:rsidP="0049124E">
      <w:pPr>
        <w:spacing w:line="480" w:lineRule="auto"/>
        <w:ind w:firstLine="720"/>
        <w:jc w:val="both"/>
        <w:rPr>
          <w:rFonts w:ascii="Courier New" w:hAnsi="Courier New" w:cs="Courier New"/>
        </w:rPr>
      </w:pPr>
      <w:r>
        <w:rPr>
          <w:rFonts w:ascii="Courier New" w:hAnsi="Courier New" w:cs="Courier New"/>
        </w:rPr>
        <w:t>The appellant</w:t>
      </w:r>
      <w:r w:rsidR="002400AC">
        <w:rPr>
          <w:rFonts w:ascii="Courier New" w:hAnsi="Courier New" w:cs="Courier New"/>
        </w:rPr>
        <w:t>s</w:t>
      </w:r>
      <w:r>
        <w:rPr>
          <w:rFonts w:ascii="Courier New" w:hAnsi="Courier New" w:cs="Courier New"/>
        </w:rPr>
        <w:t xml:space="preserve"> did not argue that the sale price was a reliable indicator of fair market value, and with good reason, because the circumstances of the sale suggest compulsion.  In any event, </w:t>
      </w:r>
      <w:r w:rsidR="002020A4">
        <w:rPr>
          <w:rFonts w:ascii="Courier New" w:hAnsi="Courier New" w:cs="Courier New"/>
        </w:rPr>
        <w:t>the sale</w:t>
      </w:r>
      <w:r>
        <w:rPr>
          <w:rFonts w:ascii="Courier New" w:hAnsi="Courier New" w:cs="Courier New"/>
        </w:rPr>
        <w:t xml:space="preserve"> price</w:t>
      </w:r>
      <w:r w:rsidR="002020A4">
        <w:rPr>
          <w:rFonts w:ascii="Courier New" w:hAnsi="Courier New" w:cs="Courier New"/>
        </w:rPr>
        <w:t xml:space="preserve"> </w:t>
      </w:r>
      <w:r w:rsidR="009E26AD">
        <w:rPr>
          <w:rFonts w:ascii="Courier New" w:hAnsi="Courier New" w:cs="Courier New"/>
        </w:rPr>
        <w:t xml:space="preserve">was influenced by the existing leases in the subject property. </w:t>
      </w:r>
      <w:r w:rsidR="00E23C3A">
        <w:rPr>
          <w:rFonts w:ascii="Courier New" w:hAnsi="Courier New" w:cs="Courier New"/>
        </w:rPr>
        <w:t xml:space="preserve"> </w:t>
      </w:r>
    </w:p>
    <w:p w14:paraId="2C978095" w14:textId="7C09D90C" w:rsidR="00C57F6D" w:rsidRDefault="006E039A" w:rsidP="009B35B5">
      <w:pPr>
        <w:spacing w:line="480" w:lineRule="auto"/>
        <w:ind w:firstLine="720"/>
        <w:jc w:val="both"/>
        <w:rPr>
          <w:rFonts w:ascii="Courier New" w:hAnsi="Courier New" w:cs="Courier New"/>
        </w:rPr>
      </w:pPr>
      <w:r>
        <w:rPr>
          <w:rFonts w:ascii="Courier New" w:hAnsi="Courier New" w:cs="Courier New"/>
        </w:rPr>
        <w:t>The Board next</w:t>
      </w:r>
      <w:r w:rsidR="00C731F6">
        <w:rPr>
          <w:rFonts w:ascii="Courier New" w:hAnsi="Courier New" w:cs="Courier New"/>
        </w:rPr>
        <w:t xml:space="preserve"> found that</w:t>
      </w:r>
      <w:r>
        <w:rPr>
          <w:rFonts w:ascii="Courier New" w:hAnsi="Courier New" w:cs="Courier New"/>
        </w:rPr>
        <w:t xml:space="preserve"> </w:t>
      </w:r>
      <w:r w:rsidR="00C731F6">
        <w:rPr>
          <w:rFonts w:ascii="Courier New" w:hAnsi="Courier New" w:cs="Courier New"/>
        </w:rPr>
        <w:t>the appellant</w:t>
      </w:r>
      <w:r w:rsidR="00846D01">
        <w:rPr>
          <w:rFonts w:ascii="Courier New" w:hAnsi="Courier New" w:cs="Courier New"/>
        </w:rPr>
        <w:t>s</w:t>
      </w:r>
      <w:r w:rsidR="00C731F6">
        <w:rPr>
          <w:rFonts w:ascii="Courier New" w:hAnsi="Courier New" w:cs="Courier New"/>
        </w:rPr>
        <w:t xml:space="preserve"> did not present persuasive</w:t>
      </w:r>
      <w:r w:rsidR="009E26AD">
        <w:rPr>
          <w:rFonts w:ascii="Courier New" w:hAnsi="Courier New" w:cs="Courier New"/>
        </w:rPr>
        <w:t xml:space="preserve"> evidence of market-value rents</w:t>
      </w:r>
      <w:r w:rsidR="00C731F6">
        <w:rPr>
          <w:rFonts w:ascii="Courier New" w:hAnsi="Courier New" w:cs="Courier New"/>
        </w:rPr>
        <w:t xml:space="preserve">. </w:t>
      </w:r>
      <w:r>
        <w:rPr>
          <w:rFonts w:ascii="Courier New" w:hAnsi="Courier New" w:cs="Courier New"/>
        </w:rPr>
        <w:t>Mr.</w:t>
      </w:r>
      <w:r w:rsidR="00A22FB1">
        <w:rPr>
          <w:rFonts w:ascii="Courier New" w:hAnsi="Courier New" w:cs="Courier New"/>
        </w:rPr>
        <w:t> </w:t>
      </w:r>
      <w:r>
        <w:rPr>
          <w:rFonts w:ascii="Courier New" w:hAnsi="Courier New" w:cs="Courier New"/>
        </w:rPr>
        <w:t>Pattison</w:t>
      </w:r>
      <w:r w:rsidR="00C57F6D">
        <w:rPr>
          <w:rFonts w:ascii="Courier New" w:hAnsi="Courier New" w:cs="Courier New"/>
        </w:rPr>
        <w:t xml:space="preserve"> </w:t>
      </w:r>
      <w:r w:rsidR="00C57F6D">
        <w:rPr>
          <w:rFonts w:ascii="Courier New" w:hAnsi="Courier New" w:cs="Courier New"/>
        </w:rPr>
        <w:lastRenderedPageBreak/>
        <w:t xml:space="preserve">distinguished between anchor space, junior anchor space, and mid-size tenant space.  Mr. Pattison’s anchor space </w:t>
      </w:r>
      <w:r>
        <w:rPr>
          <w:rFonts w:ascii="Courier New" w:hAnsi="Courier New" w:cs="Courier New"/>
        </w:rPr>
        <w:t>comparable</w:t>
      </w:r>
      <w:r w:rsidR="00C57F6D">
        <w:rPr>
          <w:rFonts w:ascii="Courier New" w:hAnsi="Courier New" w:cs="Courier New"/>
        </w:rPr>
        <w:t>-lease properties rang</w:t>
      </w:r>
      <w:r>
        <w:rPr>
          <w:rFonts w:ascii="Courier New" w:hAnsi="Courier New" w:cs="Courier New"/>
        </w:rPr>
        <w:t>ed from $7.75 to $10</w:t>
      </w:r>
      <w:r w:rsidR="002400AC">
        <w:rPr>
          <w:rFonts w:ascii="Courier New" w:hAnsi="Courier New" w:cs="Courier New"/>
        </w:rPr>
        <w:t>.00</w:t>
      </w:r>
      <w:r>
        <w:rPr>
          <w:rFonts w:ascii="Courier New" w:hAnsi="Courier New" w:cs="Courier New"/>
        </w:rPr>
        <w:t xml:space="preserve"> per sq</w:t>
      </w:r>
      <w:r w:rsidR="00C57F6D">
        <w:rPr>
          <w:rFonts w:ascii="Courier New" w:hAnsi="Courier New" w:cs="Courier New"/>
        </w:rPr>
        <w:t>uare foot, but</w:t>
      </w:r>
      <w:r>
        <w:rPr>
          <w:rFonts w:ascii="Courier New" w:hAnsi="Courier New" w:cs="Courier New"/>
        </w:rPr>
        <w:t xml:space="preserve"> the Board found most of </w:t>
      </w:r>
      <w:r w:rsidR="00C57F6D">
        <w:rPr>
          <w:rFonts w:ascii="Courier New" w:hAnsi="Courier New" w:cs="Courier New"/>
        </w:rPr>
        <w:t>his comparable leases</w:t>
      </w:r>
      <w:r>
        <w:rPr>
          <w:rFonts w:ascii="Courier New" w:hAnsi="Courier New" w:cs="Courier New"/>
        </w:rPr>
        <w:t xml:space="preserve"> to be inferior to the subject</w:t>
      </w:r>
      <w:r w:rsidR="00EC182A">
        <w:rPr>
          <w:rFonts w:ascii="Courier New" w:hAnsi="Courier New" w:cs="Courier New"/>
        </w:rPr>
        <w:t xml:space="preserve"> property</w:t>
      </w:r>
      <w:r w:rsidR="00334626">
        <w:rPr>
          <w:rFonts w:ascii="Courier New" w:hAnsi="Courier New" w:cs="Courier New"/>
        </w:rPr>
        <w:t>, primarily because the subject property had a superior</w:t>
      </w:r>
      <w:r w:rsidR="00D86472">
        <w:rPr>
          <w:rFonts w:ascii="Courier New" w:hAnsi="Courier New" w:cs="Courier New"/>
        </w:rPr>
        <w:t xml:space="preserve"> location</w:t>
      </w:r>
      <w:r>
        <w:rPr>
          <w:rFonts w:ascii="Courier New" w:hAnsi="Courier New" w:cs="Courier New"/>
        </w:rPr>
        <w:t xml:space="preserve">.  </w:t>
      </w:r>
      <w:r w:rsidR="00E02BAF">
        <w:rPr>
          <w:rFonts w:ascii="Courier New" w:hAnsi="Courier New" w:cs="Courier New"/>
        </w:rPr>
        <w:t>The Board</w:t>
      </w:r>
      <w:r w:rsidR="00D86472">
        <w:rPr>
          <w:rFonts w:ascii="Courier New" w:hAnsi="Courier New" w:cs="Courier New"/>
        </w:rPr>
        <w:t>, however,</w:t>
      </w:r>
      <w:r w:rsidR="00E02BAF">
        <w:rPr>
          <w:rFonts w:ascii="Courier New" w:hAnsi="Courier New" w:cs="Courier New"/>
        </w:rPr>
        <w:t xml:space="preserve"> agreed with Mr.</w:t>
      </w:r>
      <w:r w:rsidR="00A22FB1">
        <w:rPr>
          <w:rFonts w:ascii="Courier New" w:hAnsi="Courier New" w:cs="Courier New"/>
        </w:rPr>
        <w:t> </w:t>
      </w:r>
      <w:r w:rsidR="00E02BAF">
        <w:rPr>
          <w:rFonts w:ascii="Courier New" w:hAnsi="Courier New" w:cs="Courier New"/>
        </w:rPr>
        <w:t>Pattison</w:t>
      </w:r>
      <w:r>
        <w:rPr>
          <w:rFonts w:ascii="Courier New" w:hAnsi="Courier New" w:cs="Courier New"/>
        </w:rPr>
        <w:t xml:space="preserve"> that anchor tenants tend to command</w:t>
      </w:r>
      <w:r w:rsidR="00E02BAF">
        <w:rPr>
          <w:rFonts w:ascii="Courier New" w:hAnsi="Courier New" w:cs="Courier New"/>
        </w:rPr>
        <w:t xml:space="preserve"> a lower rent because of their importance to enticing</w:t>
      </w:r>
      <w:r w:rsidR="00C92190">
        <w:rPr>
          <w:rFonts w:ascii="Courier New" w:hAnsi="Courier New" w:cs="Courier New"/>
        </w:rPr>
        <w:t xml:space="preserve"> and retain</w:t>
      </w:r>
      <w:r w:rsidR="00E02BAF">
        <w:rPr>
          <w:rFonts w:ascii="Courier New" w:hAnsi="Courier New" w:cs="Courier New"/>
        </w:rPr>
        <w:t>ing leases at a</w:t>
      </w:r>
      <w:r>
        <w:rPr>
          <w:rFonts w:ascii="Courier New" w:hAnsi="Courier New" w:cs="Courier New"/>
        </w:rPr>
        <w:t xml:space="preserve"> property.  Considering the evidence befo</w:t>
      </w:r>
      <w:r w:rsidR="00A5695E">
        <w:rPr>
          <w:rFonts w:ascii="Courier New" w:hAnsi="Courier New" w:cs="Courier New"/>
        </w:rPr>
        <w:t xml:space="preserve">re it, including the current </w:t>
      </w:r>
      <w:r>
        <w:rPr>
          <w:rFonts w:ascii="Courier New" w:hAnsi="Courier New" w:cs="Courier New"/>
        </w:rPr>
        <w:t>lease for the subject property’s anchor tenant, the Board</w:t>
      </w:r>
      <w:r w:rsidR="007362ED">
        <w:rPr>
          <w:rFonts w:ascii="Courier New" w:hAnsi="Courier New" w:cs="Courier New"/>
        </w:rPr>
        <w:t xml:space="preserve"> f</w:t>
      </w:r>
      <w:r w:rsidR="00334626">
        <w:rPr>
          <w:rFonts w:ascii="Courier New" w:hAnsi="Courier New" w:cs="Courier New"/>
        </w:rPr>
        <w:t xml:space="preserve">ound that the market-rate rent </w:t>
      </w:r>
      <w:r w:rsidR="007362ED">
        <w:rPr>
          <w:rFonts w:ascii="Courier New" w:hAnsi="Courier New" w:cs="Courier New"/>
        </w:rPr>
        <w:t>for the 32,300 square feet of anchor space should be $10.00 per square foot</w:t>
      </w:r>
      <w:r w:rsidR="00C57F6D">
        <w:rPr>
          <w:rFonts w:ascii="Courier New" w:hAnsi="Courier New" w:cs="Courier New"/>
        </w:rPr>
        <w:t xml:space="preserve">, the </w:t>
      </w:r>
      <w:r w:rsidR="00334626">
        <w:rPr>
          <w:rFonts w:ascii="Courier New" w:hAnsi="Courier New" w:cs="Courier New"/>
        </w:rPr>
        <w:t>higher</w:t>
      </w:r>
      <w:r w:rsidR="00C57F6D">
        <w:rPr>
          <w:rFonts w:ascii="Courier New" w:hAnsi="Courier New" w:cs="Courier New"/>
        </w:rPr>
        <w:t xml:space="preserve"> end of Mr. Pattison’s </w:t>
      </w:r>
      <w:r w:rsidR="002400AC">
        <w:rPr>
          <w:rFonts w:ascii="Courier New" w:hAnsi="Courier New" w:cs="Courier New"/>
        </w:rPr>
        <w:t>range of rents for anchor tenants</w:t>
      </w:r>
      <w:r>
        <w:rPr>
          <w:rFonts w:ascii="Courier New" w:hAnsi="Courier New" w:cs="Courier New"/>
        </w:rPr>
        <w:t xml:space="preserve">.  </w:t>
      </w:r>
    </w:p>
    <w:p w14:paraId="4B2CA7F9" w14:textId="021670A9" w:rsidR="00536F34" w:rsidRDefault="00C57F6D" w:rsidP="009B35B5">
      <w:pPr>
        <w:spacing w:line="480" w:lineRule="auto"/>
        <w:ind w:firstLine="720"/>
        <w:jc w:val="both"/>
        <w:rPr>
          <w:rFonts w:ascii="Courier New" w:hAnsi="Courier New" w:cs="Courier New"/>
        </w:rPr>
      </w:pPr>
      <w:r>
        <w:rPr>
          <w:rFonts w:ascii="Courier New" w:hAnsi="Courier New" w:cs="Courier New"/>
        </w:rPr>
        <w:t>The Bo</w:t>
      </w:r>
      <w:r w:rsidR="005D5D66">
        <w:rPr>
          <w:rFonts w:ascii="Courier New" w:hAnsi="Courier New" w:cs="Courier New"/>
        </w:rPr>
        <w:t>ard next</w:t>
      </w:r>
      <w:r w:rsidR="00536F34">
        <w:rPr>
          <w:rFonts w:ascii="Courier New" w:hAnsi="Courier New" w:cs="Courier New"/>
        </w:rPr>
        <w:t xml:space="preserve"> </w:t>
      </w:r>
      <w:r w:rsidR="00B33A04">
        <w:rPr>
          <w:rFonts w:ascii="Courier New" w:hAnsi="Courier New" w:cs="Courier New"/>
        </w:rPr>
        <w:t>categorized the remaining tenants</w:t>
      </w:r>
      <w:r w:rsidR="00536F34">
        <w:rPr>
          <w:rFonts w:ascii="Courier New" w:hAnsi="Courier New" w:cs="Courier New"/>
        </w:rPr>
        <w:t xml:space="preserve"> as </w:t>
      </w:r>
      <w:r w:rsidR="00B33A04">
        <w:rPr>
          <w:rFonts w:ascii="Courier New" w:hAnsi="Courier New" w:cs="Courier New"/>
        </w:rPr>
        <w:t xml:space="preserve">simply </w:t>
      </w:r>
      <w:r w:rsidR="00536F34">
        <w:rPr>
          <w:rFonts w:ascii="Courier New" w:hAnsi="Courier New" w:cs="Courier New"/>
        </w:rPr>
        <w:t xml:space="preserve">non-anchor, rather than junior anchor and mid-size tenant.  </w:t>
      </w:r>
      <w:r w:rsidR="00883FBD">
        <w:rPr>
          <w:rFonts w:ascii="Courier New" w:hAnsi="Courier New" w:cs="Courier New"/>
        </w:rPr>
        <w:t>Having categorized all non-anchor retail space together, t</w:t>
      </w:r>
      <w:r w:rsidR="00536F34">
        <w:rPr>
          <w:rFonts w:ascii="Courier New" w:hAnsi="Courier New" w:cs="Courier New"/>
        </w:rPr>
        <w:t>he Board</w:t>
      </w:r>
      <w:r w:rsidR="00EF19AD">
        <w:rPr>
          <w:rFonts w:ascii="Courier New" w:hAnsi="Courier New" w:cs="Courier New"/>
        </w:rPr>
        <w:t xml:space="preserve"> then</w:t>
      </w:r>
      <w:r w:rsidR="00536F34">
        <w:rPr>
          <w:rFonts w:ascii="Courier New" w:hAnsi="Courier New" w:cs="Courier New"/>
        </w:rPr>
        <w:t xml:space="preserve"> weighed Mr. Pattison’s purportedly comparable</w:t>
      </w:r>
      <w:r w:rsidR="00E755BE">
        <w:rPr>
          <w:rFonts w:ascii="Courier New" w:hAnsi="Courier New" w:cs="Courier New"/>
        </w:rPr>
        <w:t xml:space="preserve"> </w:t>
      </w:r>
      <w:r w:rsidR="00536F34">
        <w:rPr>
          <w:rFonts w:ascii="Courier New" w:hAnsi="Courier New" w:cs="Courier New"/>
        </w:rPr>
        <w:t>leases</w:t>
      </w:r>
      <w:r w:rsidR="00B474AB">
        <w:rPr>
          <w:rFonts w:ascii="Courier New" w:hAnsi="Courier New" w:cs="Courier New"/>
        </w:rPr>
        <w:t>, which the Board found inferior based on their</w:t>
      </w:r>
      <w:r w:rsidR="00E755BE">
        <w:rPr>
          <w:rFonts w:ascii="Courier New" w:hAnsi="Courier New" w:cs="Courier New"/>
        </w:rPr>
        <w:t xml:space="preserve"> locations and </w:t>
      </w:r>
      <w:r w:rsidR="00536F34">
        <w:rPr>
          <w:rFonts w:ascii="Courier New" w:hAnsi="Courier New" w:cs="Courier New"/>
        </w:rPr>
        <w:t>fi</w:t>
      </w:r>
      <w:r w:rsidR="005D5D66">
        <w:rPr>
          <w:rFonts w:ascii="Courier New" w:hAnsi="Courier New" w:cs="Courier New"/>
        </w:rPr>
        <w:t>nishes.  The Board also found that</w:t>
      </w:r>
      <w:r w:rsidR="00E755BE">
        <w:rPr>
          <w:rFonts w:ascii="Courier New" w:hAnsi="Courier New" w:cs="Courier New"/>
        </w:rPr>
        <w:t xml:space="preserve"> the </w:t>
      </w:r>
      <w:r w:rsidR="00536F34">
        <w:rPr>
          <w:rFonts w:ascii="Courier New" w:hAnsi="Courier New" w:cs="Courier New"/>
        </w:rPr>
        <w:t xml:space="preserve">subject property’s </w:t>
      </w:r>
      <w:r w:rsidR="00E755BE">
        <w:rPr>
          <w:rFonts w:ascii="Courier New" w:hAnsi="Courier New" w:cs="Courier New"/>
        </w:rPr>
        <w:t>actual</w:t>
      </w:r>
      <w:r w:rsidR="00536F34">
        <w:rPr>
          <w:rFonts w:ascii="Courier New" w:hAnsi="Courier New" w:cs="Courier New"/>
        </w:rPr>
        <w:t xml:space="preserve"> non-anchor leases</w:t>
      </w:r>
      <w:r w:rsidR="005D5D66">
        <w:rPr>
          <w:rFonts w:ascii="Courier New" w:hAnsi="Courier New" w:cs="Courier New"/>
        </w:rPr>
        <w:t xml:space="preserve"> were relevant to</w:t>
      </w:r>
      <w:r w:rsidR="00334626">
        <w:rPr>
          <w:rFonts w:ascii="Courier New" w:hAnsi="Courier New" w:cs="Courier New"/>
        </w:rPr>
        <w:t xml:space="preserve"> determining a fair market rent</w:t>
      </w:r>
      <w:r w:rsidR="00536F34">
        <w:rPr>
          <w:rFonts w:ascii="Courier New" w:hAnsi="Courier New" w:cs="Courier New"/>
        </w:rPr>
        <w:t xml:space="preserve">. </w:t>
      </w:r>
      <w:r w:rsidR="005D5D66">
        <w:rPr>
          <w:rFonts w:ascii="Courier New" w:hAnsi="Courier New" w:cs="Courier New"/>
        </w:rPr>
        <w:t xml:space="preserve"> T</w:t>
      </w:r>
      <w:r w:rsidR="00C92190" w:rsidRPr="00C92190">
        <w:rPr>
          <w:rFonts w:ascii="Courier New" w:hAnsi="Courier New" w:cs="Courier New"/>
        </w:rPr>
        <w:t>he Board</w:t>
      </w:r>
      <w:r w:rsidR="005D5D66">
        <w:rPr>
          <w:rFonts w:ascii="Courier New" w:hAnsi="Courier New" w:cs="Courier New"/>
        </w:rPr>
        <w:t>,</w:t>
      </w:r>
      <w:r w:rsidR="00C92190" w:rsidRPr="00C92190">
        <w:rPr>
          <w:rFonts w:ascii="Courier New" w:hAnsi="Courier New" w:cs="Courier New"/>
        </w:rPr>
        <w:t xml:space="preserve"> </w:t>
      </w:r>
      <w:r w:rsidR="005D5D66">
        <w:rPr>
          <w:rFonts w:ascii="Courier New" w:hAnsi="Courier New" w:cs="Courier New"/>
        </w:rPr>
        <w:t xml:space="preserve">therefore, </w:t>
      </w:r>
      <w:r w:rsidR="00334626">
        <w:rPr>
          <w:rFonts w:ascii="Courier New" w:hAnsi="Courier New" w:cs="Courier New"/>
        </w:rPr>
        <w:t>found that the market rent</w:t>
      </w:r>
      <w:r w:rsidR="00E755BE" w:rsidRPr="00C92190">
        <w:rPr>
          <w:rFonts w:ascii="Courier New" w:hAnsi="Courier New" w:cs="Courier New"/>
        </w:rPr>
        <w:t xml:space="preserve"> for</w:t>
      </w:r>
      <w:r w:rsidR="007362ED" w:rsidRPr="00C92190">
        <w:rPr>
          <w:rFonts w:ascii="Courier New" w:hAnsi="Courier New" w:cs="Courier New"/>
        </w:rPr>
        <w:t xml:space="preserve"> the</w:t>
      </w:r>
      <w:r w:rsidR="00E755BE" w:rsidRPr="00C92190">
        <w:rPr>
          <w:rFonts w:ascii="Courier New" w:hAnsi="Courier New" w:cs="Courier New"/>
        </w:rPr>
        <w:t xml:space="preserve"> </w:t>
      </w:r>
      <w:r w:rsidR="00883FBD">
        <w:rPr>
          <w:rFonts w:ascii="Courier New" w:hAnsi="Courier New" w:cs="Courier New"/>
        </w:rPr>
        <w:t xml:space="preserve">subject property’s </w:t>
      </w:r>
      <w:r w:rsidR="00E755BE" w:rsidRPr="00C92190">
        <w:rPr>
          <w:rFonts w:ascii="Courier New" w:hAnsi="Courier New" w:cs="Courier New"/>
        </w:rPr>
        <w:t>remaining</w:t>
      </w:r>
      <w:r w:rsidR="007362ED" w:rsidRPr="00C92190">
        <w:rPr>
          <w:rFonts w:ascii="Courier New" w:hAnsi="Courier New" w:cs="Courier New"/>
        </w:rPr>
        <w:t xml:space="preserve"> 52,358 </w:t>
      </w:r>
      <w:r w:rsidR="002400AC">
        <w:rPr>
          <w:rFonts w:ascii="Courier New" w:hAnsi="Courier New" w:cs="Courier New"/>
        </w:rPr>
        <w:t xml:space="preserve">square feet </w:t>
      </w:r>
      <w:r w:rsidR="007362ED" w:rsidRPr="00C92190">
        <w:rPr>
          <w:rFonts w:ascii="Courier New" w:hAnsi="Courier New" w:cs="Courier New"/>
        </w:rPr>
        <w:t>of</w:t>
      </w:r>
      <w:r w:rsidR="00536F34">
        <w:rPr>
          <w:rFonts w:ascii="Courier New" w:hAnsi="Courier New" w:cs="Courier New"/>
        </w:rPr>
        <w:t xml:space="preserve"> non-anchor</w:t>
      </w:r>
      <w:r w:rsidR="007362ED" w:rsidRPr="00C92190">
        <w:rPr>
          <w:rFonts w:ascii="Courier New" w:hAnsi="Courier New" w:cs="Courier New"/>
        </w:rPr>
        <w:t xml:space="preserve"> retail space should be $13.25 per square foot.</w:t>
      </w:r>
      <w:r w:rsidR="006E039A" w:rsidRPr="00C92190">
        <w:rPr>
          <w:rFonts w:ascii="Courier New" w:hAnsi="Courier New" w:cs="Courier New"/>
        </w:rPr>
        <w:t xml:space="preserve">  </w:t>
      </w:r>
    </w:p>
    <w:p w14:paraId="0B34DF1D" w14:textId="132DB358" w:rsidR="00C731F6" w:rsidRDefault="001E7CDA" w:rsidP="009B35B5">
      <w:pPr>
        <w:spacing w:line="480" w:lineRule="auto"/>
        <w:ind w:firstLine="720"/>
        <w:jc w:val="both"/>
        <w:rPr>
          <w:rFonts w:ascii="Courier New" w:hAnsi="Courier New" w:cs="Courier New"/>
        </w:rPr>
      </w:pPr>
      <w:r>
        <w:rPr>
          <w:rFonts w:ascii="Courier New" w:hAnsi="Courier New" w:cs="Courier New"/>
        </w:rPr>
        <w:lastRenderedPageBreak/>
        <w:t>Also with respect to the subject property’s income, t</w:t>
      </w:r>
      <w:r w:rsidR="00C92190">
        <w:rPr>
          <w:rFonts w:ascii="Courier New" w:hAnsi="Courier New" w:cs="Courier New"/>
        </w:rPr>
        <w:t>he Board found that Mr. Pattison presented credible evidence on the income brought in by the ATM kiosk.  The Board thus found that $29,768 should be added as</w:t>
      </w:r>
      <w:r w:rsidR="001027A6">
        <w:rPr>
          <w:rFonts w:ascii="Courier New" w:hAnsi="Courier New" w:cs="Courier New"/>
        </w:rPr>
        <w:t xml:space="preserve"> </w:t>
      </w:r>
      <w:r w:rsidR="004D40AD">
        <w:rPr>
          <w:rFonts w:ascii="Courier New" w:hAnsi="Courier New" w:cs="Courier New"/>
        </w:rPr>
        <w:t xml:space="preserve">an </w:t>
      </w:r>
      <w:r w:rsidR="001027A6">
        <w:rPr>
          <w:rFonts w:ascii="Courier New" w:hAnsi="Courier New" w:cs="Courier New"/>
        </w:rPr>
        <w:t>item of</w:t>
      </w:r>
      <w:r w:rsidR="00C92190">
        <w:rPr>
          <w:rFonts w:ascii="Courier New" w:hAnsi="Courier New" w:cs="Courier New"/>
        </w:rPr>
        <w:t xml:space="preserve"> miscellaneous </w:t>
      </w:r>
      <w:r w:rsidR="00883FBD">
        <w:rPr>
          <w:rFonts w:ascii="Courier New" w:hAnsi="Courier New" w:cs="Courier New"/>
        </w:rPr>
        <w:t xml:space="preserve">gross </w:t>
      </w:r>
      <w:r w:rsidR="00C92190">
        <w:rPr>
          <w:rFonts w:ascii="Courier New" w:hAnsi="Courier New" w:cs="Courier New"/>
        </w:rPr>
        <w:t>income in each fiscal year at issue.</w:t>
      </w:r>
    </w:p>
    <w:p w14:paraId="06602558" w14:textId="251A7964" w:rsidR="00C92190" w:rsidRDefault="00C92190" w:rsidP="00C92190">
      <w:pPr>
        <w:spacing w:line="480" w:lineRule="auto"/>
        <w:ind w:firstLine="720"/>
        <w:jc w:val="both"/>
        <w:rPr>
          <w:rFonts w:ascii="Courier New" w:hAnsi="Courier New" w:cs="Courier New"/>
        </w:rPr>
      </w:pPr>
      <w:r w:rsidRPr="00C92190">
        <w:rPr>
          <w:rFonts w:ascii="Courier New" w:hAnsi="Courier New" w:cs="Courier New"/>
        </w:rPr>
        <w:t>With resp</w:t>
      </w:r>
      <w:r>
        <w:rPr>
          <w:rFonts w:ascii="Courier New" w:hAnsi="Courier New" w:cs="Courier New"/>
        </w:rPr>
        <w:t xml:space="preserve">ect to vacancy, the Board </w:t>
      </w:r>
      <w:r w:rsidR="0059657B">
        <w:rPr>
          <w:rFonts w:ascii="Courier New" w:hAnsi="Courier New" w:cs="Courier New"/>
        </w:rPr>
        <w:t>was not persuaded by M</w:t>
      </w:r>
      <w:r>
        <w:rPr>
          <w:rFonts w:ascii="Courier New" w:hAnsi="Courier New" w:cs="Courier New"/>
        </w:rPr>
        <w:t>r.</w:t>
      </w:r>
      <w:r w:rsidR="00A22FB1">
        <w:rPr>
          <w:rFonts w:ascii="Courier New" w:hAnsi="Courier New" w:cs="Courier New"/>
        </w:rPr>
        <w:t> </w:t>
      </w:r>
      <w:r>
        <w:rPr>
          <w:rFonts w:ascii="Courier New" w:hAnsi="Courier New" w:cs="Courier New"/>
        </w:rPr>
        <w:t>Pa</w:t>
      </w:r>
      <w:r w:rsidR="0059657B">
        <w:rPr>
          <w:rFonts w:ascii="Courier New" w:hAnsi="Courier New" w:cs="Courier New"/>
        </w:rPr>
        <w:t xml:space="preserve">ttison’s </w:t>
      </w:r>
      <w:r w:rsidR="002400AC">
        <w:rPr>
          <w:rFonts w:ascii="Courier New" w:hAnsi="Courier New" w:cs="Courier New"/>
        </w:rPr>
        <w:t>10</w:t>
      </w:r>
      <w:r w:rsidR="00FE264E">
        <w:rPr>
          <w:rFonts w:ascii="Courier New" w:hAnsi="Courier New" w:cs="Courier New"/>
        </w:rPr>
        <w:t xml:space="preserve"> percent</w:t>
      </w:r>
      <w:r w:rsidR="00334626">
        <w:rPr>
          <w:rFonts w:ascii="Courier New" w:hAnsi="Courier New" w:cs="Courier New"/>
        </w:rPr>
        <w:t xml:space="preserve"> vacancy rate </w:t>
      </w:r>
      <w:r w:rsidR="0059657B">
        <w:rPr>
          <w:rFonts w:ascii="Courier New" w:hAnsi="Courier New" w:cs="Courier New"/>
        </w:rPr>
        <w:t xml:space="preserve">but instead </w:t>
      </w:r>
      <w:r w:rsidR="00334626">
        <w:rPr>
          <w:rFonts w:ascii="Courier New" w:hAnsi="Courier New" w:cs="Courier New"/>
        </w:rPr>
        <w:t xml:space="preserve">adopted </w:t>
      </w:r>
      <w:r w:rsidR="0059657B">
        <w:rPr>
          <w:rFonts w:ascii="Courier New" w:hAnsi="Courier New" w:cs="Courier New"/>
        </w:rPr>
        <w:t xml:space="preserve">an </w:t>
      </w:r>
      <w:r w:rsidR="002400AC">
        <w:rPr>
          <w:rFonts w:ascii="Courier New" w:hAnsi="Courier New" w:cs="Courier New"/>
        </w:rPr>
        <w:t>8</w:t>
      </w:r>
      <w:r w:rsidR="00A22FB1">
        <w:rPr>
          <w:rFonts w:ascii="Courier New" w:hAnsi="Courier New" w:cs="Courier New"/>
        </w:rPr>
        <w:t> </w:t>
      </w:r>
      <w:r w:rsidR="00FE264E">
        <w:rPr>
          <w:rFonts w:ascii="Courier New" w:hAnsi="Courier New" w:cs="Courier New"/>
        </w:rPr>
        <w:t>percent</w:t>
      </w:r>
      <w:r w:rsidR="001027A6">
        <w:rPr>
          <w:rFonts w:ascii="Courier New" w:hAnsi="Courier New" w:cs="Courier New"/>
        </w:rPr>
        <w:t xml:space="preserve"> </w:t>
      </w:r>
      <w:r w:rsidR="0059657B">
        <w:rPr>
          <w:rFonts w:ascii="Courier New" w:hAnsi="Courier New" w:cs="Courier New"/>
        </w:rPr>
        <w:t xml:space="preserve">rate </w:t>
      </w:r>
      <w:r>
        <w:rPr>
          <w:rFonts w:ascii="Courier New" w:hAnsi="Courier New" w:cs="Courier New"/>
        </w:rPr>
        <w:t>for the subject property’</w:t>
      </w:r>
      <w:r w:rsidR="00334626">
        <w:rPr>
          <w:rFonts w:ascii="Courier New" w:hAnsi="Courier New" w:cs="Courier New"/>
        </w:rPr>
        <w:t>s retail space and</w:t>
      </w:r>
      <w:r w:rsidR="001027A6">
        <w:rPr>
          <w:rFonts w:ascii="Courier New" w:hAnsi="Courier New" w:cs="Courier New"/>
        </w:rPr>
        <w:t xml:space="preserve"> </w:t>
      </w:r>
      <w:r w:rsidR="0059657B">
        <w:rPr>
          <w:rFonts w:ascii="Courier New" w:hAnsi="Courier New" w:cs="Courier New"/>
        </w:rPr>
        <w:t xml:space="preserve">a </w:t>
      </w:r>
      <w:r w:rsidR="002400AC">
        <w:rPr>
          <w:rFonts w:ascii="Courier New" w:hAnsi="Courier New" w:cs="Courier New"/>
        </w:rPr>
        <w:t>5</w:t>
      </w:r>
      <w:r w:rsidR="000043FE">
        <w:rPr>
          <w:rFonts w:ascii="Courier New" w:hAnsi="Courier New" w:cs="Courier New"/>
        </w:rPr>
        <w:t> </w:t>
      </w:r>
      <w:r w:rsidR="00FE264E">
        <w:rPr>
          <w:rFonts w:ascii="Courier New" w:hAnsi="Courier New" w:cs="Courier New"/>
        </w:rPr>
        <w:t>percent</w:t>
      </w:r>
      <w:r>
        <w:rPr>
          <w:rFonts w:ascii="Courier New" w:hAnsi="Courier New" w:cs="Courier New"/>
        </w:rPr>
        <w:t xml:space="preserve"> </w:t>
      </w:r>
      <w:r w:rsidR="0059657B">
        <w:rPr>
          <w:rFonts w:ascii="Courier New" w:hAnsi="Courier New" w:cs="Courier New"/>
        </w:rPr>
        <w:t xml:space="preserve">rate </w:t>
      </w:r>
      <w:r>
        <w:rPr>
          <w:rFonts w:ascii="Courier New" w:hAnsi="Courier New" w:cs="Courier New"/>
        </w:rPr>
        <w:t>for the ATM kiosk.</w:t>
      </w:r>
    </w:p>
    <w:p w14:paraId="31855139" w14:textId="371F32D9" w:rsidR="005F2DD4" w:rsidRDefault="00C92190" w:rsidP="00C92190">
      <w:pPr>
        <w:spacing w:line="480" w:lineRule="auto"/>
        <w:ind w:firstLine="720"/>
        <w:jc w:val="both"/>
        <w:rPr>
          <w:rFonts w:ascii="Courier New" w:hAnsi="Courier New" w:cs="Courier New"/>
        </w:rPr>
      </w:pPr>
      <w:r>
        <w:rPr>
          <w:rFonts w:ascii="Courier New" w:hAnsi="Courier New" w:cs="Courier New"/>
        </w:rPr>
        <w:t xml:space="preserve">Next, the Board found that Mr. Pattison’s </w:t>
      </w:r>
      <w:r w:rsidR="00AA3B33">
        <w:rPr>
          <w:rFonts w:ascii="Courier New" w:hAnsi="Courier New" w:cs="Courier New"/>
        </w:rPr>
        <w:t xml:space="preserve">operating </w:t>
      </w:r>
      <w:r>
        <w:rPr>
          <w:rFonts w:ascii="Courier New" w:hAnsi="Courier New" w:cs="Courier New"/>
        </w:rPr>
        <w:t xml:space="preserve">expenses were </w:t>
      </w:r>
      <w:r w:rsidR="00B06686">
        <w:rPr>
          <w:rFonts w:ascii="Courier New" w:hAnsi="Courier New" w:cs="Courier New"/>
        </w:rPr>
        <w:t xml:space="preserve">simply </w:t>
      </w:r>
      <w:r w:rsidR="00334626">
        <w:rPr>
          <w:rFonts w:ascii="Courier New" w:hAnsi="Courier New" w:cs="Courier New"/>
        </w:rPr>
        <w:t>extracted from general database</w:t>
      </w:r>
      <w:r>
        <w:rPr>
          <w:rFonts w:ascii="Courier New" w:hAnsi="Courier New" w:cs="Courier New"/>
        </w:rPr>
        <w:t xml:space="preserve"> sources and included no support</w:t>
      </w:r>
      <w:r w:rsidR="00B06686">
        <w:rPr>
          <w:rFonts w:ascii="Courier New" w:hAnsi="Courier New" w:cs="Courier New"/>
        </w:rPr>
        <w:t>ing detail specific to the subject property</w:t>
      </w:r>
      <w:r>
        <w:rPr>
          <w:rFonts w:ascii="Courier New" w:hAnsi="Courier New" w:cs="Courier New"/>
        </w:rPr>
        <w:t>.  The Board</w:t>
      </w:r>
      <w:r w:rsidR="00B06686">
        <w:rPr>
          <w:rFonts w:ascii="Courier New" w:hAnsi="Courier New" w:cs="Courier New"/>
        </w:rPr>
        <w:t xml:space="preserve"> thus found that the </w:t>
      </w:r>
      <w:r w:rsidR="00846D01">
        <w:rPr>
          <w:rFonts w:ascii="Courier New" w:hAnsi="Courier New" w:cs="Courier New"/>
        </w:rPr>
        <w:t>appellants failed to meet their</w:t>
      </w:r>
      <w:r w:rsidR="00B06686">
        <w:rPr>
          <w:rFonts w:ascii="Courier New" w:hAnsi="Courier New" w:cs="Courier New"/>
        </w:rPr>
        <w:t xml:space="preserve"> burden of proof on appropriate net operating expenses</w:t>
      </w:r>
      <w:r>
        <w:rPr>
          <w:rFonts w:ascii="Courier New" w:hAnsi="Courier New" w:cs="Courier New"/>
        </w:rPr>
        <w:t xml:space="preserve"> </w:t>
      </w:r>
      <w:r w:rsidR="00B06686">
        <w:rPr>
          <w:rFonts w:ascii="Courier New" w:hAnsi="Courier New" w:cs="Courier New"/>
        </w:rPr>
        <w:t xml:space="preserve">and </w:t>
      </w:r>
      <w:r>
        <w:rPr>
          <w:rFonts w:ascii="Courier New" w:hAnsi="Courier New" w:cs="Courier New"/>
        </w:rPr>
        <w:t>instead adopted the appellee’s operating expense</w:t>
      </w:r>
      <w:r w:rsidR="002400AC">
        <w:rPr>
          <w:rFonts w:ascii="Courier New" w:hAnsi="Courier New" w:cs="Courier New"/>
        </w:rPr>
        <w:t>s of 22 percent</w:t>
      </w:r>
      <w:r w:rsidR="00FE264E">
        <w:rPr>
          <w:rFonts w:ascii="Courier New" w:hAnsi="Courier New" w:cs="Courier New"/>
        </w:rPr>
        <w:t xml:space="preserve"> </w:t>
      </w:r>
      <w:r w:rsidR="002400AC">
        <w:rPr>
          <w:rFonts w:ascii="Courier New" w:hAnsi="Courier New" w:cs="Courier New"/>
        </w:rPr>
        <w:t>for the retail space and 15 percent</w:t>
      </w:r>
      <w:r>
        <w:rPr>
          <w:rFonts w:ascii="Courier New" w:hAnsi="Courier New" w:cs="Courier New"/>
        </w:rPr>
        <w:t xml:space="preserve"> for the ATM kiosk. </w:t>
      </w:r>
    </w:p>
    <w:p w14:paraId="6289D0A5" w14:textId="04FEBCC1" w:rsidR="00157F26" w:rsidRDefault="00B06686" w:rsidP="00C92190">
      <w:pPr>
        <w:spacing w:line="480" w:lineRule="auto"/>
        <w:ind w:firstLine="720"/>
        <w:jc w:val="both"/>
        <w:rPr>
          <w:rFonts w:ascii="Courier New" w:hAnsi="Courier New" w:cs="Courier New"/>
        </w:rPr>
      </w:pPr>
      <w:r>
        <w:rPr>
          <w:rFonts w:ascii="Courier New" w:hAnsi="Courier New" w:cs="Courier New"/>
        </w:rPr>
        <w:t>F</w:t>
      </w:r>
      <w:r w:rsidR="00C92190">
        <w:rPr>
          <w:rFonts w:ascii="Courier New" w:hAnsi="Courier New" w:cs="Courier New"/>
        </w:rPr>
        <w:t xml:space="preserve">or the capitalization rate, the Board </w:t>
      </w:r>
      <w:r w:rsidR="00157F26">
        <w:rPr>
          <w:rFonts w:ascii="Courier New" w:hAnsi="Courier New" w:cs="Courier New"/>
        </w:rPr>
        <w:t>found that</w:t>
      </w:r>
      <w:r>
        <w:rPr>
          <w:rFonts w:ascii="Courier New" w:hAnsi="Courier New" w:cs="Courier New"/>
        </w:rPr>
        <w:t xml:space="preserve"> Mr.</w:t>
      </w:r>
      <w:r w:rsidR="000043FE">
        <w:rPr>
          <w:rFonts w:ascii="Courier New" w:hAnsi="Courier New" w:cs="Courier New"/>
        </w:rPr>
        <w:t> </w:t>
      </w:r>
      <w:r>
        <w:rPr>
          <w:rFonts w:ascii="Courier New" w:hAnsi="Courier New" w:cs="Courier New"/>
        </w:rPr>
        <w:t>Pattison</w:t>
      </w:r>
      <w:r w:rsidR="00D558D9">
        <w:rPr>
          <w:rFonts w:ascii="Courier New" w:hAnsi="Courier New" w:cs="Courier New"/>
        </w:rPr>
        <w:t xml:space="preserve"> </w:t>
      </w:r>
      <w:r w:rsidR="00157F26">
        <w:rPr>
          <w:rFonts w:ascii="Courier New" w:hAnsi="Courier New" w:cs="Courier New"/>
        </w:rPr>
        <w:t xml:space="preserve">adequately supported </w:t>
      </w:r>
      <w:r w:rsidR="002400AC">
        <w:rPr>
          <w:rFonts w:ascii="Courier New" w:hAnsi="Courier New" w:cs="Courier New"/>
        </w:rPr>
        <w:t>a base capitalization rate of 9 percent</w:t>
      </w:r>
      <w:r w:rsidR="00157F26">
        <w:rPr>
          <w:rFonts w:ascii="Courier New" w:hAnsi="Courier New" w:cs="Courier New"/>
        </w:rPr>
        <w:t xml:space="preserve"> for fiscal years 2015 and 2016.  However, </w:t>
      </w:r>
      <w:r w:rsidR="00D558D9">
        <w:rPr>
          <w:rFonts w:ascii="Courier New" w:hAnsi="Courier New" w:cs="Courier New"/>
        </w:rPr>
        <w:t xml:space="preserve">based on </w:t>
      </w:r>
      <w:r w:rsidR="00F90C60">
        <w:rPr>
          <w:rFonts w:ascii="Courier New" w:hAnsi="Courier New" w:cs="Courier New"/>
        </w:rPr>
        <w:t>surveys summarized and relied upon by Mr. Pattison</w:t>
      </w:r>
      <w:r w:rsidR="00D558D9">
        <w:rPr>
          <w:rFonts w:ascii="Courier New" w:hAnsi="Courier New" w:cs="Courier New"/>
        </w:rPr>
        <w:t xml:space="preserve">, </w:t>
      </w:r>
      <w:r w:rsidR="00157F26">
        <w:rPr>
          <w:rFonts w:ascii="Courier New" w:hAnsi="Courier New" w:cs="Courier New"/>
        </w:rPr>
        <w:t>the Board noted a decline in capitalization rates fr</w:t>
      </w:r>
      <w:r w:rsidR="00B474AB">
        <w:rPr>
          <w:rFonts w:ascii="Courier New" w:hAnsi="Courier New" w:cs="Courier New"/>
        </w:rPr>
        <w:t xml:space="preserve">om </w:t>
      </w:r>
      <w:r w:rsidR="002400AC">
        <w:rPr>
          <w:rFonts w:ascii="Courier New" w:hAnsi="Courier New" w:cs="Courier New"/>
        </w:rPr>
        <w:t>fiscal year 2016 to</w:t>
      </w:r>
      <w:r w:rsidR="00B474AB">
        <w:rPr>
          <w:rFonts w:ascii="Courier New" w:hAnsi="Courier New" w:cs="Courier New"/>
        </w:rPr>
        <w:t xml:space="preserve"> 2017.  The Board</w:t>
      </w:r>
      <w:r w:rsidR="00157F26">
        <w:rPr>
          <w:rFonts w:ascii="Courier New" w:hAnsi="Courier New" w:cs="Courier New"/>
        </w:rPr>
        <w:t xml:space="preserve"> thus adopted a lower b</w:t>
      </w:r>
      <w:r w:rsidR="002400AC">
        <w:rPr>
          <w:rFonts w:ascii="Courier New" w:hAnsi="Courier New" w:cs="Courier New"/>
        </w:rPr>
        <w:t>ase capitalization rate of 8.75 percent</w:t>
      </w:r>
      <w:r w:rsidR="00157F26">
        <w:rPr>
          <w:rFonts w:ascii="Courier New" w:hAnsi="Courier New" w:cs="Courier New"/>
        </w:rPr>
        <w:t xml:space="preserve"> for fiscal year 2017.  The Board further found th</w:t>
      </w:r>
      <w:r w:rsidR="00001513">
        <w:rPr>
          <w:rFonts w:ascii="Courier New" w:hAnsi="Courier New" w:cs="Courier New"/>
        </w:rPr>
        <w:t>at the base capitalization rate</w:t>
      </w:r>
      <w:r w:rsidR="00157F26">
        <w:rPr>
          <w:rFonts w:ascii="Courier New" w:hAnsi="Courier New" w:cs="Courier New"/>
        </w:rPr>
        <w:t xml:space="preserve"> should be loaded with a pro </w:t>
      </w:r>
      <w:r w:rsidR="00157F26">
        <w:rPr>
          <w:rFonts w:ascii="Courier New" w:hAnsi="Courier New" w:cs="Courier New"/>
        </w:rPr>
        <w:lastRenderedPageBreak/>
        <w:t>rata portion of the tax rate</w:t>
      </w:r>
      <w:r w:rsidR="00287F9D">
        <w:rPr>
          <w:rFonts w:ascii="Courier New" w:hAnsi="Courier New" w:cs="Courier New"/>
        </w:rPr>
        <w:t xml:space="preserve"> to account for the landlord’s obligation to pay real estate taxes on the vacant portions of the subject property</w:t>
      </w:r>
      <w:r w:rsidR="00C50910" w:rsidRPr="00C50910">
        <w:rPr>
          <w:rFonts w:ascii="Courier New" w:hAnsi="Courier New" w:cs="Courier New"/>
        </w:rPr>
        <w:t xml:space="preserve">.  </w:t>
      </w:r>
      <w:r w:rsidR="00287F9D">
        <w:rPr>
          <w:rFonts w:ascii="Courier New" w:hAnsi="Courier New" w:cs="Courier New"/>
        </w:rPr>
        <w:t>T</w:t>
      </w:r>
      <w:r w:rsidR="00C50910">
        <w:rPr>
          <w:rFonts w:ascii="Courier New" w:hAnsi="Courier New" w:cs="Courier New"/>
        </w:rPr>
        <w:t xml:space="preserve">he </w:t>
      </w:r>
      <w:r w:rsidR="00287F9D">
        <w:rPr>
          <w:rFonts w:ascii="Courier New" w:hAnsi="Courier New" w:cs="Courier New"/>
        </w:rPr>
        <w:t>Board’s loaded capitalization rate</w:t>
      </w:r>
      <w:r w:rsidR="00C50910">
        <w:rPr>
          <w:rFonts w:ascii="Courier New" w:hAnsi="Courier New" w:cs="Courier New"/>
        </w:rPr>
        <w:t xml:space="preserve"> accounted for the blended</w:t>
      </w:r>
      <w:r w:rsidR="009F4A36">
        <w:rPr>
          <w:rFonts w:ascii="Courier New" w:hAnsi="Courier New" w:cs="Courier New"/>
        </w:rPr>
        <w:t xml:space="preserve"> vacancy rates of the retail space and the ATM kiosk</w:t>
      </w:r>
      <w:r w:rsidR="00157F26">
        <w:rPr>
          <w:rFonts w:ascii="Courier New" w:hAnsi="Courier New" w:cs="Courier New"/>
        </w:rPr>
        <w:t xml:space="preserve">.  </w:t>
      </w:r>
    </w:p>
    <w:p w14:paraId="5C163B15" w14:textId="77777777" w:rsidR="00157F26" w:rsidRDefault="00157F26" w:rsidP="00C92190">
      <w:pPr>
        <w:spacing w:line="480" w:lineRule="auto"/>
        <w:ind w:firstLine="720"/>
        <w:jc w:val="both"/>
        <w:rPr>
          <w:rFonts w:ascii="Courier New" w:hAnsi="Courier New" w:cs="Courier New"/>
        </w:rPr>
      </w:pPr>
      <w:r>
        <w:rPr>
          <w:rFonts w:ascii="Courier New" w:hAnsi="Courier New" w:cs="Courier New"/>
        </w:rPr>
        <w:t>After applying the above factors, the Board found that the following rounded values were appropriate fair market va</w:t>
      </w:r>
      <w:r w:rsidR="00D558D9">
        <w:rPr>
          <w:rFonts w:ascii="Courier New" w:hAnsi="Courier New" w:cs="Courier New"/>
        </w:rPr>
        <w:t xml:space="preserve">lues for the subject property: </w:t>
      </w:r>
      <w:r>
        <w:rPr>
          <w:rFonts w:ascii="Courier New" w:hAnsi="Courier New" w:cs="Courier New"/>
        </w:rPr>
        <w:t xml:space="preserve">$8,157,000 for fiscal year 2015; $8,152,000 for fiscal year 2016; and $8,373,000 for fiscal year 2017.  </w:t>
      </w:r>
    </w:p>
    <w:p w14:paraId="5BE5791B" w14:textId="277BB02C" w:rsidR="00C92190" w:rsidRDefault="00157F26" w:rsidP="00C92190">
      <w:pPr>
        <w:spacing w:line="480" w:lineRule="auto"/>
        <w:ind w:firstLine="720"/>
        <w:jc w:val="both"/>
        <w:rPr>
          <w:rFonts w:ascii="Courier New" w:hAnsi="Courier New" w:cs="Courier New"/>
        </w:rPr>
      </w:pPr>
      <w:r>
        <w:rPr>
          <w:rFonts w:ascii="Courier New" w:hAnsi="Courier New" w:cs="Courier New"/>
        </w:rPr>
        <w:t xml:space="preserve">The Board thus issued </w:t>
      </w:r>
      <w:r w:rsidR="002400AC">
        <w:rPr>
          <w:rFonts w:ascii="Courier New" w:hAnsi="Courier New" w:cs="Courier New"/>
        </w:rPr>
        <w:t>a decision</w:t>
      </w:r>
      <w:r>
        <w:rPr>
          <w:rFonts w:ascii="Courier New" w:hAnsi="Courier New" w:cs="Courier New"/>
        </w:rPr>
        <w:t xml:space="preserve"> for the </w:t>
      </w:r>
      <w:r w:rsidR="00846D01">
        <w:rPr>
          <w:rFonts w:ascii="Courier New" w:hAnsi="Courier New" w:cs="Courier New"/>
        </w:rPr>
        <w:t xml:space="preserve">appellants </w:t>
      </w:r>
      <w:r>
        <w:rPr>
          <w:rFonts w:ascii="Courier New" w:hAnsi="Courier New" w:cs="Courier New"/>
        </w:rPr>
        <w:t>and granted abatement</w:t>
      </w:r>
      <w:r w:rsidR="002400AC">
        <w:rPr>
          <w:rFonts w:ascii="Courier New" w:hAnsi="Courier New" w:cs="Courier New"/>
        </w:rPr>
        <w:t>s</w:t>
      </w:r>
      <w:r>
        <w:rPr>
          <w:rFonts w:ascii="Courier New" w:hAnsi="Courier New" w:cs="Courier New"/>
        </w:rPr>
        <w:t xml:space="preserve"> as follows:  $62,343.75 for fiscal year 2015; $18,263.11 for fiscal year 2016; and $11,856.99 for fiscal year 2017. </w:t>
      </w:r>
    </w:p>
    <w:p w14:paraId="72860A8D" w14:textId="77777777" w:rsidR="002400AC" w:rsidRDefault="002400AC" w:rsidP="00C92190">
      <w:pPr>
        <w:spacing w:line="480" w:lineRule="auto"/>
        <w:ind w:firstLine="720"/>
        <w:jc w:val="both"/>
        <w:rPr>
          <w:rFonts w:ascii="Courier New" w:hAnsi="Courier New" w:cs="Courier New"/>
        </w:rPr>
      </w:pPr>
    </w:p>
    <w:p w14:paraId="0D63F0E8" w14:textId="77777777" w:rsidR="00CE3359" w:rsidRPr="00CE3359" w:rsidRDefault="00CE3359" w:rsidP="00CE3359">
      <w:pPr>
        <w:spacing w:line="480" w:lineRule="auto"/>
        <w:jc w:val="center"/>
        <w:rPr>
          <w:rFonts w:ascii="Courier New" w:hAnsi="Courier New" w:cs="Courier New"/>
          <w:b/>
        </w:rPr>
      </w:pPr>
      <w:r>
        <w:rPr>
          <w:rFonts w:ascii="Courier New" w:hAnsi="Courier New" w:cs="Courier New"/>
          <w:b/>
        </w:rPr>
        <w:t>OPINION</w:t>
      </w:r>
    </w:p>
    <w:p w14:paraId="4E1D9D91" w14:textId="5ECF5052" w:rsidR="00CE3359" w:rsidRDefault="00CE3359" w:rsidP="00CE3359">
      <w:pPr>
        <w:spacing w:line="480" w:lineRule="auto"/>
        <w:ind w:firstLine="720"/>
        <w:jc w:val="both"/>
        <w:rPr>
          <w:rFonts w:ascii="Courier New" w:hAnsi="Courier New" w:cs="Courier New"/>
        </w:rPr>
      </w:pPr>
      <w:r w:rsidRPr="005451E8">
        <w:rPr>
          <w:rFonts w:ascii="Courier New" w:hAnsi="Courier New" w:cs="Courier New"/>
        </w:rPr>
        <w:t>The assessors are required to assess real estate at its fair cash value.</w:t>
      </w:r>
      <w:r w:rsidR="00432DF3">
        <w:rPr>
          <w:rFonts w:ascii="Courier New" w:hAnsi="Courier New" w:cs="Courier New"/>
        </w:rPr>
        <w:t xml:space="preserve"> </w:t>
      </w:r>
      <w:r w:rsidRPr="005451E8">
        <w:rPr>
          <w:rFonts w:ascii="Courier New" w:hAnsi="Courier New" w:cs="Courier New"/>
        </w:rPr>
        <w:t xml:space="preserve"> G.L. c. 59, § 38.  Fair cash value is defined as the price on which a willing seller and a willing buyer will agree if both of them are fully informed and under no compulsion.  </w:t>
      </w:r>
      <w:r w:rsidRPr="005451E8">
        <w:rPr>
          <w:rFonts w:ascii="Courier New" w:hAnsi="Courier New" w:cs="Courier New"/>
          <w:b/>
          <w:bCs/>
          <w:i/>
          <w:iCs/>
        </w:rPr>
        <w:t>Boston Gas Co. v. Assessors of Boston,</w:t>
      </w:r>
      <w:r w:rsidRPr="005451E8">
        <w:rPr>
          <w:rFonts w:ascii="Courier New" w:hAnsi="Courier New" w:cs="Courier New"/>
        </w:rPr>
        <w:t xml:space="preserve"> 334 Mass. 549, 566 (1956).  </w:t>
      </w:r>
    </w:p>
    <w:p w14:paraId="6132A0BC" w14:textId="65092FCA" w:rsidR="00CE3359" w:rsidRPr="00FE5C25" w:rsidRDefault="00CE3359" w:rsidP="00CE3359">
      <w:pPr>
        <w:spacing w:line="480" w:lineRule="auto"/>
        <w:ind w:firstLine="720"/>
        <w:jc w:val="both"/>
        <w:rPr>
          <w:rFonts w:ascii="Courier New" w:hAnsi="Courier New" w:cs="Courier New"/>
        </w:rPr>
      </w:pPr>
      <w:r>
        <w:rPr>
          <w:rFonts w:ascii="Courier New" w:hAnsi="Courier New" w:cs="Courier New"/>
        </w:rPr>
        <w:t>In determining fair cash</w:t>
      </w:r>
      <w:r w:rsidRPr="005451E8">
        <w:rPr>
          <w:rFonts w:ascii="Courier New" w:hAnsi="Courier New" w:cs="Courier New"/>
        </w:rPr>
        <w:t xml:space="preserve"> value, all uses to which the property was or could reasonably be adapted on the relevant </w:t>
      </w:r>
      <w:r w:rsidRPr="005451E8">
        <w:rPr>
          <w:rFonts w:ascii="Courier New" w:hAnsi="Courier New" w:cs="Courier New"/>
        </w:rPr>
        <w:lastRenderedPageBreak/>
        <w:t xml:space="preserve">assessment dates should be considered.  </w:t>
      </w:r>
      <w:r w:rsidRPr="005451E8">
        <w:rPr>
          <w:rFonts w:ascii="Courier New" w:hAnsi="Courier New" w:cs="Courier New"/>
          <w:b/>
          <w:bCs/>
          <w:i/>
          <w:iCs/>
        </w:rPr>
        <w:t>Irving Saunders Trust v. Assessors of Boston</w:t>
      </w:r>
      <w:r w:rsidRPr="005451E8">
        <w:rPr>
          <w:rFonts w:ascii="Courier New" w:hAnsi="Courier New" w:cs="Courier New"/>
        </w:rPr>
        <w:t>, 26 Mass. App. Ct.</w:t>
      </w:r>
      <w:r>
        <w:rPr>
          <w:rFonts w:ascii="Courier New" w:hAnsi="Courier New" w:cs="Courier New"/>
        </w:rPr>
        <w:t xml:space="preserve"> 838, 843 (1989).  The goal</w:t>
      </w:r>
      <w:r w:rsidRPr="005451E8">
        <w:rPr>
          <w:rFonts w:ascii="Courier New" w:hAnsi="Courier New" w:cs="Courier New"/>
        </w:rPr>
        <w:t xml:space="preserve"> is to ascertain the maximum value of the property for any legitimate and reasonable use.  </w:t>
      </w:r>
      <w:r w:rsidRPr="005451E8">
        <w:rPr>
          <w:rFonts w:ascii="Courier New" w:hAnsi="Courier New" w:cs="Courier New"/>
          <w:b/>
          <w:bCs/>
          <w:i/>
          <w:iCs/>
        </w:rPr>
        <w:t>Id.</w:t>
      </w:r>
      <w:r w:rsidRPr="005451E8">
        <w:rPr>
          <w:rFonts w:ascii="Courier New" w:hAnsi="Courier New" w:cs="Courier New"/>
        </w:rPr>
        <w:t xml:space="preserve">  If th</w:t>
      </w:r>
      <w:r>
        <w:rPr>
          <w:rFonts w:ascii="Courier New" w:hAnsi="Courier New" w:cs="Courier New"/>
        </w:rPr>
        <w:t>e property is particularly well-</w:t>
      </w:r>
      <w:r w:rsidRPr="005451E8">
        <w:rPr>
          <w:rFonts w:ascii="Courier New" w:hAnsi="Courier New" w:cs="Courier New"/>
        </w:rPr>
        <w:t xml:space="preserve">suited for a certain use that is not prohibited, then that use may be reflected in an estimate of its fair market value.  </w:t>
      </w:r>
      <w:r w:rsidRPr="005451E8">
        <w:rPr>
          <w:rFonts w:ascii="Courier New" w:hAnsi="Courier New" w:cs="Courier New"/>
          <w:b/>
          <w:bCs/>
          <w:i/>
          <w:iCs/>
        </w:rPr>
        <w:t>Colonial Acres, Inc. v. North Reading</w:t>
      </w:r>
      <w:r w:rsidRPr="005451E8">
        <w:rPr>
          <w:rFonts w:ascii="Courier New" w:hAnsi="Courier New" w:cs="Courier New"/>
        </w:rPr>
        <w:t>, 3</w:t>
      </w:r>
      <w:r w:rsidR="000043FE">
        <w:rPr>
          <w:rFonts w:ascii="Courier New" w:hAnsi="Courier New" w:cs="Courier New"/>
        </w:rPr>
        <w:t> </w:t>
      </w:r>
      <w:r w:rsidRPr="005451E8">
        <w:rPr>
          <w:rFonts w:ascii="Courier New" w:hAnsi="Courier New" w:cs="Courier New"/>
        </w:rPr>
        <w:t xml:space="preserve">Mass. App. Ct. 384, 386 (1975).  </w:t>
      </w:r>
      <w:r>
        <w:rPr>
          <w:rFonts w:ascii="Courier New" w:hAnsi="Courier New" w:cs="Courier New"/>
        </w:rPr>
        <w:t>The Board f</w:t>
      </w:r>
      <w:r w:rsidR="002400AC">
        <w:rPr>
          <w:rFonts w:ascii="Courier New" w:hAnsi="Courier New" w:cs="Courier New"/>
        </w:rPr>
        <w:t xml:space="preserve">ound and ruled that the highest and </w:t>
      </w:r>
      <w:r w:rsidRPr="005451E8">
        <w:rPr>
          <w:rFonts w:ascii="Courier New" w:hAnsi="Courier New" w:cs="Courier New"/>
        </w:rPr>
        <w:t>best use of the subject property during the fiscal</w:t>
      </w:r>
      <w:r>
        <w:rPr>
          <w:rFonts w:ascii="Courier New" w:hAnsi="Courier New" w:cs="Courier New"/>
        </w:rPr>
        <w:t xml:space="preserve"> years at issue</w:t>
      </w:r>
      <w:r w:rsidRPr="005451E8">
        <w:rPr>
          <w:rFonts w:ascii="Courier New" w:hAnsi="Courier New" w:cs="Courier New"/>
        </w:rPr>
        <w:t xml:space="preserve"> was</w:t>
      </w:r>
      <w:r w:rsidR="00DF411E">
        <w:rPr>
          <w:rFonts w:ascii="Courier New" w:hAnsi="Courier New" w:cs="Courier New"/>
        </w:rPr>
        <w:t xml:space="preserve"> </w:t>
      </w:r>
      <w:r w:rsidRPr="005451E8">
        <w:rPr>
          <w:rFonts w:ascii="Courier New" w:hAnsi="Courier New" w:cs="Courier New"/>
        </w:rPr>
        <w:t>its exi</w:t>
      </w:r>
      <w:r>
        <w:rPr>
          <w:rFonts w:ascii="Courier New" w:hAnsi="Courier New" w:cs="Courier New"/>
        </w:rPr>
        <w:t xml:space="preserve">sting use as a </w:t>
      </w:r>
      <w:r w:rsidR="002400AC">
        <w:rPr>
          <w:rFonts w:ascii="Courier New" w:hAnsi="Courier New" w:cs="Courier New"/>
        </w:rPr>
        <w:t xml:space="preserve">shopping center with a national </w:t>
      </w:r>
      <w:r>
        <w:rPr>
          <w:rFonts w:ascii="Courier New" w:hAnsi="Courier New" w:cs="Courier New"/>
        </w:rPr>
        <w:t xml:space="preserve">retail anchor </w:t>
      </w:r>
      <w:r w:rsidRPr="00FE5C25">
        <w:rPr>
          <w:rFonts w:ascii="Courier New" w:hAnsi="Courier New" w:cs="Courier New"/>
        </w:rPr>
        <w:t xml:space="preserve">tenant.   </w:t>
      </w:r>
    </w:p>
    <w:p w14:paraId="6F72FBBD" w14:textId="0DFA7E1B" w:rsidR="00C85775" w:rsidRDefault="00FE5C25" w:rsidP="00CE3359">
      <w:pPr>
        <w:spacing w:line="480" w:lineRule="auto"/>
        <w:ind w:firstLine="720"/>
        <w:jc w:val="both"/>
        <w:rPr>
          <w:rFonts w:ascii="Courier New" w:hAnsi="Courier New" w:cs="Courier New"/>
        </w:rPr>
      </w:pPr>
      <w:r w:rsidRPr="00FE5C25">
        <w:rPr>
          <w:rFonts w:ascii="Courier New" w:hAnsi="Courier New"/>
        </w:rPr>
        <w:t xml:space="preserve">Actual sales of </w:t>
      </w:r>
      <w:r w:rsidRPr="00FE5C25">
        <w:rPr>
          <w:rFonts w:ascii="Courier New" w:hAnsi="Courier New"/>
          <w:bCs/>
          <w:iCs/>
        </w:rPr>
        <w:t>the subject</w:t>
      </w:r>
      <w:r w:rsidRPr="00FE5C25">
        <w:rPr>
          <w:rFonts w:ascii="Courier New" w:hAnsi="Courier New"/>
        </w:rPr>
        <w:t xml:space="preserve"> property generally provide “very strong evidence of fair market value, for they represent what a buyer has been willing to pay to a seller for [the] particular property [under appeal].”  </w:t>
      </w:r>
      <w:r w:rsidRPr="00FE5C25">
        <w:rPr>
          <w:rFonts w:ascii="Courier New" w:hAnsi="Courier New"/>
          <w:b/>
          <w:bCs/>
          <w:i/>
          <w:iCs/>
        </w:rPr>
        <w:t>New Boston Garden Corp. v. Assessors of Boston,</w:t>
      </w:r>
      <w:r w:rsidR="002400AC">
        <w:rPr>
          <w:rFonts w:ascii="Courier New" w:hAnsi="Courier New"/>
        </w:rPr>
        <w:t xml:space="preserve"> 383</w:t>
      </w:r>
      <w:r w:rsidR="00EC182A">
        <w:rPr>
          <w:rFonts w:ascii="Courier New" w:hAnsi="Courier New"/>
        </w:rPr>
        <w:t xml:space="preserve"> </w:t>
      </w:r>
      <w:r w:rsidR="002400AC">
        <w:rPr>
          <w:rFonts w:ascii="Courier New" w:hAnsi="Courier New"/>
        </w:rPr>
        <w:t>Mass. 456, 469 (1981)</w:t>
      </w:r>
      <w:r w:rsidRPr="00FE5C25">
        <w:rPr>
          <w:rFonts w:ascii="Courier New" w:hAnsi="Courier New"/>
        </w:rPr>
        <w:t xml:space="preserve"> (</w:t>
      </w:r>
      <w:r w:rsidRPr="00FE5C25">
        <w:rPr>
          <w:rFonts w:ascii="Courier New" w:hAnsi="Courier New"/>
          <w:iCs/>
        </w:rPr>
        <w:t>quoting</w:t>
      </w:r>
      <w:r w:rsidRPr="00FE5C25">
        <w:rPr>
          <w:rFonts w:ascii="Courier New" w:hAnsi="Courier New"/>
        </w:rPr>
        <w:t xml:space="preserve"> </w:t>
      </w:r>
      <w:r w:rsidRPr="00FE5C25">
        <w:rPr>
          <w:rFonts w:ascii="Courier New" w:hAnsi="Courier New"/>
          <w:b/>
          <w:bCs/>
          <w:i/>
          <w:iCs/>
        </w:rPr>
        <w:t xml:space="preserve">First National Stores, Inc. v. Assessors of Somerville, </w:t>
      </w:r>
      <w:r w:rsidRPr="00FE5C25">
        <w:rPr>
          <w:rFonts w:ascii="Courier New" w:hAnsi="Courier New"/>
        </w:rPr>
        <w:t>358</w:t>
      </w:r>
      <w:r w:rsidR="00EC182A">
        <w:rPr>
          <w:rFonts w:ascii="Courier New" w:hAnsi="Courier New"/>
        </w:rPr>
        <w:t xml:space="preserve"> </w:t>
      </w:r>
      <w:r w:rsidRPr="00FE5C25">
        <w:rPr>
          <w:rFonts w:ascii="Courier New" w:hAnsi="Courier New"/>
        </w:rPr>
        <w:t xml:space="preserve">Mass. 554, 560 (1971)). </w:t>
      </w:r>
      <w:r w:rsidRPr="00FE5C25">
        <w:rPr>
          <w:rFonts w:ascii="Courier New" w:hAnsi="Courier New" w:cs="Courier New"/>
        </w:rPr>
        <w:t xml:space="preserve"> However, </w:t>
      </w:r>
      <w:r w:rsidRPr="00FE5C25">
        <w:rPr>
          <w:rFonts w:ascii="Courier New" w:hAnsi="Courier New"/>
        </w:rPr>
        <w:t>circumstances may significantly diminish the evidentiary weight accorded to the sale of the subject</w:t>
      </w:r>
      <w:r w:rsidR="00EC182A">
        <w:rPr>
          <w:rFonts w:ascii="Courier New" w:hAnsi="Courier New"/>
        </w:rPr>
        <w:t xml:space="preserve"> property</w:t>
      </w:r>
      <w:r w:rsidRPr="00FE5C25">
        <w:rPr>
          <w:rFonts w:ascii="Courier New" w:hAnsi="Courier New"/>
        </w:rPr>
        <w:t xml:space="preserve">.  </w:t>
      </w:r>
      <w:r w:rsidRPr="00FE5C25">
        <w:rPr>
          <w:rFonts w:ascii="Courier New" w:hAnsi="Courier New"/>
          <w:i/>
        </w:rPr>
        <w:t xml:space="preserve">See </w:t>
      </w:r>
      <w:r w:rsidR="007B595C">
        <w:rPr>
          <w:rFonts w:ascii="Courier New" w:hAnsi="Courier New"/>
          <w:b/>
          <w:i/>
        </w:rPr>
        <w:t>Foxboro Assoc</w:t>
      </w:r>
      <w:r w:rsidRPr="00FE5C25">
        <w:rPr>
          <w:rFonts w:ascii="Courier New" w:hAnsi="Courier New"/>
          <w:b/>
          <w:i/>
        </w:rPr>
        <w:t>s</w:t>
      </w:r>
      <w:r w:rsidR="007B595C">
        <w:rPr>
          <w:rFonts w:ascii="Courier New" w:hAnsi="Courier New"/>
          <w:b/>
          <w:i/>
        </w:rPr>
        <w:t>.</w:t>
      </w:r>
      <w:r w:rsidRPr="00FE5C25">
        <w:rPr>
          <w:rFonts w:ascii="Courier New" w:hAnsi="Courier New"/>
          <w:b/>
          <w:i/>
        </w:rPr>
        <w:t xml:space="preserve"> v. Assessors of Foxborough</w:t>
      </w:r>
      <w:r w:rsidR="00287F9D">
        <w:rPr>
          <w:rFonts w:ascii="Courier New" w:hAnsi="Courier New"/>
        </w:rPr>
        <w:t>, 385</w:t>
      </w:r>
      <w:r w:rsidR="000043FE">
        <w:rPr>
          <w:rFonts w:ascii="Courier New" w:hAnsi="Courier New"/>
        </w:rPr>
        <w:t> </w:t>
      </w:r>
      <w:r w:rsidRPr="00FE5C25">
        <w:rPr>
          <w:rFonts w:ascii="Courier New" w:hAnsi="Courier New"/>
        </w:rPr>
        <w:t xml:space="preserve">Mass. 679, 682-83 (1982).  </w:t>
      </w:r>
      <w:r w:rsidRPr="00FE5C25">
        <w:rPr>
          <w:rFonts w:ascii="Courier New" w:hAnsi="Courier New" w:cs="Courier New"/>
        </w:rPr>
        <w:t xml:space="preserve">“[T]he evidentiary value of . . . </w:t>
      </w:r>
      <w:r w:rsidRPr="00FE5C25">
        <w:rPr>
          <w:rStyle w:val="term1"/>
          <w:rFonts w:ascii="Courier New" w:hAnsi="Courier New" w:cs="Courier New"/>
          <w:b w:val="0"/>
        </w:rPr>
        <w:t>sales</w:t>
      </w:r>
      <w:r w:rsidRPr="00FE5C25">
        <w:rPr>
          <w:rFonts w:ascii="Courier New" w:hAnsi="Courier New" w:cs="Courier New"/>
        </w:rPr>
        <w:t xml:space="preserve"> in less than </w:t>
      </w:r>
      <w:r w:rsidR="00C85775">
        <w:rPr>
          <w:rStyle w:val="term1"/>
          <w:rFonts w:ascii="Courier New" w:hAnsi="Courier New" w:cs="Courier New"/>
          <w:b w:val="0"/>
        </w:rPr>
        <w:t>arm’</w:t>
      </w:r>
      <w:r w:rsidRPr="00FE5C25">
        <w:rPr>
          <w:rStyle w:val="term1"/>
          <w:rFonts w:ascii="Courier New" w:hAnsi="Courier New" w:cs="Courier New"/>
          <w:b w:val="0"/>
        </w:rPr>
        <w:t>s-length</w:t>
      </w:r>
      <w:r w:rsidRPr="00FE5C25">
        <w:rPr>
          <w:rFonts w:ascii="Courier New" w:hAnsi="Courier New" w:cs="Courier New"/>
        </w:rPr>
        <w:t xml:space="preserve"> transactions is diminished.”  </w:t>
      </w:r>
      <w:r w:rsidRPr="00FE5C25">
        <w:rPr>
          <w:rFonts w:ascii="Courier New" w:hAnsi="Courier New"/>
          <w:b/>
          <w:bCs/>
          <w:i/>
          <w:iCs/>
        </w:rPr>
        <w:t xml:space="preserve">New Boston Garden Corp., </w:t>
      </w:r>
      <w:r w:rsidRPr="00FE5C25">
        <w:rPr>
          <w:rFonts w:ascii="Courier New" w:hAnsi="Courier New"/>
          <w:bCs/>
          <w:iCs/>
        </w:rPr>
        <w:t>383 Mass. at 469</w:t>
      </w:r>
      <w:r w:rsidRPr="00FE5C25">
        <w:rPr>
          <w:rFonts w:ascii="Courier New" w:hAnsi="Courier New"/>
          <w:bCs/>
          <w:i/>
          <w:iCs/>
        </w:rPr>
        <w:t xml:space="preserve"> </w:t>
      </w:r>
      <w:r w:rsidRPr="00FE5C25">
        <w:rPr>
          <w:rFonts w:ascii="Courier New" w:hAnsi="Courier New"/>
          <w:bCs/>
          <w:iCs/>
        </w:rPr>
        <w:t>(quoting</w:t>
      </w:r>
      <w:r w:rsidRPr="00FE5C25">
        <w:rPr>
          <w:rFonts w:ascii="Courier New" w:hAnsi="Courier New"/>
          <w:b/>
          <w:bCs/>
          <w:i/>
          <w:iCs/>
        </w:rPr>
        <w:t xml:space="preserve"> </w:t>
      </w:r>
      <w:hyperlink r:id="rId8" w:history="1">
        <w:r w:rsidRPr="00FE5C25">
          <w:rPr>
            <w:rStyle w:val="Hyperlink"/>
            <w:rFonts w:ascii="Courier New" w:hAnsi="Courier New"/>
            <w:b/>
            <w:i/>
            <w:color w:val="auto"/>
          </w:rPr>
          <w:t>Jordan Marsh Co. v. Assessors of Malden</w:t>
        </w:r>
        <w:r w:rsidRPr="00FE5C25">
          <w:rPr>
            <w:rStyle w:val="Hyperlink"/>
            <w:rFonts w:ascii="Courier New" w:hAnsi="Courier New"/>
            <w:color w:val="auto"/>
          </w:rPr>
          <w:t>, 359</w:t>
        </w:r>
        <w:r w:rsidR="00EC182A">
          <w:rPr>
            <w:rStyle w:val="Hyperlink"/>
            <w:rFonts w:ascii="Courier New" w:hAnsi="Courier New"/>
            <w:color w:val="auto"/>
          </w:rPr>
          <w:t xml:space="preserve"> </w:t>
        </w:r>
        <w:r w:rsidRPr="00FE5C25">
          <w:rPr>
            <w:rStyle w:val="Hyperlink"/>
            <w:rFonts w:ascii="Courier New" w:hAnsi="Courier New"/>
            <w:color w:val="auto"/>
          </w:rPr>
          <w:t>Mass. 106, 108 (1971)</w:t>
        </w:r>
      </w:hyperlink>
      <w:r w:rsidRPr="00FE5C25">
        <w:rPr>
          <w:rStyle w:val="Hyperlink"/>
          <w:rFonts w:ascii="Courier New" w:hAnsi="Courier New" w:cs="Courier New"/>
          <w:color w:val="auto"/>
        </w:rPr>
        <w:t>)</w:t>
      </w:r>
      <w:r w:rsidRPr="00FE5C25">
        <w:rPr>
          <w:rFonts w:ascii="Courier New" w:hAnsi="Courier New" w:cs="Courier New"/>
        </w:rPr>
        <w:t xml:space="preserve">.  </w:t>
      </w:r>
      <w:r w:rsidRPr="00FE5C25">
        <w:rPr>
          <w:rFonts w:ascii="Courier New" w:hAnsi="Courier New" w:cs="Courier New"/>
        </w:rPr>
        <w:lastRenderedPageBreak/>
        <w:t xml:space="preserve">Therefore, the circumstances surrounding actual sales of the subject property must be examined.  </w:t>
      </w:r>
      <w:r w:rsidRPr="00FE5C25">
        <w:rPr>
          <w:rFonts w:ascii="Courier New" w:hAnsi="Courier New" w:cs="Courier New"/>
          <w:i/>
        </w:rPr>
        <w:t xml:space="preserve">See </w:t>
      </w:r>
      <w:r w:rsidRPr="00FE5C25">
        <w:rPr>
          <w:rFonts w:ascii="Courier New" w:hAnsi="Courier New" w:cs="Courier New"/>
          <w:b/>
          <w:i/>
        </w:rPr>
        <w:t xml:space="preserve">Pepsi-Cola Bottling Co. v. Assessors of Boston, </w:t>
      </w:r>
      <w:r w:rsidRPr="00FE5C25">
        <w:rPr>
          <w:rFonts w:ascii="Courier New" w:hAnsi="Courier New" w:cs="Courier New"/>
        </w:rPr>
        <w:t xml:space="preserve">397 Mass. 447, 449 (1986).  The burden of proof that a sale price was fixed fairly rests with the proponent of the sale.  </w:t>
      </w:r>
      <w:r w:rsidRPr="00FE5C25">
        <w:rPr>
          <w:rFonts w:ascii="Courier New" w:hAnsi="Courier New" w:cs="Courier New"/>
          <w:i/>
        </w:rPr>
        <w:t>See </w:t>
      </w:r>
      <w:r w:rsidRPr="00FE5C25">
        <w:rPr>
          <w:rFonts w:ascii="Courier New" w:hAnsi="Courier New" w:cs="Courier New"/>
          <w:b/>
          <w:i/>
        </w:rPr>
        <w:t>Epstein v. Boston Housing Authority</w:t>
      </w:r>
      <w:r w:rsidRPr="00FE5C25">
        <w:rPr>
          <w:rFonts w:ascii="Courier New" w:hAnsi="Courier New" w:cs="Courier New"/>
        </w:rPr>
        <w:t xml:space="preserve">, 317 Mass. 297, 300-01 (1944).  </w:t>
      </w:r>
      <w:r w:rsidR="009029D2" w:rsidRPr="00FE5C25">
        <w:rPr>
          <w:rFonts w:ascii="Courier New" w:hAnsi="Courier New" w:cs="Courier New"/>
        </w:rPr>
        <w:t xml:space="preserve">  </w:t>
      </w:r>
    </w:p>
    <w:p w14:paraId="0C4B0C00" w14:textId="6358EB1B" w:rsidR="009029D2" w:rsidRPr="00FE5C25" w:rsidRDefault="00C85775" w:rsidP="00CE3359">
      <w:pPr>
        <w:spacing w:line="480" w:lineRule="auto"/>
        <w:ind w:firstLine="720"/>
        <w:jc w:val="both"/>
        <w:rPr>
          <w:rFonts w:ascii="Courier New" w:hAnsi="Courier New" w:cs="Courier New"/>
        </w:rPr>
      </w:pPr>
      <w:r>
        <w:rPr>
          <w:rFonts w:ascii="Courier New" w:hAnsi="Courier New" w:cs="Courier New"/>
        </w:rPr>
        <w:t>In the instant appeals, there was a s</w:t>
      </w:r>
      <w:r w:rsidR="009029D2" w:rsidRPr="00FE5C25">
        <w:rPr>
          <w:rFonts w:ascii="Courier New" w:hAnsi="Courier New" w:cs="Courier New"/>
        </w:rPr>
        <w:t>ale of the subject</w:t>
      </w:r>
      <w:r>
        <w:rPr>
          <w:rFonts w:ascii="Courier New" w:hAnsi="Courier New" w:cs="Courier New"/>
        </w:rPr>
        <w:t xml:space="preserve"> property during the relevant time</w:t>
      </w:r>
      <w:r w:rsidR="00EC182A">
        <w:rPr>
          <w:rFonts w:ascii="Courier New" w:hAnsi="Courier New" w:cs="Courier New"/>
        </w:rPr>
        <w:t xml:space="preserve"> period</w:t>
      </w:r>
      <w:r>
        <w:rPr>
          <w:rFonts w:ascii="Courier New" w:hAnsi="Courier New" w:cs="Courier New"/>
        </w:rPr>
        <w:t>.  H</w:t>
      </w:r>
      <w:r w:rsidR="009029D2" w:rsidRPr="00FE5C25">
        <w:rPr>
          <w:rFonts w:ascii="Courier New" w:hAnsi="Courier New" w:cs="Courier New"/>
        </w:rPr>
        <w:t xml:space="preserve">owever, </w:t>
      </w:r>
      <w:r>
        <w:rPr>
          <w:rFonts w:ascii="Courier New" w:hAnsi="Courier New" w:cs="Courier New"/>
        </w:rPr>
        <w:t>the sale to RK involved a deed in lieu of foreclosure</w:t>
      </w:r>
      <w:r w:rsidR="00AB5EF1">
        <w:rPr>
          <w:rFonts w:ascii="Courier New" w:hAnsi="Courier New" w:cs="Courier New"/>
        </w:rPr>
        <w:t xml:space="preserve"> and </w:t>
      </w:r>
      <w:r w:rsidR="005455FB">
        <w:rPr>
          <w:rFonts w:ascii="Courier New" w:hAnsi="Courier New" w:cs="Courier New"/>
        </w:rPr>
        <w:t xml:space="preserve">was </w:t>
      </w:r>
      <w:r w:rsidR="00AB5EF1">
        <w:rPr>
          <w:rFonts w:ascii="Courier New" w:hAnsi="Courier New" w:cs="Courier New"/>
        </w:rPr>
        <w:t>thus not, in the absence of contrary evidence, reliable or persuasive evidence of fair cash value.</w:t>
      </w:r>
      <w:r>
        <w:rPr>
          <w:rFonts w:ascii="Courier New" w:hAnsi="Courier New" w:cs="Courier New"/>
        </w:rPr>
        <w:t xml:space="preserve">  </w:t>
      </w:r>
      <w:r w:rsidR="00AB5EF1" w:rsidRPr="00FD209C">
        <w:rPr>
          <w:rFonts w:ascii="Courier New" w:hAnsi="Courier New" w:cs="Courier New"/>
          <w:i/>
        </w:rPr>
        <w:t>See, e.g</w:t>
      </w:r>
      <w:r w:rsidR="00AB5EF1">
        <w:rPr>
          <w:rFonts w:ascii="Courier New" w:hAnsi="Courier New" w:cs="Courier New"/>
        </w:rPr>
        <w:t xml:space="preserve">., </w:t>
      </w:r>
      <w:r w:rsidR="00AB5EF1" w:rsidRPr="00097ADB">
        <w:rPr>
          <w:rFonts w:ascii="Courier New" w:hAnsi="Courier New" w:cs="Courier New"/>
          <w:b/>
          <w:i/>
        </w:rPr>
        <w:t>Glowacki v. Assessors of Upton</w:t>
      </w:r>
      <w:r w:rsidR="00AB5EF1">
        <w:rPr>
          <w:rFonts w:ascii="Courier New" w:hAnsi="Courier New" w:cs="Courier New"/>
        </w:rPr>
        <w:t xml:space="preserve">, Mass. ATB Findings of Fact and Reports 2013-685, 694 (quoting </w:t>
      </w:r>
      <w:r w:rsidR="00AB5EF1" w:rsidRPr="00F81EC7">
        <w:rPr>
          <w:rFonts w:ascii="Courier New" w:hAnsi="Courier New" w:cs="Courier New"/>
          <w:b/>
          <w:bCs/>
          <w:i/>
          <w:iCs/>
        </w:rPr>
        <w:t>DSM Real</w:t>
      </w:r>
      <w:r w:rsidR="00AB5EF1">
        <w:rPr>
          <w:rFonts w:ascii="Courier New" w:hAnsi="Courier New" w:cs="Courier New"/>
          <w:b/>
          <w:bCs/>
          <w:i/>
          <w:iCs/>
        </w:rPr>
        <w:t>ty</w:t>
      </w:r>
      <w:r w:rsidR="00D6125F">
        <w:rPr>
          <w:rFonts w:ascii="Courier New" w:hAnsi="Courier New" w:cs="Courier New"/>
          <w:b/>
          <w:bCs/>
          <w:i/>
          <w:iCs/>
        </w:rPr>
        <w:t>, Inc. v. Assessors of Andover</w:t>
      </w:r>
      <w:r w:rsidR="00AB5EF1" w:rsidRPr="00F81EC7">
        <w:rPr>
          <w:rFonts w:ascii="Courier New" w:hAnsi="Courier New" w:cs="Courier New"/>
          <w:b/>
          <w:bCs/>
          <w:i/>
          <w:iCs/>
        </w:rPr>
        <w:t xml:space="preserve">, </w:t>
      </w:r>
      <w:r w:rsidR="00D6125F">
        <w:rPr>
          <w:rFonts w:ascii="Courier New" w:hAnsi="Courier New" w:cs="Courier New"/>
        </w:rPr>
        <w:t>391</w:t>
      </w:r>
      <w:r w:rsidR="00EC182A">
        <w:rPr>
          <w:rFonts w:ascii="Courier New" w:hAnsi="Courier New" w:cs="Courier New"/>
        </w:rPr>
        <w:t xml:space="preserve"> </w:t>
      </w:r>
      <w:r w:rsidR="00D6125F">
        <w:rPr>
          <w:rFonts w:ascii="Courier New" w:hAnsi="Courier New" w:cs="Courier New"/>
        </w:rPr>
        <w:t>Mass.</w:t>
      </w:r>
      <w:r w:rsidR="00AB5EF1">
        <w:rPr>
          <w:rFonts w:ascii="Courier New" w:hAnsi="Courier New" w:cs="Courier New"/>
        </w:rPr>
        <w:t xml:space="preserve"> 1014</w:t>
      </w:r>
      <w:r w:rsidR="00EC182A">
        <w:rPr>
          <w:rFonts w:ascii="Courier New" w:hAnsi="Courier New" w:cs="Courier New"/>
        </w:rPr>
        <w:t xml:space="preserve"> (1984)</w:t>
      </w:r>
      <w:r w:rsidR="00AB5EF1" w:rsidRPr="00F81EC7">
        <w:rPr>
          <w:rFonts w:ascii="Courier New" w:hAnsi="Courier New" w:cs="Courier New"/>
        </w:rPr>
        <w:t xml:space="preserve"> (“A foreclosure sale inherently sug</w:t>
      </w:r>
      <w:r w:rsidR="00AB5EF1">
        <w:rPr>
          <w:rFonts w:ascii="Courier New" w:hAnsi="Courier New" w:cs="Courier New"/>
        </w:rPr>
        <w:t>gests a compulsion to sell.</w:t>
      </w:r>
      <w:r w:rsidR="00AB5EF1" w:rsidRPr="00F81EC7">
        <w:rPr>
          <w:rFonts w:ascii="Courier New" w:hAnsi="Courier New" w:cs="Courier New"/>
        </w:rPr>
        <w:t>”)</w:t>
      </w:r>
      <w:r w:rsidR="00AB5EF1">
        <w:rPr>
          <w:rFonts w:ascii="Courier New" w:hAnsi="Courier New" w:cs="Courier New"/>
        </w:rPr>
        <w:t xml:space="preserve">; </w:t>
      </w:r>
      <w:r w:rsidR="00AB5EF1" w:rsidRPr="00755224">
        <w:rPr>
          <w:rFonts w:ascii="Courier New" w:hAnsi="Courier New" w:cs="Courier New"/>
          <w:i/>
        </w:rPr>
        <w:t>see also</w:t>
      </w:r>
      <w:r w:rsidR="00AB5EF1">
        <w:rPr>
          <w:rFonts w:ascii="Courier New" w:hAnsi="Courier New" w:cs="Courier New"/>
        </w:rPr>
        <w:t xml:space="preserve"> </w:t>
      </w:r>
      <w:r w:rsidR="00AB5EF1">
        <w:rPr>
          <w:rFonts w:ascii="Courier New" w:hAnsi="Courier New" w:cs="Courier New"/>
          <w:b/>
          <w:i/>
        </w:rPr>
        <w:t xml:space="preserve">Finigan v. </w:t>
      </w:r>
      <w:r w:rsidR="00AB5EF1" w:rsidRPr="00755224">
        <w:rPr>
          <w:rFonts w:ascii="Courier New" w:hAnsi="Courier New" w:cs="Courier New"/>
          <w:b/>
          <w:i/>
        </w:rPr>
        <w:t>Assessors of Belmont</w:t>
      </w:r>
      <w:r w:rsidR="00AB5EF1">
        <w:rPr>
          <w:rFonts w:ascii="Courier New" w:hAnsi="Courier New" w:cs="Courier New"/>
        </w:rPr>
        <w:t xml:space="preserve">, Mass. ATB Findings of Fact and Reports 2004-533, 544 </w:t>
      </w:r>
      <w:r w:rsidR="00AB5EF1" w:rsidRPr="002400AC">
        <w:rPr>
          <w:rFonts w:ascii="Courier New" w:hAnsi="Courier New" w:cs="Courier New"/>
        </w:rPr>
        <w:t xml:space="preserve">and </w:t>
      </w:r>
      <w:r w:rsidR="00AB5EF1">
        <w:rPr>
          <w:rFonts w:ascii="Courier New" w:hAnsi="Courier New" w:cs="Courier New"/>
          <w:b/>
          <w:i/>
        </w:rPr>
        <w:t xml:space="preserve">Waters v. </w:t>
      </w:r>
      <w:r w:rsidR="00AB5EF1" w:rsidRPr="00AD7154">
        <w:rPr>
          <w:rFonts w:ascii="Courier New" w:hAnsi="Courier New" w:cs="Courier New"/>
          <w:b/>
          <w:i/>
        </w:rPr>
        <w:t>Assessors of Wayland</w:t>
      </w:r>
      <w:r w:rsidR="00AB5EF1" w:rsidRPr="00AD7154">
        <w:rPr>
          <w:rFonts w:ascii="Courier New" w:hAnsi="Courier New" w:cs="Courier New"/>
        </w:rPr>
        <w:t>, Mass. ATB Findings of Fact and Reports 2001-460,</w:t>
      </w:r>
      <w:r w:rsidR="00AB5EF1">
        <w:rPr>
          <w:rFonts w:ascii="Courier New" w:hAnsi="Courier New" w:cs="Courier New"/>
        </w:rPr>
        <w:t xml:space="preserve"> 469.  </w:t>
      </w:r>
    </w:p>
    <w:p w14:paraId="6E4D3D10" w14:textId="3DD8C53E" w:rsidR="00DB2EDD" w:rsidRDefault="00CE3359" w:rsidP="00CE3359">
      <w:pPr>
        <w:spacing w:line="480" w:lineRule="auto"/>
        <w:ind w:firstLine="720"/>
        <w:jc w:val="both"/>
        <w:rPr>
          <w:rFonts w:ascii="Courier New" w:hAnsi="Courier New" w:cs="Courier New"/>
        </w:rPr>
      </w:pPr>
      <w:r w:rsidRPr="00FE5C25">
        <w:rPr>
          <w:rFonts w:ascii="Courier New" w:hAnsi="Courier New" w:cs="Courier New"/>
        </w:rPr>
        <w:t>Generally</w:t>
      </w:r>
      <w:r w:rsidRPr="005451E8">
        <w:rPr>
          <w:rFonts w:ascii="Courier New" w:hAnsi="Courier New" w:cs="Courier New"/>
        </w:rPr>
        <w:t>, real estate valuation experts, the Massachusetts courts, and this Board rely upon three approaches to determine the fair cash value of property: income capitalization, sales comparison, and cost</w:t>
      </w:r>
      <w:r>
        <w:rPr>
          <w:rFonts w:ascii="Courier New" w:hAnsi="Courier New" w:cs="Courier New"/>
        </w:rPr>
        <w:t xml:space="preserve"> reproduction</w:t>
      </w:r>
      <w:r w:rsidRPr="005451E8">
        <w:rPr>
          <w:rFonts w:ascii="Courier New" w:hAnsi="Courier New" w:cs="Courier New"/>
        </w:rPr>
        <w:t xml:space="preserve">.  </w:t>
      </w:r>
      <w:r w:rsidRPr="005451E8">
        <w:rPr>
          <w:rFonts w:ascii="Courier New" w:hAnsi="Courier New" w:cs="Courier New"/>
          <w:b/>
          <w:bCs/>
          <w:i/>
          <w:iCs/>
        </w:rPr>
        <w:t xml:space="preserve">Correia v. New Bedford </w:t>
      </w:r>
      <w:r w:rsidR="002400AC">
        <w:rPr>
          <w:rFonts w:ascii="Courier New" w:hAnsi="Courier New" w:cs="Courier New"/>
          <w:b/>
          <w:bCs/>
          <w:i/>
          <w:iCs/>
        </w:rPr>
        <w:t>Redevelopment Auth</w:t>
      </w:r>
      <w:r w:rsidR="00EC182A">
        <w:rPr>
          <w:rFonts w:ascii="Courier New" w:hAnsi="Courier New" w:cs="Courier New"/>
          <w:b/>
          <w:bCs/>
          <w:i/>
          <w:iCs/>
        </w:rPr>
        <w:t>ority</w:t>
      </w:r>
      <w:r w:rsidRPr="005451E8">
        <w:rPr>
          <w:rFonts w:ascii="Courier New" w:hAnsi="Courier New" w:cs="Courier New"/>
          <w:b/>
          <w:bCs/>
          <w:i/>
          <w:iCs/>
        </w:rPr>
        <w:t>,</w:t>
      </w:r>
      <w:r w:rsidRPr="005451E8">
        <w:rPr>
          <w:rFonts w:ascii="Courier New" w:hAnsi="Courier New" w:cs="Courier New"/>
        </w:rPr>
        <w:t xml:space="preserve"> 375</w:t>
      </w:r>
      <w:r w:rsidR="00EC182A">
        <w:rPr>
          <w:rFonts w:ascii="Courier New" w:hAnsi="Courier New" w:cs="Courier New"/>
        </w:rPr>
        <w:t xml:space="preserve"> </w:t>
      </w:r>
      <w:r w:rsidRPr="005451E8">
        <w:rPr>
          <w:rFonts w:ascii="Courier New" w:hAnsi="Courier New" w:cs="Courier New"/>
        </w:rPr>
        <w:t>Mass.</w:t>
      </w:r>
      <w:r>
        <w:rPr>
          <w:rFonts w:ascii="Courier New" w:hAnsi="Courier New" w:cs="Courier New"/>
        </w:rPr>
        <w:t xml:space="preserve"> 360, 362 (1978).  “The b</w:t>
      </w:r>
      <w:r w:rsidRPr="005451E8">
        <w:rPr>
          <w:rFonts w:ascii="Courier New" w:hAnsi="Courier New" w:cs="Courier New"/>
        </w:rPr>
        <w:t xml:space="preserve">oard is not required to adopt any particular method of valuation.”  </w:t>
      </w:r>
      <w:r w:rsidRPr="005451E8">
        <w:rPr>
          <w:rFonts w:ascii="Courier New" w:hAnsi="Courier New" w:cs="Courier New"/>
          <w:b/>
          <w:bCs/>
          <w:i/>
          <w:iCs/>
        </w:rPr>
        <w:lastRenderedPageBreak/>
        <w:t>Pepsi-Cola Bottling Co.,</w:t>
      </w:r>
      <w:r w:rsidRPr="005451E8">
        <w:rPr>
          <w:rFonts w:ascii="Courier New" w:hAnsi="Courier New" w:cs="Courier New"/>
        </w:rPr>
        <w:t xml:space="preserve"> 397</w:t>
      </w:r>
      <w:r w:rsidR="00EC182A">
        <w:rPr>
          <w:rFonts w:ascii="Courier New" w:hAnsi="Courier New" w:cs="Courier New"/>
        </w:rPr>
        <w:t xml:space="preserve"> </w:t>
      </w:r>
      <w:r w:rsidR="00076B59">
        <w:rPr>
          <w:rFonts w:ascii="Courier New" w:hAnsi="Courier New" w:cs="Courier New"/>
        </w:rPr>
        <w:t>Mass. at 449</w:t>
      </w:r>
      <w:r w:rsidR="002351E5">
        <w:rPr>
          <w:rFonts w:ascii="Courier New" w:hAnsi="Courier New" w:cs="Courier New"/>
        </w:rPr>
        <w:t xml:space="preserve">.  However, the income capitalization method “is frequently applied with respect to income-producing property.”  </w:t>
      </w:r>
      <w:r w:rsidR="002351E5">
        <w:rPr>
          <w:rFonts w:ascii="Courier New" w:hAnsi="Courier New" w:cs="Courier New"/>
          <w:b/>
          <w:bCs/>
          <w:i/>
          <w:iCs/>
        </w:rPr>
        <w:t>T</w:t>
      </w:r>
      <w:r w:rsidR="007B595C">
        <w:rPr>
          <w:rFonts w:ascii="Courier New" w:hAnsi="Courier New" w:cs="Courier New"/>
          <w:b/>
          <w:bCs/>
          <w:i/>
          <w:iCs/>
        </w:rPr>
        <w:t>aunton Redevelopment</w:t>
      </w:r>
      <w:r w:rsidR="002351E5">
        <w:rPr>
          <w:rFonts w:ascii="Courier New" w:hAnsi="Courier New" w:cs="Courier New"/>
          <w:b/>
          <w:bCs/>
          <w:i/>
          <w:iCs/>
        </w:rPr>
        <w:t xml:space="preserve"> Assocs. v. Assessors of Taunton</w:t>
      </w:r>
      <w:r w:rsidR="002351E5">
        <w:rPr>
          <w:rFonts w:ascii="Courier New" w:hAnsi="Courier New" w:cs="Courier New"/>
        </w:rPr>
        <w:t xml:space="preserve">, 393 Mass. 293, 295 (1984).  </w:t>
      </w:r>
    </w:p>
    <w:p w14:paraId="6E0B4D6F" w14:textId="2DFE5166" w:rsidR="005455FB" w:rsidRDefault="00B06686" w:rsidP="00034F75">
      <w:pPr>
        <w:spacing w:line="480" w:lineRule="auto"/>
        <w:ind w:firstLine="720"/>
        <w:jc w:val="both"/>
        <w:rPr>
          <w:rFonts w:ascii="Courier New" w:hAnsi="Courier New" w:cs="Courier New"/>
        </w:rPr>
      </w:pPr>
      <w:r>
        <w:rPr>
          <w:rFonts w:ascii="Courier New" w:hAnsi="Courier New" w:cs="Courier New"/>
        </w:rPr>
        <w:t xml:space="preserve">Under the income-capitalization approach, valuation is determined by dividing net operating income by a capitalization rate.  </w:t>
      </w:r>
      <w:r>
        <w:rPr>
          <w:rFonts w:ascii="Courier New" w:hAnsi="Courier New" w:cs="Courier New"/>
          <w:i/>
          <w:iCs/>
        </w:rPr>
        <w:t xml:space="preserve">See </w:t>
      </w:r>
      <w:r>
        <w:rPr>
          <w:rFonts w:ascii="Courier New" w:hAnsi="Courier New" w:cs="Courier New"/>
          <w:b/>
          <w:bCs/>
          <w:i/>
          <w:iCs/>
        </w:rPr>
        <w:t xml:space="preserve">Assessors of Brookline v. Buehler, </w:t>
      </w:r>
      <w:r>
        <w:rPr>
          <w:rFonts w:ascii="Courier New" w:hAnsi="Courier New" w:cs="Courier New"/>
        </w:rPr>
        <w:t>396</w:t>
      </w:r>
      <w:r w:rsidR="00EC182A">
        <w:rPr>
          <w:rFonts w:ascii="Courier New" w:hAnsi="Courier New" w:cs="Courier New"/>
        </w:rPr>
        <w:t xml:space="preserve"> </w:t>
      </w:r>
      <w:r>
        <w:rPr>
          <w:rFonts w:ascii="Courier New" w:hAnsi="Courier New" w:cs="Courier New"/>
        </w:rPr>
        <w:t xml:space="preserve">Mass. 520, 522-23 (1986).  </w:t>
      </w:r>
      <w:r w:rsidRPr="005451E8">
        <w:rPr>
          <w:rFonts w:ascii="Courier New" w:hAnsi="Courier New" w:cs="Courier New"/>
        </w:rPr>
        <w:t>Imputing rental income to the subject property based on fair market rentals from comparable properties is evidence of value if, once</w:t>
      </w:r>
      <w:r>
        <w:rPr>
          <w:rFonts w:ascii="Courier New" w:hAnsi="Courier New" w:cs="Courier New"/>
        </w:rPr>
        <w:t> </w:t>
      </w:r>
      <w:r w:rsidRPr="005451E8">
        <w:rPr>
          <w:rFonts w:ascii="Courier New" w:hAnsi="Courier New" w:cs="Courier New"/>
        </w:rPr>
        <w:t>adjusted, they are indicative of the subject property’s</w:t>
      </w:r>
      <w:r>
        <w:rPr>
          <w:rFonts w:ascii="Courier New" w:hAnsi="Courier New" w:cs="Courier New"/>
        </w:rPr>
        <w:t> </w:t>
      </w:r>
      <w:r w:rsidRPr="005451E8">
        <w:rPr>
          <w:rFonts w:ascii="Courier New" w:hAnsi="Courier New" w:cs="Courier New"/>
        </w:rPr>
        <w:t xml:space="preserve">earning capacity.  </w:t>
      </w:r>
      <w:r w:rsidRPr="005451E8">
        <w:rPr>
          <w:rFonts w:ascii="Courier New" w:hAnsi="Courier New" w:cs="Courier New"/>
          <w:i/>
          <w:iCs/>
        </w:rPr>
        <w:t>See</w:t>
      </w:r>
      <w:r>
        <w:rPr>
          <w:rFonts w:ascii="Courier New" w:hAnsi="Courier New" w:cs="Courier New"/>
          <w:i/>
          <w:iCs/>
        </w:rPr>
        <w:t xml:space="preserve"> </w:t>
      </w:r>
      <w:r w:rsidRPr="00CA5D96">
        <w:rPr>
          <w:rFonts w:ascii="Courier New" w:hAnsi="Courier New" w:cs="Courier New"/>
          <w:b/>
          <w:i/>
          <w:iCs/>
        </w:rPr>
        <w:t>Pepsi-Cola Bottling Co</w:t>
      </w:r>
      <w:r>
        <w:rPr>
          <w:rFonts w:ascii="Courier New" w:hAnsi="Courier New" w:cs="Courier New"/>
          <w:i/>
          <w:iCs/>
        </w:rPr>
        <w:t>.</w:t>
      </w:r>
      <w:r>
        <w:rPr>
          <w:rFonts w:ascii="Courier New" w:hAnsi="Courier New" w:cs="Courier New"/>
          <w:iCs/>
        </w:rPr>
        <w:t>, 397</w:t>
      </w:r>
      <w:r w:rsidR="00EC182A">
        <w:rPr>
          <w:rFonts w:ascii="Courier New" w:hAnsi="Courier New" w:cs="Courier New"/>
          <w:iCs/>
        </w:rPr>
        <w:t xml:space="preserve"> </w:t>
      </w:r>
      <w:r>
        <w:rPr>
          <w:rFonts w:ascii="Courier New" w:hAnsi="Courier New" w:cs="Courier New"/>
          <w:iCs/>
        </w:rPr>
        <w:t>Mass. at 451</w:t>
      </w:r>
      <w:r w:rsidRPr="005451E8">
        <w:rPr>
          <w:rFonts w:ascii="Courier New" w:hAnsi="Courier New" w:cs="Courier New"/>
        </w:rPr>
        <w:t xml:space="preserve">. </w:t>
      </w:r>
      <w:r>
        <w:rPr>
          <w:rFonts w:ascii="Courier New" w:hAnsi="Courier New" w:cs="Courier New"/>
        </w:rPr>
        <w:t> In determining the earning capacity of the subject property,</w:t>
      </w:r>
      <w:r w:rsidR="00833059">
        <w:rPr>
          <w:rFonts w:ascii="Courier New" w:hAnsi="Courier New" w:cs="Courier New"/>
        </w:rPr>
        <w:t xml:space="preserve"> rents may be used only if</w:t>
      </w:r>
      <w:r>
        <w:rPr>
          <w:rFonts w:ascii="Courier New" w:hAnsi="Courier New" w:cs="Courier New"/>
        </w:rPr>
        <w:t xml:space="preserve"> they reflect fair market rents.  </w:t>
      </w:r>
      <w:r w:rsidRPr="00CA5D96">
        <w:rPr>
          <w:rFonts w:ascii="Courier New" w:hAnsi="Courier New" w:cs="Courier New"/>
          <w:b/>
          <w:i/>
        </w:rPr>
        <w:t>Alstores Realty Corp. v. Assessors of Peabody</w:t>
      </w:r>
      <w:r w:rsidR="00833059">
        <w:rPr>
          <w:rFonts w:ascii="Courier New" w:hAnsi="Courier New" w:cs="Courier New"/>
        </w:rPr>
        <w:t xml:space="preserve">, 391 Mass. 60, 68 (1984); </w:t>
      </w:r>
      <w:r w:rsidRPr="005451E8">
        <w:rPr>
          <w:rFonts w:ascii="Courier New" w:hAnsi="Courier New" w:cs="Courier New"/>
          <w:b/>
          <w:bCs/>
          <w:i/>
          <w:iCs/>
        </w:rPr>
        <w:t>Library</w:t>
      </w:r>
      <w:r>
        <w:rPr>
          <w:rFonts w:ascii="Courier New" w:hAnsi="Courier New" w:cs="Courier New"/>
          <w:b/>
          <w:bCs/>
          <w:i/>
          <w:iCs/>
        </w:rPr>
        <w:t> </w:t>
      </w:r>
      <w:r w:rsidRPr="005451E8">
        <w:rPr>
          <w:rFonts w:ascii="Courier New" w:hAnsi="Courier New" w:cs="Courier New"/>
          <w:b/>
          <w:bCs/>
          <w:i/>
          <w:iCs/>
        </w:rPr>
        <w:t>Services, Inc. v. Malden Redevelopment Auth</w:t>
      </w:r>
      <w:r w:rsidR="00EC182A">
        <w:rPr>
          <w:rFonts w:ascii="Courier New" w:hAnsi="Courier New" w:cs="Courier New"/>
          <w:b/>
          <w:bCs/>
          <w:i/>
          <w:iCs/>
        </w:rPr>
        <w:t>ority</w:t>
      </w:r>
      <w:r w:rsidRPr="005451E8">
        <w:rPr>
          <w:rFonts w:ascii="Courier New" w:hAnsi="Courier New" w:cs="Courier New"/>
        </w:rPr>
        <w:t>, 9 Mass. Ap</w:t>
      </w:r>
      <w:r>
        <w:rPr>
          <w:rFonts w:ascii="Courier New" w:hAnsi="Courier New" w:cs="Courier New"/>
        </w:rPr>
        <w:t>p. Ct. 877, 878 (1980)</w:t>
      </w:r>
      <w:r w:rsidRPr="005451E8">
        <w:rPr>
          <w:rFonts w:ascii="Courier New" w:hAnsi="Courier New" w:cs="Courier New"/>
        </w:rPr>
        <w:t xml:space="preserve">. </w:t>
      </w:r>
      <w:r>
        <w:rPr>
          <w:rFonts w:ascii="Courier New" w:hAnsi="Courier New" w:cs="Courier New"/>
        </w:rPr>
        <w:t xml:space="preserve">   </w:t>
      </w:r>
    </w:p>
    <w:p w14:paraId="47823EC2" w14:textId="57E0CBB0" w:rsidR="001D3398" w:rsidRDefault="00034F75" w:rsidP="00034F75">
      <w:pPr>
        <w:spacing w:line="480" w:lineRule="auto"/>
        <w:ind w:firstLine="720"/>
        <w:jc w:val="both"/>
        <w:rPr>
          <w:rFonts w:ascii="Courier New" w:hAnsi="Courier New" w:cs="Courier New"/>
        </w:rPr>
      </w:pPr>
      <w:r w:rsidRPr="004573D2">
        <w:rPr>
          <w:rFonts w:ascii="Courier New" w:hAnsi="Courier New" w:cs="Courier New"/>
        </w:rPr>
        <w:t>In the instant appeal</w:t>
      </w:r>
      <w:r w:rsidR="002400AC">
        <w:rPr>
          <w:rFonts w:ascii="Courier New" w:hAnsi="Courier New" w:cs="Courier New"/>
        </w:rPr>
        <w:t>s</w:t>
      </w:r>
      <w:r>
        <w:rPr>
          <w:rFonts w:ascii="Courier New" w:hAnsi="Courier New" w:cs="Courier New"/>
        </w:rPr>
        <w:t>, the Board agreed with Mr. Pattison that anchor tenants tend to command a lower rent and therefore separately analyzed anchor and non-anchor leases.  However, most of Mr. Pattison’s purportedly comparable properties were inferior to the subject</w:t>
      </w:r>
      <w:r w:rsidR="002400AC">
        <w:rPr>
          <w:rFonts w:ascii="Courier New" w:hAnsi="Courier New" w:cs="Courier New"/>
        </w:rPr>
        <w:t xml:space="preserve"> property</w:t>
      </w:r>
      <w:r>
        <w:rPr>
          <w:rFonts w:ascii="Courier New" w:hAnsi="Courier New" w:cs="Courier New"/>
        </w:rPr>
        <w:t>, particularly with respect to location.  The Board also found that the subject property’s actual leases were relevant to</w:t>
      </w:r>
      <w:r w:rsidR="007B595C">
        <w:rPr>
          <w:rFonts w:ascii="Courier New" w:hAnsi="Courier New" w:cs="Courier New"/>
        </w:rPr>
        <w:t xml:space="preserve"> determining a fair market rent</w:t>
      </w:r>
      <w:r>
        <w:rPr>
          <w:rFonts w:ascii="Courier New" w:hAnsi="Courier New" w:cs="Courier New"/>
        </w:rPr>
        <w:t xml:space="preserve">.  </w:t>
      </w:r>
      <w:r w:rsidR="001F1034">
        <w:rPr>
          <w:rFonts w:ascii="Courier New" w:hAnsi="Courier New" w:cs="Courier New"/>
        </w:rPr>
        <w:lastRenderedPageBreak/>
        <w:t>Finally, the Board found credible and thus adopted Mr.</w:t>
      </w:r>
      <w:r w:rsidR="000043FE">
        <w:rPr>
          <w:rFonts w:ascii="Courier New" w:hAnsi="Courier New" w:cs="Courier New"/>
        </w:rPr>
        <w:t> </w:t>
      </w:r>
      <w:r w:rsidR="001F1034">
        <w:rPr>
          <w:rFonts w:ascii="Courier New" w:hAnsi="Courier New" w:cs="Courier New"/>
        </w:rPr>
        <w:t xml:space="preserve">Pattison’s figure for income brought in by the ATM kiosk.  </w:t>
      </w:r>
      <w:r w:rsidR="00B06686">
        <w:rPr>
          <w:rFonts w:ascii="Courier New" w:hAnsi="Courier New" w:cs="Courier New"/>
        </w:rPr>
        <w:t>“Choosing an appropriate gross income figure for establishing an income stream was within the board’s discretion and expertise.”</w:t>
      </w:r>
      <w:r w:rsidR="00B06686">
        <w:rPr>
          <w:rFonts w:ascii="Courier New" w:hAnsi="Courier New" w:cs="Courier New"/>
          <w:i/>
        </w:rPr>
        <w:t xml:space="preserve">  </w:t>
      </w:r>
      <w:r w:rsidR="00B06686">
        <w:rPr>
          <w:rFonts w:ascii="Courier New" w:hAnsi="Courier New" w:cs="Courier New"/>
          <w:b/>
          <w:i/>
        </w:rPr>
        <w:t>Fox Ridge Assoc</w:t>
      </w:r>
      <w:r w:rsidR="007B595C">
        <w:rPr>
          <w:rFonts w:ascii="Courier New" w:hAnsi="Courier New" w:cs="Courier New"/>
          <w:b/>
          <w:i/>
        </w:rPr>
        <w:t>s</w:t>
      </w:r>
      <w:r w:rsidR="00B06686">
        <w:rPr>
          <w:rFonts w:ascii="Courier New" w:hAnsi="Courier New" w:cs="Courier New"/>
          <w:b/>
          <w:i/>
        </w:rPr>
        <w:t>. v. Assessors of Marshfield</w:t>
      </w:r>
      <w:r w:rsidR="00B06686">
        <w:rPr>
          <w:rFonts w:ascii="Courier New" w:hAnsi="Courier New" w:cs="Courier New"/>
        </w:rPr>
        <w:t xml:space="preserve">, 393 Mass. 652, 654 (1984). </w:t>
      </w:r>
    </w:p>
    <w:p w14:paraId="1A45CDD3" w14:textId="05F61E2A" w:rsidR="00B06686" w:rsidRDefault="001D3398" w:rsidP="008945AC">
      <w:pPr>
        <w:spacing w:line="480" w:lineRule="auto"/>
        <w:ind w:firstLine="720"/>
        <w:jc w:val="both"/>
        <w:rPr>
          <w:rFonts w:ascii="Courier New" w:hAnsi="Courier New" w:cs="Courier New"/>
        </w:rPr>
      </w:pPr>
      <w:r>
        <w:rPr>
          <w:rFonts w:ascii="Courier New" w:hAnsi="Courier New" w:cs="Courier New"/>
        </w:rPr>
        <w:t xml:space="preserve">The Board next adopted the appellee’s vacancy expenses for the subject property’s retail space and the ATM kiosk.  </w:t>
      </w:r>
      <w:r w:rsidR="00B06686" w:rsidRPr="005451E8">
        <w:rPr>
          <w:rFonts w:ascii="Courier New" w:hAnsi="Courier New" w:cs="Courier New"/>
        </w:rPr>
        <w:t>After accounting for v</w:t>
      </w:r>
      <w:r w:rsidR="0061091B">
        <w:rPr>
          <w:rFonts w:ascii="Courier New" w:hAnsi="Courier New" w:cs="Courier New"/>
        </w:rPr>
        <w:t xml:space="preserve">acancy and rent losses, the net </w:t>
      </w:r>
      <w:r w:rsidR="00B06686" w:rsidRPr="005451E8">
        <w:rPr>
          <w:rFonts w:ascii="Courier New" w:hAnsi="Courier New" w:cs="Courier New"/>
        </w:rPr>
        <w:t xml:space="preserve">operating income is obtained by deducting the landlord’s appropriate expenses.  </w:t>
      </w:r>
      <w:r w:rsidR="00B06686" w:rsidRPr="005451E8">
        <w:rPr>
          <w:rFonts w:ascii="Courier New" w:hAnsi="Courier New" w:cs="Courier New"/>
          <w:b/>
          <w:bCs/>
          <w:i/>
          <w:iCs/>
        </w:rPr>
        <w:t>General Electric Co. v. Assessors of Lynn,</w:t>
      </w:r>
      <w:r w:rsidR="00B06686" w:rsidRPr="005451E8">
        <w:rPr>
          <w:rFonts w:ascii="Courier New" w:hAnsi="Courier New" w:cs="Courier New"/>
        </w:rPr>
        <w:t xml:space="preserve"> 393 Mass. 591, 610 (1984).  The expenses should also reflect the market.  </w:t>
      </w:r>
      <w:r w:rsidR="00B06686" w:rsidRPr="005451E8">
        <w:rPr>
          <w:rFonts w:ascii="Courier New" w:hAnsi="Courier New" w:cs="Courier New"/>
          <w:b/>
          <w:bCs/>
          <w:i/>
          <w:iCs/>
        </w:rPr>
        <w:t>Id.</w:t>
      </w:r>
      <w:r w:rsidR="00B06686">
        <w:rPr>
          <w:rFonts w:ascii="Courier New" w:hAnsi="Courier New" w:cs="Courier New"/>
          <w:b/>
          <w:bCs/>
          <w:i/>
          <w:iCs/>
        </w:rPr>
        <w:t xml:space="preserve"> </w:t>
      </w:r>
      <w:r w:rsidR="0061091B">
        <w:rPr>
          <w:rFonts w:ascii="Courier New" w:hAnsi="Courier New" w:cs="Courier New"/>
          <w:b/>
          <w:bCs/>
          <w:i/>
          <w:iCs/>
        </w:rPr>
        <w:t xml:space="preserve"> </w:t>
      </w:r>
      <w:r w:rsidR="0061091B">
        <w:rPr>
          <w:rFonts w:ascii="Courier New" w:hAnsi="Courier New" w:cs="Courier New"/>
          <w:bCs/>
          <w:i/>
          <w:iCs/>
        </w:rPr>
        <w:t>S</w:t>
      </w:r>
      <w:r w:rsidR="00B06686">
        <w:rPr>
          <w:rFonts w:ascii="Courier New" w:hAnsi="Courier New" w:cs="Courier New"/>
          <w:bCs/>
          <w:i/>
          <w:iCs/>
        </w:rPr>
        <w:t>ee</w:t>
      </w:r>
      <w:r w:rsidR="0061091B">
        <w:rPr>
          <w:rFonts w:ascii="Courier New" w:hAnsi="Courier New" w:cs="Courier New"/>
          <w:bCs/>
          <w:i/>
          <w:iCs/>
        </w:rPr>
        <w:t xml:space="preserve"> also</w:t>
      </w:r>
      <w:r w:rsidR="00B06686">
        <w:rPr>
          <w:rFonts w:ascii="Courier New" w:hAnsi="Courier New" w:cs="Courier New"/>
          <w:bCs/>
          <w:i/>
          <w:iCs/>
        </w:rPr>
        <w:t xml:space="preserve"> </w:t>
      </w:r>
      <w:r w:rsidR="007A0B17">
        <w:rPr>
          <w:rFonts w:ascii="Courier New" w:hAnsi="Courier New" w:cs="Courier New"/>
          <w:b/>
          <w:i/>
          <w:color w:val="000000"/>
        </w:rPr>
        <w:t>Olympia &amp; York State Street Co. v. Assessors of Boston</w:t>
      </w:r>
      <w:r w:rsidR="007A0B17">
        <w:rPr>
          <w:rFonts w:ascii="Courier New" w:hAnsi="Courier New" w:cs="Courier New"/>
          <w:color w:val="000000"/>
        </w:rPr>
        <w:t>, 428</w:t>
      </w:r>
      <w:r w:rsidR="000043FE">
        <w:rPr>
          <w:rFonts w:ascii="Courier New" w:hAnsi="Courier New" w:cs="Courier New"/>
          <w:color w:val="000000"/>
        </w:rPr>
        <w:t> </w:t>
      </w:r>
      <w:r w:rsidR="007A0B17">
        <w:rPr>
          <w:rFonts w:ascii="Courier New" w:hAnsi="Courier New" w:cs="Courier New"/>
          <w:color w:val="000000"/>
        </w:rPr>
        <w:t>Mass. 236, 245 (1998).</w:t>
      </w:r>
      <w:r w:rsidR="009417DA">
        <w:rPr>
          <w:rFonts w:ascii="Courier New" w:hAnsi="Courier New" w:cs="Courier New"/>
          <w:bCs/>
          <w:iCs/>
        </w:rPr>
        <w:t xml:space="preserve"> </w:t>
      </w:r>
      <w:r w:rsidR="008945AC">
        <w:rPr>
          <w:rFonts w:ascii="Courier New" w:hAnsi="Courier New" w:cs="Courier New"/>
          <w:bCs/>
          <w:iCs/>
        </w:rPr>
        <w:t xml:space="preserve"> </w:t>
      </w:r>
      <w:r w:rsidR="008945AC">
        <w:rPr>
          <w:rFonts w:ascii="Courier New" w:hAnsi="Courier New" w:cs="Courier New"/>
        </w:rPr>
        <w:t>The Board was unpersuaded by Mr.</w:t>
      </w:r>
      <w:r w:rsidR="000043FE">
        <w:rPr>
          <w:rFonts w:ascii="Courier New" w:hAnsi="Courier New" w:cs="Courier New"/>
        </w:rPr>
        <w:t> </w:t>
      </w:r>
      <w:r w:rsidR="008945AC">
        <w:rPr>
          <w:rFonts w:ascii="Courier New" w:hAnsi="Courier New" w:cs="Courier New"/>
        </w:rPr>
        <w:t>Pattison’s expenses, which were simply</w:t>
      </w:r>
      <w:r w:rsidR="007B595C">
        <w:rPr>
          <w:rFonts w:ascii="Courier New" w:hAnsi="Courier New" w:cs="Courier New"/>
        </w:rPr>
        <w:t xml:space="preserve"> extracted from general database</w:t>
      </w:r>
      <w:r w:rsidR="008945AC">
        <w:rPr>
          <w:rFonts w:ascii="Courier New" w:hAnsi="Courier New" w:cs="Courier New"/>
        </w:rPr>
        <w:t xml:space="preserve"> sources and included no supporting detail specific to the subject property.  The Board instead adopted the appellee’s operating expenses.</w:t>
      </w:r>
      <w:r w:rsidR="009417DA">
        <w:rPr>
          <w:rFonts w:ascii="Courier New" w:hAnsi="Courier New" w:cs="Courier New"/>
          <w:bCs/>
          <w:iCs/>
        </w:rPr>
        <w:t xml:space="preserve">  </w:t>
      </w:r>
    </w:p>
    <w:p w14:paraId="371E8E7D" w14:textId="1F241B22" w:rsidR="008945AC" w:rsidRPr="00B06686" w:rsidRDefault="0024516F" w:rsidP="008945AC">
      <w:pPr>
        <w:spacing w:line="480" w:lineRule="auto"/>
        <w:ind w:firstLine="720"/>
        <w:jc w:val="both"/>
        <w:rPr>
          <w:rFonts w:ascii="Courier New" w:hAnsi="Courier New" w:cs="Courier New"/>
        </w:rPr>
      </w:pPr>
      <w:r>
        <w:rPr>
          <w:rFonts w:ascii="Courier New" w:hAnsi="Courier New" w:cs="Courier New"/>
        </w:rPr>
        <w:t>Next, t</w:t>
      </w:r>
      <w:r w:rsidR="00B06686" w:rsidRPr="005451E8">
        <w:rPr>
          <w:rFonts w:ascii="Courier New" w:hAnsi="Courier New" w:cs="Courier New"/>
        </w:rPr>
        <w:t>he capitalization rate selected should consider the</w:t>
      </w:r>
      <w:r w:rsidR="000043FE">
        <w:rPr>
          <w:rFonts w:ascii="Courier New" w:hAnsi="Courier New" w:cs="Courier New"/>
        </w:rPr>
        <w:t>  </w:t>
      </w:r>
      <w:r w:rsidR="00B06686" w:rsidRPr="005451E8">
        <w:rPr>
          <w:rFonts w:ascii="Courier New" w:hAnsi="Courier New" w:cs="Courier New"/>
        </w:rPr>
        <w:t xml:space="preserve">return necessary to attract investment capital.  </w:t>
      </w:r>
      <w:r w:rsidR="00B06686" w:rsidRPr="005451E8">
        <w:rPr>
          <w:rFonts w:ascii="Courier New" w:hAnsi="Courier New" w:cs="Courier New"/>
          <w:b/>
          <w:bCs/>
          <w:i/>
          <w:iCs/>
        </w:rPr>
        <w:t>Taunton</w:t>
      </w:r>
      <w:r w:rsidR="00F950FD">
        <w:rPr>
          <w:rFonts w:ascii="Courier New" w:hAnsi="Courier New" w:cs="Courier New"/>
          <w:b/>
          <w:bCs/>
          <w:i/>
          <w:iCs/>
        </w:rPr>
        <w:t> Redevelopment</w:t>
      </w:r>
      <w:r w:rsidR="00B06686" w:rsidRPr="005451E8">
        <w:rPr>
          <w:rFonts w:ascii="Courier New" w:hAnsi="Courier New" w:cs="Courier New"/>
          <w:b/>
          <w:bCs/>
          <w:i/>
          <w:iCs/>
        </w:rPr>
        <w:t xml:space="preserve"> Assoc</w:t>
      </w:r>
      <w:r w:rsidR="007B595C">
        <w:rPr>
          <w:rFonts w:ascii="Courier New" w:hAnsi="Courier New" w:cs="Courier New"/>
          <w:b/>
          <w:bCs/>
          <w:i/>
          <w:iCs/>
        </w:rPr>
        <w:t>s</w:t>
      </w:r>
      <w:r w:rsidR="00076B59">
        <w:rPr>
          <w:rFonts w:ascii="Courier New" w:hAnsi="Courier New" w:cs="Courier New"/>
          <w:b/>
          <w:bCs/>
          <w:i/>
          <w:iCs/>
        </w:rPr>
        <w:t>.</w:t>
      </w:r>
      <w:r w:rsidR="00B06686" w:rsidRPr="005451E8">
        <w:rPr>
          <w:rFonts w:ascii="Courier New" w:hAnsi="Courier New" w:cs="Courier New"/>
          <w:b/>
          <w:bCs/>
          <w:i/>
          <w:iCs/>
        </w:rPr>
        <w:t>,</w:t>
      </w:r>
      <w:r w:rsidR="00076B59">
        <w:rPr>
          <w:rFonts w:ascii="Courier New" w:hAnsi="Courier New" w:cs="Courier New"/>
        </w:rPr>
        <w:t xml:space="preserve"> 393</w:t>
      </w:r>
      <w:r w:rsidR="00EC182A">
        <w:rPr>
          <w:rFonts w:ascii="Courier New" w:hAnsi="Courier New" w:cs="Courier New"/>
        </w:rPr>
        <w:t xml:space="preserve"> </w:t>
      </w:r>
      <w:r w:rsidR="00076B59">
        <w:rPr>
          <w:rFonts w:ascii="Courier New" w:hAnsi="Courier New" w:cs="Courier New"/>
        </w:rPr>
        <w:t>Mass. at 295</w:t>
      </w:r>
      <w:r w:rsidR="00B06686">
        <w:rPr>
          <w:rFonts w:ascii="Courier New" w:hAnsi="Courier New" w:cs="Courier New"/>
        </w:rPr>
        <w:t>.  T</w:t>
      </w:r>
      <w:r w:rsidR="00B06686" w:rsidRPr="005451E8">
        <w:rPr>
          <w:rFonts w:ascii="Courier New" w:hAnsi="Courier New" w:cs="Courier New"/>
        </w:rPr>
        <w:t>he Board</w:t>
      </w:r>
      <w:r w:rsidR="00B06686">
        <w:rPr>
          <w:rFonts w:ascii="Courier New" w:hAnsi="Courier New" w:cs="Courier New"/>
        </w:rPr>
        <w:t xml:space="preserve"> found that Mr. </w:t>
      </w:r>
      <w:r w:rsidR="004F1578">
        <w:rPr>
          <w:rFonts w:ascii="Courier New" w:hAnsi="Courier New" w:cs="Courier New"/>
        </w:rPr>
        <w:t xml:space="preserve">Pattison </w:t>
      </w:r>
      <w:r w:rsidR="008945AC">
        <w:rPr>
          <w:rFonts w:ascii="Courier New" w:hAnsi="Courier New" w:cs="Courier New"/>
        </w:rPr>
        <w:t xml:space="preserve">credibly </w:t>
      </w:r>
      <w:r w:rsidR="004F1578">
        <w:rPr>
          <w:rFonts w:ascii="Courier New" w:hAnsi="Courier New" w:cs="Courier New"/>
        </w:rPr>
        <w:t>supported his 9</w:t>
      </w:r>
      <w:r w:rsidR="0092209B">
        <w:rPr>
          <w:rFonts w:ascii="Courier New" w:hAnsi="Courier New" w:cs="Courier New"/>
        </w:rPr>
        <w:t xml:space="preserve"> percent</w:t>
      </w:r>
      <w:r w:rsidR="00B06686">
        <w:rPr>
          <w:rFonts w:ascii="Courier New" w:hAnsi="Courier New" w:cs="Courier New"/>
        </w:rPr>
        <w:t xml:space="preserve"> base capitalization </w:t>
      </w:r>
      <w:r w:rsidR="00B06686" w:rsidRPr="004E0CF5">
        <w:rPr>
          <w:rFonts w:ascii="Courier New" w:hAnsi="Courier New" w:cs="Courier New"/>
        </w:rPr>
        <w:t>rate</w:t>
      </w:r>
      <w:r w:rsidR="008945AC">
        <w:rPr>
          <w:rFonts w:ascii="Courier New" w:hAnsi="Courier New" w:cs="Courier New"/>
        </w:rPr>
        <w:t xml:space="preserve"> for fiscal years 2015 and 2016.  However, the Board noted a decline in capitalization rates, as reported </w:t>
      </w:r>
      <w:r w:rsidR="008945AC">
        <w:rPr>
          <w:rFonts w:ascii="Courier New" w:hAnsi="Courier New" w:cs="Courier New"/>
        </w:rPr>
        <w:lastRenderedPageBreak/>
        <w:t xml:space="preserve">in surveys relied upon by Mr. Pattison, from fiscal year 2016 </w:t>
      </w:r>
      <w:r w:rsidR="00EC182A">
        <w:rPr>
          <w:rFonts w:ascii="Courier New" w:hAnsi="Courier New" w:cs="Courier New"/>
        </w:rPr>
        <w:t>to</w:t>
      </w:r>
      <w:r w:rsidR="008945AC">
        <w:rPr>
          <w:rFonts w:ascii="Courier New" w:hAnsi="Courier New" w:cs="Courier New"/>
        </w:rPr>
        <w:t xml:space="preserve"> 2017.  The Board thus adopted a b</w:t>
      </w:r>
      <w:r w:rsidR="0092209B">
        <w:rPr>
          <w:rFonts w:ascii="Courier New" w:hAnsi="Courier New" w:cs="Courier New"/>
        </w:rPr>
        <w:t>ase capitalization rate of 8.75 percent</w:t>
      </w:r>
      <w:r w:rsidR="008945AC">
        <w:rPr>
          <w:rFonts w:ascii="Courier New" w:hAnsi="Courier New" w:cs="Courier New"/>
        </w:rPr>
        <w:t xml:space="preserve"> for fiscal year 2017.  Next, </w:t>
      </w:r>
      <w:r w:rsidR="008945AC">
        <w:rPr>
          <w:rStyle w:val="IntenseEmphasis"/>
          <w:rFonts w:ascii="Courier New" w:hAnsi="Courier New" w:cs="Courier New"/>
          <w:b w:val="0"/>
          <w:bCs w:val="0"/>
          <w:i w:val="0"/>
          <w:iCs w:val="0"/>
          <w:color w:val="auto"/>
        </w:rPr>
        <w:t>i</w:t>
      </w:r>
      <w:r w:rsidR="004E0CF5" w:rsidRPr="004E0CF5">
        <w:rPr>
          <w:rStyle w:val="IntenseEmphasis"/>
          <w:rFonts w:ascii="Courier New" w:hAnsi="Courier New" w:cs="Courier New"/>
          <w:b w:val="0"/>
          <w:bCs w:val="0"/>
          <w:i w:val="0"/>
          <w:iCs w:val="0"/>
          <w:color w:val="auto"/>
        </w:rPr>
        <w:t>n a</w:t>
      </w:r>
      <w:r w:rsidR="005455FB">
        <w:rPr>
          <w:rStyle w:val="IntenseEmphasis"/>
          <w:rFonts w:ascii="Courier New" w:hAnsi="Courier New" w:cs="Courier New"/>
          <w:b w:val="0"/>
          <w:bCs w:val="0"/>
          <w:i w:val="0"/>
          <w:iCs w:val="0"/>
          <w:color w:val="auto"/>
        </w:rPr>
        <w:t>n income-capitalization approach based on</w:t>
      </w:r>
      <w:r w:rsidR="004E0CF5" w:rsidRPr="004E0CF5">
        <w:rPr>
          <w:rStyle w:val="IntenseEmphasis"/>
          <w:rFonts w:ascii="Courier New" w:hAnsi="Courier New" w:cs="Courier New"/>
          <w:b w:val="0"/>
          <w:bCs w:val="0"/>
          <w:i w:val="0"/>
          <w:iCs w:val="0"/>
          <w:color w:val="auto"/>
        </w:rPr>
        <w:t xml:space="preserve"> triple-net lease</w:t>
      </w:r>
      <w:r w:rsidR="005455FB">
        <w:rPr>
          <w:rStyle w:val="IntenseEmphasis"/>
          <w:rFonts w:ascii="Courier New" w:hAnsi="Courier New" w:cs="Courier New"/>
          <w:b w:val="0"/>
          <w:bCs w:val="0"/>
          <w:i w:val="0"/>
          <w:iCs w:val="0"/>
          <w:color w:val="auto"/>
        </w:rPr>
        <w:t>s</w:t>
      </w:r>
      <w:r w:rsidR="004E0CF5" w:rsidRPr="004E0CF5">
        <w:rPr>
          <w:rStyle w:val="IntenseEmphasis"/>
          <w:rFonts w:ascii="Courier New" w:hAnsi="Courier New" w:cs="Courier New"/>
          <w:b w:val="0"/>
          <w:bCs w:val="0"/>
          <w:i w:val="0"/>
          <w:iCs w:val="0"/>
          <w:color w:val="auto"/>
        </w:rPr>
        <w:t xml:space="preserve">, an appropriate pro rata portion of the tax factor </w:t>
      </w:r>
      <w:r w:rsidR="005455FB">
        <w:rPr>
          <w:rStyle w:val="IntenseEmphasis"/>
          <w:rFonts w:ascii="Courier New" w:hAnsi="Courier New" w:cs="Courier New"/>
          <w:b w:val="0"/>
          <w:bCs w:val="0"/>
          <w:i w:val="0"/>
          <w:iCs w:val="0"/>
          <w:color w:val="auto"/>
        </w:rPr>
        <w:t>is used to take</w:t>
      </w:r>
      <w:r w:rsidR="004E0CF5" w:rsidRPr="004E0CF5">
        <w:rPr>
          <w:rStyle w:val="IntenseEmphasis"/>
          <w:rFonts w:ascii="Courier New" w:hAnsi="Courier New" w:cs="Courier New"/>
          <w:b w:val="0"/>
          <w:bCs w:val="0"/>
          <w:i w:val="0"/>
          <w:iCs w:val="0"/>
          <w:color w:val="auto"/>
        </w:rPr>
        <w:t xml:space="preserve"> into account the landlord’s responsibility for paying taxes on the vacant portion of the subject property.  </w:t>
      </w:r>
      <w:r w:rsidR="004E0CF5" w:rsidRPr="004E0CF5">
        <w:rPr>
          <w:rStyle w:val="IntenseEmphasis"/>
          <w:rFonts w:ascii="Courier New" w:hAnsi="Courier New" w:cs="Courier New"/>
          <w:b w:val="0"/>
          <w:bCs w:val="0"/>
          <w:iCs w:val="0"/>
          <w:color w:val="auto"/>
        </w:rPr>
        <w:t>See</w:t>
      </w:r>
      <w:r w:rsidR="004E0CF5" w:rsidRPr="004E0CF5">
        <w:rPr>
          <w:rStyle w:val="IntenseEmphasis"/>
          <w:rFonts w:ascii="Courier New" w:hAnsi="Courier New" w:cs="Courier New"/>
          <w:b w:val="0"/>
          <w:bCs w:val="0"/>
          <w:i w:val="0"/>
          <w:iCs w:val="0"/>
          <w:color w:val="auto"/>
        </w:rPr>
        <w:t xml:space="preserve"> </w:t>
      </w:r>
      <w:r w:rsidR="004E0CF5" w:rsidRPr="004E0CF5">
        <w:rPr>
          <w:rStyle w:val="IntenseEmphasis"/>
          <w:rFonts w:ascii="Courier New" w:hAnsi="Courier New" w:cs="Courier New"/>
          <w:bCs w:val="0"/>
          <w:iCs w:val="0"/>
          <w:color w:val="auto"/>
        </w:rPr>
        <w:t>Market Forge Industries, Inc. v. Assessors of Everett</w:t>
      </w:r>
      <w:r w:rsidR="004E0CF5" w:rsidRPr="004E0CF5">
        <w:rPr>
          <w:rStyle w:val="IntenseEmphasis"/>
          <w:rFonts w:ascii="Courier New" w:hAnsi="Courier New" w:cs="Courier New"/>
          <w:b w:val="0"/>
          <w:bCs w:val="0"/>
          <w:i w:val="0"/>
          <w:iCs w:val="0"/>
          <w:color w:val="auto"/>
        </w:rPr>
        <w:t xml:space="preserve">, Mass. ATB Findings of Fact and Reports 2014-186, 201. </w:t>
      </w:r>
      <w:r w:rsidR="008945AC">
        <w:rPr>
          <w:rStyle w:val="IntenseEmphasis"/>
          <w:rFonts w:ascii="Courier New" w:hAnsi="Courier New" w:cs="Courier New"/>
          <w:b w:val="0"/>
          <w:bCs w:val="0"/>
          <w:i w:val="0"/>
          <w:iCs w:val="0"/>
          <w:color w:val="auto"/>
        </w:rPr>
        <w:t xml:space="preserve"> </w:t>
      </w:r>
      <w:r w:rsidR="008945AC">
        <w:rPr>
          <w:rFonts w:ascii="Courier New" w:hAnsi="Courier New" w:cs="Courier New"/>
        </w:rPr>
        <w:t xml:space="preserve">The Board’s loaded capitalization rate accounted for the blended vacancy rates of the retail space and the ATM kiosk.  </w:t>
      </w:r>
    </w:p>
    <w:p w14:paraId="592EB111" w14:textId="5A20CE3B" w:rsidR="001471A0" w:rsidRDefault="00DE354F" w:rsidP="001471A0">
      <w:pPr>
        <w:spacing w:line="480" w:lineRule="auto"/>
        <w:ind w:firstLine="720"/>
        <w:contextualSpacing/>
        <w:jc w:val="both"/>
        <w:rPr>
          <w:rFonts w:ascii="Courier New" w:hAnsi="Courier New" w:cs="Courier New"/>
        </w:rPr>
      </w:pPr>
      <w:r>
        <w:rPr>
          <w:rFonts w:ascii="Courier New" w:hAnsi="Courier New" w:cs="Courier New"/>
        </w:rPr>
        <w:t>The Board</w:t>
      </w:r>
      <w:r w:rsidRPr="00ED49A2">
        <w:rPr>
          <w:rFonts w:ascii="Courier New" w:hAnsi="Courier New" w:cs="Courier New"/>
        </w:rPr>
        <w:t xml:space="preserve"> need not specify the exact m</w:t>
      </w:r>
      <w:r>
        <w:rPr>
          <w:rFonts w:ascii="Courier New" w:hAnsi="Courier New" w:cs="Courier New"/>
        </w:rPr>
        <w:t>anner in which it arrived at its</w:t>
      </w:r>
      <w:r w:rsidRPr="00ED49A2">
        <w:rPr>
          <w:rFonts w:ascii="Courier New" w:hAnsi="Courier New" w:cs="Courier New"/>
        </w:rPr>
        <w:t xml:space="preserve"> valuation.  </w:t>
      </w:r>
      <w:r w:rsidRPr="00ED49A2">
        <w:rPr>
          <w:rFonts w:ascii="Courier New" w:hAnsi="Courier New" w:cs="Courier New"/>
          <w:b/>
          <w:i/>
        </w:rPr>
        <w:t>Jordan Marsh</w:t>
      </w:r>
      <w:r>
        <w:rPr>
          <w:rFonts w:ascii="Courier New" w:hAnsi="Courier New" w:cs="Courier New"/>
          <w:b/>
          <w:i/>
        </w:rPr>
        <w:t xml:space="preserve"> Co.</w:t>
      </w:r>
      <w:r w:rsidRPr="00ED49A2">
        <w:rPr>
          <w:rFonts w:ascii="Courier New" w:hAnsi="Courier New" w:cs="Courier New"/>
        </w:rPr>
        <w:t>, 359 Ma</w:t>
      </w:r>
      <w:r>
        <w:rPr>
          <w:rFonts w:ascii="Courier New" w:hAnsi="Courier New" w:cs="Courier New"/>
        </w:rPr>
        <w:t>ss. at 110</w:t>
      </w:r>
      <w:r w:rsidRPr="00ED49A2">
        <w:rPr>
          <w:rFonts w:ascii="Courier New" w:hAnsi="Courier New" w:cs="Courier New"/>
        </w:rPr>
        <w:t xml:space="preserve">.  </w:t>
      </w:r>
      <w:r>
        <w:rPr>
          <w:rFonts w:ascii="Courier New" w:hAnsi="Courier New" w:cs="Courier New"/>
        </w:rPr>
        <w:t>“</w:t>
      </w:r>
      <w:r w:rsidRPr="006C7758">
        <w:rPr>
          <w:rFonts w:ascii="Courier New" w:hAnsi="Courier New" w:cs="Courier New"/>
        </w:rPr>
        <w:t xml:space="preserve">The market value of the property [can] not be proved with mathematical certainty and must ultimately rest in the realm of opinion, estimate, and judgment . . . .  The </w:t>
      </w:r>
      <w:r>
        <w:rPr>
          <w:rFonts w:ascii="Courier New" w:hAnsi="Courier New" w:cs="Courier New"/>
        </w:rPr>
        <w:t>b</w:t>
      </w:r>
      <w:r w:rsidRPr="006C7758">
        <w:rPr>
          <w:rFonts w:ascii="Courier New" w:hAnsi="Courier New" w:cs="Courier New"/>
        </w:rPr>
        <w:t xml:space="preserve">oard [can] select the various elements of value as shown by the record and from them form . . </w:t>
      </w:r>
      <w:r>
        <w:rPr>
          <w:rFonts w:ascii="Courier New" w:hAnsi="Courier New" w:cs="Courier New"/>
        </w:rPr>
        <w:t>. its own independent judgment.”</w:t>
      </w:r>
      <w:r w:rsidRPr="006C7758">
        <w:rPr>
          <w:rFonts w:ascii="Courier New" w:hAnsi="Courier New" w:cs="Courier New"/>
        </w:rPr>
        <w:t xml:space="preserve">  </w:t>
      </w:r>
      <w:r>
        <w:rPr>
          <w:rFonts w:ascii="Courier New" w:hAnsi="Courier New" w:cs="Courier New"/>
          <w:b/>
          <w:i/>
        </w:rPr>
        <w:t xml:space="preserve">Assessors of Quincy v. Boston Consolidated Gas Co., </w:t>
      </w:r>
      <w:r>
        <w:rPr>
          <w:rFonts w:ascii="Courier New" w:hAnsi="Courier New" w:cs="Courier New"/>
        </w:rPr>
        <w:t xml:space="preserve">309 Mass. 60, 72 (1941). </w:t>
      </w:r>
      <w:r w:rsidRPr="006C7758">
        <w:rPr>
          <w:rFonts w:ascii="Courier New" w:hAnsi="Courier New" w:cs="Courier New"/>
        </w:rPr>
        <w:t xml:space="preserve"> </w:t>
      </w:r>
      <w:r>
        <w:rPr>
          <w:rFonts w:ascii="Courier New" w:hAnsi="Courier New" w:cs="Courier New"/>
        </w:rPr>
        <w:t xml:space="preserve"> </w:t>
      </w:r>
      <w:r w:rsidRPr="006C7758">
        <w:rPr>
          <w:rFonts w:ascii="Courier New" w:hAnsi="Courier New" w:cs="Courier New"/>
          <w:i/>
        </w:rPr>
        <w:t>See also</w:t>
      </w:r>
      <w:r w:rsidRPr="006C7758">
        <w:rPr>
          <w:rFonts w:ascii="Courier New" w:hAnsi="Courier New" w:cs="Courier New"/>
        </w:rPr>
        <w:t xml:space="preserve"> </w:t>
      </w:r>
      <w:r w:rsidRPr="006C7758">
        <w:rPr>
          <w:rFonts w:ascii="Courier New" w:hAnsi="Courier New" w:cs="Courier New"/>
          <w:b/>
          <w:bCs/>
          <w:i/>
          <w:iCs/>
        </w:rPr>
        <w:t>North American Philips Lighting Corp. v. Assessors of Lynn</w:t>
      </w:r>
      <w:r w:rsidRPr="006C7758">
        <w:rPr>
          <w:rFonts w:ascii="Courier New" w:hAnsi="Courier New" w:cs="Courier New"/>
        </w:rPr>
        <w:t>, 392</w:t>
      </w:r>
      <w:r>
        <w:rPr>
          <w:rFonts w:ascii="Courier New" w:hAnsi="Courier New" w:cs="Courier New"/>
        </w:rPr>
        <w:t> </w:t>
      </w:r>
      <w:r w:rsidRPr="006C7758">
        <w:rPr>
          <w:rFonts w:ascii="Courier New" w:hAnsi="Courier New" w:cs="Courier New"/>
        </w:rPr>
        <w:t xml:space="preserve">Mass. 296, 300 (1984); </w:t>
      </w:r>
      <w:r>
        <w:rPr>
          <w:rFonts w:ascii="Courier New" w:hAnsi="Courier New"/>
          <w:b/>
          <w:i/>
        </w:rPr>
        <w:t>New Boston Garden Corp.</w:t>
      </w:r>
      <w:r>
        <w:rPr>
          <w:rFonts w:ascii="Courier New" w:hAnsi="Courier New"/>
        </w:rPr>
        <w:t>, 383</w:t>
      </w:r>
      <w:r w:rsidR="000043FE">
        <w:rPr>
          <w:rFonts w:ascii="Courier New" w:hAnsi="Courier New"/>
        </w:rPr>
        <w:t> </w:t>
      </w:r>
      <w:r>
        <w:rPr>
          <w:rFonts w:ascii="Courier New" w:hAnsi="Courier New"/>
        </w:rPr>
        <w:t>Mass. at 473</w:t>
      </w:r>
      <w:r w:rsidRPr="006C7758">
        <w:rPr>
          <w:rFonts w:ascii="Courier New" w:hAnsi="Courier New" w:cs="Courier New"/>
        </w:rPr>
        <w:t xml:space="preserve">; </w:t>
      </w:r>
      <w:r w:rsidRPr="006C7758">
        <w:rPr>
          <w:rFonts w:ascii="Courier New" w:hAnsi="Courier New" w:cs="Courier New"/>
          <w:b/>
          <w:bCs/>
          <w:i/>
          <w:iCs/>
        </w:rPr>
        <w:t>Jordan Marsh Co.</w:t>
      </w:r>
      <w:r>
        <w:rPr>
          <w:rFonts w:ascii="Courier New" w:hAnsi="Courier New" w:cs="Courier New"/>
        </w:rPr>
        <w:t>, 359 Mass. at 110</w:t>
      </w:r>
      <w:r w:rsidRPr="006C7758">
        <w:rPr>
          <w:rFonts w:ascii="Courier New" w:hAnsi="Courier New" w:cs="Courier New"/>
        </w:rPr>
        <w:t xml:space="preserve">.  </w:t>
      </w:r>
      <w:r w:rsidRPr="00ED49A2">
        <w:rPr>
          <w:rFonts w:ascii="Courier New" w:hAnsi="Courier New" w:cs="Courier New"/>
        </w:rPr>
        <w:t>“The credibility of witnesses, the weight of evidence, the inferences to be drawn from the evidence are matters f</w:t>
      </w:r>
      <w:r>
        <w:rPr>
          <w:rFonts w:ascii="Courier New" w:hAnsi="Courier New" w:cs="Courier New"/>
        </w:rPr>
        <w:t>or the Board</w:t>
      </w:r>
      <w:r w:rsidRPr="00ED49A2">
        <w:rPr>
          <w:rFonts w:ascii="Courier New" w:hAnsi="Courier New" w:cs="Courier New"/>
        </w:rPr>
        <w:t xml:space="preserve">.”  </w:t>
      </w:r>
      <w:r w:rsidRPr="00ED49A2">
        <w:rPr>
          <w:rFonts w:ascii="Courier New" w:hAnsi="Courier New" w:cs="Courier New"/>
          <w:b/>
          <w:i/>
        </w:rPr>
        <w:lastRenderedPageBreak/>
        <w:t>Cummington School of the Arts, Inc. v. Assessors of Cummington</w:t>
      </w:r>
      <w:r w:rsidRPr="00ED49A2">
        <w:rPr>
          <w:rFonts w:ascii="Courier New" w:hAnsi="Courier New" w:cs="Courier New"/>
        </w:rPr>
        <w:t xml:space="preserve">, 373 Mass. 597, 605 (1977). </w:t>
      </w:r>
      <w:r w:rsidR="001471A0" w:rsidRPr="00ED49A2">
        <w:rPr>
          <w:rFonts w:ascii="Courier New" w:hAnsi="Courier New" w:cs="Courier New"/>
        </w:rPr>
        <w:t xml:space="preserve"> </w:t>
      </w:r>
    </w:p>
    <w:p w14:paraId="69C5397B" w14:textId="12795D84" w:rsidR="008945AC" w:rsidRDefault="008945AC" w:rsidP="008945AC">
      <w:pPr>
        <w:spacing w:line="480" w:lineRule="auto"/>
        <w:ind w:firstLine="720"/>
        <w:jc w:val="both"/>
        <w:rPr>
          <w:rFonts w:ascii="Courier New" w:hAnsi="Courier New" w:cs="Courier New"/>
        </w:rPr>
      </w:pPr>
      <w:r>
        <w:rPr>
          <w:rFonts w:ascii="Courier New" w:hAnsi="Courier New" w:cs="Courier New"/>
        </w:rPr>
        <w:t xml:space="preserve">The Board found that the following rounded values were appropriate fair market values for the subject property: $8,157,000 for fiscal year 2015; $8,152,000 for fiscal year 2016; and $8,373,000 for fiscal year 2017.  </w:t>
      </w:r>
    </w:p>
    <w:p w14:paraId="48ABF4C5" w14:textId="42225EFC" w:rsidR="006B5771" w:rsidRDefault="008945AC" w:rsidP="00076B59">
      <w:pPr>
        <w:spacing w:line="480" w:lineRule="auto"/>
        <w:ind w:firstLine="720"/>
        <w:jc w:val="both"/>
        <w:rPr>
          <w:rFonts w:ascii="Courier New" w:hAnsi="Courier New" w:cs="Courier New"/>
        </w:rPr>
      </w:pPr>
      <w:r>
        <w:rPr>
          <w:rFonts w:ascii="Courier New" w:hAnsi="Courier New" w:cs="Courier New"/>
        </w:rPr>
        <w:t xml:space="preserve">Accordingly, the Board issued </w:t>
      </w:r>
      <w:r w:rsidR="0092209B">
        <w:rPr>
          <w:rFonts w:ascii="Courier New" w:hAnsi="Courier New" w:cs="Courier New"/>
        </w:rPr>
        <w:t>a decision</w:t>
      </w:r>
      <w:r>
        <w:rPr>
          <w:rFonts w:ascii="Courier New" w:hAnsi="Courier New" w:cs="Courier New"/>
        </w:rPr>
        <w:t xml:space="preserve"> for the appellants and granted abatement</w:t>
      </w:r>
      <w:r w:rsidR="0092209B">
        <w:rPr>
          <w:rFonts w:ascii="Courier New" w:hAnsi="Courier New" w:cs="Courier New"/>
        </w:rPr>
        <w:t>s</w:t>
      </w:r>
      <w:r>
        <w:rPr>
          <w:rFonts w:ascii="Courier New" w:hAnsi="Courier New" w:cs="Courier New"/>
        </w:rPr>
        <w:t xml:space="preserve"> as follows:  $62,343.75 for fiscal year 2015; $18,263.11 for fiscal year 2016; and $11,856.99 for fiscal year 2017. </w:t>
      </w:r>
    </w:p>
    <w:p w14:paraId="4F325929" w14:textId="77777777" w:rsidR="00DE354F" w:rsidRDefault="00DE354F" w:rsidP="00076B59">
      <w:pPr>
        <w:spacing w:line="480" w:lineRule="auto"/>
        <w:ind w:firstLine="720"/>
        <w:jc w:val="both"/>
        <w:rPr>
          <w:rFonts w:ascii="Courier New" w:hAnsi="Courier New" w:cs="Courier New"/>
        </w:rPr>
      </w:pPr>
    </w:p>
    <w:p w14:paraId="6FE220A2" w14:textId="7F0D67E8" w:rsidR="002E1ED6" w:rsidRDefault="002E1ED6" w:rsidP="002E1ED6">
      <w:pPr>
        <w:ind w:left="2880" w:firstLine="720"/>
        <w:jc w:val="both"/>
        <w:rPr>
          <w:rFonts w:ascii="Courier New" w:hAnsi="Courier New" w:cs="Courier New"/>
          <w:b/>
        </w:rPr>
      </w:pPr>
      <w:r w:rsidRPr="006C660D">
        <w:rPr>
          <w:rFonts w:ascii="Courier New" w:hAnsi="Courier New" w:cs="Courier New"/>
          <w:b/>
        </w:rPr>
        <w:t> </w:t>
      </w:r>
      <w:r w:rsidR="000043FE">
        <w:rPr>
          <w:rFonts w:ascii="Courier New" w:hAnsi="Courier New" w:cs="Courier New"/>
          <w:b/>
        </w:rPr>
        <w:t>   </w:t>
      </w:r>
      <w:r w:rsidRPr="006C660D">
        <w:rPr>
          <w:rFonts w:ascii="Courier New" w:hAnsi="Courier New" w:cs="Courier New"/>
          <w:b/>
        </w:rPr>
        <w:t>THE APPELLATE TAX BOARD</w:t>
      </w:r>
    </w:p>
    <w:p w14:paraId="510AD9A4" w14:textId="77777777" w:rsidR="002E1ED6" w:rsidRDefault="002E1ED6" w:rsidP="002E1ED6">
      <w:pPr>
        <w:ind w:left="2880" w:firstLine="720"/>
        <w:jc w:val="both"/>
        <w:rPr>
          <w:rFonts w:ascii="Courier New" w:hAnsi="Courier New" w:cs="Courier New"/>
          <w:b/>
        </w:rPr>
      </w:pPr>
    </w:p>
    <w:p w14:paraId="284C4CE9" w14:textId="77777777" w:rsidR="002E1ED6" w:rsidRDefault="002E1ED6" w:rsidP="002E1ED6">
      <w:pPr>
        <w:ind w:left="2880" w:firstLine="720"/>
        <w:jc w:val="both"/>
        <w:rPr>
          <w:rFonts w:ascii="Courier New" w:hAnsi="Courier New" w:cs="Courier New"/>
          <w:b/>
        </w:rPr>
      </w:pPr>
    </w:p>
    <w:p w14:paraId="122F4271" w14:textId="77777777" w:rsidR="002E1ED6" w:rsidRDefault="002E1ED6" w:rsidP="002E1ED6">
      <w:pPr>
        <w:ind w:left="2880" w:firstLine="720"/>
        <w:jc w:val="both"/>
        <w:rPr>
          <w:rFonts w:ascii="Courier New" w:hAnsi="Courier New" w:cs="Courier New"/>
          <w:b/>
        </w:rPr>
      </w:pPr>
    </w:p>
    <w:p w14:paraId="3A149A94" w14:textId="77777777" w:rsidR="002E1ED6" w:rsidRPr="006C660D" w:rsidRDefault="002E1ED6" w:rsidP="002E1ED6">
      <w:pPr>
        <w:ind w:left="2880" w:firstLine="720"/>
        <w:jc w:val="both"/>
        <w:rPr>
          <w:rFonts w:ascii="Courier New" w:hAnsi="Courier New" w:cs="Courier New"/>
          <w:b/>
        </w:rPr>
      </w:pPr>
    </w:p>
    <w:p w14:paraId="437AFC14" w14:textId="405836FA" w:rsidR="002E1ED6" w:rsidRPr="002E6D85" w:rsidRDefault="002E1ED6" w:rsidP="002E1ED6">
      <w:pPr>
        <w:ind w:left="3315"/>
        <w:jc w:val="both"/>
        <w:rPr>
          <w:rFonts w:ascii="Courier New" w:hAnsi="Courier New" w:cs="Courier New"/>
          <w:b/>
        </w:rPr>
      </w:pPr>
      <w:r>
        <w:rPr>
          <w:rFonts w:ascii="Courier New" w:hAnsi="Courier New" w:cs="Courier New"/>
          <w:b/>
        </w:rPr>
        <w:tab/>
      </w:r>
      <w:r w:rsidR="000043FE">
        <w:rPr>
          <w:rFonts w:ascii="Courier New" w:hAnsi="Courier New" w:cs="Courier New"/>
          <w:b/>
        </w:rPr>
        <w:t> </w:t>
      </w:r>
      <w:r w:rsidRPr="002E6D85">
        <w:rPr>
          <w:rFonts w:ascii="Courier New" w:hAnsi="Courier New" w:cs="Courier New"/>
          <w:b/>
        </w:rPr>
        <w:t>By:</w:t>
      </w:r>
      <w:r>
        <w:rPr>
          <w:rFonts w:ascii="Courier New" w:hAnsi="Courier New" w:cs="Courier New"/>
          <w:b/>
          <w:u w:val="single"/>
        </w:rPr>
        <w:tab/>
        <w:t>_____</w:t>
      </w:r>
      <w:r w:rsidRPr="002E6D85">
        <w:rPr>
          <w:rFonts w:ascii="Courier New" w:hAnsi="Courier New" w:cs="Courier New"/>
          <w:b/>
          <w:u w:val="single"/>
        </w:rPr>
        <w:t>   __________________</w:t>
      </w:r>
      <w:r w:rsidR="000043FE">
        <w:rPr>
          <w:rFonts w:ascii="Courier New" w:hAnsi="Courier New" w:cs="Courier New"/>
          <w:b/>
          <w:u w:val="single"/>
        </w:rPr>
        <w:t>______</w:t>
      </w:r>
      <w:r w:rsidRPr="002E6D85">
        <w:rPr>
          <w:rFonts w:ascii="Courier New" w:hAnsi="Courier New" w:cs="Courier New"/>
          <w:b/>
        </w:rPr>
        <w:tab/>
        <w:t xml:space="preserve">       </w:t>
      </w:r>
    </w:p>
    <w:p w14:paraId="60255CB6" w14:textId="2F75D514" w:rsidR="002E1ED6" w:rsidRPr="006C660D" w:rsidRDefault="002E1ED6" w:rsidP="002E1ED6">
      <w:pPr>
        <w:ind w:left="3315" w:firstLine="285"/>
        <w:jc w:val="both"/>
        <w:rPr>
          <w:rFonts w:ascii="Courier New" w:hAnsi="Courier New" w:cs="Courier New"/>
          <w:b/>
        </w:rPr>
      </w:pPr>
      <w:r>
        <w:rPr>
          <w:rFonts w:ascii="Courier New" w:hAnsi="Courier New" w:cs="Courier New"/>
          <w:b/>
        </w:rPr>
        <w:t xml:space="preserve">  </w:t>
      </w:r>
      <w:r w:rsidR="000043FE">
        <w:rPr>
          <w:rFonts w:ascii="Courier New" w:hAnsi="Courier New" w:cs="Courier New"/>
          <w:b/>
        </w:rPr>
        <w:t>  </w:t>
      </w:r>
      <w:r w:rsidRPr="002E6D85">
        <w:rPr>
          <w:rFonts w:ascii="Courier New" w:hAnsi="Courier New" w:cs="Courier New"/>
          <w:b/>
        </w:rPr>
        <w:t>Thomas W. Hammond, Jr., Chairman</w:t>
      </w:r>
      <w:r w:rsidRPr="006C660D">
        <w:rPr>
          <w:rFonts w:ascii="Courier New" w:hAnsi="Courier New" w:cs="Courier New"/>
          <w:b/>
        </w:rPr>
        <w:t xml:space="preserve"> </w:t>
      </w:r>
    </w:p>
    <w:p w14:paraId="14629CF8" w14:textId="77777777" w:rsidR="002E1ED6" w:rsidRPr="006C660D" w:rsidRDefault="002E1ED6" w:rsidP="002E1ED6">
      <w:pPr>
        <w:jc w:val="both"/>
        <w:rPr>
          <w:rFonts w:ascii="Courier New" w:hAnsi="Courier New" w:cs="Courier New"/>
          <w:b/>
        </w:rPr>
      </w:pPr>
    </w:p>
    <w:p w14:paraId="262C8A52" w14:textId="77777777" w:rsidR="002E1ED6" w:rsidRDefault="002E1ED6" w:rsidP="002E1ED6">
      <w:pPr>
        <w:jc w:val="both"/>
        <w:rPr>
          <w:rFonts w:ascii="Courier New" w:hAnsi="Courier New" w:cs="Courier New"/>
          <w:b/>
        </w:rPr>
      </w:pPr>
    </w:p>
    <w:p w14:paraId="3CD71D7B" w14:textId="77777777" w:rsidR="002E1ED6" w:rsidRDefault="002E1ED6" w:rsidP="002E1ED6"/>
    <w:p w14:paraId="214F6ECF" w14:textId="77777777" w:rsidR="002075FA" w:rsidRPr="002E6D85" w:rsidRDefault="002075FA" w:rsidP="002075FA">
      <w:pPr>
        <w:jc w:val="both"/>
        <w:rPr>
          <w:rFonts w:ascii="Courier New" w:hAnsi="Courier New" w:cs="Courier New"/>
          <w:b/>
        </w:rPr>
      </w:pPr>
      <w:r w:rsidRPr="002E6D85">
        <w:rPr>
          <w:rFonts w:ascii="Courier New" w:hAnsi="Courier New" w:cs="Courier New"/>
          <w:b/>
        </w:rPr>
        <w:t>A true copy,</w:t>
      </w:r>
    </w:p>
    <w:p w14:paraId="7F5AAE12" w14:textId="77777777" w:rsidR="002075FA" w:rsidRPr="002E6D85" w:rsidRDefault="002075FA" w:rsidP="002075FA">
      <w:pPr>
        <w:jc w:val="both"/>
        <w:rPr>
          <w:rFonts w:ascii="Courier New" w:hAnsi="Courier New" w:cs="Courier New"/>
          <w:b/>
        </w:rPr>
      </w:pPr>
    </w:p>
    <w:p w14:paraId="54D4F58E" w14:textId="77777777" w:rsidR="002075FA" w:rsidRPr="002E6D85" w:rsidRDefault="002075FA" w:rsidP="002075FA">
      <w:pPr>
        <w:jc w:val="both"/>
        <w:rPr>
          <w:rFonts w:ascii="Courier New" w:hAnsi="Courier New" w:cs="Courier New"/>
          <w:b/>
        </w:rPr>
      </w:pPr>
    </w:p>
    <w:p w14:paraId="08DD1C96" w14:textId="77777777" w:rsidR="002075FA" w:rsidRPr="002E6D85" w:rsidRDefault="002075FA" w:rsidP="002075FA">
      <w:pPr>
        <w:jc w:val="both"/>
        <w:rPr>
          <w:rFonts w:ascii="Courier New" w:hAnsi="Courier New" w:cs="Courier New"/>
          <w:b/>
          <w:u w:val="single"/>
        </w:rPr>
      </w:pPr>
      <w:r w:rsidRPr="002E6D85">
        <w:rPr>
          <w:rFonts w:ascii="Courier New" w:hAnsi="Courier New" w:cs="Courier New"/>
          <w:b/>
        </w:rPr>
        <w:t>Attest:</w:t>
      </w:r>
      <w:r w:rsidRPr="002E6D85">
        <w:rPr>
          <w:rFonts w:ascii="Courier New" w:hAnsi="Courier New" w:cs="Courier New"/>
          <w:b/>
          <w:u w:val="single"/>
        </w:rPr>
        <w:tab/>
      </w:r>
      <w:r w:rsidRPr="002E6D85">
        <w:rPr>
          <w:rFonts w:ascii="Courier New" w:hAnsi="Courier New" w:cs="Courier New"/>
          <w:b/>
          <w:u w:val="single"/>
        </w:rPr>
        <w:tab/>
      </w:r>
      <w:r w:rsidRPr="002E6D85">
        <w:rPr>
          <w:rFonts w:ascii="Courier New" w:hAnsi="Courier New" w:cs="Courier New"/>
          <w:b/>
          <w:u w:val="single"/>
        </w:rPr>
        <w:tab/>
      </w:r>
      <w:r w:rsidRPr="002E6D85">
        <w:rPr>
          <w:rFonts w:ascii="Courier New" w:hAnsi="Courier New" w:cs="Courier New"/>
          <w:b/>
          <w:u w:val="single"/>
        </w:rPr>
        <w:tab/>
        <w:t>_____</w:t>
      </w:r>
      <w:r w:rsidRPr="002E6D85">
        <w:rPr>
          <w:rFonts w:ascii="Courier New" w:hAnsi="Courier New" w:cs="Courier New"/>
          <w:b/>
          <w:u w:val="single"/>
        </w:rPr>
        <w:softHyphen/>
      </w:r>
      <w:r w:rsidRPr="002E6D85">
        <w:rPr>
          <w:rFonts w:ascii="Courier New" w:hAnsi="Courier New" w:cs="Courier New"/>
          <w:b/>
          <w:u w:val="single"/>
        </w:rPr>
        <w:softHyphen/>
      </w:r>
      <w:r w:rsidRPr="002E6D85">
        <w:rPr>
          <w:rFonts w:ascii="Courier New" w:hAnsi="Courier New" w:cs="Courier New"/>
          <w:b/>
          <w:u w:val="single"/>
        </w:rPr>
        <w:softHyphen/>
      </w:r>
      <w:r w:rsidRPr="002E6D85">
        <w:rPr>
          <w:rFonts w:ascii="Courier New" w:hAnsi="Courier New" w:cs="Courier New"/>
          <w:b/>
          <w:u w:val="single"/>
        </w:rPr>
        <w:softHyphen/>
        <w:t>___</w:t>
      </w:r>
    </w:p>
    <w:p w14:paraId="259E4B5C" w14:textId="77777777" w:rsidR="002075FA" w:rsidRPr="002E6D85" w:rsidRDefault="002075FA" w:rsidP="002075FA">
      <w:pPr>
        <w:jc w:val="both"/>
        <w:rPr>
          <w:rFonts w:ascii="Courier New" w:hAnsi="Courier New" w:cs="Courier New"/>
          <w:b/>
        </w:rPr>
      </w:pPr>
      <w:r w:rsidRPr="002E6D85">
        <w:rPr>
          <w:rFonts w:ascii="Courier New" w:hAnsi="Courier New" w:cs="Courier New"/>
          <w:b/>
        </w:rPr>
        <w:tab/>
        <w:t xml:space="preserve">    Clerk of the Board</w:t>
      </w:r>
    </w:p>
    <w:p w14:paraId="42E82DB8" w14:textId="77777777" w:rsidR="002E1ED6" w:rsidRDefault="002E1ED6" w:rsidP="002E1ED6"/>
    <w:p w14:paraId="602EC7C7" w14:textId="77777777" w:rsidR="002E1ED6" w:rsidRPr="006F2F0C" w:rsidRDefault="002E1ED6" w:rsidP="002E1ED6">
      <w:pPr>
        <w:spacing w:line="480" w:lineRule="auto"/>
        <w:jc w:val="both"/>
        <w:rPr>
          <w:rFonts w:ascii="Courier New" w:hAnsi="Courier New" w:cs="Courier New"/>
        </w:rPr>
      </w:pPr>
      <w:r>
        <w:rPr>
          <w:rFonts w:ascii="Courier New" w:hAnsi="Courier New" w:cs="Courier New"/>
        </w:rPr>
        <w:t xml:space="preserve">  </w:t>
      </w:r>
    </w:p>
    <w:p w14:paraId="07D9F446" w14:textId="77777777" w:rsidR="00157F26" w:rsidRPr="00C92190" w:rsidRDefault="00157F26" w:rsidP="00C92190">
      <w:pPr>
        <w:spacing w:line="480" w:lineRule="auto"/>
        <w:ind w:firstLine="720"/>
        <w:jc w:val="both"/>
        <w:rPr>
          <w:rFonts w:ascii="Courier New" w:hAnsi="Courier New" w:cs="Courier New"/>
        </w:rPr>
      </w:pPr>
    </w:p>
    <w:sectPr w:rsidR="00157F26" w:rsidRPr="00C92190" w:rsidSect="002075FA">
      <w:footerReference w:type="default" r:id="rId9"/>
      <w:pgSz w:w="12240" w:h="15840"/>
      <w:pgMar w:top="1440" w:right="1440" w:bottom="1440" w:left="1440" w:header="720" w:footer="432" w:gutter="0"/>
      <w:pgNumType w:start="2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B0B12F" w14:textId="77777777" w:rsidR="00063BAA" w:rsidRDefault="00063BAA" w:rsidP="00E256FA">
      <w:r>
        <w:separator/>
      </w:r>
    </w:p>
  </w:endnote>
  <w:endnote w:type="continuationSeparator" w:id="0">
    <w:p w14:paraId="67811A78" w14:textId="77777777" w:rsidR="00063BAA" w:rsidRDefault="00063BAA" w:rsidP="00E25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ourier New" w:hAnsi="Courier New" w:cs="Courier New"/>
        <w:b/>
      </w:rPr>
      <w:id w:val="125740366"/>
      <w:docPartObj>
        <w:docPartGallery w:val="Page Numbers (Bottom of Page)"/>
        <w:docPartUnique/>
      </w:docPartObj>
    </w:sdtPr>
    <w:sdtEndPr>
      <w:rPr>
        <w:noProof/>
      </w:rPr>
    </w:sdtEndPr>
    <w:sdtContent>
      <w:p w14:paraId="05A0666E" w14:textId="7D2420B4" w:rsidR="00063BAA" w:rsidRPr="002075FA" w:rsidRDefault="002075FA" w:rsidP="002075FA">
        <w:pPr>
          <w:pStyle w:val="Footer"/>
          <w:jc w:val="center"/>
          <w:rPr>
            <w:rFonts w:ascii="Courier New" w:hAnsi="Courier New" w:cs="Courier New"/>
            <w:b/>
          </w:rPr>
        </w:pPr>
        <w:r w:rsidRPr="002075FA">
          <w:rPr>
            <w:rFonts w:ascii="Courier New" w:hAnsi="Courier New" w:cs="Courier New"/>
            <w:b/>
          </w:rPr>
          <w:t>ATB 2019-</w:t>
        </w:r>
        <w:r w:rsidR="00063BAA" w:rsidRPr="002075FA">
          <w:rPr>
            <w:rFonts w:ascii="Courier New" w:hAnsi="Courier New" w:cs="Courier New"/>
            <w:b/>
          </w:rPr>
          <w:fldChar w:fldCharType="begin"/>
        </w:r>
        <w:r w:rsidR="00063BAA" w:rsidRPr="002075FA">
          <w:rPr>
            <w:rFonts w:ascii="Courier New" w:hAnsi="Courier New" w:cs="Courier New"/>
            <w:b/>
          </w:rPr>
          <w:instrText xml:space="preserve"> PAGE   \* MERGEFORMAT </w:instrText>
        </w:r>
        <w:r w:rsidR="00063BAA" w:rsidRPr="002075FA">
          <w:rPr>
            <w:rFonts w:ascii="Courier New" w:hAnsi="Courier New" w:cs="Courier New"/>
            <w:b/>
          </w:rPr>
          <w:fldChar w:fldCharType="separate"/>
        </w:r>
        <w:r w:rsidR="00157D8D">
          <w:rPr>
            <w:rFonts w:ascii="Courier New" w:hAnsi="Courier New" w:cs="Courier New"/>
            <w:b/>
            <w:noProof/>
          </w:rPr>
          <w:t>24</w:t>
        </w:r>
        <w:r w:rsidR="00063BAA" w:rsidRPr="002075FA">
          <w:rPr>
            <w:rFonts w:ascii="Courier New" w:hAnsi="Courier New" w:cs="Courier New"/>
            <w:b/>
            <w:noProof/>
          </w:rPr>
          <w:fldChar w:fldCharType="end"/>
        </w:r>
      </w:p>
    </w:sdtContent>
  </w:sdt>
  <w:p w14:paraId="75862D40" w14:textId="77777777" w:rsidR="00063BAA" w:rsidRDefault="00063B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7CD894" w14:textId="77777777" w:rsidR="00063BAA" w:rsidRDefault="00063BAA" w:rsidP="00E256FA">
      <w:r>
        <w:separator/>
      </w:r>
    </w:p>
  </w:footnote>
  <w:footnote w:type="continuationSeparator" w:id="0">
    <w:p w14:paraId="649943AC" w14:textId="77777777" w:rsidR="00063BAA" w:rsidRDefault="00063BAA" w:rsidP="00E256FA">
      <w:r>
        <w:continuationSeparator/>
      </w:r>
    </w:p>
  </w:footnote>
  <w:footnote w:id="1">
    <w:p w14:paraId="253D5961" w14:textId="66265916" w:rsidR="001E1BD3" w:rsidRPr="001E1BD3" w:rsidRDefault="001E1BD3" w:rsidP="001E1BD3">
      <w:pPr>
        <w:pStyle w:val="FootnoteText"/>
        <w:jc w:val="both"/>
        <w:rPr>
          <w:rFonts w:ascii="Courier New" w:hAnsi="Courier New" w:cs="Courier New"/>
          <w:sz w:val="20"/>
          <w:szCs w:val="20"/>
        </w:rPr>
      </w:pPr>
      <w:r w:rsidRPr="001E1BD3">
        <w:rPr>
          <w:rStyle w:val="FootnoteReference"/>
          <w:rFonts w:ascii="Courier New" w:hAnsi="Courier New" w:cs="Courier New"/>
          <w:sz w:val="20"/>
          <w:szCs w:val="20"/>
        </w:rPr>
        <w:footnoteRef/>
      </w:r>
      <w:r w:rsidRPr="001E1BD3">
        <w:rPr>
          <w:rFonts w:ascii="Courier New" w:hAnsi="Courier New" w:cs="Courier New"/>
          <w:sz w:val="20"/>
          <w:szCs w:val="20"/>
        </w:rPr>
        <w:t xml:space="preserve"> Office Depot continued to pay rent on its vacated space </w:t>
      </w:r>
      <w:r w:rsidR="00A33A81">
        <w:rPr>
          <w:rFonts w:ascii="Courier New" w:hAnsi="Courier New" w:cs="Courier New"/>
          <w:sz w:val="20"/>
          <w:szCs w:val="20"/>
        </w:rPr>
        <w:t>through the expiration of its ten</w:t>
      </w:r>
      <w:r w:rsidRPr="001E1BD3">
        <w:rPr>
          <w:rFonts w:ascii="Courier New" w:hAnsi="Courier New" w:cs="Courier New"/>
          <w:sz w:val="20"/>
          <w:szCs w:val="20"/>
        </w:rPr>
        <w:t>-year lease in Ma</w:t>
      </w:r>
      <w:r>
        <w:rPr>
          <w:rFonts w:ascii="Courier New" w:hAnsi="Courier New" w:cs="Courier New"/>
          <w:sz w:val="20"/>
          <w:szCs w:val="20"/>
        </w:rPr>
        <w:t>y</w:t>
      </w:r>
      <w:r w:rsidRPr="001E1BD3">
        <w:rPr>
          <w:rFonts w:ascii="Courier New" w:hAnsi="Courier New" w:cs="Courier New"/>
          <w:sz w:val="20"/>
          <w:szCs w:val="20"/>
        </w:rPr>
        <w:t xml:space="preserve"> 2016.</w:t>
      </w:r>
    </w:p>
  </w:footnote>
  <w:footnote w:id="2">
    <w:p w14:paraId="3AA216AC" w14:textId="29CDFEB4" w:rsidR="008202B0" w:rsidRPr="008E1623" w:rsidRDefault="008202B0" w:rsidP="008E1623">
      <w:pPr>
        <w:pStyle w:val="FootnoteText"/>
        <w:jc w:val="both"/>
        <w:rPr>
          <w:rFonts w:ascii="Courier New" w:hAnsi="Courier New" w:cs="Courier New"/>
          <w:sz w:val="22"/>
          <w:szCs w:val="22"/>
        </w:rPr>
      </w:pPr>
      <w:r w:rsidRPr="00A33A81">
        <w:rPr>
          <w:rStyle w:val="FootnoteReference"/>
          <w:rFonts w:ascii="Courier New" w:hAnsi="Courier New" w:cs="Courier New"/>
          <w:sz w:val="20"/>
          <w:szCs w:val="20"/>
        </w:rPr>
        <w:footnoteRef/>
      </w:r>
      <w:r w:rsidRPr="00A33A81">
        <w:rPr>
          <w:rFonts w:ascii="Courier New" w:hAnsi="Courier New" w:cs="Courier New"/>
          <w:sz w:val="20"/>
          <w:szCs w:val="20"/>
        </w:rPr>
        <w:t xml:space="preserve"> </w:t>
      </w:r>
      <w:r w:rsidR="008E1623" w:rsidRPr="00A33A81">
        <w:rPr>
          <w:rFonts w:ascii="Courier New" w:hAnsi="Courier New" w:cs="Courier New"/>
          <w:sz w:val="20"/>
          <w:szCs w:val="20"/>
        </w:rPr>
        <w:t>For</w:t>
      </w:r>
      <w:r w:rsidR="008E1623" w:rsidRPr="008E1623">
        <w:rPr>
          <w:rFonts w:ascii="Courier New" w:hAnsi="Courier New" w:cs="Courier New"/>
          <w:sz w:val="20"/>
          <w:szCs w:val="20"/>
        </w:rPr>
        <w:t xml:space="preserve"> fiscal year </w:t>
      </w:r>
      <w:r w:rsidR="008E1623">
        <w:rPr>
          <w:rFonts w:ascii="Courier New" w:hAnsi="Courier New" w:cs="Courier New"/>
          <w:sz w:val="20"/>
          <w:szCs w:val="20"/>
        </w:rPr>
        <w:t>2015</w:t>
      </w:r>
      <w:r w:rsidR="008E1623" w:rsidRPr="008E1623">
        <w:rPr>
          <w:rFonts w:ascii="Courier New" w:hAnsi="Courier New" w:cs="Courier New"/>
          <w:sz w:val="20"/>
          <w:szCs w:val="20"/>
        </w:rPr>
        <w:t xml:space="preserve">, the due date for payment of the first installment of the actual tax bill without incurring interest, and therefore, the due date of abatement applications, was February 6, 2015.  </w:t>
      </w:r>
      <w:r w:rsidR="008E1623" w:rsidRPr="008E1623">
        <w:rPr>
          <w:rFonts w:ascii="Courier New" w:hAnsi="Courier New" w:cs="Courier New"/>
          <w:i/>
          <w:sz w:val="20"/>
          <w:szCs w:val="20"/>
        </w:rPr>
        <w:t xml:space="preserve">See </w:t>
      </w:r>
      <w:r w:rsidR="008E1623" w:rsidRPr="008E1623">
        <w:rPr>
          <w:rFonts w:ascii="Courier New" w:hAnsi="Courier New" w:cs="Courier New"/>
          <w:sz w:val="20"/>
          <w:szCs w:val="20"/>
        </w:rPr>
        <w:t>St. 2015, c. 10, § 62 (extending the due dates for fiscal year 2015 due to a severe blizzard on the initial due date).</w:t>
      </w:r>
      <w:r w:rsidR="008E1623">
        <w:rPr>
          <w:rFonts w:ascii="Courier New" w:hAnsi="Courier New" w:cs="Courier New"/>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C07"/>
    <w:rsid w:val="00001513"/>
    <w:rsid w:val="00001B6A"/>
    <w:rsid w:val="000043FE"/>
    <w:rsid w:val="00010978"/>
    <w:rsid w:val="00034F75"/>
    <w:rsid w:val="00053654"/>
    <w:rsid w:val="00056CD3"/>
    <w:rsid w:val="00063BAA"/>
    <w:rsid w:val="00071716"/>
    <w:rsid w:val="0007673C"/>
    <w:rsid w:val="000769D7"/>
    <w:rsid w:val="00076B59"/>
    <w:rsid w:val="00093BCE"/>
    <w:rsid w:val="000942D0"/>
    <w:rsid w:val="00096BED"/>
    <w:rsid w:val="000A14ED"/>
    <w:rsid w:val="000A7A41"/>
    <w:rsid w:val="000D5308"/>
    <w:rsid w:val="000E1EB5"/>
    <w:rsid w:val="000E2C25"/>
    <w:rsid w:val="001027A6"/>
    <w:rsid w:val="00111F5D"/>
    <w:rsid w:val="001378A3"/>
    <w:rsid w:val="001471A0"/>
    <w:rsid w:val="00157D8D"/>
    <w:rsid w:val="00157F26"/>
    <w:rsid w:val="00164608"/>
    <w:rsid w:val="00184BFC"/>
    <w:rsid w:val="00191CB7"/>
    <w:rsid w:val="00194B00"/>
    <w:rsid w:val="001A4103"/>
    <w:rsid w:val="001B43D3"/>
    <w:rsid w:val="001B6EDB"/>
    <w:rsid w:val="001C6364"/>
    <w:rsid w:val="001C658C"/>
    <w:rsid w:val="001D3398"/>
    <w:rsid w:val="001E1BD3"/>
    <w:rsid w:val="001E2633"/>
    <w:rsid w:val="001E6E42"/>
    <w:rsid w:val="001E7CDA"/>
    <w:rsid w:val="001F1034"/>
    <w:rsid w:val="001F3A1C"/>
    <w:rsid w:val="002020A4"/>
    <w:rsid w:val="002075FA"/>
    <w:rsid w:val="002147C2"/>
    <w:rsid w:val="00214ADE"/>
    <w:rsid w:val="002253A5"/>
    <w:rsid w:val="002351E5"/>
    <w:rsid w:val="002400AC"/>
    <w:rsid w:val="00241B33"/>
    <w:rsid w:val="002443E2"/>
    <w:rsid w:val="0024516F"/>
    <w:rsid w:val="00246228"/>
    <w:rsid w:val="00250C99"/>
    <w:rsid w:val="0026684B"/>
    <w:rsid w:val="00270C82"/>
    <w:rsid w:val="00273E43"/>
    <w:rsid w:val="00287F9D"/>
    <w:rsid w:val="002A7307"/>
    <w:rsid w:val="002C396B"/>
    <w:rsid w:val="002D3EF5"/>
    <w:rsid w:val="002D75E2"/>
    <w:rsid w:val="002E1ED6"/>
    <w:rsid w:val="002E71CF"/>
    <w:rsid w:val="00302D75"/>
    <w:rsid w:val="003154E3"/>
    <w:rsid w:val="00315A08"/>
    <w:rsid w:val="00321CD0"/>
    <w:rsid w:val="00322690"/>
    <w:rsid w:val="00327476"/>
    <w:rsid w:val="00334626"/>
    <w:rsid w:val="00341714"/>
    <w:rsid w:val="00354FCF"/>
    <w:rsid w:val="00370FEC"/>
    <w:rsid w:val="00375F2A"/>
    <w:rsid w:val="003A31BE"/>
    <w:rsid w:val="003B2161"/>
    <w:rsid w:val="003C0788"/>
    <w:rsid w:val="003D7E44"/>
    <w:rsid w:val="003E5897"/>
    <w:rsid w:val="0041006C"/>
    <w:rsid w:val="004159C7"/>
    <w:rsid w:val="00432DF3"/>
    <w:rsid w:val="004533EA"/>
    <w:rsid w:val="004555BE"/>
    <w:rsid w:val="004573D2"/>
    <w:rsid w:val="004746B8"/>
    <w:rsid w:val="00485517"/>
    <w:rsid w:val="0049124E"/>
    <w:rsid w:val="00495B79"/>
    <w:rsid w:val="00495E04"/>
    <w:rsid w:val="004A2AE2"/>
    <w:rsid w:val="004A7C82"/>
    <w:rsid w:val="004B1EFD"/>
    <w:rsid w:val="004C113B"/>
    <w:rsid w:val="004D39D5"/>
    <w:rsid w:val="004D40AD"/>
    <w:rsid w:val="004E0CF5"/>
    <w:rsid w:val="004E0E12"/>
    <w:rsid w:val="004F1578"/>
    <w:rsid w:val="00505002"/>
    <w:rsid w:val="005132F6"/>
    <w:rsid w:val="00536F34"/>
    <w:rsid w:val="00537D8D"/>
    <w:rsid w:val="005455FB"/>
    <w:rsid w:val="00563946"/>
    <w:rsid w:val="00574B58"/>
    <w:rsid w:val="0059657B"/>
    <w:rsid w:val="005B5028"/>
    <w:rsid w:val="005D27BE"/>
    <w:rsid w:val="005D5D66"/>
    <w:rsid w:val="005E3FA3"/>
    <w:rsid w:val="005F2DD4"/>
    <w:rsid w:val="0061091B"/>
    <w:rsid w:val="00611DFA"/>
    <w:rsid w:val="00630584"/>
    <w:rsid w:val="006724A5"/>
    <w:rsid w:val="00680DC8"/>
    <w:rsid w:val="00697DD5"/>
    <w:rsid w:val="006B0637"/>
    <w:rsid w:val="006B5771"/>
    <w:rsid w:val="006C0531"/>
    <w:rsid w:val="006E039A"/>
    <w:rsid w:val="006E53F6"/>
    <w:rsid w:val="00714BBB"/>
    <w:rsid w:val="00735C58"/>
    <w:rsid w:val="007362ED"/>
    <w:rsid w:val="00744A55"/>
    <w:rsid w:val="00747EFF"/>
    <w:rsid w:val="00765BFF"/>
    <w:rsid w:val="00767F78"/>
    <w:rsid w:val="00780AE1"/>
    <w:rsid w:val="0078103D"/>
    <w:rsid w:val="007A0122"/>
    <w:rsid w:val="007A01AA"/>
    <w:rsid w:val="007A0B17"/>
    <w:rsid w:val="007A1623"/>
    <w:rsid w:val="007A633C"/>
    <w:rsid w:val="007A6F04"/>
    <w:rsid w:val="007B595C"/>
    <w:rsid w:val="007D0E6D"/>
    <w:rsid w:val="007D21A3"/>
    <w:rsid w:val="007D4030"/>
    <w:rsid w:val="007D7997"/>
    <w:rsid w:val="00817E8E"/>
    <w:rsid w:val="008202B0"/>
    <w:rsid w:val="00830916"/>
    <w:rsid w:val="00830E0A"/>
    <w:rsid w:val="00833059"/>
    <w:rsid w:val="008429F0"/>
    <w:rsid w:val="00846A9C"/>
    <w:rsid w:val="00846B73"/>
    <w:rsid w:val="00846D01"/>
    <w:rsid w:val="008516EB"/>
    <w:rsid w:val="0087263D"/>
    <w:rsid w:val="00883FBD"/>
    <w:rsid w:val="00884510"/>
    <w:rsid w:val="008945AC"/>
    <w:rsid w:val="0089479A"/>
    <w:rsid w:val="008B017E"/>
    <w:rsid w:val="008D522C"/>
    <w:rsid w:val="008E019B"/>
    <w:rsid w:val="008E1623"/>
    <w:rsid w:val="008E7872"/>
    <w:rsid w:val="008E7D7C"/>
    <w:rsid w:val="009029D2"/>
    <w:rsid w:val="0092209B"/>
    <w:rsid w:val="00935DD5"/>
    <w:rsid w:val="00940CE2"/>
    <w:rsid w:val="009417DA"/>
    <w:rsid w:val="0095005A"/>
    <w:rsid w:val="00965E68"/>
    <w:rsid w:val="00966F9F"/>
    <w:rsid w:val="009728B2"/>
    <w:rsid w:val="0097582E"/>
    <w:rsid w:val="009A6902"/>
    <w:rsid w:val="009A7D01"/>
    <w:rsid w:val="009B35B5"/>
    <w:rsid w:val="009C169D"/>
    <w:rsid w:val="009D111E"/>
    <w:rsid w:val="009D2DD0"/>
    <w:rsid w:val="009E26AD"/>
    <w:rsid w:val="009F4A36"/>
    <w:rsid w:val="00A043D8"/>
    <w:rsid w:val="00A17A9D"/>
    <w:rsid w:val="00A22FB1"/>
    <w:rsid w:val="00A23966"/>
    <w:rsid w:val="00A33A81"/>
    <w:rsid w:val="00A35AF1"/>
    <w:rsid w:val="00A44D4D"/>
    <w:rsid w:val="00A53229"/>
    <w:rsid w:val="00A55598"/>
    <w:rsid w:val="00A5695E"/>
    <w:rsid w:val="00A60A38"/>
    <w:rsid w:val="00A64A71"/>
    <w:rsid w:val="00A745A2"/>
    <w:rsid w:val="00A801C0"/>
    <w:rsid w:val="00A854B1"/>
    <w:rsid w:val="00A86801"/>
    <w:rsid w:val="00A908D1"/>
    <w:rsid w:val="00A91930"/>
    <w:rsid w:val="00AA3B33"/>
    <w:rsid w:val="00AA402B"/>
    <w:rsid w:val="00AA5418"/>
    <w:rsid w:val="00AB5EF1"/>
    <w:rsid w:val="00B06686"/>
    <w:rsid w:val="00B1518E"/>
    <w:rsid w:val="00B30BB6"/>
    <w:rsid w:val="00B33A04"/>
    <w:rsid w:val="00B468BF"/>
    <w:rsid w:val="00B47070"/>
    <w:rsid w:val="00B474AB"/>
    <w:rsid w:val="00B60360"/>
    <w:rsid w:val="00B80DB4"/>
    <w:rsid w:val="00B9167E"/>
    <w:rsid w:val="00B91EEC"/>
    <w:rsid w:val="00B94320"/>
    <w:rsid w:val="00BA3136"/>
    <w:rsid w:val="00BB066F"/>
    <w:rsid w:val="00C02BBD"/>
    <w:rsid w:val="00C02D00"/>
    <w:rsid w:val="00C24CF6"/>
    <w:rsid w:val="00C26ED5"/>
    <w:rsid w:val="00C3739C"/>
    <w:rsid w:val="00C41075"/>
    <w:rsid w:val="00C50910"/>
    <w:rsid w:val="00C51BE0"/>
    <w:rsid w:val="00C57F6D"/>
    <w:rsid w:val="00C70B53"/>
    <w:rsid w:val="00C72128"/>
    <w:rsid w:val="00C731F6"/>
    <w:rsid w:val="00C80838"/>
    <w:rsid w:val="00C85775"/>
    <w:rsid w:val="00C86AED"/>
    <w:rsid w:val="00C91680"/>
    <w:rsid w:val="00C92190"/>
    <w:rsid w:val="00C9711E"/>
    <w:rsid w:val="00CA0308"/>
    <w:rsid w:val="00CB0DC8"/>
    <w:rsid w:val="00CC0439"/>
    <w:rsid w:val="00CD1389"/>
    <w:rsid w:val="00CE3359"/>
    <w:rsid w:val="00CF4D10"/>
    <w:rsid w:val="00CF6508"/>
    <w:rsid w:val="00D02615"/>
    <w:rsid w:val="00D04AC1"/>
    <w:rsid w:val="00D11D0D"/>
    <w:rsid w:val="00D25D6B"/>
    <w:rsid w:val="00D3484C"/>
    <w:rsid w:val="00D527D3"/>
    <w:rsid w:val="00D53BB2"/>
    <w:rsid w:val="00D53E84"/>
    <w:rsid w:val="00D558D9"/>
    <w:rsid w:val="00D6125F"/>
    <w:rsid w:val="00D72097"/>
    <w:rsid w:val="00D86472"/>
    <w:rsid w:val="00D87B7A"/>
    <w:rsid w:val="00D91715"/>
    <w:rsid w:val="00D9548D"/>
    <w:rsid w:val="00DB2EDD"/>
    <w:rsid w:val="00DD6C53"/>
    <w:rsid w:val="00DE0905"/>
    <w:rsid w:val="00DE354F"/>
    <w:rsid w:val="00DE5B14"/>
    <w:rsid w:val="00DF3875"/>
    <w:rsid w:val="00DF411E"/>
    <w:rsid w:val="00E02BAF"/>
    <w:rsid w:val="00E04A5D"/>
    <w:rsid w:val="00E147D3"/>
    <w:rsid w:val="00E16194"/>
    <w:rsid w:val="00E17D62"/>
    <w:rsid w:val="00E23C3A"/>
    <w:rsid w:val="00E256FA"/>
    <w:rsid w:val="00E44E96"/>
    <w:rsid w:val="00E5083F"/>
    <w:rsid w:val="00E555D1"/>
    <w:rsid w:val="00E6480E"/>
    <w:rsid w:val="00E67BA1"/>
    <w:rsid w:val="00E755BE"/>
    <w:rsid w:val="00E82AA2"/>
    <w:rsid w:val="00E85027"/>
    <w:rsid w:val="00EB2979"/>
    <w:rsid w:val="00EB72A3"/>
    <w:rsid w:val="00EC0CC7"/>
    <w:rsid w:val="00EC182A"/>
    <w:rsid w:val="00EC6B25"/>
    <w:rsid w:val="00ED2C4D"/>
    <w:rsid w:val="00EE152C"/>
    <w:rsid w:val="00EF19AD"/>
    <w:rsid w:val="00F126CE"/>
    <w:rsid w:val="00F25C07"/>
    <w:rsid w:val="00F42016"/>
    <w:rsid w:val="00F4491D"/>
    <w:rsid w:val="00F45742"/>
    <w:rsid w:val="00F54065"/>
    <w:rsid w:val="00F56611"/>
    <w:rsid w:val="00F6332A"/>
    <w:rsid w:val="00F73F02"/>
    <w:rsid w:val="00F90C60"/>
    <w:rsid w:val="00F922C4"/>
    <w:rsid w:val="00F94CE7"/>
    <w:rsid w:val="00F950FD"/>
    <w:rsid w:val="00F95763"/>
    <w:rsid w:val="00FC2C32"/>
    <w:rsid w:val="00FD3C78"/>
    <w:rsid w:val="00FE264E"/>
    <w:rsid w:val="00FE47C9"/>
    <w:rsid w:val="00FE5C25"/>
    <w:rsid w:val="00FF70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7BA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C07"/>
    <w:rPr>
      <w:rFonts w:ascii="Times New Roman" w:eastAsia="Times New Roman" w:hAnsi="Times New Roman" w:cs="Times New Roman"/>
      <w:sz w:val="24"/>
      <w:szCs w:val="24"/>
    </w:rPr>
  </w:style>
  <w:style w:type="paragraph" w:styleId="Heading1">
    <w:name w:val="heading 1"/>
    <w:basedOn w:val="Normal"/>
    <w:next w:val="Normal"/>
    <w:link w:val="Heading1Char"/>
    <w:qFormat/>
    <w:rsid w:val="00F25C07"/>
    <w:pPr>
      <w:keepNext/>
      <w:ind w:left="2880" w:hanging="2880"/>
      <w:outlineLvl w:val="0"/>
    </w:pPr>
    <w:rPr>
      <w:rFonts w:ascii="Courier New" w:hAnsi="Courier New" w:cs="Courier New"/>
      <w:b/>
      <w:bCs/>
    </w:rPr>
  </w:style>
  <w:style w:type="paragraph" w:styleId="Heading2">
    <w:name w:val="heading 2"/>
    <w:basedOn w:val="Normal"/>
    <w:next w:val="Normal"/>
    <w:link w:val="Heading2Char"/>
    <w:qFormat/>
    <w:rsid w:val="00F25C07"/>
    <w:pPr>
      <w:keepNext/>
      <w:spacing w:line="360" w:lineRule="auto"/>
      <w:jc w:val="center"/>
      <w:outlineLvl w:val="1"/>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5C07"/>
    <w:rPr>
      <w:rFonts w:ascii="Courier New" w:eastAsia="Times New Roman" w:hAnsi="Courier New" w:cs="Courier New"/>
      <w:b/>
      <w:bCs/>
      <w:sz w:val="24"/>
      <w:szCs w:val="24"/>
    </w:rPr>
  </w:style>
  <w:style w:type="character" w:customStyle="1" w:styleId="Heading2Char">
    <w:name w:val="Heading 2 Char"/>
    <w:basedOn w:val="DefaultParagraphFont"/>
    <w:link w:val="Heading2"/>
    <w:rsid w:val="00F25C07"/>
    <w:rPr>
      <w:rFonts w:ascii="Courier New" w:eastAsia="Times New Roman" w:hAnsi="Courier New" w:cs="Courier New"/>
      <w:b/>
      <w:bCs/>
      <w:sz w:val="24"/>
      <w:szCs w:val="24"/>
    </w:rPr>
  </w:style>
  <w:style w:type="paragraph" w:styleId="Title">
    <w:name w:val="Title"/>
    <w:basedOn w:val="Normal"/>
    <w:link w:val="TitleChar"/>
    <w:qFormat/>
    <w:rsid w:val="00F25C07"/>
    <w:pPr>
      <w:jc w:val="center"/>
    </w:pPr>
    <w:rPr>
      <w:rFonts w:ascii="Courier New" w:hAnsi="Courier New" w:cs="Courier New"/>
      <w:b/>
      <w:bCs/>
    </w:rPr>
  </w:style>
  <w:style w:type="character" w:customStyle="1" w:styleId="TitleChar">
    <w:name w:val="Title Char"/>
    <w:basedOn w:val="DefaultParagraphFont"/>
    <w:link w:val="Title"/>
    <w:rsid w:val="00F25C07"/>
    <w:rPr>
      <w:rFonts w:ascii="Courier New" w:eastAsia="Times New Roman" w:hAnsi="Courier New" w:cs="Courier New"/>
      <w:b/>
      <w:bCs/>
      <w:sz w:val="24"/>
      <w:szCs w:val="24"/>
    </w:rPr>
  </w:style>
  <w:style w:type="paragraph" w:styleId="BodyText2">
    <w:name w:val="Body Text 2"/>
    <w:basedOn w:val="Normal"/>
    <w:link w:val="BodyText2Char"/>
    <w:rsid w:val="00F25C07"/>
    <w:pPr>
      <w:spacing w:after="120" w:line="480" w:lineRule="auto"/>
    </w:pPr>
  </w:style>
  <w:style w:type="character" w:customStyle="1" w:styleId="BodyText2Char">
    <w:name w:val="Body Text 2 Char"/>
    <w:basedOn w:val="DefaultParagraphFont"/>
    <w:link w:val="BodyText2"/>
    <w:rsid w:val="00F25C0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256FA"/>
    <w:pPr>
      <w:tabs>
        <w:tab w:val="center" w:pos="4680"/>
        <w:tab w:val="right" w:pos="9360"/>
      </w:tabs>
    </w:pPr>
  </w:style>
  <w:style w:type="character" w:customStyle="1" w:styleId="HeaderChar">
    <w:name w:val="Header Char"/>
    <w:basedOn w:val="DefaultParagraphFont"/>
    <w:link w:val="Header"/>
    <w:uiPriority w:val="99"/>
    <w:rsid w:val="00E256F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256FA"/>
    <w:pPr>
      <w:tabs>
        <w:tab w:val="center" w:pos="4680"/>
        <w:tab w:val="right" w:pos="9360"/>
      </w:tabs>
    </w:pPr>
  </w:style>
  <w:style w:type="character" w:customStyle="1" w:styleId="FooterChar">
    <w:name w:val="Footer Char"/>
    <w:basedOn w:val="DefaultParagraphFont"/>
    <w:link w:val="Footer"/>
    <w:uiPriority w:val="99"/>
    <w:rsid w:val="00E256FA"/>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B06686"/>
    <w:pPr>
      <w:spacing w:after="120"/>
    </w:pPr>
  </w:style>
  <w:style w:type="character" w:customStyle="1" w:styleId="BodyTextChar">
    <w:name w:val="Body Text Char"/>
    <w:basedOn w:val="DefaultParagraphFont"/>
    <w:link w:val="BodyText"/>
    <w:uiPriority w:val="99"/>
    <w:semiHidden/>
    <w:rsid w:val="00B06686"/>
    <w:rPr>
      <w:rFonts w:ascii="Times New Roman" w:eastAsia="Times New Roman" w:hAnsi="Times New Roman" w:cs="Times New Roman"/>
      <w:sz w:val="24"/>
      <w:szCs w:val="24"/>
    </w:rPr>
  </w:style>
  <w:style w:type="character" w:styleId="IntenseEmphasis">
    <w:name w:val="Intense Emphasis"/>
    <w:uiPriority w:val="21"/>
    <w:qFormat/>
    <w:rsid w:val="004E0CF5"/>
    <w:rPr>
      <w:b/>
      <w:bCs/>
      <w:i/>
      <w:iCs/>
      <w:color w:val="4F81BD"/>
    </w:rPr>
  </w:style>
  <w:style w:type="table" w:styleId="TableGrid">
    <w:name w:val="Table Grid"/>
    <w:basedOn w:val="TableNormal"/>
    <w:uiPriority w:val="59"/>
    <w:rsid w:val="00C24CF6"/>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C24CF6"/>
  </w:style>
  <w:style w:type="character" w:customStyle="1" w:styleId="FootnoteTextChar">
    <w:name w:val="Footnote Text Char"/>
    <w:basedOn w:val="DefaultParagraphFont"/>
    <w:link w:val="FootnoteText"/>
    <w:uiPriority w:val="99"/>
    <w:rsid w:val="00C24CF6"/>
    <w:rPr>
      <w:rFonts w:ascii="Times New Roman" w:eastAsia="Times New Roman" w:hAnsi="Times New Roman" w:cs="Times New Roman"/>
      <w:sz w:val="24"/>
      <w:szCs w:val="24"/>
    </w:rPr>
  </w:style>
  <w:style w:type="character" w:styleId="FootnoteReference">
    <w:name w:val="footnote reference"/>
    <w:basedOn w:val="DefaultParagraphFont"/>
    <w:uiPriority w:val="99"/>
    <w:unhideWhenUsed/>
    <w:rsid w:val="00C24CF6"/>
    <w:rPr>
      <w:vertAlign w:val="superscript"/>
    </w:rPr>
  </w:style>
  <w:style w:type="character" w:customStyle="1" w:styleId="term1">
    <w:name w:val="term1"/>
    <w:rsid w:val="00FE5C25"/>
    <w:rPr>
      <w:b/>
      <w:bCs/>
    </w:rPr>
  </w:style>
  <w:style w:type="character" w:styleId="Hyperlink">
    <w:name w:val="Hyperlink"/>
    <w:uiPriority w:val="99"/>
    <w:unhideWhenUsed/>
    <w:rsid w:val="00FE5C25"/>
    <w:rPr>
      <w:strike w:val="0"/>
      <w:dstrike w:val="0"/>
      <w:color w:val="004B91"/>
      <w:u w:val="none"/>
      <w:effect w:val="none"/>
    </w:rPr>
  </w:style>
  <w:style w:type="paragraph" w:styleId="BalloonText">
    <w:name w:val="Balloon Text"/>
    <w:basedOn w:val="Normal"/>
    <w:link w:val="BalloonTextChar"/>
    <w:uiPriority w:val="99"/>
    <w:semiHidden/>
    <w:unhideWhenUsed/>
    <w:rsid w:val="009D2DD0"/>
    <w:rPr>
      <w:rFonts w:ascii="Tahoma" w:hAnsi="Tahoma" w:cs="Tahoma"/>
      <w:sz w:val="16"/>
      <w:szCs w:val="16"/>
    </w:rPr>
  </w:style>
  <w:style w:type="character" w:customStyle="1" w:styleId="BalloonTextChar">
    <w:name w:val="Balloon Text Char"/>
    <w:basedOn w:val="DefaultParagraphFont"/>
    <w:link w:val="BalloonText"/>
    <w:uiPriority w:val="99"/>
    <w:semiHidden/>
    <w:rsid w:val="009D2DD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C07"/>
    <w:rPr>
      <w:rFonts w:ascii="Times New Roman" w:eastAsia="Times New Roman" w:hAnsi="Times New Roman" w:cs="Times New Roman"/>
      <w:sz w:val="24"/>
      <w:szCs w:val="24"/>
    </w:rPr>
  </w:style>
  <w:style w:type="paragraph" w:styleId="Heading1">
    <w:name w:val="heading 1"/>
    <w:basedOn w:val="Normal"/>
    <w:next w:val="Normal"/>
    <w:link w:val="Heading1Char"/>
    <w:qFormat/>
    <w:rsid w:val="00F25C07"/>
    <w:pPr>
      <w:keepNext/>
      <w:ind w:left="2880" w:hanging="2880"/>
      <w:outlineLvl w:val="0"/>
    </w:pPr>
    <w:rPr>
      <w:rFonts w:ascii="Courier New" w:hAnsi="Courier New" w:cs="Courier New"/>
      <w:b/>
      <w:bCs/>
    </w:rPr>
  </w:style>
  <w:style w:type="paragraph" w:styleId="Heading2">
    <w:name w:val="heading 2"/>
    <w:basedOn w:val="Normal"/>
    <w:next w:val="Normal"/>
    <w:link w:val="Heading2Char"/>
    <w:qFormat/>
    <w:rsid w:val="00F25C07"/>
    <w:pPr>
      <w:keepNext/>
      <w:spacing w:line="360" w:lineRule="auto"/>
      <w:jc w:val="center"/>
      <w:outlineLvl w:val="1"/>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5C07"/>
    <w:rPr>
      <w:rFonts w:ascii="Courier New" w:eastAsia="Times New Roman" w:hAnsi="Courier New" w:cs="Courier New"/>
      <w:b/>
      <w:bCs/>
      <w:sz w:val="24"/>
      <w:szCs w:val="24"/>
    </w:rPr>
  </w:style>
  <w:style w:type="character" w:customStyle="1" w:styleId="Heading2Char">
    <w:name w:val="Heading 2 Char"/>
    <w:basedOn w:val="DefaultParagraphFont"/>
    <w:link w:val="Heading2"/>
    <w:rsid w:val="00F25C07"/>
    <w:rPr>
      <w:rFonts w:ascii="Courier New" w:eastAsia="Times New Roman" w:hAnsi="Courier New" w:cs="Courier New"/>
      <w:b/>
      <w:bCs/>
      <w:sz w:val="24"/>
      <w:szCs w:val="24"/>
    </w:rPr>
  </w:style>
  <w:style w:type="paragraph" w:styleId="Title">
    <w:name w:val="Title"/>
    <w:basedOn w:val="Normal"/>
    <w:link w:val="TitleChar"/>
    <w:qFormat/>
    <w:rsid w:val="00F25C07"/>
    <w:pPr>
      <w:jc w:val="center"/>
    </w:pPr>
    <w:rPr>
      <w:rFonts w:ascii="Courier New" w:hAnsi="Courier New" w:cs="Courier New"/>
      <w:b/>
      <w:bCs/>
    </w:rPr>
  </w:style>
  <w:style w:type="character" w:customStyle="1" w:styleId="TitleChar">
    <w:name w:val="Title Char"/>
    <w:basedOn w:val="DefaultParagraphFont"/>
    <w:link w:val="Title"/>
    <w:rsid w:val="00F25C07"/>
    <w:rPr>
      <w:rFonts w:ascii="Courier New" w:eastAsia="Times New Roman" w:hAnsi="Courier New" w:cs="Courier New"/>
      <w:b/>
      <w:bCs/>
      <w:sz w:val="24"/>
      <w:szCs w:val="24"/>
    </w:rPr>
  </w:style>
  <w:style w:type="paragraph" w:styleId="BodyText2">
    <w:name w:val="Body Text 2"/>
    <w:basedOn w:val="Normal"/>
    <w:link w:val="BodyText2Char"/>
    <w:rsid w:val="00F25C07"/>
    <w:pPr>
      <w:spacing w:after="120" w:line="480" w:lineRule="auto"/>
    </w:pPr>
  </w:style>
  <w:style w:type="character" w:customStyle="1" w:styleId="BodyText2Char">
    <w:name w:val="Body Text 2 Char"/>
    <w:basedOn w:val="DefaultParagraphFont"/>
    <w:link w:val="BodyText2"/>
    <w:rsid w:val="00F25C0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256FA"/>
    <w:pPr>
      <w:tabs>
        <w:tab w:val="center" w:pos="4680"/>
        <w:tab w:val="right" w:pos="9360"/>
      </w:tabs>
    </w:pPr>
  </w:style>
  <w:style w:type="character" w:customStyle="1" w:styleId="HeaderChar">
    <w:name w:val="Header Char"/>
    <w:basedOn w:val="DefaultParagraphFont"/>
    <w:link w:val="Header"/>
    <w:uiPriority w:val="99"/>
    <w:rsid w:val="00E256F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256FA"/>
    <w:pPr>
      <w:tabs>
        <w:tab w:val="center" w:pos="4680"/>
        <w:tab w:val="right" w:pos="9360"/>
      </w:tabs>
    </w:pPr>
  </w:style>
  <w:style w:type="character" w:customStyle="1" w:styleId="FooterChar">
    <w:name w:val="Footer Char"/>
    <w:basedOn w:val="DefaultParagraphFont"/>
    <w:link w:val="Footer"/>
    <w:uiPriority w:val="99"/>
    <w:rsid w:val="00E256FA"/>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B06686"/>
    <w:pPr>
      <w:spacing w:after="120"/>
    </w:pPr>
  </w:style>
  <w:style w:type="character" w:customStyle="1" w:styleId="BodyTextChar">
    <w:name w:val="Body Text Char"/>
    <w:basedOn w:val="DefaultParagraphFont"/>
    <w:link w:val="BodyText"/>
    <w:uiPriority w:val="99"/>
    <w:semiHidden/>
    <w:rsid w:val="00B06686"/>
    <w:rPr>
      <w:rFonts w:ascii="Times New Roman" w:eastAsia="Times New Roman" w:hAnsi="Times New Roman" w:cs="Times New Roman"/>
      <w:sz w:val="24"/>
      <w:szCs w:val="24"/>
    </w:rPr>
  </w:style>
  <w:style w:type="character" w:styleId="IntenseEmphasis">
    <w:name w:val="Intense Emphasis"/>
    <w:uiPriority w:val="21"/>
    <w:qFormat/>
    <w:rsid w:val="004E0CF5"/>
    <w:rPr>
      <w:b/>
      <w:bCs/>
      <w:i/>
      <w:iCs/>
      <w:color w:val="4F81BD"/>
    </w:rPr>
  </w:style>
  <w:style w:type="table" w:styleId="TableGrid">
    <w:name w:val="Table Grid"/>
    <w:basedOn w:val="TableNormal"/>
    <w:uiPriority w:val="59"/>
    <w:rsid w:val="00C24CF6"/>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C24CF6"/>
  </w:style>
  <w:style w:type="character" w:customStyle="1" w:styleId="FootnoteTextChar">
    <w:name w:val="Footnote Text Char"/>
    <w:basedOn w:val="DefaultParagraphFont"/>
    <w:link w:val="FootnoteText"/>
    <w:uiPriority w:val="99"/>
    <w:rsid w:val="00C24CF6"/>
    <w:rPr>
      <w:rFonts w:ascii="Times New Roman" w:eastAsia="Times New Roman" w:hAnsi="Times New Roman" w:cs="Times New Roman"/>
      <w:sz w:val="24"/>
      <w:szCs w:val="24"/>
    </w:rPr>
  </w:style>
  <w:style w:type="character" w:styleId="FootnoteReference">
    <w:name w:val="footnote reference"/>
    <w:basedOn w:val="DefaultParagraphFont"/>
    <w:uiPriority w:val="99"/>
    <w:unhideWhenUsed/>
    <w:rsid w:val="00C24CF6"/>
    <w:rPr>
      <w:vertAlign w:val="superscript"/>
    </w:rPr>
  </w:style>
  <w:style w:type="character" w:customStyle="1" w:styleId="term1">
    <w:name w:val="term1"/>
    <w:rsid w:val="00FE5C25"/>
    <w:rPr>
      <w:b/>
      <w:bCs/>
    </w:rPr>
  </w:style>
  <w:style w:type="character" w:styleId="Hyperlink">
    <w:name w:val="Hyperlink"/>
    <w:uiPriority w:val="99"/>
    <w:unhideWhenUsed/>
    <w:rsid w:val="00FE5C25"/>
    <w:rPr>
      <w:strike w:val="0"/>
      <w:dstrike w:val="0"/>
      <w:color w:val="004B91"/>
      <w:u w:val="none"/>
      <w:effect w:val="none"/>
    </w:rPr>
  </w:style>
  <w:style w:type="paragraph" w:styleId="BalloonText">
    <w:name w:val="Balloon Text"/>
    <w:basedOn w:val="Normal"/>
    <w:link w:val="BalloonTextChar"/>
    <w:uiPriority w:val="99"/>
    <w:semiHidden/>
    <w:unhideWhenUsed/>
    <w:rsid w:val="009D2DD0"/>
    <w:rPr>
      <w:rFonts w:ascii="Tahoma" w:hAnsi="Tahoma" w:cs="Tahoma"/>
      <w:sz w:val="16"/>
      <w:szCs w:val="16"/>
    </w:rPr>
  </w:style>
  <w:style w:type="character" w:customStyle="1" w:styleId="BalloonTextChar">
    <w:name w:val="Balloon Text Char"/>
    <w:basedOn w:val="DefaultParagraphFont"/>
    <w:link w:val="BalloonText"/>
    <w:uiPriority w:val="99"/>
    <w:semiHidden/>
    <w:rsid w:val="009D2DD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84148fdab1cfffe9dde12c90d94bf116&amp;_xfercite=%3ccite%20cc%3d%22USA%22%3e%3c%21%5bCDATA%5b383%20Mass.%20456%5d%5d%3e%3c%2fcite%3e&amp;_butType=3&amp;_butStat=2&amp;_butNum=42&amp;_butInline=1&amp;_butinfo=%3ccite%20cc%3d%22USA%22%3e%3c%21%5bCDATA%5b359%20Mass.%20106%2c%20108%5d%5d%3e%3c%2fcite%3e&amp;_fmtstr=FULL&amp;docnum=7&amp;_startdoc=1&amp;wchp=dGLbVzk-zSkAz&amp;_md5=91a03a4066d0a5850641e9baf7575d1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3F7B3-B2D1-4C26-BF6A-55C1784D0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2957</Words>
  <Characters>16859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2019-01-18T15:21:00Z</cp:lastPrinted>
  <dcterms:created xsi:type="dcterms:W3CDTF">2019-01-18T15:35:00Z</dcterms:created>
  <dcterms:modified xsi:type="dcterms:W3CDTF">2019-01-18T15:35:00Z</dcterms:modified>
</cp:coreProperties>
</file>