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914" w14:textId="77777777" w:rsidR="00DA21B3" w:rsidRDefault="00DA21B3" w:rsidP="00DA21B3">
      <w:r>
        <w:t>MASSHEALTH FORMULARY NEWSLETTER</w:t>
      </w:r>
    </w:p>
    <w:p w14:paraId="2FFB7FD9" w14:textId="2EFB2007" w:rsidR="00DA21B3" w:rsidRDefault="00B6458F" w:rsidP="00DA21B3">
      <w:pPr>
        <w:pStyle w:val="Heading1"/>
      </w:pPr>
      <w:r>
        <w:rPr>
          <w:b w:val="0"/>
          <w:bCs/>
          <w:sz w:val="28"/>
          <w:szCs w:val="28"/>
        </w:rPr>
        <w:t>ISSU</w:t>
      </w:r>
      <w:r w:rsidR="0096085F" w:rsidRPr="0096085F">
        <w:rPr>
          <w:b w:val="0"/>
          <w:bCs/>
          <w:sz w:val="28"/>
          <w:szCs w:val="28"/>
        </w:rPr>
        <w:t>E 1</w:t>
      </w:r>
      <w:r w:rsidR="0096085F">
        <w:t xml:space="preserve"> </w:t>
      </w:r>
      <w:r w:rsidR="00DA21B3">
        <w:t>MassHealth Drug List (MHDL) Update Summary Effective April 1, 2026</w:t>
      </w:r>
    </w:p>
    <w:p w14:paraId="4CDE828D" w14:textId="77777777" w:rsidR="00DA21B3" w:rsidRDefault="00DA21B3" w:rsidP="00DA21B3">
      <w:pPr>
        <w:pStyle w:val="Heading2"/>
      </w:pPr>
      <w:r>
        <w:t>Key Changes</w:t>
      </w:r>
    </w:p>
    <w:p w14:paraId="1E942CCA" w14:textId="77777777" w:rsidR="00DA21B3" w:rsidRDefault="00DA21B3" w:rsidP="00DA21B3">
      <w:pPr>
        <w:pStyle w:val="Heading3"/>
      </w:pPr>
      <w:r>
        <w:t xml:space="preserve">Adalimumab (Humira) and ustekinumab (Stelara) Preferred Biosimilars </w:t>
      </w:r>
    </w:p>
    <w:p w14:paraId="1A165E90" w14:textId="58A6C1EA" w:rsidR="00DA21B3" w:rsidRDefault="00DA21B3" w:rsidP="00DA21B3">
      <w:pPr>
        <w:pStyle w:val="Normal-bullets"/>
      </w:pPr>
      <w:r>
        <w:t>Current state: before January 2026, MassHealth preferred Humira and Stelara reference products. As noted below, MassHealth will be preferring biosimilars. To aid in the transition, MassHealth allowed both the reference products and the preferred biosimilars to be used for members with a prior</w:t>
      </w:r>
      <w:r w:rsidR="00B00F0F">
        <w:t xml:space="preserve"> </w:t>
      </w:r>
      <w:r>
        <w:t xml:space="preserve">authorization (PA) on file. More information can be found in </w:t>
      </w:r>
      <w:proofErr w:type="spellStart"/>
      <w:r>
        <w:t>Presciber</w:t>
      </w:r>
      <w:proofErr w:type="spellEnd"/>
      <w:r>
        <w:t xml:space="preserve"> e-Letter volume 15, issue 19. </w:t>
      </w:r>
    </w:p>
    <w:p w14:paraId="5194A86F" w14:textId="3700D970" w:rsidR="00DA21B3" w:rsidRDefault="00DA21B3" w:rsidP="00DA21B3">
      <w:pPr>
        <w:pStyle w:val="Normal-bullets"/>
      </w:pPr>
      <w:r>
        <w:t xml:space="preserve">Effective April 1, 2026: Humira and Stelara will be non-preferred and will be subject to </w:t>
      </w:r>
      <w:proofErr w:type="gramStart"/>
      <w:r>
        <w:t>a step</w:t>
      </w:r>
      <w:proofErr w:type="gramEnd"/>
      <w:r>
        <w:t>-therapy requirement. Members will be required to have tried and failed all preferred biosimilars before coverage will be granted for Humira or Stelara. A new PA will be required for patients who have not</w:t>
      </w:r>
      <w:r w:rsidR="00B00F0F">
        <w:t xml:space="preserve"> </w:t>
      </w:r>
      <w:r>
        <w:t>switched to a preferred biosimilar.</w:t>
      </w:r>
    </w:p>
    <w:tbl>
      <w:tblPr>
        <w:tblStyle w:val="TableGrid"/>
        <w:tblW w:w="0" w:type="auto"/>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ook w:val="04A0" w:firstRow="1" w:lastRow="0" w:firstColumn="1" w:lastColumn="0" w:noHBand="0" w:noVBand="1"/>
      </w:tblPr>
      <w:tblGrid>
        <w:gridCol w:w="3595"/>
        <w:gridCol w:w="5755"/>
      </w:tblGrid>
      <w:tr w:rsidR="007B21CA" w:rsidRPr="007B21CA" w14:paraId="69B36E97" w14:textId="41F8A7EA" w:rsidTr="00C53AE4">
        <w:tc>
          <w:tcPr>
            <w:tcW w:w="3595" w:type="dxa"/>
            <w:shd w:val="clear" w:color="auto" w:fill="C1E4F5" w:themeFill="accent1" w:themeFillTint="33"/>
          </w:tcPr>
          <w:p w14:paraId="33915695" w14:textId="77777777" w:rsidR="007B21CA" w:rsidRPr="007B21CA" w:rsidRDefault="007B21CA" w:rsidP="00485B10">
            <w:pPr>
              <w:pStyle w:val="Heading3"/>
            </w:pPr>
            <w:r w:rsidRPr="007B21CA">
              <w:t>Preferred Biosimilars</w:t>
            </w:r>
          </w:p>
        </w:tc>
        <w:tc>
          <w:tcPr>
            <w:tcW w:w="5755" w:type="dxa"/>
            <w:shd w:val="clear" w:color="auto" w:fill="C1E4F5" w:themeFill="accent1" w:themeFillTint="33"/>
            <w:vAlign w:val="bottom"/>
          </w:tcPr>
          <w:p w14:paraId="7B4E989E" w14:textId="71194311" w:rsidR="007B21CA" w:rsidRPr="007B21CA" w:rsidRDefault="007B21CA" w:rsidP="007B21CA">
            <w:pPr>
              <w:pStyle w:val="Heading3"/>
            </w:pPr>
            <w:r>
              <w:t>Interchangeability</w:t>
            </w:r>
          </w:p>
        </w:tc>
      </w:tr>
      <w:tr w:rsidR="007B21CA" w:rsidRPr="007B21CA" w14:paraId="4412E4C4" w14:textId="1141D2B9" w:rsidTr="00C53AE4">
        <w:tc>
          <w:tcPr>
            <w:tcW w:w="3595" w:type="dxa"/>
          </w:tcPr>
          <w:p w14:paraId="3E4DD972" w14:textId="77777777" w:rsidR="007B21CA" w:rsidRDefault="007B21CA" w:rsidP="00485B10">
            <w:proofErr w:type="spellStart"/>
            <w:r w:rsidRPr="007B21CA">
              <w:t>Hadlima</w:t>
            </w:r>
            <w:proofErr w:type="spellEnd"/>
          </w:p>
          <w:p w14:paraId="23A6763E" w14:textId="4B9BAFB9" w:rsidR="007B21CA" w:rsidRPr="007B21CA" w:rsidRDefault="007B21CA" w:rsidP="00485B10">
            <w:r w:rsidRPr="007B21CA">
              <w:t>adalimumab-</w:t>
            </w:r>
            <w:proofErr w:type="spellStart"/>
            <w:r w:rsidRPr="007B21CA">
              <w:t>adaz</w:t>
            </w:r>
            <w:proofErr w:type="spellEnd"/>
          </w:p>
        </w:tc>
        <w:tc>
          <w:tcPr>
            <w:tcW w:w="5755" w:type="dxa"/>
          </w:tcPr>
          <w:p w14:paraId="253DB749" w14:textId="654EE75C" w:rsidR="007B21CA" w:rsidRPr="007B21CA" w:rsidRDefault="007B21CA" w:rsidP="00485B10">
            <w:proofErr w:type="spellStart"/>
            <w:r>
              <w:t>Hadlima</w:t>
            </w:r>
            <w:proofErr w:type="spellEnd"/>
            <w:r>
              <w:t xml:space="preserve"> and adalimumab-</w:t>
            </w:r>
            <w:proofErr w:type="spellStart"/>
            <w:r>
              <w:t>adaz</w:t>
            </w:r>
            <w:proofErr w:type="spellEnd"/>
            <w:r>
              <w:t xml:space="preserve"> are interchangeable with Humira.</w:t>
            </w:r>
          </w:p>
        </w:tc>
      </w:tr>
      <w:tr w:rsidR="007B21CA" w:rsidRPr="007B21CA" w14:paraId="3F3DAE15" w14:textId="4BAD2836" w:rsidTr="00C53AE4">
        <w:tc>
          <w:tcPr>
            <w:tcW w:w="3595" w:type="dxa"/>
          </w:tcPr>
          <w:p w14:paraId="3AD51A2C" w14:textId="77777777" w:rsidR="007B21CA" w:rsidRDefault="007B21CA" w:rsidP="007B21CA">
            <w:proofErr w:type="spellStart"/>
            <w:r>
              <w:t>Pyzchiva</w:t>
            </w:r>
            <w:proofErr w:type="spellEnd"/>
          </w:p>
          <w:p w14:paraId="1C59E387" w14:textId="77777777" w:rsidR="007B21CA" w:rsidRDefault="007B21CA" w:rsidP="007B21CA">
            <w:proofErr w:type="spellStart"/>
            <w:r>
              <w:t>Steqeyma</w:t>
            </w:r>
            <w:proofErr w:type="spellEnd"/>
          </w:p>
          <w:p w14:paraId="23DF0E8B" w14:textId="0495AB80" w:rsidR="007B21CA" w:rsidRPr="007B21CA" w:rsidRDefault="007B21CA" w:rsidP="00485B10">
            <w:proofErr w:type="spellStart"/>
            <w:r>
              <w:t>Imuldosa</w:t>
            </w:r>
            <w:proofErr w:type="spellEnd"/>
          </w:p>
        </w:tc>
        <w:tc>
          <w:tcPr>
            <w:tcW w:w="5755" w:type="dxa"/>
          </w:tcPr>
          <w:p w14:paraId="00FC573C" w14:textId="77777777" w:rsidR="007B21CA" w:rsidRDefault="007B21CA" w:rsidP="007B21CA">
            <w:proofErr w:type="spellStart"/>
            <w:r>
              <w:t>Pyzchiva</w:t>
            </w:r>
            <w:proofErr w:type="spellEnd"/>
            <w:r>
              <w:t xml:space="preserve"> and </w:t>
            </w:r>
            <w:proofErr w:type="spellStart"/>
            <w:r>
              <w:t>Steqeyma</w:t>
            </w:r>
            <w:proofErr w:type="spellEnd"/>
            <w:r>
              <w:t xml:space="preserve"> are interchangeable with Stelara.</w:t>
            </w:r>
          </w:p>
          <w:p w14:paraId="4CEC7E67" w14:textId="798A1B2E" w:rsidR="007B21CA" w:rsidRPr="007B21CA" w:rsidRDefault="007B21CA" w:rsidP="00485B10">
            <w:proofErr w:type="spellStart"/>
            <w:r>
              <w:t>Imuldosa</w:t>
            </w:r>
            <w:proofErr w:type="spellEnd"/>
            <w:r>
              <w:t xml:space="preserve"> is not FDA-approved as interchangeable with Stelara and will therefore require a new prescription.</w:t>
            </w:r>
          </w:p>
        </w:tc>
      </w:tr>
    </w:tbl>
    <w:p w14:paraId="0E6EB995" w14:textId="77777777" w:rsidR="00DA21B3" w:rsidRDefault="00DA21B3" w:rsidP="005720DC">
      <w:pPr>
        <w:pStyle w:val="Heading3"/>
      </w:pPr>
      <w:r>
        <w:t>Buprenorphine Sublingual Tablets</w:t>
      </w:r>
    </w:p>
    <w:p w14:paraId="5A6BF470" w14:textId="758CF5B9" w:rsidR="00DA21B3" w:rsidRDefault="00DA21B3" w:rsidP="005720DC">
      <w:pPr>
        <w:pStyle w:val="Normal-bullets"/>
      </w:pPr>
      <w:r>
        <w:t xml:space="preserve">Current state: MassHealth requires PA for buprenorphine sublingual tablets regardless of quantity. Buprenorphine/naloxone and long-acting injectable buprenorphine are available without PA. </w:t>
      </w:r>
    </w:p>
    <w:p w14:paraId="3D54FE27" w14:textId="1160FD1F" w:rsidR="00DA21B3" w:rsidRDefault="00DA21B3" w:rsidP="005720DC">
      <w:pPr>
        <w:pStyle w:val="Normal-bullets"/>
      </w:pPr>
      <w:r>
        <w:t>Effective April 1, 2026: MassHealth members will be permitted to receive a five-day supply of buprenorphine sublingual tablets within the dose limit of 32 mg/day, without PA. A PA will be required for a day’s supply beyond five days, or if additional prescriptions (for a five-day supply) are requested within a 180-day period.</w:t>
      </w:r>
    </w:p>
    <w:p w14:paraId="771A0E50" w14:textId="77777777" w:rsidR="00C018C0" w:rsidRDefault="00C018C0">
      <w:pPr>
        <w:widowControl/>
        <w:tabs>
          <w:tab w:val="clear" w:pos="576"/>
        </w:tabs>
        <w:autoSpaceDE/>
        <w:autoSpaceDN/>
        <w:spacing w:before="0" w:after="160" w:line="259" w:lineRule="auto"/>
        <w:contextualSpacing w:val="0"/>
        <w:rPr>
          <w:rFonts w:asciiTheme="majorHAnsi" w:eastAsiaTheme="majorEastAsia" w:hAnsiTheme="majorHAnsi" w:cstheme="majorBidi"/>
          <w:color w:val="0F4761" w:themeColor="accent1" w:themeShade="BF"/>
          <w:sz w:val="36"/>
          <w:szCs w:val="26"/>
        </w:rPr>
      </w:pPr>
      <w:r>
        <w:br w:type="page"/>
      </w:r>
    </w:p>
    <w:p w14:paraId="55B279BB" w14:textId="08E93EC7" w:rsidR="00DA21B3" w:rsidRDefault="00DA21B3" w:rsidP="005720DC">
      <w:pPr>
        <w:pStyle w:val="Heading2"/>
      </w:pPr>
      <w:r>
        <w:lastRenderedPageBreak/>
        <w:t>Additions to the Brand Preferred over Generic List</w:t>
      </w:r>
    </w:p>
    <w:p w14:paraId="0C3006C9" w14:textId="11DC7BDA" w:rsidR="00DA21B3" w:rsidRDefault="00DA21B3" w:rsidP="00B00F0F">
      <w:r>
        <w:t>The following brand name medications will need to be dispensed by pharmacies in place of the generic equivalent.</w:t>
      </w:r>
    </w:p>
    <w:tbl>
      <w:tblPr>
        <w:tblStyle w:val="GridTable1Light-Accent1"/>
        <w:tblW w:w="9360" w:type="dxa"/>
        <w:tblLayout w:type="fixed"/>
        <w:tblLook w:val="0420" w:firstRow="1" w:lastRow="0" w:firstColumn="0" w:lastColumn="0" w:noHBand="0" w:noVBand="1"/>
      </w:tblPr>
      <w:tblGrid>
        <w:gridCol w:w="4675"/>
        <w:gridCol w:w="4685"/>
      </w:tblGrid>
      <w:tr w:rsidR="005720DC" w:rsidRPr="005720DC" w14:paraId="362B85AE" w14:textId="77777777" w:rsidTr="00C018C0">
        <w:trPr>
          <w:cnfStyle w:val="100000000000" w:firstRow="1" w:lastRow="0" w:firstColumn="0" w:lastColumn="0" w:oddVBand="0" w:evenVBand="0" w:oddHBand="0" w:evenHBand="0" w:firstRowFirstColumn="0" w:firstRowLastColumn="0" w:lastRowFirstColumn="0" w:lastRowLastColumn="0"/>
          <w:trHeight w:val="400"/>
        </w:trPr>
        <w:tc>
          <w:tcPr>
            <w:tcW w:w="4675" w:type="dxa"/>
            <w:tcBorders>
              <w:bottom w:val="single" w:sz="12" w:space="0" w:color="0F9ED5" w:themeColor="accent4"/>
            </w:tcBorders>
            <w:shd w:val="clear" w:color="auto" w:fill="C1E4F5" w:themeFill="accent1" w:themeFillTint="33"/>
          </w:tcPr>
          <w:p w14:paraId="371DE46C" w14:textId="77777777" w:rsidR="005720DC" w:rsidRPr="005720DC" w:rsidRDefault="005720DC" w:rsidP="008D6A14">
            <w:pPr>
              <w:pStyle w:val="Normal-TableHead"/>
            </w:pPr>
            <w:r w:rsidRPr="005720DC">
              <w:t xml:space="preserve">Brand </w:t>
            </w:r>
          </w:p>
        </w:tc>
        <w:tc>
          <w:tcPr>
            <w:tcW w:w="4685" w:type="dxa"/>
            <w:tcBorders>
              <w:bottom w:val="single" w:sz="12" w:space="0" w:color="0F9ED5" w:themeColor="accent4"/>
            </w:tcBorders>
            <w:shd w:val="clear" w:color="auto" w:fill="C1E4F5" w:themeFill="accent1" w:themeFillTint="33"/>
            <w:vAlign w:val="bottom"/>
          </w:tcPr>
          <w:p w14:paraId="10D0D296" w14:textId="272016B2" w:rsidR="005720DC" w:rsidRPr="005720DC" w:rsidRDefault="005720DC" w:rsidP="00C53AE4">
            <w:pPr>
              <w:pStyle w:val="Normal-TableHead"/>
              <w:spacing w:after="0"/>
            </w:pPr>
            <w:r w:rsidRPr="005720DC">
              <w:t>Generic</w:t>
            </w:r>
          </w:p>
        </w:tc>
      </w:tr>
      <w:tr w:rsidR="005720DC" w:rsidRPr="005720DC" w14:paraId="37B5A88D" w14:textId="77777777" w:rsidTr="00C018C0">
        <w:trPr>
          <w:trHeight w:val="400"/>
        </w:trPr>
        <w:tc>
          <w:tcPr>
            <w:tcW w:w="4675" w:type="dxa"/>
            <w:tcBorders>
              <w:top w:val="single" w:sz="12" w:space="0" w:color="0F9ED5" w:themeColor="accent4"/>
            </w:tcBorders>
          </w:tcPr>
          <w:p w14:paraId="3EB43F19" w14:textId="77777777" w:rsidR="005720DC" w:rsidRPr="005720DC" w:rsidRDefault="005720DC" w:rsidP="005720DC">
            <w:r w:rsidRPr="005720DC">
              <w:t>Cipro HC</w:t>
            </w:r>
          </w:p>
        </w:tc>
        <w:tc>
          <w:tcPr>
            <w:tcW w:w="4685" w:type="dxa"/>
            <w:tcBorders>
              <w:top w:val="single" w:sz="12" w:space="0" w:color="0F9ED5" w:themeColor="accent4"/>
            </w:tcBorders>
          </w:tcPr>
          <w:p w14:paraId="23E58896" w14:textId="77777777" w:rsidR="005720DC" w:rsidRPr="005720DC" w:rsidRDefault="005720DC" w:rsidP="005720DC">
            <w:r w:rsidRPr="005720DC">
              <w:t>ciprofloxacin and hydrocortisone</w:t>
            </w:r>
          </w:p>
        </w:tc>
      </w:tr>
      <w:tr w:rsidR="005720DC" w:rsidRPr="005720DC" w14:paraId="37389BBB" w14:textId="77777777" w:rsidTr="00C018C0">
        <w:trPr>
          <w:trHeight w:val="400"/>
        </w:trPr>
        <w:tc>
          <w:tcPr>
            <w:tcW w:w="4675" w:type="dxa"/>
          </w:tcPr>
          <w:p w14:paraId="4F0FFCB1" w14:textId="77777777" w:rsidR="005720DC" w:rsidRPr="005720DC" w:rsidRDefault="005720DC" w:rsidP="005720DC">
            <w:proofErr w:type="spellStart"/>
            <w:r w:rsidRPr="005720DC">
              <w:t>Mavenclad</w:t>
            </w:r>
            <w:proofErr w:type="spellEnd"/>
          </w:p>
        </w:tc>
        <w:tc>
          <w:tcPr>
            <w:tcW w:w="4685" w:type="dxa"/>
          </w:tcPr>
          <w:p w14:paraId="335DF97A" w14:textId="77777777" w:rsidR="005720DC" w:rsidRPr="005720DC" w:rsidRDefault="005720DC" w:rsidP="005720DC">
            <w:r w:rsidRPr="005720DC">
              <w:t>cladribine tablet</w:t>
            </w:r>
          </w:p>
        </w:tc>
      </w:tr>
      <w:tr w:rsidR="005720DC" w:rsidRPr="005720DC" w14:paraId="6C5A53C4" w14:textId="77777777" w:rsidTr="00C018C0">
        <w:trPr>
          <w:trHeight w:val="400"/>
        </w:trPr>
        <w:tc>
          <w:tcPr>
            <w:tcW w:w="4675" w:type="dxa"/>
          </w:tcPr>
          <w:p w14:paraId="11BB29AE" w14:textId="77777777" w:rsidR="005720DC" w:rsidRPr="005720DC" w:rsidRDefault="005720DC" w:rsidP="005720DC">
            <w:proofErr w:type="spellStart"/>
            <w:r w:rsidRPr="005720DC">
              <w:t>Rowasa</w:t>
            </w:r>
            <w:proofErr w:type="spellEnd"/>
          </w:p>
        </w:tc>
        <w:tc>
          <w:tcPr>
            <w:tcW w:w="4685" w:type="dxa"/>
          </w:tcPr>
          <w:p w14:paraId="543ABC65" w14:textId="77777777" w:rsidR="005720DC" w:rsidRPr="005720DC" w:rsidRDefault="005720DC" w:rsidP="005720DC">
            <w:r w:rsidRPr="005720DC">
              <w:t>mesalamine enema</w:t>
            </w:r>
          </w:p>
        </w:tc>
      </w:tr>
    </w:tbl>
    <w:p w14:paraId="29810691" w14:textId="77777777" w:rsidR="00DA21B3" w:rsidRDefault="00DA21B3" w:rsidP="00B00F0F"/>
    <w:p w14:paraId="39FD8F17" w14:textId="77777777" w:rsidR="00DA21B3" w:rsidRDefault="00DA21B3" w:rsidP="005720DC">
      <w:pPr>
        <w:pStyle w:val="Heading2"/>
      </w:pPr>
      <w:r>
        <w:t>Removals from the Brand Preferred over Generic List</w:t>
      </w:r>
    </w:p>
    <w:p w14:paraId="4A8E445A" w14:textId="0B3E549A" w:rsidR="00DA21B3" w:rsidRDefault="00DA21B3" w:rsidP="00B00F0F">
      <w:r>
        <w:t>The following brand name medications will no longer need to be dispensed by pharmacies in place of the generic. Pharmacies will be required to dispense the generic or biosimilar unless a PA is on file for the brand name product.</w:t>
      </w:r>
    </w:p>
    <w:tbl>
      <w:tblPr>
        <w:tblStyle w:val="GridTable1Light-Accent1"/>
        <w:tblW w:w="9450" w:type="dxa"/>
        <w:tblLayout w:type="fixed"/>
        <w:tblLook w:val="0020" w:firstRow="1" w:lastRow="0" w:firstColumn="0" w:lastColumn="0" w:noHBand="0" w:noVBand="0"/>
      </w:tblPr>
      <w:tblGrid>
        <w:gridCol w:w="4675"/>
        <w:gridCol w:w="4775"/>
      </w:tblGrid>
      <w:tr w:rsidR="008D6A14" w:rsidRPr="008D6A14" w14:paraId="3F8D0203" w14:textId="77777777" w:rsidTr="00C018C0">
        <w:trPr>
          <w:cnfStyle w:val="100000000000" w:firstRow="1" w:lastRow="0" w:firstColumn="0" w:lastColumn="0" w:oddVBand="0" w:evenVBand="0" w:oddHBand="0" w:evenHBand="0" w:firstRowFirstColumn="0" w:firstRowLastColumn="0" w:lastRowFirstColumn="0" w:lastRowLastColumn="0"/>
          <w:trHeight w:val="400"/>
          <w:tblHeader/>
        </w:trPr>
        <w:tc>
          <w:tcPr>
            <w:tcW w:w="4675" w:type="dxa"/>
            <w:tcBorders>
              <w:bottom w:val="single" w:sz="12" w:space="0" w:color="0F9ED5" w:themeColor="accent4"/>
            </w:tcBorders>
            <w:shd w:val="clear" w:color="auto" w:fill="C1E4F5" w:themeFill="accent1" w:themeFillTint="33"/>
            <w:vAlign w:val="center"/>
          </w:tcPr>
          <w:p w14:paraId="05810E97" w14:textId="77777777" w:rsidR="008D6A14" w:rsidRPr="008D6A14" w:rsidRDefault="008D6A14" w:rsidP="008D6A14">
            <w:pPr>
              <w:pStyle w:val="Normal-TableHead"/>
            </w:pPr>
            <w:r w:rsidRPr="008D6A14">
              <w:t xml:space="preserve">Brand </w:t>
            </w:r>
          </w:p>
        </w:tc>
        <w:tc>
          <w:tcPr>
            <w:tcW w:w="4775" w:type="dxa"/>
            <w:tcBorders>
              <w:bottom w:val="single" w:sz="12" w:space="0" w:color="0F9ED5" w:themeColor="accent4"/>
            </w:tcBorders>
            <w:shd w:val="clear" w:color="auto" w:fill="C1E4F5" w:themeFill="accent1" w:themeFillTint="33"/>
            <w:vAlign w:val="center"/>
          </w:tcPr>
          <w:p w14:paraId="43196037" w14:textId="77777777" w:rsidR="008D6A14" w:rsidRPr="008D6A14" w:rsidRDefault="008D6A14" w:rsidP="00C53AE4">
            <w:pPr>
              <w:pStyle w:val="Normal-TableHead"/>
              <w:spacing w:after="0"/>
            </w:pPr>
            <w:r w:rsidRPr="008D6A14">
              <w:t xml:space="preserve">Generic/Biosimilar </w:t>
            </w:r>
          </w:p>
        </w:tc>
      </w:tr>
      <w:tr w:rsidR="008D6A14" w:rsidRPr="008D6A14" w14:paraId="102ABE48" w14:textId="77777777" w:rsidTr="00C018C0">
        <w:trPr>
          <w:trHeight w:val="400"/>
        </w:trPr>
        <w:tc>
          <w:tcPr>
            <w:tcW w:w="4675" w:type="dxa"/>
            <w:tcBorders>
              <w:top w:val="single" w:sz="12" w:space="0" w:color="0F9ED5" w:themeColor="accent4"/>
            </w:tcBorders>
          </w:tcPr>
          <w:p w14:paraId="1F92F360" w14:textId="77777777" w:rsidR="008D6A14" w:rsidRPr="008D6A14" w:rsidRDefault="008D6A14" w:rsidP="008D6A14">
            <w:r w:rsidRPr="008D6A14">
              <w:t>Cardura</w:t>
            </w:r>
          </w:p>
        </w:tc>
        <w:tc>
          <w:tcPr>
            <w:tcW w:w="4775" w:type="dxa"/>
            <w:tcBorders>
              <w:top w:val="single" w:sz="12" w:space="0" w:color="0F9ED5" w:themeColor="accent4"/>
            </w:tcBorders>
          </w:tcPr>
          <w:p w14:paraId="638F6BE3" w14:textId="77777777" w:rsidR="008D6A14" w:rsidRPr="008D6A14" w:rsidRDefault="008D6A14" w:rsidP="008D6A14">
            <w:r w:rsidRPr="008D6A14">
              <w:t>doxazosin immediate release</w:t>
            </w:r>
          </w:p>
        </w:tc>
      </w:tr>
      <w:tr w:rsidR="008D6A14" w:rsidRPr="008D6A14" w14:paraId="6511F0C2" w14:textId="77777777" w:rsidTr="00C018C0">
        <w:trPr>
          <w:trHeight w:val="400"/>
        </w:trPr>
        <w:tc>
          <w:tcPr>
            <w:tcW w:w="4675" w:type="dxa"/>
          </w:tcPr>
          <w:p w14:paraId="52D28953" w14:textId="77777777" w:rsidR="008D6A14" w:rsidRPr="008D6A14" w:rsidRDefault="008D6A14" w:rsidP="008D6A14">
            <w:proofErr w:type="spellStart"/>
            <w:r w:rsidRPr="008D6A14">
              <w:t>Daytrana</w:t>
            </w:r>
            <w:proofErr w:type="spellEnd"/>
          </w:p>
        </w:tc>
        <w:tc>
          <w:tcPr>
            <w:tcW w:w="4775" w:type="dxa"/>
          </w:tcPr>
          <w:p w14:paraId="71EB25B1" w14:textId="77777777" w:rsidR="008D6A14" w:rsidRPr="008D6A14" w:rsidRDefault="008D6A14" w:rsidP="008D6A14">
            <w:r w:rsidRPr="008D6A14">
              <w:t xml:space="preserve">methylphenidate transdermal </w:t>
            </w:r>
          </w:p>
        </w:tc>
      </w:tr>
      <w:tr w:rsidR="008D6A14" w:rsidRPr="008D6A14" w14:paraId="29A910C3" w14:textId="77777777" w:rsidTr="00C018C0">
        <w:trPr>
          <w:trHeight w:val="400"/>
        </w:trPr>
        <w:tc>
          <w:tcPr>
            <w:tcW w:w="4675" w:type="dxa"/>
          </w:tcPr>
          <w:p w14:paraId="7C4E2D3F" w14:textId="77777777" w:rsidR="008D6A14" w:rsidRPr="008D6A14" w:rsidRDefault="008D6A14" w:rsidP="008D6A14">
            <w:r w:rsidRPr="008D6A14">
              <w:t>Entresto</w:t>
            </w:r>
          </w:p>
        </w:tc>
        <w:tc>
          <w:tcPr>
            <w:tcW w:w="4775" w:type="dxa"/>
          </w:tcPr>
          <w:p w14:paraId="5E2AC3DE" w14:textId="77777777" w:rsidR="008D6A14" w:rsidRPr="008D6A14" w:rsidRDefault="008D6A14" w:rsidP="008D6A14">
            <w:r w:rsidRPr="008D6A14">
              <w:t>sacubitril/valsartan tablet</w:t>
            </w:r>
          </w:p>
        </w:tc>
      </w:tr>
      <w:tr w:rsidR="008D6A14" w:rsidRPr="008D6A14" w14:paraId="08CCB8DA" w14:textId="77777777" w:rsidTr="00C018C0">
        <w:trPr>
          <w:trHeight w:val="400"/>
        </w:trPr>
        <w:tc>
          <w:tcPr>
            <w:tcW w:w="4675" w:type="dxa"/>
          </w:tcPr>
          <w:p w14:paraId="55F4DF02" w14:textId="77777777" w:rsidR="008D6A14" w:rsidRPr="008D6A14" w:rsidRDefault="008D6A14" w:rsidP="008D6A14">
            <w:proofErr w:type="spellStart"/>
            <w:r w:rsidRPr="008D6A14">
              <w:t>Inspra</w:t>
            </w:r>
            <w:proofErr w:type="spellEnd"/>
          </w:p>
        </w:tc>
        <w:tc>
          <w:tcPr>
            <w:tcW w:w="4775" w:type="dxa"/>
          </w:tcPr>
          <w:p w14:paraId="2E1C2539" w14:textId="77777777" w:rsidR="008D6A14" w:rsidRPr="008D6A14" w:rsidRDefault="008D6A14" w:rsidP="008D6A14">
            <w:r w:rsidRPr="008D6A14">
              <w:t>eplerenone tablet</w:t>
            </w:r>
          </w:p>
        </w:tc>
      </w:tr>
      <w:tr w:rsidR="008D6A14" w:rsidRPr="008D6A14" w14:paraId="2C3AC9AD" w14:textId="77777777" w:rsidTr="00C018C0">
        <w:trPr>
          <w:trHeight w:val="400"/>
        </w:trPr>
        <w:tc>
          <w:tcPr>
            <w:tcW w:w="4675" w:type="dxa"/>
          </w:tcPr>
          <w:p w14:paraId="30DC3F10" w14:textId="77777777" w:rsidR="008D6A14" w:rsidRPr="008D6A14" w:rsidRDefault="008D6A14" w:rsidP="008D6A14">
            <w:proofErr w:type="spellStart"/>
            <w:r w:rsidRPr="008D6A14">
              <w:t>Sancuso</w:t>
            </w:r>
            <w:proofErr w:type="spellEnd"/>
          </w:p>
        </w:tc>
        <w:tc>
          <w:tcPr>
            <w:tcW w:w="4775" w:type="dxa"/>
          </w:tcPr>
          <w:p w14:paraId="0C6C27AD" w14:textId="77777777" w:rsidR="008D6A14" w:rsidRPr="008D6A14" w:rsidRDefault="008D6A14" w:rsidP="008D6A14">
            <w:proofErr w:type="spellStart"/>
            <w:r w:rsidRPr="008D6A14">
              <w:t>granisetron</w:t>
            </w:r>
            <w:proofErr w:type="spellEnd"/>
            <w:r w:rsidRPr="008D6A14">
              <w:t xml:space="preserve"> transdermal system</w:t>
            </w:r>
          </w:p>
        </w:tc>
      </w:tr>
      <w:tr w:rsidR="008D6A14" w:rsidRPr="008D6A14" w14:paraId="530627C2" w14:textId="77777777" w:rsidTr="00C018C0">
        <w:trPr>
          <w:trHeight w:val="400"/>
        </w:trPr>
        <w:tc>
          <w:tcPr>
            <w:tcW w:w="4675" w:type="dxa"/>
          </w:tcPr>
          <w:p w14:paraId="6657C3AB" w14:textId="77777777" w:rsidR="008D6A14" w:rsidRPr="008D6A14" w:rsidRDefault="008D6A14" w:rsidP="008D6A14">
            <w:r w:rsidRPr="008D6A14">
              <w:t>Humira</w:t>
            </w:r>
          </w:p>
        </w:tc>
        <w:tc>
          <w:tcPr>
            <w:tcW w:w="4775" w:type="dxa"/>
          </w:tcPr>
          <w:p w14:paraId="4FFA5E72" w14:textId="77777777" w:rsidR="008D6A14" w:rsidRPr="008D6A14" w:rsidRDefault="008D6A14" w:rsidP="008D6A14">
            <w:r w:rsidRPr="008D6A14">
              <w:t>adalimumab-</w:t>
            </w:r>
            <w:proofErr w:type="spellStart"/>
            <w:r w:rsidRPr="008D6A14">
              <w:t>adaz</w:t>
            </w:r>
            <w:proofErr w:type="spellEnd"/>
            <w:r w:rsidRPr="008D6A14">
              <w:t xml:space="preserve">; </w:t>
            </w:r>
            <w:proofErr w:type="spellStart"/>
            <w:r w:rsidRPr="008D6A14">
              <w:t>Hadlima</w:t>
            </w:r>
            <w:proofErr w:type="spellEnd"/>
          </w:p>
        </w:tc>
      </w:tr>
      <w:tr w:rsidR="008D6A14" w:rsidRPr="008D6A14" w14:paraId="751ACFF3" w14:textId="77777777" w:rsidTr="00C018C0">
        <w:trPr>
          <w:trHeight w:val="400"/>
        </w:trPr>
        <w:tc>
          <w:tcPr>
            <w:tcW w:w="4675" w:type="dxa"/>
          </w:tcPr>
          <w:p w14:paraId="2E303058" w14:textId="77777777" w:rsidR="008D6A14" w:rsidRPr="008D6A14" w:rsidRDefault="008D6A14" w:rsidP="008D6A14">
            <w:r w:rsidRPr="008D6A14">
              <w:t>Stelara</w:t>
            </w:r>
          </w:p>
        </w:tc>
        <w:tc>
          <w:tcPr>
            <w:tcW w:w="4775" w:type="dxa"/>
          </w:tcPr>
          <w:p w14:paraId="09BB64E8" w14:textId="77777777" w:rsidR="008D6A14" w:rsidRPr="008D6A14" w:rsidRDefault="008D6A14" w:rsidP="008D6A14">
            <w:proofErr w:type="spellStart"/>
            <w:r w:rsidRPr="008D6A14">
              <w:t>Imuldosa</w:t>
            </w:r>
            <w:proofErr w:type="spellEnd"/>
            <w:r w:rsidRPr="008D6A14">
              <w:t xml:space="preserve">; </w:t>
            </w:r>
            <w:proofErr w:type="spellStart"/>
            <w:r w:rsidRPr="008D6A14">
              <w:t>Pyzchiva</w:t>
            </w:r>
            <w:proofErr w:type="spellEnd"/>
            <w:r w:rsidRPr="008D6A14">
              <w:t xml:space="preserve">; </w:t>
            </w:r>
            <w:proofErr w:type="spellStart"/>
            <w:r w:rsidRPr="008D6A14">
              <w:t>Steqeyma</w:t>
            </w:r>
            <w:proofErr w:type="spellEnd"/>
          </w:p>
        </w:tc>
      </w:tr>
    </w:tbl>
    <w:p w14:paraId="21E4715E" w14:textId="77777777" w:rsidR="00DA21B3" w:rsidRDefault="00DA21B3" w:rsidP="00B00F0F"/>
    <w:p w14:paraId="02039858" w14:textId="484CEF8F" w:rsidR="00DA21B3" w:rsidRDefault="00DA21B3" w:rsidP="00B00F0F">
      <w:r>
        <w:t xml:space="preserve">The 90-day initiative has been updated to reflect the following recent changes to the MHDL. </w:t>
      </w:r>
    </w:p>
    <w:tbl>
      <w:tblPr>
        <w:tblStyle w:val="GridTable1Light-Accent1"/>
        <w:tblW w:w="9450" w:type="dxa"/>
        <w:tblLayout w:type="fixed"/>
        <w:tblLook w:val="0020" w:firstRow="1" w:lastRow="0" w:firstColumn="0" w:lastColumn="0" w:noHBand="0" w:noVBand="0"/>
      </w:tblPr>
      <w:tblGrid>
        <w:gridCol w:w="4675"/>
        <w:gridCol w:w="4775"/>
      </w:tblGrid>
      <w:tr w:rsidR="003C6763" w:rsidRPr="003C6763" w14:paraId="79C7A3C5" w14:textId="77777777" w:rsidTr="00C018C0">
        <w:trPr>
          <w:cnfStyle w:val="100000000000" w:firstRow="1" w:lastRow="0" w:firstColumn="0" w:lastColumn="0" w:oddVBand="0" w:evenVBand="0" w:oddHBand="0" w:evenHBand="0" w:firstRowFirstColumn="0" w:firstRowLastColumn="0" w:lastRowFirstColumn="0" w:lastRowLastColumn="0"/>
          <w:trHeight w:val="400"/>
          <w:tblHeader/>
        </w:trPr>
        <w:tc>
          <w:tcPr>
            <w:tcW w:w="4675" w:type="dxa"/>
            <w:tcBorders>
              <w:bottom w:val="single" w:sz="12" w:space="0" w:color="0F9ED5" w:themeColor="accent4"/>
            </w:tcBorders>
            <w:shd w:val="clear" w:color="auto" w:fill="C1E4F5" w:themeFill="accent1" w:themeFillTint="33"/>
            <w:vAlign w:val="center"/>
          </w:tcPr>
          <w:p w14:paraId="1AA577A9" w14:textId="77777777" w:rsidR="003C6763" w:rsidRPr="003C6763" w:rsidRDefault="003C6763" w:rsidP="003C6763">
            <w:pPr>
              <w:pStyle w:val="Normal-TableHead"/>
            </w:pPr>
            <w:r w:rsidRPr="003C6763">
              <w:t>Drug Name</w:t>
            </w:r>
          </w:p>
        </w:tc>
        <w:tc>
          <w:tcPr>
            <w:tcW w:w="4775" w:type="dxa"/>
            <w:tcBorders>
              <w:bottom w:val="single" w:sz="12" w:space="0" w:color="0F9ED5" w:themeColor="accent4"/>
            </w:tcBorders>
            <w:shd w:val="clear" w:color="auto" w:fill="C1E4F5" w:themeFill="accent1" w:themeFillTint="33"/>
            <w:vAlign w:val="center"/>
          </w:tcPr>
          <w:p w14:paraId="58EC3C06" w14:textId="77777777" w:rsidR="003C6763" w:rsidRPr="003C6763" w:rsidRDefault="003C6763" w:rsidP="00C53AE4">
            <w:pPr>
              <w:pStyle w:val="Normal-TableHead"/>
              <w:spacing w:after="0"/>
            </w:pPr>
            <w:r w:rsidRPr="003C6763">
              <w:t>Updates</w:t>
            </w:r>
          </w:p>
        </w:tc>
      </w:tr>
      <w:tr w:rsidR="003C6763" w:rsidRPr="003C6763" w14:paraId="56180FEB" w14:textId="77777777" w:rsidTr="00C018C0">
        <w:trPr>
          <w:cnfStyle w:val="100000000000" w:firstRow="1" w:lastRow="0" w:firstColumn="0" w:lastColumn="0" w:oddVBand="0" w:evenVBand="0" w:oddHBand="0" w:evenHBand="0" w:firstRowFirstColumn="0" w:firstRowLastColumn="0" w:lastRowFirstColumn="0" w:lastRowLastColumn="0"/>
          <w:trHeight w:val="400"/>
          <w:tblHeader/>
        </w:trPr>
        <w:tc>
          <w:tcPr>
            <w:tcW w:w="4675" w:type="dxa"/>
            <w:tcBorders>
              <w:top w:val="single" w:sz="12" w:space="0" w:color="0F9ED5" w:themeColor="accent4"/>
            </w:tcBorders>
            <w:vAlign w:val="center"/>
          </w:tcPr>
          <w:p w14:paraId="7AE2A47D" w14:textId="77777777" w:rsidR="003C6763" w:rsidRPr="003C6763" w:rsidRDefault="003C6763" w:rsidP="003C6763">
            <w:proofErr w:type="spellStart"/>
            <w:r w:rsidRPr="003C6763">
              <w:t>Jentadueto</w:t>
            </w:r>
            <w:proofErr w:type="spellEnd"/>
            <w:r w:rsidRPr="003C6763">
              <w:t xml:space="preserve"> (linagliptin/metformin)</w:t>
            </w:r>
          </w:p>
        </w:tc>
        <w:tc>
          <w:tcPr>
            <w:tcW w:w="4775" w:type="dxa"/>
            <w:tcBorders>
              <w:top w:val="single" w:sz="12" w:space="0" w:color="0F9ED5" w:themeColor="accent4"/>
            </w:tcBorders>
            <w:vAlign w:val="center"/>
          </w:tcPr>
          <w:p w14:paraId="63CD4D37" w14:textId="77777777" w:rsidR="003C6763" w:rsidRPr="003C6763" w:rsidRDefault="003C6763" w:rsidP="003C6763">
            <w:r w:rsidRPr="003C6763">
              <w:t>Added to mandatory 90 day-supply list (M90)</w:t>
            </w:r>
          </w:p>
        </w:tc>
      </w:tr>
      <w:tr w:rsidR="003C6763" w:rsidRPr="003C6763" w14:paraId="5F4BDD58" w14:textId="77777777" w:rsidTr="00C018C0">
        <w:trPr>
          <w:cnfStyle w:val="100000000000" w:firstRow="1" w:lastRow="0" w:firstColumn="0" w:lastColumn="0" w:oddVBand="0" w:evenVBand="0" w:oddHBand="0" w:evenHBand="0" w:firstRowFirstColumn="0" w:firstRowLastColumn="0" w:lastRowFirstColumn="0" w:lastRowLastColumn="0"/>
          <w:trHeight w:val="400"/>
          <w:tblHeader/>
        </w:trPr>
        <w:tc>
          <w:tcPr>
            <w:tcW w:w="4675" w:type="dxa"/>
            <w:vAlign w:val="center"/>
          </w:tcPr>
          <w:p w14:paraId="74279B83" w14:textId="77777777" w:rsidR="003C6763" w:rsidRPr="003C6763" w:rsidRDefault="003C6763" w:rsidP="003C6763">
            <w:proofErr w:type="spellStart"/>
            <w:r w:rsidRPr="003C6763">
              <w:t>Farxiga</w:t>
            </w:r>
            <w:proofErr w:type="spellEnd"/>
            <w:r w:rsidRPr="003C6763">
              <w:t xml:space="preserve"> (dapagliflozin)</w:t>
            </w:r>
          </w:p>
        </w:tc>
        <w:tc>
          <w:tcPr>
            <w:tcW w:w="4775" w:type="dxa"/>
            <w:vAlign w:val="center"/>
          </w:tcPr>
          <w:p w14:paraId="2E85D512" w14:textId="77777777" w:rsidR="003C6763" w:rsidRPr="003C6763" w:rsidRDefault="003C6763" w:rsidP="003C6763">
            <w:r w:rsidRPr="003C6763">
              <w:t>Removed from the 90-day supply list</w:t>
            </w:r>
          </w:p>
        </w:tc>
      </w:tr>
    </w:tbl>
    <w:p w14:paraId="5EF807BD" w14:textId="77777777" w:rsidR="00DA21B3" w:rsidRDefault="00DA21B3" w:rsidP="00B00F0F"/>
    <w:p w14:paraId="62630557" w14:textId="77777777" w:rsidR="00C018C0" w:rsidRDefault="00C018C0">
      <w:pPr>
        <w:widowControl/>
        <w:tabs>
          <w:tab w:val="clear" w:pos="576"/>
        </w:tabs>
        <w:autoSpaceDE/>
        <w:autoSpaceDN/>
        <w:spacing w:before="0" w:after="160" w:line="259" w:lineRule="auto"/>
        <w:contextualSpacing w:val="0"/>
      </w:pPr>
      <w:r>
        <w:br w:type="page"/>
      </w:r>
    </w:p>
    <w:p w14:paraId="69767E59" w14:textId="5A4D4BD5" w:rsidR="00DA21B3" w:rsidRDefault="00DA21B3" w:rsidP="00B00F0F">
      <w:r>
        <w:lastRenderedPageBreak/>
        <w:t xml:space="preserve">The following drugs will be removed from the MHDL because they have been discontinued by the </w:t>
      </w:r>
    </w:p>
    <w:p w14:paraId="17A85022" w14:textId="63986933" w:rsidR="003C6763" w:rsidRDefault="00DA21B3" w:rsidP="00B00F0F">
      <w:r>
        <w:t>manufacturer.</w:t>
      </w:r>
    </w:p>
    <w:tbl>
      <w:tblPr>
        <w:tblStyle w:val="GridTable1Light-Accent1"/>
        <w:tblW w:w="9445" w:type="dxa"/>
        <w:tblLook w:val="04A0" w:firstRow="1" w:lastRow="0" w:firstColumn="1" w:lastColumn="0" w:noHBand="0" w:noVBand="1"/>
      </w:tblPr>
      <w:tblGrid>
        <w:gridCol w:w="9445"/>
      </w:tblGrid>
      <w:tr w:rsidR="003C6763" w:rsidRPr="003C6763" w14:paraId="3D26F17E" w14:textId="77777777" w:rsidTr="007F7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tcBorders>
              <w:bottom w:val="single" w:sz="12" w:space="0" w:color="0F9ED5" w:themeColor="accent4"/>
            </w:tcBorders>
            <w:shd w:val="clear" w:color="auto" w:fill="C1E4F5" w:themeFill="accent1" w:themeFillTint="33"/>
          </w:tcPr>
          <w:p w14:paraId="0E7F1A77" w14:textId="77777777" w:rsidR="003C6763" w:rsidRPr="003C6763" w:rsidRDefault="003C6763" w:rsidP="003C6763">
            <w:pPr>
              <w:pStyle w:val="Normal-TableHead"/>
              <w:rPr>
                <w:b/>
                <w:bCs w:val="0"/>
              </w:rPr>
            </w:pPr>
            <w:r w:rsidRPr="003C6763">
              <w:rPr>
                <w:b/>
                <w:bCs w:val="0"/>
              </w:rPr>
              <w:t>Drug Name</w:t>
            </w:r>
          </w:p>
        </w:tc>
      </w:tr>
      <w:tr w:rsidR="003C6763" w:rsidRPr="003C6763" w14:paraId="3ABD2570" w14:textId="77777777" w:rsidTr="007F7D08">
        <w:tc>
          <w:tcPr>
            <w:cnfStyle w:val="001000000000" w:firstRow="0" w:lastRow="0" w:firstColumn="1" w:lastColumn="0" w:oddVBand="0" w:evenVBand="0" w:oddHBand="0" w:evenHBand="0" w:firstRowFirstColumn="0" w:firstRowLastColumn="0" w:lastRowFirstColumn="0" w:lastRowLastColumn="0"/>
            <w:tcW w:w="9445" w:type="dxa"/>
            <w:tcBorders>
              <w:top w:val="single" w:sz="12" w:space="0" w:color="0F9ED5" w:themeColor="accent4"/>
            </w:tcBorders>
          </w:tcPr>
          <w:p w14:paraId="1A0B3356" w14:textId="77777777" w:rsidR="003C6763" w:rsidRPr="003C6763" w:rsidRDefault="003C6763" w:rsidP="003C6763">
            <w:pPr>
              <w:rPr>
                <w:b w:val="0"/>
                <w:bCs w:val="0"/>
              </w:rPr>
            </w:pPr>
            <w:r w:rsidRPr="003C6763">
              <w:rPr>
                <w:b w:val="0"/>
                <w:bCs w:val="0"/>
              </w:rPr>
              <w:t xml:space="preserve">Abilify </w:t>
            </w:r>
            <w:proofErr w:type="spellStart"/>
            <w:r w:rsidRPr="003C6763">
              <w:rPr>
                <w:b w:val="0"/>
                <w:bCs w:val="0"/>
              </w:rPr>
              <w:t>Mycite</w:t>
            </w:r>
            <w:proofErr w:type="spellEnd"/>
            <w:r w:rsidRPr="003C6763">
              <w:rPr>
                <w:b w:val="0"/>
                <w:bCs w:val="0"/>
              </w:rPr>
              <w:t xml:space="preserve"> (aripiprazole tablet with sensor)</w:t>
            </w:r>
          </w:p>
        </w:tc>
      </w:tr>
      <w:tr w:rsidR="003C6763" w:rsidRPr="003C6763" w14:paraId="35DE5515"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05520033" w14:textId="77777777" w:rsidR="003C6763" w:rsidRPr="003C6763" w:rsidRDefault="003C6763" w:rsidP="003C6763">
            <w:pPr>
              <w:rPr>
                <w:b w:val="0"/>
                <w:bCs w:val="0"/>
              </w:rPr>
            </w:pPr>
            <w:proofErr w:type="spellStart"/>
            <w:r w:rsidRPr="003C6763">
              <w:rPr>
                <w:b w:val="0"/>
                <w:bCs w:val="0"/>
              </w:rPr>
              <w:t>Atripla</w:t>
            </w:r>
            <w:proofErr w:type="spellEnd"/>
            <w:r w:rsidRPr="003C6763">
              <w:rPr>
                <w:b w:val="0"/>
                <w:bCs w:val="0"/>
              </w:rPr>
              <w:t xml:space="preserve"> (efavirenz/emtricitabine/tenofovir)</w:t>
            </w:r>
          </w:p>
        </w:tc>
      </w:tr>
      <w:tr w:rsidR="003C6763" w:rsidRPr="003C6763" w14:paraId="296540ED"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2D72D515" w14:textId="77777777" w:rsidR="003C6763" w:rsidRPr="003C6763" w:rsidRDefault="003C6763" w:rsidP="003C6763">
            <w:pPr>
              <w:rPr>
                <w:b w:val="0"/>
                <w:bCs w:val="0"/>
              </w:rPr>
            </w:pPr>
            <w:proofErr w:type="spellStart"/>
            <w:r w:rsidRPr="003C6763">
              <w:rPr>
                <w:b w:val="0"/>
                <w:bCs w:val="0"/>
              </w:rPr>
              <w:t>Delzicol</w:t>
            </w:r>
            <w:proofErr w:type="spellEnd"/>
            <w:r w:rsidRPr="003C6763">
              <w:rPr>
                <w:b w:val="0"/>
                <w:bCs w:val="0"/>
              </w:rPr>
              <w:t xml:space="preserve"> DR (mesalamine 400 mg delayed-release capsule)</w:t>
            </w:r>
          </w:p>
        </w:tc>
      </w:tr>
      <w:tr w:rsidR="003C6763" w:rsidRPr="003C6763" w14:paraId="2661BF20"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2C7883B7" w14:textId="77777777" w:rsidR="003C6763" w:rsidRPr="003C6763" w:rsidRDefault="003C6763" w:rsidP="003C6763">
            <w:pPr>
              <w:rPr>
                <w:b w:val="0"/>
                <w:bCs w:val="0"/>
              </w:rPr>
            </w:pPr>
            <w:proofErr w:type="spellStart"/>
            <w:r w:rsidRPr="003C6763">
              <w:rPr>
                <w:b w:val="0"/>
                <w:bCs w:val="0"/>
              </w:rPr>
              <w:t>Fentora</w:t>
            </w:r>
            <w:proofErr w:type="spellEnd"/>
            <w:r w:rsidRPr="003C6763">
              <w:rPr>
                <w:b w:val="0"/>
                <w:bCs w:val="0"/>
              </w:rPr>
              <w:t xml:space="preserve"> (fentanyl buccal tablet)</w:t>
            </w:r>
          </w:p>
        </w:tc>
      </w:tr>
      <w:tr w:rsidR="003C6763" w:rsidRPr="003C6763" w14:paraId="5A662A51"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0EEDF895" w14:textId="77777777" w:rsidR="003C6763" w:rsidRPr="003C6763" w:rsidRDefault="003C6763" w:rsidP="003C6763">
            <w:pPr>
              <w:rPr>
                <w:b w:val="0"/>
                <w:bCs w:val="0"/>
              </w:rPr>
            </w:pPr>
            <w:proofErr w:type="spellStart"/>
            <w:r w:rsidRPr="003C6763">
              <w:rPr>
                <w:b w:val="0"/>
                <w:bCs w:val="0"/>
              </w:rPr>
              <w:t>Finacea</w:t>
            </w:r>
            <w:proofErr w:type="spellEnd"/>
            <w:r w:rsidRPr="003C6763">
              <w:rPr>
                <w:b w:val="0"/>
                <w:bCs w:val="0"/>
              </w:rPr>
              <w:t xml:space="preserve"> (azelaic </w:t>
            </w:r>
            <w:proofErr w:type="spellStart"/>
            <w:r w:rsidRPr="003C6763">
              <w:rPr>
                <w:b w:val="0"/>
                <w:bCs w:val="0"/>
              </w:rPr>
              <w:t>acidgel</w:t>
            </w:r>
            <w:proofErr w:type="spellEnd"/>
            <w:r w:rsidRPr="003C6763">
              <w:rPr>
                <w:b w:val="0"/>
                <w:bCs w:val="0"/>
              </w:rPr>
              <w:t>)</w:t>
            </w:r>
          </w:p>
        </w:tc>
      </w:tr>
      <w:tr w:rsidR="003C6763" w:rsidRPr="003C6763" w14:paraId="6A52F2F0"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1C725C7D" w14:textId="77777777" w:rsidR="003C6763" w:rsidRPr="003C6763" w:rsidRDefault="003C6763" w:rsidP="003C6763">
            <w:pPr>
              <w:rPr>
                <w:b w:val="0"/>
                <w:bCs w:val="0"/>
              </w:rPr>
            </w:pPr>
            <w:proofErr w:type="spellStart"/>
            <w:r w:rsidRPr="003C6763">
              <w:rPr>
                <w:b w:val="0"/>
                <w:bCs w:val="0"/>
              </w:rPr>
              <w:t>Idacio</w:t>
            </w:r>
            <w:proofErr w:type="spellEnd"/>
            <w:r w:rsidRPr="003C6763">
              <w:rPr>
                <w:b w:val="0"/>
                <w:bCs w:val="0"/>
              </w:rPr>
              <w:t xml:space="preserve"> (adalimumab-</w:t>
            </w:r>
            <w:proofErr w:type="spellStart"/>
            <w:r w:rsidRPr="003C6763">
              <w:rPr>
                <w:b w:val="0"/>
                <w:bCs w:val="0"/>
              </w:rPr>
              <w:t>aacf</w:t>
            </w:r>
            <w:proofErr w:type="spellEnd"/>
            <w:r w:rsidRPr="003C6763">
              <w:rPr>
                <w:b w:val="0"/>
                <w:bCs w:val="0"/>
              </w:rPr>
              <w:t>)</w:t>
            </w:r>
          </w:p>
        </w:tc>
      </w:tr>
      <w:tr w:rsidR="003C6763" w:rsidRPr="003C6763" w14:paraId="0123C703"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0B3EBEA0" w14:textId="77777777" w:rsidR="003C6763" w:rsidRPr="003C6763" w:rsidRDefault="003C6763" w:rsidP="003C6763">
            <w:pPr>
              <w:rPr>
                <w:b w:val="0"/>
                <w:bCs w:val="0"/>
              </w:rPr>
            </w:pPr>
            <w:proofErr w:type="spellStart"/>
            <w:r w:rsidRPr="003C6763">
              <w:rPr>
                <w:b w:val="0"/>
                <w:bCs w:val="0"/>
              </w:rPr>
              <w:t>Ortikos</w:t>
            </w:r>
            <w:proofErr w:type="spellEnd"/>
            <w:r w:rsidRPr="003C6763">
              <w:rPr>
                <w:b w:val="0"/>
                <w:bCs w:val="0"/>
              </w:rPr>
              <w:t xml:space="preserve"> (budesonide extended-release capsule)</w:t>
            </w:r>
          </w:p>
        </w:tc>
      </w:tr>
      <w:tr w:rsidR="003C6763" w:rsidRPr="003C6763" w14:paraId="29986479"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54966B1F" w14:textId="77777777" w:rsidR="003C6763" w:rsidRPr="003C6763" w:rsidRDefault="003C6763" w:rsidP="003C6763">
            <w:pPr>
              <w:rPr>
                <w:b w:val="0"/>
                <w:bCs w:val="0"/>
              </w:rPr>
            </w:pPr>
            <w:proofErr w:type="spellStart"/>
            <w:r w:rsidRPr="003C6763">
              <w:rPr>
                <w:b w:val="0"/>
                <w:bCs w:val="0"/>
              </w:rPr>
              <w:t>Portrazza</w:t>
            </w:r>
            <w:proofErr w:type="spellEnd"/>
            <w:r w:rsidRPr="003C6763">
              <w:rPr>
                <w:b w:val="0"/>
                <w:bCs w:val="0"/>
              </w:rPr>
              <w:t xml:space="preserve"> (necitumumab)</w:t>
            </w:r>
          </w:p>
        </w:tc>
      </w:tr>
      <w:tr w:rsidR="003C6763" w:rsidRPr="003C6763" w14:paraId="526E9635"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56533D96" w14:textId="77777777" w:rsidR="003C6763" w:rsidRPr="003C6763" w:rsidRDefault="003C6763" w:rsidP="003C6763">
            <w:pPr>
              <w:rPr>
                <w:b w:val="0"/>
                <w:bCs w:val="0"/>
              </w:rPr>
            </w:pPr>
            <w:proofErr w:type="spellStart"/>
            <w:r w:rsidRPr="003C6763">
              <w:rPr>
                <w:b w:val="0"/>
                <w:bCs w:val="0"/>
              </w:rPr>
              <w:t>Tarceva</w:t>
            </w:r>
            <w:proofErr w:type="spellEnd"/>
            <w:r w:rsidRPr="003C6763">
              <w:rPr>
                <w:b w:val="0"/>
                <w:bCs w:val="0"/>
              </w:rPr>
              <w:t xml:space="preserve"> (erlotinib)</w:t>
            </w:r>
          </w:p>
        </w:tc>
      </w:tr>
      <w:tr w:rsidR="003C6763" w:rsidRPr="003C6763" w14:paraId="4FD90950" w14:textId="77777777" w:rsidTr="003C6763">
        <w:tc>
          <w:tcPr>
            <w:cnfStyle w:val="001000000000" w:firstRow="0" w:lastRow="0" w:firstColumn="1" w:lastColumn="0" w:oddVBand="0" w:evenVBand="0" w:oddHBand="0" w:evenHBand="0" w:firstRowFirstColumn="0" w:firstRowLastColumn="0" w:lastRowFirstColumn="0" w:lastRowLastColumn="0"/>
            <w:tcW w:w="9445" w:type="dxa"/>
          </w:tcPr>
          <w:p w14:paraId="77854C9D" w14:textId="77777777" w:rsidR="003C6763" w:rsidRPr="003C6763" w:rsidRDefault="003C6763" w:rsidP="003C6763">
            <w:pPr>
              <w:rPr>
                <w:b w:val="0"/>
                <w:bCs w:val="0"/>
              </w:rPr>
            </w:pPr>
            <w:r w:rsidRPr="003C6763">
              <w:rPr>
                <w:b w:val="0"/>
                <w:bCs w:val="0"/>
              </w:rPr>
              <w:t>Zyprexa Zydis (olanzapine orally disintegrating tablet)</w:t>
            </w:r>
          </w:p>
        </w:tc>
      </w:tr>
    </w:tbl>
    <w:p w14:paraId="5D9BE3FF" w14:textId="77777777" w:rsidR="00DA21B3" w:rsidRDefault="00DA21B3" w:rsidP="00B00F0F"/>
    <w:p w14:paraId="49A8216F" w14:textId="77777777" w:rsidR="00DA21B3" w:rsidRDefault="00DA21B3" w:rsidP="003C6763">
      <w:pPr>
        <w:pStyle w:val="Heading2"/>
      </w:pPr>
      <w:r>
        <w:t>MHDL Updates</w:t>
      </w:r>
    </w:p>
    <w:p w14:paraId="6814A300" w14:textId="77777777" w:rsidR="00DA21B3" w:rsidRDefault="00DA21B3" w:rsidP="00B00F0F">
      <w:r>
        <w:t>The following changes are being made to the MHDL.</w:t>
      </w:r>
    </w:p>
    <w:tbl>
      <w:tblPr>
        <w:tblW w:w="9360" w:type="dxa"/>
        <w:tblInd w:w="-8"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ayout w:type="fixed"/>
        <w:tblCellMar>
          <w:left w:w="0" w:type="dxa"/>
          <w:right w:w="0" w:type="dxa"/>
        </w:tblCellMar>
        <w:tblLook w:val="0000" w:firstRow="0" w:lastRow="0" w:firstColumn="0" w:lastColumn="0" w:noHBand="0" w:noVBand="0"/>
      </w:tblPr>
      <w:tblGrid>
        <w:gridCol w:w="2542"/>
        <w:gridCol w:w="2160"/>
        <w:gridCol w:w="4658"/>
      </w:tblGrid>
      <w:tr w:rsidR="0006321C" w:rsidRPr="0006321C" w14:paraId="7BF1FD9F" w14:textId="77777777" w:rsidTr="00C53AE4">
        <w:trPr>
          <w:trHeight w:val="747"/>
          <w:tblHeader/>
        </w:trPr>
        <w:tc>
          <w:tcPr>
            <w:tcW w:w="2928" w:type="dxa"/>
            <w:tcBorders>
              <w:bottom w:val="single" w:sz="12" w:space="0" w:color="0F9ED5" w:themeColor="accent4"/>
            </w:tcBorders>
            <w:shd w:val="clear" w:color="auto" w:fill="C1E4F5" w:themeFill="accent1" w:themeFillTint="33"/>
            <w:tcMar>
              <w:top w:w="80" w:type="dxa"/>
              <w:left w:w="80" w:type="dxa"/>
              <w:bottom w:w="160" w:type="dxa"/>
              <w:right w:w="80" w:type="dxa"/>
            </w:tcMar>
            <w:vAlign w:val="center"/>
          </w:tcPr>
          <w:p w14:paraId="27F679F2" w14:textId="77777777" w:rsidR="0006321C" w:rsidRPr="0006321C" w:rsidRDefault="0006321C" w:rsidP="00C53AE4">
            <w:pPr>
              <w:pStyle w:val="Normal-TableHead"/>
              <w:spacing w:after="0"/>
            </w:pPr>
            <w:r w:rsidRPr="0006321C">
              <w:t>MHDL Therapeutic Class</w:t>
            </w:r>
          </w:p>
        </w:tc>
        <w:tc>
          <w:tcPr>
            <w:tcW w:w="2483" w:type="dxa"/>
            <w:tcBorders>
              <w:bottom w:val="single" w:sz="12" w:space="0" w:color="0F9ED5" w:themeColor="accent4"/>
            </w:tcBorders>
            <w:shd w:val="clear" w:color="auto" w:fill="C1E4F5" w:themeFill="accent1" w:themeFillTint="33"/>
            <w:tcMar>
              <w:top w:w="80" w:type="dxa"/>
              <w:left w:w="80" w:type="dxa"/>
              <w:bottom w:w="160" w:type="dxa"/>
              <w:right w:w="80" w:type="dxa"/>
            </w:tcMar>
            <w:vAlign w:val="center"/>
          </w:tcPr>
          <w:p w14:paraId="35B10903" w14:textId="77777777" w:rsidR="0006321C" w:rsidRPr="0006321C" w:rsidRDefault="0006321C" w:rsidP="00C53AE4">
            <w:pPr>
              <w:pStyle w:val="Normal-TableHead"/>
              <w:spacing w:after="0"/>
            </w:pPr>
            <w:r w:rsidRPr="0006321C">
              <w:t>Additions</w:t>
            </w:r>
          </w:p>
        </w:tc>
        <w:tc>
          <w:tcPr>
            <w:tcW w:w="5389" w:type="dxa"/>
            <w:tcBorders>
              <w:bottom w:val="single" w:sz="12" w:space="0" w:color="0F9ED5" w:themeColor="accent4"/>
            </w:tcBorders>
            <w:shd w:val="clear" w:color="auto" w:fill="C1E4F5" w:themeFill="accent1" w:themeFillTint="33"/>
            <w:tcMar>
              <w:top w:w="80" w:type="dxa"/>
              <w:left w:w="80" w:type="dxa"/>
              <w:bottom w:w="160" w:type="dxa"/>
              <w:right w:w="80" w:type="dxa"/>
            </w:tcMar>
            <w:vAlign w:val="center"/>
          </w:tcPr>
          <w:p w14:paraId="63B39898" w14:textId="77777777" w:rsidR="0006321C" w:rsidRPr="0006321C" w:rsidRDefault="0006321C" w:rsidP="00C53AE4">
            <w:pPr>
              <w:pStyle w:val="Normal-TableHead"/>
              <w:spacing w:after="0"/>
            </w:pPr>
            <w:r w:rsidRPr="0006321C">
              <w:t>Summary of Change(s)</w:t>
            </w:r>
          </w:p>
        </w:tc>
      </w:tr>
      <w:tr w:rsidR="0006321C" w:rsidRPr="0006321C" w14:paraId="2FA2ECCC" w14:textId="77777777" w:rsidTr="008D2E39">
        <w:trPr>
          <w:trHeight w:val="300"/>
        </w:trPr>
        <w:tc>
          <w:tcPr>
            <w:tcW w:w="2928" w:type="dxa"/>
            <w:tcBorders>
              <w:top w:val="single" w:sz="12" w:space="0" w:color="0F9ED5" w:themeColor="accent4"/>
            </w:tcBorders>
            <w:tcMar>
              <w:top w:w="80" w:type="dxa"/>
              <w:left w:w="80" w:type="dxa"/>
              <w:bottom w:w="160" w:type="dxa"/>
              <w:right w:w="80" w:type="dxa"/>
            </w:tcMar>
          </w:tcPr>
          <w:p w14:paraId="0D9BA703" w14:textId="77777777" w:rsidR="0006321C" w:rsidRPr="0006321C" w:rsidRDefault="0006321C" w:rsidP="0006321C">
            <w:r w:rsidRPr="0006321C">
              <w:t>Alzheimer’s Agents</w:t>
            </w:r>
          </w:p>
        </w:tc>
        <w:tc>
          <w:tcPr>
            <w:tcW w:w="2483" w:type="dxa"/>
            <w:tcBorders>
              <w:top w:val="single" w:sz="12" w:space="0" w:color="0F9ED5" w:themeColor="accent4"/>
            </w:tcBorders>
            <w:tcMar>
              <w:top w:w="80" w:type="dxa"/>
              <w:left w:w="80" w:type="dxa"/>
              <w:bottom w:w="160" w:type="dxa"/>
              <w:right w:w="80" w:type="dxa"/>
            </w:tcMar>
          </w:tcPr>
          <w:p w14:paraId="2762E772" w14:textId="77777777" w:rsidR="0006321C" w:rsidRPr="0006321C" w:rsidRDefault="0006321C" w:rsidP="0006321C">
            <w:proofErr w:type="spellStart"/>
            <w:r w:rsidRPr="0006321C">
              <w:rPr>
                <w:b/>
                <w:bCs/>
              </w:rPr>
              <w:t>Leqembi</w:t>
            </w:r>
            <w:proofErr w:type="spellEnd"/>
            <w:r w:rsidRPr="0006321C">
              <w:rPr>
                <w:b/>
                <w:bCs/>
              </w:rPr>
              <w:t xml:space="preserve"> IQLIK</w:t>
            </w:r>
            <w:r w:rsidRPr="0006321C">
              <w:t>—PA</w:t>
            </w:r>
          </w:p>
        </w:tc>
        <w:tc>
          <w:tcPr>
            <w:tcW w:w="5389" w:type="dxa"/>
            <w:tcBorders>
              <w:top w:val="single" w:sz="12" w:space="0" w:color="0F9ED5" w:themeColor="accent4"/>
            </w:tcBorders>
            <w:tcMar>
              <w:top w:w="80" w:type="dxa"/>
              <w:left w:w="80" w:type="dxa"/>
              <w:bottom w:w="160" w:type="dxa"/>
              <w:right w:w="80" w:type="dxa"/>
            </w:tcMar>
          </w:tcPr>
          <w:p w14:paraId="1855D396" w14:textId="77777777" w:rsidR="0006321C" w:rsidRPr="0006321C" w:rsidRDefault="0006321C" w:rsidP="0006321C"/>
        </w:tc>
      </w:tr>
      <w:tr w:rsidR="0006321C" w:rsidRPr="0006321C" w14:paraId="33185AD9" w14:textId="77777777" w:rsidTr="0006321C">
        <w:trPr>
          <w:trHeight w:val="300"/>
        </w:trPr>
        <w:tc>
          <w:tcPr>
            <w:tcW w:w="2928" w:type="dxa"/>
            <w:tcMar>
              <w:top w:w="80" w:type="dxa"/>
              <w:left w:w="80" w:type="dxa"/>
              <w:bottom w:w="160" w:type="dxa"/>
              <w:right w:w="80" w:type="dxa"/>
            </w:tcMar>
          </w:tcPr>
          <w:p w14:paraId="186316A5" w14:textId="77777777" w:rsidR="0006321C" w:rsidRPr="0006321C" w:rsidRDefault="0006321C" w:rsidP="0006321C">
            <w:r w:rsidRPr="0006321C">
              <w:t>Antibiotics and Anti-Infectives</w:t>
            </w:r>
          </w:p>
        </w:tc>
        <w:tc>
          <w:tcPr>
            <w:tcW w:w="2483" w:type="dxa"/>
            <w:tcMar>
              <w:top w:w="80" w:type="dxa"/>
              <w:left w:w="80" w:type="dxa"/>
              <w:bottom w:w="160" w:type="dxa"/>
              <w:right w:w="80" w:type="dxa"/>
            </w:tcMar>
          </w:tcPr>
          <w:p w14:paraId="2C6864D3" w14:textId="77777777" w:rsidR="0006321C" w:rsidRPr="0006321C" w:rsidRDefault="0006321C" w:rsidP="0006321C">
            <w:proofErr w:type="spellStart"/>
            <w:r w:rsidRPr="0006321C">
              <w:rPr>
                <w:b/>
                <w:bCs/>
              </w:rPr>
              <w:t>Blujepa</w:t>
            </w:r>
            <w:proofErr w:type="spellEnd"/>
            <w:r w:rsidRPr="0006321C">
              <w:t xml:space="preserve">—PA </w:t>
            </w:r>
            <w:proofErr w:type="spellStart"/>
            <w:r w:rsidRPr="0006321C">
              <w:rPr>
                <w:b/>
                <w:bCs/>
              </w:rPr>
              <w:t>Orlynvah</w:t>
            </w:r>
            <w:proofErr w:type="spellEnd"/>
            <w:r w:rsidRPr="0006321C">
              <w:t xml:space="preserve">—PA </w:t>
            </w:r>
          </w:p>
          <w:p w14:paraId="3BF0C4ED" w14:textId="77777777" w:rsidR="0006321C" w:rsidRPr="0006321C" w:rsidRDefault="0006321C" w:rsidP="0006321C">
            <w:proofErr w:type="spellStart"/>
            <w:r w:rsidRPr="0006321C">
              <w:rPr>
                <w:b/>
                <w:bCs/>
              </w:rPr>
              <w:t>Pivya</w:t>
            </w:r>
            <w:proofErr w:type="spellEnd"/>
            <w:r w:rsidRPr="0006321C">
              <w:t>—PA</w:t>
            </w:r>
          </w:p>
        </w:tc>
        <w:tc>
          <w:tcPr>
            <w:tcW w:w="5389" w:type="dxa"/>
            <w:tcMar>
              <w:top w:w="80" w:type="dxa"/>
              <w:left w:w="80" w:type="dxa"/>
              <w:bottom w:w="160" w:type="dxa"/>
              <w:right w:w="80" w:type="dxa"/>
            </w:tcMar>
          </w:tcPr>
          <w:p w14:paraId="1EBF7C82" w14:textId="77777777" w:rsidR="0006321C" w:rsidRPr="0006321C" w:rsidRDefault="0006321C" w:rsidP="0006321C"/>
        </w:tc>
      </w:tr>
      <w:tr w:rsidR="0006321C" w:rsidRPr="0006321C" w14:paraId="7F9BA262" w14:textId="77777777" w:rsidTr="0006321C">
        <w:trPr>
          <w:trHeight w:val="3364"/>
        </w:trPr>
        <w:tc>
          <w:tcPr>
            <w:tcW w:w="2928" w:type="dxa"/>
            <w:tcMar>
              <w:top w:w="80" w:type="dxa"/>
              <w:left w:w="80" w:type="dxa"/>
              <w:bottom w:w="160" w:type="dxa"/>
              <w:right w:w="80" w:type="dxa"/>
            </w:tcMar>
          </w:tcPr>
          <w:p w14:paraId="48620595" w14:textId="77777777" w:rsidR="0006321C" w:rsidRPr="0006321C" w:rsidRDefault="0006321C" w:rsidP="0006321C">
            <w:r w:rsidRPr="0006321C">
              <w:t>Antipsychotics</w:t>
            </w:r>
          </w:p>
        </w:tc>
        <w:tc>
          <w:tcPr>
            <w:tcW w:w="2483" w:type="dxa"/>
            <w:tcMar>
              <w:top w:w="80" w:type="dxa"/>
              <w:left w:w="80" w:type="dxa"/>
              <w:bottom w:w="160" w:type="dxa"/>
              <w:right w:w="80" w:type="dxa"/>
            </w:tcMar>
          </w:tcPr>
          <w:p w14:paraId="737CFB4B" w14:textId="77777777" w:rsidR="0006321C" w:rsidRPr="0006321C" w:rsidRDefault="0006321C" w:rsidP="0006321C"/>
        </w:tc>
        <w:tc>
          <w:tcPr>
            <w:tcW w:w="5389" w:type="dxa"/>
            <w:tcMar>
              <w:top w:w="80" w:type="dxa"/>
              <w:left w:w="80" w:type="dxa"/>
              <w:bottom w:w="160" w:type="dxa"/>
              <w:right w:w="80" w:type="dxa"/>
            </w:tcMar>
          </w:tcPr>
          <w:p w14:paraId="1CC1681B" w14:textId="77777777" w:rsidR="0006321C" w:rsidRPr="0006321C" w:rsidRDefault="0006321C" w:rsidP="0006321C">
            <w:r w:rsidRPr="0006321C">
              <w:t xml:space="preserve">Update LCA trials for </w:t>
            </w:r>
            <w:proofErr w:type="spellStart"/>
            <w:r w:rsidRPr="0006321C">
              <w:rPr>
                <w:b/>
                <w:bCs/>
              </w:rPr>
              <w:t>Cobenfy</w:t>
            </w:r>
            <w:proofErr w:type="spellEnd"/>
            <w:r w:rsidRPr="0006321C">
              <w:rPr>
                <w:b/>
                <w:bCs/>
              </w:rPr>
              <w:t xml:space="preserve">, </w:t>
            </w:r>
            <w:proofErr w:type="spellStart"/>
            <w:r w:rsidRPr="0006321C">
              <w:rPr>
                <w:b/>
                <w:bCs/>
              </w:rPr>
              <w:t>Fanapt</w:t>
            </w:r>
            <w:proofErr w:type="spellEnd"/>
            <w:r w:rsidRPr="0006321C">
              <w:rPr>
                <w:b/>
                <w:bCs/>
              </w:rPr>
              <w:t xml:space="preserve">, </w:t>
            </w:r>
            <w:proofErr w:type="spellStart"/>
            <w:r w:rsidRPr="0006321C">
              <w:rPr>
                <w:b/>
                <w:bCs/>
              </w:rPr>
              <w:t>Nuplazid</w:t>
            </w:r>
            <w:proofErr w:type="spellEnd"/>
            <w:r w:rsidRPr="0006321C">
              <w:rPr>
                <w:b/>
                <w:bCs/>
              </w:rPr>
              <w:t xml:space="preserve">, </w:t>
            </w:r>
            <w:r w:rsidRPr="0006321C">
              <w:t xml:space="preserve">and </w:t>
            </w:r>
            <w:proofErr w:type="spellStart"/>
            <w:r w:rsidRPr="0006321C">
              <w:rPr>
                <w:b/>
                <w:bCs/>
              </w:rPr>
              <w:t>Lybalvi</w:t>
            </w:r>
            <w:proofErr w:type="spellEnd"/>
            <w:r w:rsidRPr="0006321C">
              <w:t>.</w:t>
            </w:r>
          </w:p>
          <w:p w14:paraId="42C39106" w14:textId="77777777" w:rsidR="0006321C" w:rsidRPr="0006321C" w:rsidRDefault="0006321C" w:rsidP="0006321C">
            <w:r w:rsidRPr="0006321C">
              <w:t xml:space="preserve">Update polypharmacy criteria for members </w:t>
            </w:r>
            <w:r w:rsidRPr="0006321C">
              <w:rPr>
                <w:u w:val="thick"/>
              </w:rPr>
              <w:t>&gt;</w:t>
            </w:r>
            <w:r w:rsidRPr="0006321C">
              <w:t xml:space="preserve">18 years old, including polypharmacy restrictions for </w:t>
            </w:r>
            <w:proofErr w:type="spellStart"/>
            <w:r w:rsidRPr="0006321C">
              <w:rPr>
                <w:b/>
                <w:bCs/>
              </w:rPr>
              <w:t>Cobenfy</w:t>
            </w:r>
            <w:proofErr w:type="spellEnd"/>
            <w:r w:rsidRPr="0006321C">
              <w:rPr>
                <w:b/>
                <w:bCs/>
              </w:rPr>
              <w:t xml:space="preserve"> </w:t>
            </w:r>
            <w:r w:rsidRPr="0006321C">
              <w:t xml:space="preserve">and </w:t>
            </w:r>
            <w:proofErr w:type="spellStart"/>
            <w:r w:rsidRPr="0006321C">
              <w:rPr>
                <w:b/>
                <w:bCs/>
              </w:rPr>
              <w:t>Nuplazid</w:t>
            </w:r>
            <w:proofErr w:type="spellEnd"/>
            <w:r w:rsidRPr="0006321C">
              <w:t>.</w:t>
            </w:r>
          </w:p>
          <w:p w14:paraId="639F7C61" w14:textId="77777777" w:rsidR="0006321C" w:rsidRPr="0006321C" w:rsidRDefault="0006321C" w:rsidP="0006321C">
            <w:r w:rsidRPr="0006321C">
              <w:t xml:space="preserve">Remove the step-through requirement for </w:t>
            </w:r>
            <w:proofErr w:type="spellStart"/>
            <w:r w:rsidRPr="0006321C">
              <w:rPr>
                <w:b/>
                <w:bCs/>
              </w:rPr>
              <w:t>Perseris</w:t>
            </w:r>
            <w:proofErr w:type="spellEnd"/>
            <w:r w:rsidRPr="0006321C">
              <w:t xml:space="preserve"> from the </w:t>
            </w:r>
            <w:proofErr w:type="spellStart"/>
            <w:r w:rsidRPr="0006321C">
              <w:rPr>
                <w:b/>
                <w:bCs/>
              </w:rPr>
              <w:t>Rykindo</w:t>
            </w:r>
            <w:proofErr w:type="spellEnd"/>
            <w:r w:rsidRPr="0006321C">
              <w:t xml:space="preserve"> criteria due to product discontinuation.</w:t>
            </w:r>
          </w:p>
          <w:p w14:paraId="78736FF9" w14:textId="77777777" w:rsidR="0006321C" w:rsidRPr="0006321C" w:rsidRDefault="0006321C" w:rsidP="0006321C">
            <w:r w:rsidRPr="0006321C">
              <w:t xml:space="preserve">Allow clinical rationale for initiating </w:t>
            </w:r>
            <w:proofErr w:type="spellStart"/>
            <w:r w:rsidRPr="0006321C">
              <w:rPr>
                <w:b/>
                <w:bCs/>
              </w:rPr>
              <w:t>Caplyta</w:t>
            </w:r>
            <w:proofErr w:type="spellEnd"/>
            <w:r w:rsidRPr="0006321C">
              <w:rPr>
                <w:b/>
                <w:bCs/>
              </w:rPr>
              <w:t xml:space="preserve"> </w:t>
            </w:r>
            <w:r w:rsidRPr="0006321C">
              <w:t>at lower doses (10.5 or 21 mg).</w:t>
            </w:r>
          </w:p>
        </w:tc>
      </w:tr>
      <w:tr w:rsidR="0006321C" w:rsidRPr="0006321C" w14:paraId="344421FE" w14:textId="77777777" w:rsidTr="0006321C">
        <w:trPr>
          <w:trHeight w:val="1124"/>
        </w:trPr>
        <w:tc>
          <w:tcPr>
            <w:tcW w:w="2928" w:type="dxa"/>
            <w:tcMar>
              <w:top w:w="80" w:type="dxa"/>
              <w:left w:w="80" w:type="dxa"/>
              <w:bottom w:w="160" w:type="dxa"/>
              <w:right w:w="80" w:type="dxa"/>
            </w:tcMar>
          </w:tcPr>
          <w:p w14:paraId="10B17E6B" w14:textId="77777777" w:rsidR="0006321C" w:rsidRPr="0006321C" w:rsidRDefault="0006321C" w:rsidP="0006321C">
            <w:r w:rsidRPr="0006321C">
              <w:lastRenderedPageBreak/>
              <w:t>Antiretroviral/HIV Therapy</w:t>
            </w:r>
          </w:p>
        </w:tc>
        <w:tc>
          <w:tcPr>
            <w:tcW w:w="2483" w:type="dxa"/>
            <w:tcMar>
              <w:top w:w="80" w:type="dxa"/>
              <w:left w:w="80" w:type="dxa"/>
              <w:bottom w:w="160" w:type="dxa"/>
              <w:right w:w="80" w:type="dxa"/>
            </w:tcMar>
          </w:tcPr>
          <w:p w14:paraId="044B893F" w14:textId="77777777" w:rsidR="0006321C" w:rsidRPr="0006321C" w:rsidRDefault="0006321C" w:rsidP="0006321C"/>
        </w:tc>
        <w:tc>
          <w:tcPr>
            <w:tcW w:w="5389" w:type="dxa"/>
            <w:tcMar>
              <w:top w:w="80" w:type="dxa"/>
              <w:left w:w="80" w:type="dxa"/>
              <w:bottom w:w="160" w:type="dxa"/>
              <w:right w:w="80" w:type="dxa"/>
            </w:tcMar>
          </w:tcPr>
          <w:p w14:paraId="60DCD61B" w14:textId="77777777" w:rsidR="0006321C" w:rsidRPr="0006321C" w:rsidRDefault="0006321C" w:rsidP="0006321C">
            <w:r w:rsidRPr="0006321C">
              <w:t xml:space="preserve">PA will be </w:t>
            </w:r>
            <w:r w:rsidRPr="0006321C">
              <w:rPr>
                <w:b/>
                <w:bCs/>
              </w:rPr>
              <w:t>removed</w:t>
            </w:r>
            <w:r w:rsidRPr="0006321C">
              <w:t xml:space="preserve"> </w:t>
            </w:r>
            <w:proofErr w:type="gramStart"/>
            <w:r w:rsidRPr="0006321C">
              <w:t>for</w:t>
            </w:r>
            <w:proofErr w:type="gramEnd"/>
            <w:r w:rsidRPr="0006321C">
              <w:t xml:space="preserve"> </w:t>
            </w:r>
            <w:r w:rsidRPr="0006321C">
              <w:rPr>
                <w:b/>
                <w:bCs/>
              </w:rPr>
              <w:t>Yeztugo</w:t>
            </w:r>
            <w:r w:rsidRPr="0006321C">
              <w:t>.</w:t>
            </w:r>
          </w:p>
          <w:p w14:paraId="130EA7B2" w14:textId="77777777" w:rsidR="0006321C" w:rsidRPr="0006321C" w:rsidRDefault="0006321C" w:rsidP="0006321C">
            <w:r w:rsidRPr="0006321C">
              <w:t xml:space="preserve">Add coding at the POS to allow </w:t>
            </w:r>
            <w:proofErr w:type="spellStart"/>
            <w:r w:rsidRPr="0006321C">
              <w:rPr>
                <w:b/>
                <w:bCs/>
              </w:rPr>
              <w:t>Genvoya</w:t>
            </w:r>
            <w:proofErr w:type="spellEnd"/>
            <w:r w:rsidRPr="0006321C">
              <w:t xml:space="preserve"> and </w:t>
            </w:r>
            <w:proofErr w:type="spellStart"/>
            <w:r w:rsidRPr="0006321C">
              <w:rPr>
                <w:b/>
                <w:bCs/>
              </w:rPr>
              <w:t>Stribild</w:t>
            </w:r>
            <w:proofErr w:type="spellEnd"/>
            <w:r w:rsidRPr="0006321C">
              <w:t xml:space="preserve"> to pay at the pharmacy without requiring PA.</w:t>
            </w:r>
          </w:p>
        </w:tc>
      </w:tr>
      <w:tr w:rsidR="0006321C" w:rsidRPr="0006321C" w14:paraId="2EAA1A16" w14:textId="77777777" w:rsidTr="0006321C">
        <w:trPr>
          <w:trHeight w:val="300"/>
        </w:trPr>
        <w:tc>
          <w:tcPr>
            <w:tcW w:w="2928" w:type="dxa"/>
            <w:tcMar>
              <w:top w:w="80" w:type="dxa"/>
              <w:left w:w="80" w:type="dxa"/>
              <w:bottom w:w="160" w:type="dxa"/>
              <w:right w:w="80" w:type="dxa"/>
            </w:tcMar>
          </w:tcPr>
          <w:p w14:paraId="34D8EE4E" w14:textId="77777777" w:rsidR="0006321C" w:rsidRPr="0006321C" w:rsidRDefault="0006321C" w:rsidP="0006321C">
            <w:r w:rsidRPr="0006321C">
              <w:t>Antiviral Agents</w:t>
            </w:r>
          </w:p>
          <w:p w14:paraId="013B08CC" w14:textId="77777777" w:rsidR="0006321C" w:rsidRPr="0006321C" w:rsidRDefault="0006321C" w:rsidP="0006321C"/>
        </w:tc>
        <w:tc>
          <w:tcPr>
            <w:tcW w:w="2483" w:type="dxa"/>
            <w:tcMar>
              <w:top w:w="80" w:type="dxa"/>
              <w:left w:w="80" w:type="dxa"/>
              <w:bottom w:w="160" w:type="dxa"/>
              <w:right w:w="80" w:type="dxa"/>
            </w:tcMar>
          </w:tcPr>
          <w:p w14:paraId="50CD2125" w14:textId="77777777" w:rsidR="0006321C" w:rsidRPr="0006321C" w:rsidRDefault="0006321C" w:rsidP="0006321C"/>
        </w:tc>
        <w:tc>
          <w:tcPr>
            <w:tcW w:w="5389" w:type="dxa"/>
            <w:tcMar>
              <w:top w:w="80" w:type="dxa"/>
              <w:left w:w="80" w:type="dxa"/>
              <w:bottom w:w="160" w:type="dxa"/>
              <w:right w:w="80" w:type="dxa"/>
            </w:tcMar>
          </w:tcPr>
          <w:p w14:paraId="687D7AA2" w14:textId="77777777" w:rsidR="0006321C" w:rsidRPr="0006321C" w:rsidRDefault="0006321C" w:rsidP="0006321C">
            <w:r w:rsidRPr="0006321C">
              <w:t xml:space="preserve">Update criteria to reflect an expanded indication for </w:t>
            </w:r>
            <w:proofErr w:type="spellStart"/>
            <w:r w:rsidRPr="0006321C">
              <w:rPr>
                <w:b/>
                <w:bCs/>
              </w:rPr>
              <w:t>Prevymis</w:t>
            </w:r>
            <w:proofErr w:type="spellEnd"/>
            <w:r w:rsidRPr="0006321C">
              <w:rPr>
                <w:b/>
                <w:bCs/>
              </w:rPr>
              <w:t xml:space="preserve"> </w:t>
            </w:r>
            <w:r w:rsidRPr="0006321C">
              <w:t xml:space="preserve">for cytomegalovirus prophylaxis in pediatric allogenic hematopoietic stem cell transplant recipients. </w:t>
            </w:r>
          </w:p>
          <w:p w14:paraId="30D67743" w14:textId="77777777" w:rsidR="0006321C" w:rsidRPr="0006321C" w:rsidRDefault="0006321C" w:rsidP="0006321C">
            <w:r w:rsidRPr="0006321C">
              <w:t xml:space="preserve">Add medical necessity criteria and quantity limits to </w:t>
            </w:r>
            <w:proofErr w:type="spellStart"/>
            <w:r w:rsidRPr="0006321C">
              <w:rPr>
                <w:b/>
                <w:bCs/>
              </w:rPr>
              <w:t>Prevymis</w:t>
            </w:r>
            <w:proofErr w:type="spellEnd"/>
            <w:r w:rsidRPr="0006321C">
              <w:rPr>
                <w:b/>
                <w:bCs/>
              </w:rPr>
              <w:t xml:space="preserve"> </w:t>
            </w:r>
            <w:r w:rsidRPr="0006321C">
              <w:t xml:space="preserve">pellet packet. </w:t>
            </w:r>
          </w:p>
        </w:tc>
      </w:tr>
      <w:tr w:rsidR="0006321C" w:rsidRPr="0006321C" w14:paraId="779EEC06" w14:textId="77777777" w:rsidTr="0006321C">
        <w:trPr>
          <w:trHeight w:val="1485"/>
        </w:trPr>
        <w:tc>
          <w:tcPr>
            <w:tcW w:w="2928" w:type="dxa"/>
            <w:tcMar>
              <w:top w:w="80" w:type="dxa"/>
              <w:left w:w="80" w:type="dxa"/>
              <w:bottom w:w="160" w:type="dxa"/>
              <w:right w:w="80" w:type="dxa"/>
            </w:tcMar>
          </w:tcPr>
          <w:p w14:paraId="4EB7822D" w14:textId="77777777" w:rsidR="0006321C" w:rsidRPr="0006321C" w:rsidRDefault="0006321C" w:rsidP="0006321C">
            <w:r w:rsidRPr="0006321C">
              <w:t>Dermatologic Agents</w:t>
            </w:r>
          </w:p>
          <w:p w14:paraId="7109DD6C" w14:textId="77777777" w:rsidR="0006321C" w:rsidRPr="0006321C" w:rsidRDefault="0006321C" w:rsidP="0006321C"/>
          <w:p w14:paraId="228079B6" w14:textId="77777777" w:rsidR="0006321C" w:rsidRPr="0006321C" w:rsidRDefault="0006321C" w:rsidP="0006321C">
            <w:r w:rsidRPr="0006321C">
              <w:t xml:space="preserve">   </w:t>
            </w:r>
          </w:p>
        </w:tc>
        <w:tc>
          <w:tcPr>
            <w:tcW w:w="2483" w:type="dxa"/>
            <w:tcMar>
              <w:top w:w="80" w:type="dxa"/>
              <w:left w:w="80" w:type="dxa"/>
              <w:bottom w:w="160" w:type="dxa"/>
              <w:right w:w="80" w:type="dxa"/>
            </w:tcMar>
          </w:tcPr>
          <w:p w14:paraId="35CA1029" w14:textId="77777777" w:rsidR="0006321C" w:rsidRPr="0006321C" w:rsidRDefault="0006321C" w:rsidP="0006321C"/>
        </w:tc>
        <w:tc>
          <w:tcPr>
            <w:tcW w:w="5389" w:type="dxa"/>
            <w:tcMar>
              <w:top w:w="80" w:type="dxa"/>
              <w:left w:w="80" w:type="dxa"/>
              <w:bottom w:w="160" w:type="dxa"/>
              <w:right w:w="80" w:type="dxa"/>
            </w:tcMar>
          </w:tcPr>
          <w:p w14:paraId="23DAD4F4" w14:textId="77777777" w:rsidR="0006321C" w:rsidRPr="0006321C" w:rsidRDefault="0006321C" w:rsidP="0006321C">
            <w:r w:rsidRPr="0006321C">
              <w:t xml:space="preserve">Update the criteria for </w:t>
            </w:r>
            <w:r w:rsidRPr="0006321C">
              <w:rPr>
                <w:b/>
                <w:bCs/>
              </w:rPr>
              <w:t xml:space="preserve">Absorica </w:t>
            </w:r>
            <w:r w:rsidRPr="0006321C">
              <w:t xml:space="preserve">and </w:t>
            </w:r>
            <w:r w:rsidRPr="0006321C">
              <w:rPr>
                <w:b/>
                <w:bCs/>
              </w:rPr>
              <w:t xml:space="preserve">Isotretinoin </w:t>
            </w:r>
            <w:r w:rsidRPr="0006321C">
              <w:t xml:space="preserve">for members </w:t>
            </w:r>
            <w:r w:rsidRPr="0006321C">
              <w:rPr>
                <w:u w:val="thick"/>
              </w:rPr>
              <w:t>&gt;</w:t>
            </w:r>
            <w:r w:rsidRPr="0006321C">
              <w:t>21 years old to clarify LCA trials.</w:t>
            </w:r>
          </w:p>
          <w:p w14:paraId="1D28693D" w14:textId="77777777" w:rsidR="0006321C" w:rsidRPr="0006321C" w:rsidRDefault="0006321C" w:rsidP="0006321C">
            <w:r w:rsidRPr="0006321C">
              <w:t xml:space="preserve">Update criteria for </w:t>
            </w:r>
            <w:proofErr w:type="spellStart"/>
            <w:r w:rsidRPr="0006321C">
              <w:rPr>
                <w:b/>
                <w:bCs/>
              </w:rPr>
              <w:t>Azelex</w:t>
            </w:r>
            <w:proofErr w:type="spellEnd"/>
            <w:r w:rsidRPr="0006321C">
              <w:t xml:space="preserve"> and </w:t>
            </w:r>
            <w:proofErr w:type="spellStart"/>
            <w:r w:rsidRPr="0006321C">
              <w:rPr>
                <w:b/>
                <w:bCs/>
              </w:rPr>
              <w:t>Finacea</w:t>
            </w:r>
            <w:proofErr w:type="spellEnd"/>
            <w:r w:rsidRPr="0006321C">
              <w:t xml:space="preserve"> for acne criteria to accept oral antibiotic trial. </w:t>
            </w:r>
          </w:p>
          <w:p w14:paraId="3259FF69" w14:textId="77777777" w:rsidR="0006321C" w:rsidRPr="0006321C" w:rsidRDefault="0006321C" w:rsidP="0006321C">
            <w:r w:rsidRPr="0006321C">
              <w:t>Update criteria for</w:t>
            </w:r>
            <w:r w:rsidRPr="0006321C">
              <w:rPr>
                <w:b/>
                <w:bCs/>
              </w:rPr>
              <w:t xml:space="preserve"> doxepin cream</w:t>
            </w:r>
            <w:r w:rsidRPr="0006321C">
              <w:t xml:space="preserve"> to include topical anesthetics as an LCA trial.</w:t>
            </w:r>
          </w:p>
          <w:p w14:paraId="41A8261A" w14:textId="77777777" w:rsidR="0006321C" w:rsidRPr="0006321C" w:rsidRDefault="0006321C" w:rsidP="0006321C">
            <w:r w:rsidRPr="0006321C">
              <w:t xml:space="preserve">Remove medical record requirements for the LCA criteria for </w:t>
            </w:r>
            <w:proofErr w:type="spellStart"/>
            <w:r w:rsidRPr="0006321C">
              <w:rPr>
                <w:b/>
                <w:bCs/>
              </w:rPr>
              <w:t>trifarotene</w:t>
            </w:r>
            <w:proofErr w:type="spellEnd"/>
            <w:r w:rsidRPr="0006321C">
              <w:t xml:space="preserve">; PA-requiring </w:t>
            </w:r>
            <w:r w:rsidRPr="0006321C">
              <w:rPr>
                <w:b/>
                <w:bCs/>
              </w:rPr>
              <w:t xml:space="preserve">adapalene and metronidazole </w:t>
            </w:r>
            <w:r w:rsidRPr="0006321C">
              <w:t xml:space="preserve">products; </w:t>
            </w:r>
            <w:r w:rsidRPr="0006321C">
              <w:rPr>
                <w:b/>
                <w:bCs/>
              </w:rPr>
              <w:t>tazarotene cream and gel</w:t>
            </w:r>
            <w:r w:rsidRPr="0006321C">
              <w:t>; and oral</w:t>
            </w:r>
            <w:r w:rsidRPr="0006321C">
              <w:rPr>
                <w:b/>
                <w:bCs/>
              </w:rPr>
              <w:t xml:space="preserve"> tretinoin</w:t>
            </w:r>
            <w:r w:rsidRPr="0006321C">
              <w:t>.</w:t>
            </w:r>
          </w:p>
          <w:p w14:paraId="6ACA8DCE" w14:textId="77777777" w:rsidR="0006321C" w:rsidRPr="0006321C" w:rsidRDefault="0006321C" w:rsidP="0006321C">
            <w:r w:rsidRPr="0006321C">
              <w:t>The following medications are now non-rebate and will follow MHDL non-rebate criteria.</w:t>
            </w:r>
          </w:p>
          <w:p w14:paraId="77AF1A48" w14:textId="77777777" w:rsidR="0006321C" w:rsidRPr="0006321C" w:rsidRDefault="0006321C" w:rsidP="0006321C">
            <w:r w:rsidRPr="0006321C">
              <w:rPr>
                <w:b/>
                <w:bCs/>
              </w:rPr>
              <w:t>Adapalene</w:t>
            </w:r>
            <w:r w:rsidRPr="0006321C">
              <w:t xml:space="preserve"> 0.1% solution </w:t>
            </w:r>
          </w:p>
          <w:p w14:paraId="13904581" w14:textId="77777777" w:rsidR="0006321C" w:rsidRPr="0006321C" w:rsidRDefault="0006321C" w:rsidP="0006321C">
            <w:r w:rsidRPr="0006321C">
              <w:rPr>
                <w:b/>
                <w:bCs/>
              </w:rPr>
              <w:t xml:space="preserve">BPO </w:t>
            </w:r>
            <w:r w:rsidRPr="0006321C">
              <w:t>2.5% wash</w:t>
            </w:r>
          </w:p>
          <w:p w14:paraId="20C71765" w14:textId="77777777" w:rsidR="0006321C" w:rsidRPr="0006321C" w:rsidRDefault="0006321C" w:rsidP="0006321C">
            <w:proofErr w:type="spellStart"/>
            <w:r w:rsidRPr="0006321C">
              <w:rPr>
                <w:b/>
                <w:bCs/>
              </w:rPr>
              <w:t>Benzepro</w:t>
            </w:r>
            <w:proofErr w:type="spellEnd"/>
            <w:r w:rsidRPr="0006321C">
              <w:rPr>
                <w:b/>
                <w:bCs/>
              </w:rPr>
              <w:t xml:space="preserve"> </w:t>
            </w:r>
            <w:r w:rsidRPr="0006321C">
              <w:t>6% foaming cloths</w:t>
            </w:r>
          </w:p>
          <w:p w14:paraId="10D933A5" w14:textId="77777777" w:rsidR="0006321C" w:rsidRPr="0006321C" w:rsidRDefault="0006321C" w:rsidP="0006321C">
            <w:r w:rsidRPr="0006321C">
              <w:t>Brand</w:t>
            </w:r>
            <w:r w:rsidRPr="0006321C">
              <w:rPr>
                <w:b/>
                <w:bCs/>
              </w:rPr>
              <w:t xml:space="preserve"> Veltin </w:t>
            </w:r>
            <w:r w:rsidRPr="0006321C">
              <w:t>gel</w:t>
            </w:r>
          </w:p>
        </w:tc>
      </w:tr>
      <w:tr w:rsidR="0006321C" w:rsidRPr="0006321C" w14:paraId="49D81DAF" w14:textId="77777777" w:rsidTr="0006321C">
        <w:trPr>
          <w:trHeight w:val="970"/>
        </w:trPr>
        <w:tc>
          <w:tcPr>
            <w:tcW w:w="2928" w:type="dxa"/>
            <w:tcMar>
              <w:top w:w="80" w:type="dxa"/>
              <w:left w:w="80" w:type="dxa"/>
              <w:bottom w:w="160" w:type="dxa"/>
              <w:right w:w="80" w:type="dxa"/>
            </w:tcMar>
          </w:tcPr>
          <w:p w14:paraId="26D18D08" w14:textId="77777777" w:rsidR="0006321C" w:rsidRPr="0006321C" w:rsidRDefault="0006321C" w:rsidP="0006321C">
            <w:r w:rsidRPr="0006321C">
              <w:t>Drug and Alcohol Cessation Agents</w:t>
            </w:r>
          </w:p>
          <w:p w14:paraId="501C2048" w14:textId="77777777" w:rsidR="0006321C" w:rsidRPr="0006321C" w:rsidRDefault="0006321C" w:rsidP="0006321C"/>
          <w:p w14:paraId="620F42B8" w14:textId="77777777" w:rsidR="0006321C" w:rsidRPr="0006321C" w:rsidRDefault="0006321C" w:rsidP="0006321C"/>
        </w:tc>
        <w:tc>
          <w:tcPr>
            <w:tcW w:w="2483" w:type="dxa"/>
            <w:tcMar>
              <w:top w:w="80" w:type="dxa"/>
              <w:left w:w="80" w:type="dxa"/>
              <w:bottom w:w="160" w:type="dxa"/>
              <w:right w:w="80" w:type="dxa"/>
            </w:tcMar>
          </w:tcPr>
          <w:p w14:paraId="7E7F8181" w14:textId="77777777" w:rsidR="0006321C" w:rsidRPr="0006321C" w:rsidRDefault="0006321C" w:rsidP="0006321C"/>
        </w:tc>
        <w:tc>
          <w:tcPr>
            <w:tcW w:w="5389" w:type="dxa"/>
            <w:tcMar>
              <w:top w:w="80" w:type="dxa"/>
              <w:left w:w="80" w:type="dxa"/>
              <w:bottom w:w="160" w:type="dxa"/>
              <w:right w:w="80" w:type="dxa"/>
            </w:tcMar>
          </w:tcPr>
          <w:p w14:paraId="7C982AF2" w14:textId="77777777" w:rsidR="0006321C" w:rsidRPr="0006321C" w:rsidRDefault="0006321C" w:rsidP="0006321C">
            <w:r w:rsidRPr="0006321C">
              <w:t xml:space="preserve">Update criteria for </w:t>
            </w:r>
            <w:r w:rsidRPr="0006321C">
              <w:rPr>
                <w:b/>
                <w:bCs/>
              </w:rPr>
              <w:t>buprenorphine sublingual tablets</w:t>
            </w:r>
            <w:r w:rsidRPr="0006321C">
              <w:t xml:space="preserve"> to allow five days of therapy per 180 days without PA within the dose limit.</w:t>
            </w:r>
          </w:p>
          <w:p w14:paraId="74B47421" w14:textId="77777777" w:rsidR="0006321C" w:rsidRPr="0006321C" w:rsidRDefault="0006321C" w:rsidP="0006321C">
            <w:r w:rsidRPr="0006321C">
              <w:t xml:space="preserve">Update dose limit for </w:t>
            </w:r>
            <w:r w:rsidRPr="0006321C">
              <w:rPr>
                <w:b/>
                <w:bCs/>
              </w:rPr>
              <w:t>buprenorphine tablets</w:t>
            </w:r>
            <w:r w:rsidRPr="0006321C">
              <w:t xml:space="preserve"> to a max dose of 32 mg/day only, and 22.8mg/day for </w:t>
            </w:r>
            <w:proofErr w:type="spellStart"/>
            <w:r w:rsidRPr="0006321C">
              <w:rPr>
                <w:b/>
                <w:bCs/>
              </w:rPr>
              <w:t>Zubsolv</w:t>
            </w:r>
            <w:proofErr w:type="spellEnd"/>
            <w:r w:rsidRPr="0006321C">
              <w:t xml:space="preserve">. </w:t>
            </w:r>
          </w:p>
        </w:tc>
      </w:tr>
      <w:tr w:rsidR="0006321C" w:rsidRPr="0006321C" w14:paraId="2A639D73" w14:textId="77777777" w:rsidTr="0006321C">
        <w:trPr>
          <w:trHeight w:val="1170"/>
        </w:trPr>
        <w:tc>
          <w:tcPr>
            <w:tcW w:w="2928" w:type="dxa"/>
            <w:tcMar>
              <w:top w:w="80" w:type="dxa"/>
              <w:left w:w="80" w:type="dxa"/>
              <w:bottom w:w="160" w:type="dxa"/>
              <w:right w:w="80" w:type="dxa"/>
            </w:tcMar>
          </w:tcPr>
          <w:p w14:paraId="02F79A9E" w14:textId="77777777" w:rsidR="0006321C" w:rsidRPr="0006321C" w:rsidRDefault="0006321C" w:rsidP="0006321C">
            <w:r w:rsidRPr="0006321C">
              <w:lastRenderedPageBreak/>
              <w:t>Hereditary Angioedema Agents</w:t>
            </w:r>
          </w:p>
        </w:tc>
        <w:tc>
          <w:tcPr>
            <w:tcW w:w="2483" w:type="dxa"/>
            <w:tcMar>
              <w:top w:w="80" w:type="dxa"/>
              <w:left w:w="80" w:type="dxa"/>
              <w:bottom w:w="160" w:type="dxa"/>
              <w:right w:w="80" w:type="dxa"/>
            </w:tcMar>
          </w:tcPr>
          <w:p w14:paraId="6FF36348" w14:textId="77777777" w:rsidR="0006321C" w:rsidRPr="0006321C" w:rsidRDefault="0006321C" w:rsidP="0006321C">
            <w:proofErr w:type="spellStart"/>
            <w:r w:rsidRPr="0006321C">
              <w:rPr>
                <w:b/>
                <w:bCs/>
              </w:rPr>
              <w:t>Andembry</w:t>
            </w:r>
            <w:proofErr w:type="spellEnd"/>
            <w:r w:rsidRPr="0006321C">
              <w:t>—PA</w:t>
            </w:r>
          </w:p>
          <w:p w14:paraId="6734B0BA" w14:textId="77777777" w:rsidR="0006321C" w:rsidRPr="0006321C" w:rsidRDefault="0006321C" w:rsidP="0006321C">
            <w:proofErr w:type="spellStart"/>
            <w:r w:rsidRPr="0006321C">
              <w:rPr>
                <w:b/>
                <w:bCs/>
              </w:rPr>
              <w:t>Dawnzera</w:t>
            </w:r>
            <w:proofErr w:type="spellEnd"/>
            <w:r w:rsidRPr="0006321C">
              <w:t>—PA</w:t>
            </w:r>
          </w:p>
          <w:p w14:paraId="6B6CABCE" w14:textId="77777777" w:rsidR="0006321C" w:rsidRPr="0006321C" w:rsidRDefault="0006321C" w:rsidP="0006321C">
            <w:proofErr w:type="spellStart"/>
            <w:r w:rsidRPr="0006321C">
              <w:rPr>
                <w:b/>
                <w:bCs/>
              </w:rPr>
              <w:t>Ekterly</w:t>
            </w:r>
            <w:proofErr w:type="spellEnd"/>
            <w:r w:rsidRPr="0006321C">
              <w:t>—PA</w:t>
            </w:r>
          </w:p>
          <w:p w14:paraId="4307EEAE" w14:textId="77777777" w:rsidR="0006321C" w:rsidRPr="0006321C" w:rsidRDefault="0006321C" w:rsidP="0006321C"/>
        </w:tc>
        <w:tc>
          <w:tcPr>
            <w:tcW w:w="5389" w:type="dxa"/>
            <w:tcMar>
              <w:top w:w="80" w:type="dxa"/>
              <w:left w:w="80" w:type="dxa"/>
              <w:bottom w:w="160" w:type="dxa"/>
              <w:right w:w="80" w:type="dxa"/>
            </w:tcMar>
          </w:tcPr>
          <w:p w14:paraId="225C51F8" w14:textId="77777777" w:rsidR="0006321C" w:rsidRPr="0006321C" w:rsidRDefault="0006321C" w:rsidP="0006321C">
            <w:r w:rsidRPr="0006321C">
              <w:t xml:space="preserve">PA will be </w:t>
            </w:r>
            <w:r w:rsidRPr="0006321C">
              <w:rPr>
                <w:b/>
                <w:bCs/>
              </w:rPr>
              <w:t>removed</w:t>
            </w:r>
            <w:r w:rsidRPr="0006321C">
              <w:t xml:space="preserve"> for the following medications and will be managed with QL only.</w:t>
            </w:r>
          </w:p>
          <w:p w14:paraId="4AC158E1" w14:textId="77777777" w:rsidR="0006321C" w:rsidRPr="0006321C" w:rsidRDefault="0006321C" w:rsidP="0006321C">
            <w:pPr>
              <w:rPr>
                <w:b/>
                <w:bCs/>
              </w:rPr>
            </w:pPr>
            <w:proofErr w:type="spellStart"/>
            <w:r w:rsidRPr="0006321C">
              <w:rPr>
                <w:b/>
                <w:bCs/>
              </w:rPr>
              <w:t>Berinert</w:t>
            </w:r>
            <w:proofErr w:type="spellEnd"/>
          </w:p>
          <w:p w14:paraId="767B9C02" w14:textId="77777777" w:rsidR="0006321C" w:rsidRPr="0006321C" w:rsidRDefault="0006321C" w:rsidP="0006321C">
            <w:pPr>
              <w:rPr>
                <w:b/>
                <w:bCs/>
              </w:rPr>
            </w:pPr>
            <w:proofErr w:type="spellStart"/>
            <w:r w:rsidRPr="0006321C">
              <w:rPr>
                <w:b/>
                <w:bCs/>
              </w:rPr>
              <w:t>Firazyr</w:t>
            </w:r>
            <w:proofErr w:type="spellEnd"/>
          </w:p>
          <w:p w14:paraId="7F1CE49F" w14:textId="77777777" w:rsidR="0006321C" w:rsidRPr="0006321C" w:rsidRDefault="0006321C" w:rsidP="0006321C">
            <w:pPr>
              <w:rPr>
                <w:b/>
                <w:bCs/>
              </w:rPr>
            </w:pPr>
            <w:proofErr w:type="spellStart"/>
            <w:r w:rsidRPr="0006321C">
              <w:rPr>
                <w:b/>
                <w:bCs/>
              </w:rPr>
              <w:t>Kalbitor</w:t>
            </w:r>
            <w:proofErr w:type="spellEnd"/>
          </w:p>
          <w:p w14:paraId="127B972F" w14:textId="77777777" w:rsidR="0006321C" w:rsidRPr="0006321C" w:rsidRDefault="0006321C" w:rsidP="0006321C">
            <w:proofErr w:type="spellStart"/>
            <w:r w:rsidRPr="0006321C">
              <w:rPr>
                <w:b/>
                <w:bCs/>
              </w:rPr>
              <w:t>Ruconest</w:t>
            </w:r>
            <w:proofErr w:type="spellEnd"/>
          </w:p>
        </w:tc>
      </w:tr>
      <w:tr w:rsidR="0006321C" w:rsidRPr="0006321C" w14:paraId="1FF03FAD" w14:textId="77777777" w:rsidTr="0006321C">
        <w:trPr>
          <w:trHeight w:val="435"/>
        </w:trPr>
        <w:tc>
          <w:tcPr>
            <w:tcW w:w="2928" w:type="dxa"/>
            <w:tcMar>
              <w:top w:w="80" w:type="dxa"/>
              <w:left w:w="80" w:type="dxa"/>
              <w:bottom w:w="160" w:type="dxa"/>
              <w:right w:w="80" w:type="dxa"/>
            </w:tcMar>
          </w:tcPr>
          <w:p w14:paraId="4A9C012B" w14:textId="77777777" w:rsidR="0006321C" w:rsidRPr="0006321C" w:rsidRDefault="0006321C" w:rsidP="0006321C">
            <w:r w:rsidRPr="0006321C">
              <w:t>Hormones—Gonadotropin-Releasing Hormone Analogs</w:t>
            </w:r>
          </w:p>
        </w:tc>
        <w:tc>
          <w:tcPr>
            <w:tcW w:w="2483" w:type="dxa"/>
            <w:tcMar>
              <w:top w:w="80" w:type="dxa"/>
              <w:left w:w="80" w:type="dxa"/>
              <w:bottom w:w="160" w:type="dxa"/>
              <w:right w:w="80" w:type="dxa"/>
            </w:tcMar>
          </w:tcPr>
          <w:p w14:paraId="5DE5B7E5" w14:textId="77777777" w:rsidR="0006321C" w:rsidRPr="0006321C" w:rsidRDefault="0006321C" w:rsidP="0006321C"/>
        </w:tc>
        <w:tc>
          <w:tcPr>
            <w:tcW w:w="5389" w:type="dxa"/>
            <w:tcMar>
              <w:top w:w="80" w:type="dxa"/>
              <w:left w:w="80" w:type="dxa"/>
              <w:bottom w:w="160" w:type="dxa"/>
              <w:right w:w="80" w:type="dxa"/>
            </w:tcMar>
          </w:tcPr>
          <w:p w14:paraId="50CCADE6" w14:textId="77777777" w:rsidR="0006321C" w:rsidRPr="0006321C" w:rsidRDefault="0006321C" w:rsidP="0006321C">
            <w:r w:rsidRPr="0006321C">
              <w:t xml:space="preserve">Update criteria for </w:t>
            </w:r>
            <w:proofErr w:type="spellStart"/>
            <w:r w:rsidRPr="0006321C">
              <w:rPr>
                <w:b/>
                <w:bCs/>
              </w:rPr>
              <w:t>Orgovyx</w:t>
            </w:r>
            <w:proofErr w:type="spellEnd"/>
            <w:r w:rsidRPr="0006321C">
              <w:t xml:space="preserve"> for diagnosis of advanced prostate cancer to add step through Trelstar.</w:t>
            </w:r>
          </w:p>
          <w:p w14:paraId="573824FF" w14:textId="77777777" w:rsidR="0006321C" w:rsidRPr="0006321C" w:rsidRDefault="0006321C" w:rsidP="0006321C">
            <w:r w:rsidRPr="0006321C">
              <w:t xml:space="preserve">Update LCA trials for </w:t>
            </w:r>
            <w:r w:rsidRPr="0006321C">
              <w:rPr>
                <w:b/>
                <w:bCs/>
              </w:rPr>
              <w:t>Lupron 11.25 mg</w:t>
            </w:r>
            <w:r w:rsidRPr="0006321C">
              <w:t xml:space="preserve"> for diagnosis of endometriosis and fibroids and </w:t>
            </w:r>
            <w:r w:rsidRPr="0006321C">
              <w:rPr>
                <w:b/>
                <w:bCs/>
              </w:rPr>
              <w:t>Lupron</w:t>
            </w:r>
            <w:r w:rsidRPr="0006321C">
              <w:t xml:space="preserve"> products for central precocious puberty and advanced prostate cancer.</w:t>
            </w:r>
          </w:p>
        </w:tc>
      </w:tr>
      <w:tr w:rsidR="0006321C" w:rsidRPr="0006321C" w14:paraId="19B8304E" w14:textId="77777777" w:rsidTr="0006321C">
        <w:trPr>
          <w:trHeight w:val="300"/>
        </w:trPr>
        <w:tc>
          <w:tcPr>
            <w:tcW w:w="2928" w:type="dxa"/>
            <w:tcMar>
              <w:top w:w="80" w:type="dxa"/>
              <w:left w:w="80" w:type="dxa"/>
              <w:bottom w:w="160" w:type="dxa"/>
              <w:right w:w="80" w:type="dxa"/>
            </w:tcMar>
          </w:tcPr>
          <w:p w14:paraId="5EC79F0C" w14:textId="77777777" w:rsidR="0006321C" w:rsidRPr="0006321C" w:rsidRDefault="0006321C" w:rsidP="0006321C">
            <w:r w:rsidRPr="0006321C">
              <w:t>Immunological Agents</w:t>
            </w:r>
          </w:p>
        </w:tc>
        <w:tc>
          <w:tcPr>
            <w:tcW w:w="2483" w:type="dxa"/>
            <w:tcMar>
              <w:top w:w="80" w:type="dxa"/>
              <w:left w:w="80" w:type="dxa"/>
              <w:bottom w:w="160" w:type="dxa"/>
              <w:right w:w="80" w:type="dxa"/>
            </w:tcMar>
          </w:tcPr>
          <w:p w14:paraId="2B2D68FA" w14:textId="77777777" w:rsidR="0006321C" w:rsidRPr="0006321C" w:rsidRDefault="0006321C" w:rsidP="0006321C">
            <w:proofErr w:type="spellStart"/>
            <w:r w:rsidRPr="0006321C">
              <w:rPr>
                <w:b/>
                <w:bCs/>
              </w:rPr>
              <w:t>Papzimeos</w:t>
            </w:r>
            <w:proofErr w:type="spellEnd"/>
            <w:r w:rsidRPr="0006321C">
              <w:t>—PA, MB</w:t>
            </w:r>
          </w:p>
          <w:p w14:paraId="0820FB97" w14:textId="77777777" w:rsidR="0006321C" w:rsidRPr="0006321C" w:rsidRDefault="0006321C" w:rsidP="0006321C">
            <w:proofErr w:type="spellStart"/>
            <w:r w:rsidRPr="0006321C">
              <w:rPr>
                <w:b/>
                <w:bCs/>
              </w:rPr>
              <w:t>Rhapsido</w:t>
            </w:r>
            <w:proofErr w:type="spellEnd"/>
            <w:r w:rsidRPr="0006321C">
              <w:t xml:space="preserve">—PA </w:t>
            </w:r>
          </w:p>
        </w:tc>
        <w:tc>
          <w:tcPr>
            <w:tcW w:w="5389" w:type="dxa"/>
            <w:tcMar>
              <w:top w:w="80" w:type="dxa"/>
              <w:left w:w="80" w:type="dxa"/>
              <w:bottom w:w="160" w:type="dxa"/>
              <w:right w:w="80" w:type="dxa"/>
            </w:tcMar>
          </w:tcPr>
          <w:p w14:paraId="74608F3E" w14:textId="77777777" w:rsidR="0006321C" w:rsidRPr="0006321C" w:rsidRDefault="0006321C" w:rsidP="0006321C">
            <w:r w:rsidRPr="0006321C">
              <w:rPr>
                <w:b/>
                <w:bCs/>
              </w:rPr>
              <w:t>adalimumab-</w:t>
            </w:r>
            <w:proofErr w:type="spellStart"/>
            <w:r w:rsidRPr="0006321C">
              <w:rPr>
                <w:b/>
                <w:bCs/>
              </w:rPr>
              <w:t>adaz</w:t>
            </w:r>
            <w:proofErr w:type="spellEnd"/>
            <w:r w:rsidRPr="0006321C">
              <w:t xml:space="preserve"> or</w:t>
            </w:r>
            <w:r w:rsidRPr="0006321C">
              <w:rPr>
                <w:b/>
                <w:bCs/>
              </w:rPr>
              <w:t xml:space="preserve"> </w:t>
            </w:r>
            <w:proofErr w:type="spellStart"/>
            <w:r w:rsidRPr="0006321C">
              <w:rPr>
                <w:b/>
                <w:bCs/>
              </w:rPr>
              <w:t>Hadlima</w:t>
            </w:r>
            <w:proofErr w:type="spellEnd"/>
            <w:r w:rsidRPr="0006321C">
              <w:t xml:space="preserve"> are the preferred adalimumab products.</w:t>
            </w:r>
          </w:p>
          <w:p w14:paraId="376430FD" w14:textId="77777777" w:rsidR="0006321C" w:rsidRPr="0006321C" w:rsidRDefault="0006321C" w:rsidP="0006321C">
            <w:proofErr w:type="spellStart"/>
            <w:r w:rsidRPr="0006321C">
              <w:rPr>
                <w:b/>
                <w:bCs/>
              </w:rPr>
              <w:t>Imuldosa</w:t>
            </w:r>
            <w:proofErr w:type="spellEnd"/>
            <w:r w:rsidRPr="0006321C">
              <w:rPr>
                <w:b/>
                <w:bCs/>
              </w:rPr>
              <w:t xml:space="preserve">, </w:t>
            </w:r>
            <w:proofErr w:type="spellStart"/>
            <w:r w:rsidRPr="0006321C">
              <w:rPr>
                <w:b/>
                <w:bCs/>
              </w:rPr>
              <w:t>Pyzchiva</w:t>
            </w:r>
            <w:proofErr w:type="spellEnd"/>
            <w:r w:rsidRPr="0006321C">
              <w:t xml:space="preserve">, and </w:t>
            </w:r>
            <w:proofErr w:type="spellStart"/>
            <w:r w:rsidRPr="0006321C">
              <w:rPr>
                <w:b/>
                <w:bCs/>
              </w:rPr>
              <w:t>Steqeyma</w:t>
            </w:r>
            <w:proofErr w:type="spellEnd"/>
            <w:r w:rsidRPr="0006321C">
              <w:rPr>
                <w:b/>
                <w:bCs/>
              </w:rPr>
              <w:t xml:space="preserve"> </w:t>
            </w:r>
            <w:r w:rsidRPr="0006321C">
              <w:t>are the preferred ustekinumab biosimilars.</w:t>
            </w:r>
          </w:p>
        </w:tc>
      </w:tr>
      <w:tr w:rsidR="0006321C" w:rsidRPr="0006321C" w14:paraId="63A21B79" w14:textId="77777777" w:rsidTr="0006321C">
        <w:trPr>
          <w:trHeight w:val="300"/>
        </w:trPr>
        <w:tc>
          <w:tcPr>
            <w:tcW w:w="2928" w:type="dxa"/>
            <w:tcMar>
              <w:top w:w="80" w:type="dxa"/>
              <w:left w:w="80" w:type="dxa"/>
              <w:bottom w:w="160" w:type="dxa"/>
              <w:right w:w="80" w:type="dxa"/>
            </w:tcMar>
          </w:tcPr>
          <w:p w14:paraId="4A21E45F" w14:textId="77777777" w:rsidR="0006321C" w:rsidRPr="0006321C" w:rsidRDefault="0006321C" w:rsidP="0006321C">
            <w:r w:rsidRPr="0006321C">
              <w:t>Nonsteroidal Anti-Inflammatory Drugs</w:t>
            </w:r>
          </w:p>
        </w:tc>
        <w:tc>
          <w:tcPr>
            <w:tcW w:w="2483" w:type="dxa"/>
            <w:tcMar>
              <w:top w:w="80" w:type="dxa"/>
              <w:left w:w="80" w:type="dxa"/>
              <w:bottom w:w="160" w:type="dxa"/>
              <w:right w:w="80" w:type="dxa"/>
            </w:tcMar>
          </w:tcPr>
          <w:p w14:paraId="1142E7A8" w14:textId="77777777" w:rsidR="0006321C" w:rsidRPr="0006321C" w:rsidRDefault="0006321C" w:rsidP="0006321C">
            <w:proofErr w:type="spellStart"/>
            <w:r w:rsidRPr="0006321C">
              <w:rPr>
                <w:b/>
                <w:bCs/>
              </w:rPr>
              <w:t>Zybic</w:t>
            </w:r>
            <w:proofErr w:type="spellEnd"/>
            <w:r w:rsidRPr="0006321C">
              <w:t>—PA</w:t>
            </w:r>
          </w:p>
        </w:tc>
        <w:tc>
          <w:tcPr>
            <w:tcW w:w="5389" w:type="dxa"/>
            <w:tcMar>
              <w:top w:w="80" w:type="dxa"/>
              <w:left w:w="80" w:type="dxa"/>
              <w:bottom w:w="160" w:type="dxa"/>
              <w:right w:w="80" w:type="dxa"/>
            </w:tcMar>
          </w:tcPr>
          <w:p w14:paraId="4EBDD506" w14:textId="77777777" w:rsidR="0006321C" w:rsidRPr="0006321C" w:rsidRDefault="0006321C" w:rsidP="0006321C"/>
        </w:tc>
      </w:tr>
      <w:tr w:rsidR="0006321C" w:rsidRPr="0006321C" w14:paraId="62D2469E" w14:textId="77777777" w:rsidTr="0006321C">
        <w:trPr>
          <w:trHeight w:val="303"/>
        </w:trPr>
        <w:tc>
          <w:tcPr>
            <w:tcW w:w="2928" w:type="dxa"/>
            <w:tcMar>
              <w:top w:w="80" w:type="dxa"/>
              <w:left w:w="80" w:type="dxa"/>
              <w:bottom w:w="160" w:type="dxa"/>
              <w:right w:w="80" w:type="dxa"/>
            </w:tcMar>
          </w:tcPr>
          <w:p w14:paraId="5D04D80F" w14:textId="77777777" w:rsidR="0006321C" w:rsidRPr="0006321C" w:rsidRDefault="0006321C" w:rsidP="0006321C">
            <w:r w:rsidRPr="0006321C">
              <w:t>Oncology Agents</w:t>
            </w:r>
          </w:p>
        </w:tc>
        <w:tc>
          <w:tcPr>
            <w:tcW w:w="2483" w:type="dxa"/>
            <w:tcMar>
              <w:top w:w="80" w:type="dxa"/>
              <w:left w:w="80" w:type="dxa"/>
              <w:bottom w:w="160" w:type="dxa"/>
              <w:right w:w="80" w:type="dxa"/>
            </w:tcMar>
          </w:tcPr>
          <w:p w14:paraId="1DE18EE5" w14:textId="77777777" w:rsidR="0006321C" w:rsidRPr="0006321C" w:rsidRDefault="0006321C" w:rsidP="0006321C">
            <w:proofErr w:type="spellStart"/>
            <w:r w:rsidRPr="0006321C">
              <w:rPr>
                <w:b/>
                <w:bCs/>
              </w:rPr>
              <w:t>Ensacove</w:t>
            </w:r>
            <w:proofErr w:type="spellEnd"/>
            <w:r w:rsidRPr="0006321C">
              <w:t xml:space="preserve">—PA </w:t>
            </w:r>
          </w:p>
          <w:p w14:paraId="713399B1" w14:textId="77777777" w:rsidR="0006321C" w:rsidRPr="0006321C" w:rsidRDefault="0006321C" w:rsidP="0006321C">
            <w:proofErr w:type="spellStart"/>
            <w:r w:rsidRPr="0006321C">
              <w:rPr>
                <w:b/>
                <w:bCs/>
              </w:rPr>
              <w:t>Modeyso</w:t>
            </w:r>
            <w:proofErr w:type="spellEnd"/>
            <w:r w:rsidRPr="0006321C">
              <w:t>—PA</w:t>
            </w:r>
          </w:p>
          <w:p w14:paraId="639C0579" w14:textId="77777777" w:rsidR="0006321C" w:rsidRPr="0006321C" w:rsidRDefault="0006321C" w:rsidP="0006321C"/>
          <w:p w14:paraId="738ADBA1" w14:textId="77777777" w:rsidR="0006321C" w:rsidRPr="0006321C" w:rsidRDefault="0006321C" w:rsidP="0006321C">
            <w:r w:rsidRPr="0006321C">
              <w:t xml:space="preserve"> </w:t>
            </w:r>
          </w:p>
        </w:tc>
        <w:tc>
          <w:tcPr>
            <w:tcW w:w="5389" w:type="dxa"/>
            <w:tcMar>
              <w:top w:w="80" w:type="dxa"/>
              <w:left w:w="80" w:type="dxa"/>
              <w:bottom w:w="160" w:type="dxa"/>
              <w:right w:w="80" w:type="dxa"/>
            </w:tcMar>
          </w:tcPr>
          <w:p w14:paraId="3118A62D" w14:textId="77777777" w:rsidR="0006321C" w:rsidRPr="0006321C" w:rsidRDefault="0006321C" w:rsidP="0006321C">
            <w:r w:rsidRPr="0006321C">
              <w:t xml:space="preserve">Update criteria to reflect the expanded indications for </w:t>
            </w:r>
            <w:proofErr w:type="spellStart"/>
            <w:r w:rsidRPr="0006321C">
              <w:rPr>
                <w:b/>
                <w:bCs/>
              </w:rPr>
              <w:t>Zepzelca</w:t>
            </w:r>
            <w:proofErr w:type="spellEnd"/>
            <w:r w:rsidRPr="0006321C">
              <w:t xml:space="preserve"> in extensive-stage small cell lung cancer; </w:t>
            </w:r>
            <w:proofErr w:type="spellStart"/>
            <w:r w:rsidRPr="0006321C">
              <w:rPr>
                <w:b/>
                <w:bCs/>
              </w:rPr>
              <w:t>Braftovi</w:t>
            </w:r>
            <w:proofErr w:type="spellEnd"/>
            <w:r w:rsidRPr="0006321C">
              <w:rPr>
                <w:b/>
                <w:bCs/>
              </w:rPr>
              <w:t xml:space="preserve"> </w:t>
            </w:r>
            <w:r w:rsidRPr="0006321C">
              <w:t xml:space="preserve">in first line metastatic colorectal cancer; </w:t>
            </w:r>
            <w:proofErr w:type="spellStart"/>
            <w:r w:rsidRPr="0006321C">
              <w:rPr>
                <w:b/>
                <w:bCs/>
              </w:rPr>
              <w:t>Lumakras</w:t>
            </w:r>
            <w:proofErr w:type="spellEnd"/>
            <w:r w:rsidRPr="0006321C">
              <w:rPr>
                <w:b/>
                <w:bCs/>
              </w:rPr>
              <w:t xml:space="preserve"> </w:t>
            </w:r>
            <w:r w:rsidRPr="0006321C">
              <w:t xml:space="preserve">and </w:t>
            </w:r>
            <w:proofErr w:type="spellStart"/>
            <w:r w:rsidRPr="0006321C">
              <w:rPr>
                <w:b/>
                <w:bCs/>
              </w:rPr>
              <w:t>Krazati</w:t>
            </w:r>
            <w:proofErr w:type="spellEnd"/>
            <w:r w:rsidRPr="0006321C">
              <w:rPr>
                <w:b/>
                <w:bCs/>
              </w:rPr>
              <w:t xml:space="preserve"> </w:t>
            </w:r>
            <w:r w:rsidRPr="0006321C">
              <w:t xml:space="preserve">in locally advanced or metastatic </w:t>
            </w:r>
            <w:proofErr w:type="spellStart"/>
            <w:r w:rsidRPr="0006321C">
              <w:t>colorectcal</w:t>
            </w:r>
            <w:proofErr w:type="spellEnd"/>
            <w:r w:rsidRPr="0006321C">
              <w:t xml:space="preserve"> cancer; and </w:t>
            </w:r>
            <w:proofErr w:type="spellStart"/>
            <w:r w:rsidRPr="0006321C">
              <w:rPr>
                <w:b/>
                <w:bCs/>
              </w:rPr>
              <w:t>Tecentriq</w:t>
            </w:r>
            <w:proofErr w:type="spellEnd"/>
            <w:r w:rsidRPr="0006321C">
              <w:t xml:space="preserve"> and </w:t>
            </w:r>
            <w:proofErr w:type="spellStart"/>
            <w:r w:rsidRPr="0006321C">
              <w:rPr>
                <w:b/>
                <w:bCs/>
              </w:rPr>
              <w:t>Tecentriq</w:t>
            </w:r>
            <w:proofErr w:type="spellEnd"/>
            <w:r w:rsidRPr="0006321C">
              <w:rPr>
                <w:b/>
                <w:bCs/>
              </w:rPr>
              <w:t xml:space="preserve"> </w:t>
            </w:r>
            <w:proofErr w:type="spellStart"/>
            <w:r w:rsidRPr="0006321C">
              <w:rPr>
                <w:b/>
                <w:bCs/>
              </w:rPr>
              <w:t>Hybreza</w:t>
            </w:r>
            <w:proofErr w:type="spellEnd"/>
            <w:r w:rsidRPr="0006321C">
              <w:t xml:space="preserve"> for use as maintenance therapy in extensive-stage small cell lung cancer.</w:t>
            </w:r>
          </w:p>
          <w:p w14:paraId="19ABDB66" w14:textId="77777777" w:rsidR="0006321C" w:rsidRPr="0006321C" w:rsidRDefault="0006321C" w:rsidP="0006321C">
            <w:pPr>
              <w:rPr>
                <w:b/>
                <w:bCs/>
              </w:rPr>
            </w:pPr>
            <w:r w:rsidRPr="0006321C">
              <w:t xml:space="preserve">PA will be </w:t>
            </w:r>
            <w:r w:rsidRPr="0006321C">
              <w:rPr>
                <w:b/>
                <w:bCs/>
              </w:rPr>
              <w:t>removed</w:t>
            </w:r>
            <w:r w:rsidRPr="0006321C">
              <w:t xml:space="preserve"> for </w:t>
            </w:r>
            <w:proofErr w:type="spellStart"/>
            <w:r w:rsidRPr="0006321C">
              <w:rPr>
                <w:b/>
                <w:bCs/>
              </w:rPr>
              <w:t>Gleostine</w:t>
            </w:r>
            <w:proofErr w:type="spellEnd"/>
            <w:r w:rsidRPr="0006321C">
              <w:rPr>
                <w:b/>
                <w:bCs/>
              </w:rPr>
              <w:t>.</w:t>
            </w:r>
          </w:p>
          <w:p w14:paraId="710CA3BB" w14:textId="77777777" w:rsidR="0006321C" w:rsidRPr="0006321C" w:rsidRDefault="0006321C" w:rsidP="0006321C">
            <w:r w:rsidRPr="0006321C">
              <w:t xml:space="preserve">Update </w:t>
            </w:r>
            <w:proofErr w:type="spellStart"/>
            <w:r w:rsidRPr="0006321C">
              <w:rPr>
                <w:b/>
                <w:bCs/>
              </w:rPr>
              <w:t>Mekinist</w:t>
            </w:r>
            <w:proofErr w:type="spellEnd"/>
            <w:r w:rsidRPr="0006321C">
              <w:t xml:space="preserve"> and </w:t>
            </w:r>
            <w:proofErr w:type="spellStart"/>
            <w:r w:rsidRPr="0006321C">
              <w:rPr>
                <w:b/>
                <w:bCs/>
              </w:rPr>
              <w:t>Tafinlar</w:t>
            </w:r>
            <w:proofErr w:type="spellEnd"/>
            <w:r w:rsidRPr="0006321C">
              <w:rPr>
                <w:b/>
                <w:bCs/>
              </w:rPr>
              <w:t xml:space="preserve"> </w:t>
            </w:r>
            <w:r w:rsidRPr="0006321C">
              <w:t>criteria for unresectable or metastatic solid tumors.</w:t>
            </w:r>
          </w:p>
          <w:p w14:paraId="0CF2284F" w14:textId="77777777" w:rsidR="0006321C" w:rsidRPr="0006321C" w:rsidRDefault="0006321C" w:rsidP="0006321C">
            <w:r w:rsidRPr="0006321C">
              <w:t xml:space="preserve">Add </w:t>
            </w:r>
            <w:proofErr w:type="spellStart"/>
            <w:r w:rsidRPr="0006321C">
              <w:rPr>
                <w:b/>
                <w:bCs/>
              </w:rPr>
              <w:t>Opdualag</w:t>
            </w:r>
            <w:proofErr w:type="spellEnd"/>
            <w:r w:rsidRPr="0006321C">
              <w:t xml:space="preserve"> as trial requirement for metastatic melanoma indication.</w:t>
            </w:r>
          </w:p>
          <w:p w14:paraId="41011D6A" w14:textId="77777777" w:rsidR="0006321C" w:rsidRPr="0006321C" w:rsidRDefault="0006321C" w:rsidP="0006321C">
            <w:r w:rsidRPr="0006321C">
              <w:lastRenderedPageBreak/>
              <w:t xml:space="preserve">Update </w:t>
            </w:r>
            <w:proofErr w:type="spellStart"/>
            <w:r w:rsidRPr="0006321C">
              <w:rPr>
                <w:b/>
                <w:bCs/>
              </w:rPr>
              <w:t>Proleukin</w:t>
            </w:r>
            <w:proofErr w:type="spellEnd"/>
            <w:r w:rsidRPr="0006321C">
              <w:t xml:space="preserve"> criteria for chronic graft-versus-host disease to require hematologist prescriber; update LCA trials and clinical rationale for use over rebated treatment alternatives.</w:t>
            </w:r>
          </w:p>
        </w:tc>
      </w:tr>
      <w:tr w:rsidR="0006321C" w:rsidRPr="0006321C" w14:paraId="083408B6" w14:textId="77777777" w:rsidTr="0006321C">
        <w:trPr>
          <w:trHeight w:val="300"/>
        </w:trPr>
        <w:tc>
          <w:tcPr>
            <w:tcW w:w="2928" w:type="dxa"/>
            <w:tcMar>
              <w:top w:w="80" w:type="dxa"/>
              <w:left w:w="80" w:type="dxa"/>
              <w:bottom w:w="160" w:type="dxa"/>
              <w:right w:w="80" w:type="dxa"/>
            </w:tcMar>
          </w:tcPr>
          <w:p w14:paraId="37EC16CE" w14:textId="77777777" w:rsidR="0006321C" w:rsidRPr="0006321C" w:rsidRDefault="0006321C" w:rsidP="0006321C">
            <w:r w:rsidRPr="0006321C">
              <w:lastRenderedPageBreak/>
              <w:t>Opioids and Analgesics</w:t>
            </w:r>
          </w:p>
        </w:tc>
        <w:tc>
          <w:tcPr>
            <w:tcW w:w="2483" w:type="dxa"/>
            <w:tcMar>
              <w:top w:w="80" w:type="dxa"/>
              <w:left w:w="80" w:type="dxa"/>
              <w:bottom w:w="160" w:type="dxa"/>
              <w:right w:w="80" w:type="dxa"/>
            </w:tcMar>
          </w:tcPr>
          <w:p w14:paraId="7733BCE4" w14:textId="77777777" w:rsidR="0006321C" w:rsidRPr="0006321C" w:rsidRDefault="0006321C" w:rsidP="0006321C">
            <w:r w:rsidRPr="0006321C">
              <w:rPr>
                <w:b/>
                <w:bCs/>
              </w:rPr>
              <w:t>Tramadol 75 mg</w:t>
            </w:r>
            <w:r w:rsidRPr="0006321C">
              <w:t>—PA</w:t>
            </w:r>
          </w:p>
        </w:tc>
        <w:tc>
          <w:tcPr>
            <w:tcW w:w="5389" w:type="dxa"/>
            <w:tcMar>
              <w:top w:w="80" w:type="dxa"/>
              <w:left w:w="80" w:type="dxa"/>
              <w:bottom w:w="160" w:type="dxa"/>
              <w:right w:w="80" w:type="dxa"/>
            </w:tcMar>
          </w:tcPr>
          <w:p w14:paraId="16E271CA" w14:textId="77777777" w:rsidR="0006321C" w:rsidRPr="0006321C" w:rsidRDefault="0006321C" w:rsidP="0006321C"/>
        </w:tc>
      </w:tr>
      <w:tr w:rsidR="0006321C" w:rsidRPr="0006321C" w14:paraId="06889355" w14:textId="77777777" w:rsidTr="0006321C">
        <w:trPr>
          <w:trHeight w:val="300"/>
        </w:trPr>
        <w:tc>
          <w:tcPr>
            <w:tcW w:w="2928" w:type="dxa"/>
            <w:tcMar>
              <w:top w:w="80" w:type="dxa"/>
              <w:left w:w="80" w:type="dxa"/>
              <w:bottom w:w="160" w:type="dxa"/>
              <w:right w:w="80" w:type="dxa"/>
            </w:tcMar>
          </w:tcPr>
          <w:p w14:paraId="4F3ED5AE" w14:textId="77777777" w:rsidR="0006321C" w:rsidRPr="0006321C" w:rsidRDefault="0006321C" w:rsidP="0006321C">
            <w:r w:rsidRPr="0006321C">
              <w:t>Pulmonary Hypertension Agents</w:t>
            </w:r>
          </w:p>
        </w:tc>
        <w:tc>
          <w:tcPr>
            <w:tcW w:w="2483" w:type="dxa"/>
            <w:tcMar>
              <w:top w:w="80" w:type="dxa"/>
              <w:left w:w="80" w:type="dxa"/>
              <w:bottom w:w="160" w:type="dxa"/>
              <w:right w:w="80" w:type="dxa"/>
            </w:tcMar>
          </w:tcPr>
          <w:p w14:paraId="38984A74" w14:textId="77777777" w:rsidR="0006321C" w:rsidRPr="0006321C" w:rsidRDefault="0006321C" w:rsidP="0006321C"/>
        </w:tc>
        <w:tc>
          <w:tcPr>
            <w:tcW w:w="5389" w:type="dxa"/>
            <w:tcMar>
              <w:top w:w="80" w:type="dxa"/>
              <w:left w:w="80" w:type="dxa"/>
              <w:bottom w:w="160" w:type="dxa"/>
              <w:right w:w="80" w:type="dxa"/>
            </w:tcMar>
          </w:tcPr>
          <w:p w14:paraId="456D209A" w14:textId="77777777" w:rsidR="0006321C" w:rsidRPr="0006321C" w:rsidRDefault="0006321C" w:rsidP="0006321C">
            <w:r w:rsidRPr="0006321C">
              <w:t xml:space="preserve">Update criteria for </w:t>
            </w:r>
            <w:proofErr w:type="spellStart"/>
            <w:r w:rsidRPr="0006321C">
              <w:rPr>
                <w:b/>
                <w:bCs/>
              </w:rPr>
              <w:t>Uptravi</w:t>
            </w:r>
            <w:proofErr w:type="spellEnd"/>
            <w:r w:rsidRPr="0006321C">
              <w:t xml:space="preserve"> to add appropriate dosing criteria and quantity limits for </w:t>
            </w:r>
            <w:r w:rsidRPr="0006321C">
              <w:rPr>
                <w:b/>
                <w:bCs/>
              </w:rPr>
              <w:t xml:space="preserve">200 mcg tablet </w:t>
            </w:r>
            <w:r w:rsidRPr="0006321C">
              <w:t>and</w:t>
            </w:r>
            <w:r w:rsidRPr="0006321C">
              <w:rPr>
                <w:b/>
                <w:bCs/>
              </w:rPr>
              <w:t xml:space="preserve"> 200</w:t>
            </w:r>
            <w:r w:rsidRPr="0006321C">
              <w:rPr>
                <w:b/>
                <w:bCs/>
              </w:rPr>
              <w:noBreakHyphen/>
              <w:t>800 mcg titration pack</w:t>
            </w:r>
            <w:r w:rsidRPr="0006321C">
              <w:t>.</w:t>
            </w:r>
          </w:p>
        </w:tc>
      </w:tr>
      <w:tr w:rsidR="0006321C" w:rsidRPr="0006321C" w14:paraId="46FA301A" w14:textId="77777777" w:rsidTr="0006321C">
        <w:trPr>
          <w:trHeight w:val="300"/>
        </w:trPr>
        <w:tc>
          <w:tcPr>
            <w:tcW w:w="2928" w:type="dxa"/>
            <w:tcMar>
              <w:top w:w="80" w:type="dxa"/>
              <w:left w:w="80" w:type="dxa"/>
              <w:bottom w:w="160" w:type="dxa"/>
              <w:right w:w="80" w:type="dxa"/>
            </w:tcMar>
          </w:tcPr>
          <w:p w14:paraId="4088E01F" w14:textId="77777777" w:rsidR="0006321C" w:rsidRPr="0006321C" w:rsidRDefault="0006321C" w:rsidP="0006321C">
            <w:r w:rsidRPr="0006321C">
              <w:t>Respiratory Agents- Oral</w:t>
            </w:r>
          </w:p>
        </w:tc>
        <w:tc>
          <w:tcPr>
            <w:tcW w:w="2483" w:type="dxa"/>
            <w:tcMar>
              <w:top w:w="80" w:type="dxa"/>
              <w:left w:w="80" w:type="dxa"/>
              <w:bottom w:w="160" w:type="dxa"/>
              <w:right w:w="80" w:type="dxa"/>
            </w:tcMar>
          </w:tcPr>
          <w:p w14:paraId="5E0AE099" w14:textId="77777777" w:rsidR="0006321C" w:rsidRPr="0006321C" w:rsidRDefault="0006321C" w:rsidP="0006321C">
            <w:proofErr w:type="spellStart"/>
            <w:r w:rsidRPr="0006321C">
              <w:rPr>
                <w:b/>
                <w:bCs/>
              </w:rPr>
              <w:t>Brinsupri</w:t>
            </w:r>
            <w:proofErr w:type="spellEnd"/>
            <w:r w:rsidRPr="0006321C">
              <w:t>—PA</w:t>
            </w:r>
          </w:p>
        </w:tc>
        <w:tc>
          <w:tcPr>
            <w:tcW w:w="5389" w:type="dxa"/>
            <w:tcMar>
              <w:top w:w="80" w:type="dxa"/>
              <w:left w:w="80" w:type="dxa"/>
              <w:bottom w:w="160" w:type="dxa"/>
              <w:right w:w="80" w:type="dxa"/>
            </w:tcMar>
          </w:tcPr>
          <w:p w14:paraId="62573787" w14:textId="77777777" w:rsidR="0006321C" w:rsidRPr="0006321C" w:rsidRDefault="0006321C" w:rsidP="0006321C"/>
        </w:tc>
      </w:tr>
      <w:tr w:rsidR="0006321C" w:rsidRPr="0006321C" w14:paraId="7FE702FF" w14:textId="77777777" w:rsidTr="0006321C">
        <w:trPr>
          <w:trHeight w:val="1088"/>
        </w:trPr>
        <w:tc>
          <w:tcPr>
            <w:tcW w:w="2928" w:type="dxa"/>
            <w:tcMar>
              <w:top w:w="80" w:type="dxa"/>
              <w:left w:w="80" w:type="dxa"/>
              <w:bottom w:w="160" w:type="dxa"/>
              <w:right w:w="80" w:type="dxa"/>
            </w:tcMar>
          </w:tcPr>
          <w:p w14:paraId="07142B2B" w14:textId="77777777" w:rsidR="0006321C" w:rsidRPr="0006321C" w:rsidRDefault="0006321C" w:rsidP="0006321C">
            <w:r w:rsidRPr="0006321C">
              <w:t xml:space="preserve">Vesicular Monoamine Transporter 2 (VMAT2) Inhibitors  </w:t>
            </w:r>
          </w:p>
        </w:tc>
        <w:tc>
          <w:tcPr>
            <w:tcW w:w="2483" w:type="dxa"/>
            <w:tcMar>
              <w:top w:w="80" w:type="dxa"/>
              <w:left w:w="80" w:type="dxa"/>
              <w:bottom w:w="160" w:type="dxa"/>
              <w:right w:w="80" w:type="dxa"/>
            </w:tcMar>
          </w:tcPr>
          <w:p w14:paraId="2BC8BC4E" w14:textId="77777777" w:rsidR="0006321C" w:rsidRPr="0006321C" w:rsidRDefault="0006321C" w:rsidP="0006321C"/>
        </w:tc>
        <w:tc>
          <w:tcPr>
            <w:tcW w:w="5389" w:type="dxa"/>
            <w:tcMar>
              <w:top w:w="80" w:type="dxa"/>
              <w:left w:w="80" w:type="dxa"/>
              <w:bottom w:w="160" w:type="dxa"/>
              <w:right w:w="80" w:type="dxa"/>
            </w:tcMar>
          </w:tcPr>
          <w:p w14:paraId="4EECD234" w14:textId="77777777" w:rsidR="0006321C" w:rsidRPr="0006321C" w:rsidRDefault="0006321C" w:rsidP="0006321C">
            <w:r w:rsidRPr="0006321C">
              <w:t xml:space="preserve">Update criteria for new starts of </w:t>
            </w:r>
            <w:proofErr w:type="spellStart"/>
            <w:r w:rsidRPr="0006321C">
              <w:rPr>
                <w:b/>
                <w:bCs/>
              </w:rPr>
              <w:t>Austedo</w:t>
            </w:r>
            <w:proofErr w:type="spellEnd"/>
            <w:r w:rsidRPr="0006321C">
              <w:rPr>
                <w:b/>
                <w:bCs/>
              </w:rPr>
              <w:t xml:space="preserve">, </w:t>
            </w:r>
            <w:proofErr w:type="spellStart"/>
            <w:r w:rsidRPr="0006321C">
              <w:rPr>
                <w:b/>
                <w:bCs/>
              </w:rPr>
              <w:t>Ingrezza</w:t>
            </w:r>
            <w:proofErr w:type="spellEnd"/>
            <w:r w:rsidRPr="0006321C">
              <w:t xml:space="preserve">, and </w:t>
            </w:r>
            <w:r w:rsidRPr="0006321C">
              <w:rPr>
                <w:b/>
                <w:bCs/>
              </w:rPr>
              <w:t>tetrabenazine</w:t>
            </w:r>
            <w:r w:rsidRPr="0006321C">
              <w:t xml:space="preserve"> for tardive dyskinesia to require AIMS score.</w:t>
            </w:r>
          </w:p>
          <w:p w14:paraId="6E48F4DF" w14:textId="77777777" w:rsidR="0006321C" w:rsidRPr="0006321C" w:rsidRDefault="0006321C" w:rsidP="0006321C">
            <w:r w:rsidRPr="0006321C">
              <w:t xml:space="preserve">Update </w:t>
            </w:r>
            <w:proofErr w:type="spellStart"/>
            <w:r w:rsidRPr="0006321C">
              <w:rPr>
                <w:b/>
                <w:bCs/>
              </w:rPr>
              <w:t>Austedo</w:t>
            </w:r>
            <w:proofErr w:type="spellEnd"/>
            <w:r w:rsidRPr="0006321C">
              <w:t xml:space="preserve"> and </w:t>
            </w:r>
            <w:proofErr w:type="spellStart"/>
            <w:r w:rsidRPr="0006321C">
              <w:rPr>
                <w:b/>
                <w:bCs/>
              </w:rPr>
              <w:t>Austedo</w:t>
            </w:r>
            <w:proofErr w:type="spellEnd"/>
            <w:r w:rsidRPr="0006321C">
              <w:rPr>
                <w:b/>
                <w:bCs/>
              </w:rPr>
              <w:t xml:space="preserve"> XR</w:t>
            </w:r>
            <w:r w:rsidRPr="0006321C">
              <w:t xml:space="preserve"> criteria </w:t>
            </w:r>
            <w:proofErr w:type="gramStart"/>
            <w:r w:rsidRPr="0006321C">
              <w:t>to require</w:t>
            </w:r>
            <w:proofErr w:type="gramEnd"/>
            <w:r w:rsidRPr="0006321C">
              <w:t xml:space="preserve"> dose consolidation.</w:t>
            </w:r>
          </w:p>
        </w:tc>
      </w:tr>
      <w:tr w:rsidR="0006321C" w:rsidRPr="0006321C" w14:paraId="0EAEADF5" w14:textId="77777777" w:rsidTr="0006321C">
        <w:trPr>
          <w:trHeight w:val="400"/>
        </w:trPr>
        <w:tc>
          <w:tcPr>
            <w:tcW w:w="10800" w:type="dxa"/>
            <w:gridSpan w:val="3"/>
            <w:tcMar>
              <w:top w:w="80" w:type="dxa"/>
              <w:left w:w="80" w:type="dxa"/>
              <w:bottom w:w="160" w:type="dxa"/>
              <w:right w:w="80" w:type="dxa"/>
            </w:tcMar>
          </w:tcPr>
          <w:p w14:paraId="5C6AF7BB" w14:textId="77777777" w:rsidR="0006321C" w:rsidRPr="0006321C" w:rsidRDefault="0006321C" w:rsidP="0006321C">
            <w:r w:rsidRPr="0006321C">
              <w:t>Agents Not Otherwise Classified</w:t>
            </w:r>
          </w:p>
        </w:tc>
      </w:tr>
      <w:tr w:rsidR="0006321C" w:rsidRPr="0006321C" w14:paraId="49BDB2CF" w14:textId="77777777" w:rsidTr="0006321C">
        <w:trPr>
          <w:trHeight w:val="400"/>
        </w:trPr>
        <w:tc>
          <w:tcPr>
            <w:tcW w:w="2928" w:type="dxa"/>
            <w:tcMar>
              <w:top w:w="80" w:type="dxa"/>
              <w:left w:w="80" w:type="dxa"/>
              <w:bottom w:w="160" w:type="dxa"/>
              <w:right w:w="80" w:type="dxa"/>
            </w:tcMar>
          </w:tcPr>
          <w:p w14:paraId="5E544E7E" w14:textId="77777777" w:rsidR="0006321C" w:rsidRPr="0006321C" w:rsidRDefault="0006321C" w:rsidP="0006321C">
            <w:r w:rsidRPr="0006321C">
              <w:t>Acetylcholinesterase Inhibitors</w:t>
            </w:r>
          </w:p>
        </w:tc>
        <w:tc>
          <w:tcPr>
            <w:tcW w:w="2483" w:type="dxa"/>
            <w:tcMar>
              <w:top w:w="80" w:type="dxa"/>
              <w:left w:w="80" w:type="dxa"/>
              <w:bottom w:w="160" w:type="dxa"/>
              <w:right w:w="80" w:type="dxa"/>
            </w:tcMar>
          </w:tcPr>
          <w:p w14:paraId="63542458" w14:textId="77777777" w:rsidR="0006321C" w:rsidRPr="0006321C" w:rsidRDefault="0006321C" w:rsidP="0006321C"/>
        </w:tc>
        <w:tc>
          <w:tcPr>
            <w:tcW w:w="5389" w:type="dxa"/>
            <w:tcMar>
              <w:top w:w="80" w:type="dxa"/>
              <w:left w:w="80" w:type="dxa"/>
              <w:bottom w:w="160" w:type="dxa"/>
              <w:right w:w="80" w:type="dxa"/>
            </w:tcMar>
          </w:tcPr>
          <w:p w14:paraId="2E032560" w14:textId="77777777" w:rsidR="0006321C" w:rsidRPr="0006321C" w:rsidRDefault="0006321C" w:rsidP="0006321C">
            <w:r w:rsidRPr="0006321C">
              <w:t xml:space="preserve">PA will be </w:t>
            </w:r>
            <w:r w:rsidRPr="0006321C">
              <w:rPr>
                <w:b/>
                <w:bCs/>
              </w:rPr>
              <w:t xml:space="preserve">added </w:t>
            </w:r>
            <w:r w:rsidRPr="0006321C">
              <w:t xml:space="preserve">for </w:t>
            </w:r>
            <w:r w:rsidRPr="0006321C">
              <w:rPr>
                <w:b/>
                <w:bCs/>
              </w:rPr>
              <w:t>pyridostigmine bromide solution.</w:t>
            </w:r>
          </w:p>
        </w:tc>
      </w:tr>
      <w:tr w:rsidR="0006321C" w:rsidRPr="0006321C" w14:paraId="222CF732" w14:textId="77777777" w:rsidTr="0006321C">
        <w:trPr>
          <w:trHeight w:val="400"/>
        </w:trPr>
        <w:tc>
          <w:tcPr>
            <w:tcW w:w="2928" w:type="dxa"/>
            <w:tcMar>
              <w:top w:w="80" w:type="dxa"/>
              <w:left w:w="80" w:type="dxa"/>
              <w:bottom w:w="160" w:type="dxa"/>
              <w:right w:w="80" w:type="dxa"/>
            </w:tcMar>
          </w:tcPr>
          <w:p w14:paraId="0D818E5D" w14:textId="77777777" w:rsidR="0006321C" w:rsidRPr="0006321C" w:rsidRDefault="0006321C" w:rsidP="0006321C">
            <w:r w:rsidRPr="0006321C">
              <w:t>Epinephrine Agents</w:t>
            </w:r>
          </w:p>
        </w:tc>
        <w:tc>
          <w:tcPr>
            <w:tcW w:w="2483" w:type="dxa"/>
            <w:tcMar>
              <w:top w:w="80" w:type="dxa"/>
              <w:left w:w="80" w:type="dxa"/>
              <w:bottom w:w="160" w:type="dxa"/>
              <w:right w:w="80" w:type="dxa"/>
            </w:tcMar>
          </w:tcPr>
          <w:p w14:paraId="3E3F2D1F" w14:textId="77777777" w:rsidR="0006321C" w:rsidRPr="0006321C" w:rsidRDefault="0006321C" w:rsidP="0006321C"/>
        </w:tc>
        <w:tc>
          <w:tcPr>
            <w:tcW w:w="5389" w:type="dxa"/>
            <w:tcMar>
              <w:top w:w="80" w:type="dxa"/>
              <w:left w:w="80" w:type="dxa"/>
              <w:bottom w:w="160" w:type="dxa"/>
              <w:right w:w="80" w:type="dxa"/>
            </w:tcMar>
          </w:tcPr>
          <w:p w14:paraId="18B2E5F7" w14:textId="77777777" w:rsidR="0006321C" w:rsidRPr="0006321C" w:rsidRDefault="0006321C" w:rsidP="0006321C">
            <w:r w:rsidRPr="0006321C">
              <w:t xml:space="preserve">Update criteria for </w:t>
            </w:r>
            <w:proofErr w:type="spellStart"/>
            <w:r w:rsidRPr="0006321C">
              <w:rPr>
                <w:b/>
                <w:bCs/>
              </w:rPr>
              <w:t>Neffy</w:t>
            </w:r>
            <w:proofErr w:type="spellEnd"/>
            <w:r w:rsidRPr="0006321C">
              <w:t xml:space="preserve"> to allow use in members weighing ≥15 kg. </w:t>
            </w:r>
          </w:p>
        </w:tc>
      </w:tr>
      <w:tr w:rsidR="0006321C" w:rsidRPr="0006321C" w14:paraId="5F3376C4" w14:textId="77777777" w:rsidTr="0006321C">
        <w:trPr>
          <w:trHeight w:val="400"/>
        </w:trPr>
        <w:tc>
          <w:tcPr>
            <w:tcW w:w="2928" w:type="dxa"/>
            <w:tcMar>
              <w:top w:w="80" w:type="dxa"/>
              <w:left w:w="80" w:type="dxa"/>
              <w:bottom w:w="160" w:type="dxa"/>
              <w:right w:w="80" w:type="dxa"/>
            </w:tcMar>
          </w:tcPr>
          <w:p w14:paraId="3213F110" w14:textId="77777777" w:rsidR="0006321C" w:rsidRPr="0006321C" w:rsidRDefault="0006321C" w:rsidP="0006321C">
            <w:r w:rsidRPr="0006321C">
              <w:t>Interferon Gamma Inhibitor</w:t>
            </w:r>
          </w:p>
        </w:tc>
        <w:tc>
          <w:tcPr>
            <w:tcW w:w="2483" w:type="dxa"/>
            <w:tcMar>
              <w:top w:w="80" w:type="dxa"/>
              <w:left w:w="80" w:type="dxa"/>
              <w:bottom w:w="160" w:type="dxa"/>
              <w:right w:w="80" w:type="dxa"/>
            </w:tcMar>
          </w:tcPr>
          <w:p w14:paraId="4213B99F" w14:textId="77777777" w:rsidR="0006321C" w:rsidRPr="0006321C" w:rsidRDefault="0006321C" w:rsidP="0006321C"/>
        </w:tc>
        <w:tc>
          <w:tcPr>
            <w:tcW w:w="5389" w:type="dxa"/>
            <w:tcMar>
              <w:top w:w="80" w:type="dxa"/>
              <w:left w:w="80" w:type="dxa"/>
              <w:bottom w:w="160" w:type="dxa"/>
              <w:right w:w="80" w:type="dxa"/>
            </w:tcMar>
          </w:tcPr>
          <w:p w14:paraId="09C4D531" w14:textId="77777777" w:rsidR="0006321C" w:rsidRPr="0006321C" w:rsidRDefault="0006321C" w:rsidP="0006321C">
            <w:r w:rsidRPr="0006321C">
              <w:t xml:space="preserve">Update criteria for </w:t>
            </w:r>
            <w:proofErr w:type="spellStart"/>
            <w:r w:rsidRPr="0006321C">
              <w:rPr>
                <w:b/>
                <w:bCs/>
              </w:rPr>
              <w:t>Gamifant</w:t>
            </w:r>
            <w:proofErr w:type="spellEnd"/>
            <w:r w:rsidRPr="0006321C">
              <w:rPr>
                <w:b/>
                <w:bCs/>
              </w:rPr>
              <w:t xml:space="preserve"> </w:t>
            </w:r>
            <w:r w:rsidRPr="0006321C">
              <w:t>to reflect the expanded indication of hemophagocytic lymphohistiocytosis (HLH) and macrophage activation syndrome (MAS) in Still’s disease.</w:t>
            </w:r>
          </w:p>
        </w:tc>
      </w:tr>
      <w:tr w:rsidR="0006321C" w:rsidRPr="0006321C" w14:paraId="7AA9EDA2" w14:textId="77777777" w:rsidTr="0006321C">
        <w:trPr>
          <w:trHeight w:val="400"/>
        </w:trPr>
        <w:tc>
          <w:tcPr>
            <w:tcW w:w="2928" w:type="dxa"/>
            <w:tcMar>
              <w:top w:w="80" w:type="dxa"/>
              <w:left w:w="80" w:type="dxa"/>
              <w:bottom w:w="160" w:type="dxa"/>
              <w:right w:w="80" w:type="dxa"/>
            </w:tcMar>
          </w:tcPr>
          <w:p w14:paraId="54601F5C" w14:textId="77777777" w:rsidR="0006321C" w:rsidRPr="0006321C" w:rsidRDefault="0006321C" w:rsidP="0006321C">
            <w:r w:rsidRPr="0006321C">
              <w:t>Nonhormonal Agents for Menopausal Symptoms</w:t>
            </w:r>
          </w:p>
        </w:tc>
        <w:tc>
          <w:tcPr>
            <w:tcW w:w="2483" w:type="dxa"/>
            <w:tcMar>
              <w:top w:w="80" w:type="dxa"/>
              <w:left w:w="80" w:type="dxa"/>
              <w:bottom w:w="160" w:type="dxa"/>
              <w:right w:w="80" w:type="dxa"/>
            </w:tcMar>
          </w:tcPr>
          <w:p w14:paraId="069FE451" w14:textId="77777777" w:rsidR="0006321C" w:rsidRPr="0006321C" w:rsidRDefault="0006321C" w:rsidP="0006321C">
            <w:proofErr w:type="spellStart"/>
            <w:r w:rsidRPr="0006321C">
              <w:rPr>
                <w:b/>
                <w:bCs/>
              </w:rPr>
              <w:t>Lynkuet</w:t>
            </w:r>
            <w:proofErr w:type="spellEnd"/>
            <w:r w:rsidRPr="0006321C">
              <w:t>—PA</w:t>
            </w:r>
          </w:p>
          <w:p w14:paraId="3F06AD60" w14:textId="77777777" w:rsidR="0006321C" w:rsidRPr="0006321C" w:rsidRDefault="0006321C" w:rsidP="0006321C"/>
        </w:tc>
        <w:tc>
          <w:tcPr>
            <w:tcW w:w="5389" w:type="dxa"/>
            <w:tcMar>
              <w:top w:w="80" w:type="dxa"/>
              <w:left w:w="80" w:type="dxa"/>
              <w:bottom w:w="160" w:type="dxa"/>
              <w:right w:w="80" w:type="dxa"/>
            </w:tcMar>
          </w:tcPr>
          <w:p w14:paraId="7E360D52" w14:textId="77777777" w:rsidR="0006321C" w:rsidRPr="0006321C" w:rsidRDefault="0006321C" w:rsidP="0006321C">
            <w:r w:rsidRPr="0006321C">
              <w:t xml:space="preserve">Update criteria for </w:t>
            </w:r>
            <w:proofErr w:type="spellStart"/>
            <w:r w:rsidRPr="0006321C">
              <w:rPr>
                <w:b/>
                <w:bCs/>
              </w:rPr>
              <w:t>Veozah</w:t>
            </w:r>
            <w:proofErr w:type="spellEnd"/>
            <w:r w:rsidRPr="0006321C">
              <w:t xml:space="preserve"> to accept claims history for menopausal hormonal agents, and update LCA trials. </w:t>
            </w:r>
          </w:p>
        </w:tc>
      </w:tr>
      <w:tr w:rsidR="0006321C" w:rsidRPr="0006321C" w14:paraId="6EE43832" w14:textId="77777777" w:rsidTr="0006321C">
        <w:trPr>
          <w:trHeight w:val="400"/>
        </w:trPr>
        <w:tc>
          <w:tcPr>
            <w:tcW w:w="2928" w:type="dxa"/>
            <w:tcMar>
              <w:top w:w="80" w:type="dxa"/>
              <w:left w:w="80" w:type="dxa"/>
              <w:bottom w:w="160" w:type="dxa"/>
              <w:right w:w="80" w:type="dxa"/>
            </w:tcMar>
          </w:tcPr>
          <w:p w14:paraId="640E60F3" w14:textId="77777777" w:rsidR="0006321C" w:rsidRPr="0006321C" w:rsidRDefault="0006321C" w:rsidP="0006321C">
            <w:r w:rsidRPr="0006321C">
              <w:lastRenderedPageBreak/>
              <w:t>Presbyopia Agents</w:t>
            </w:r>
          </w:p>
        </w:tc>
        <w:tc>
          <w:tcPr>
            <w:tcW w:w="2483" w:type="dxa"/>
            <w:tcMar>
              <w:top w:w="80" w:type="dxa"/>
              <w:left w:w="80" w:type="dxa"/>
              <w:bottom w:w="160" w:type="dxa"/>
              <w:right w:w="80" w:type="dxa"/>
            </w:tcMar>
          </w:tcPr>
          <w:p w14:paraId="16AA4949" w14:textId="77777777" w:rsidR="0006321C" w:rsidRPr="0006321C" w:rsidRDefault="0006321C" w:rsidP="0006321C">
            <w:proofErr w:type="spellStart"/>
            <w:r w:rsidRPr="0006321C">
              <w:rPr>
                <w:b/>
                <w:bCs/>
              </w:rPr>
              <w:t>Vizz</w:t>
            </w:r>
            <w:proofErr w:type="spellEnd"/>
            <w:r w:rsidRPr="0006321C">
              <w:t>—PA</w:t>
            </w:r>
          </w:p>
        </w:tc>
        <w:tc>
          <w:tcPr>
            <w:tcW w:w="5389" w:type="dxa"/>
            <w:tcMar>
              <w:top w:w="80" w:type="dxa"/>
              <w:left w:w="80" w:type="dxa"/>
              <w:bottom w:w="160" w:type="dxa"/>
              <w:right w:w="80" w:type="dxa"/>
            </w:tcMar>
          </w:tcPr>
          <w:p w14:paraId="1DCA246D" w14:textId="77777777" w:rsidR="0006321C" w:rsidRPr="0006321C" w:rsidRDefault="0006321C" w:rsidP="0006321C"/>
        </w:tc>
      </w:tr>
      <w:tr w:rsidR="0006321C" w:rsidRPr="0006321C" w14:paraId="43933BC9" w14:textId="77777777" w:rsidTr="0006321C">
        <w:trPr>
          <w:trHeight w:val="400"/>
        </w:trPr>
        <w:tc>
          <w:tcPr>
            <w:tcW w:w="2928" w:type="dxa"/>
            <w:tcMar>
              <w:top w:w="80" w:type="dxa"/>
              <w:left w:w="80" w:type="dxa"/>
              <w:bottom w:w="160" w:type="dxa"/>
              <w:right w:w="80" w:type="dxa"/>
            </w:tcMar>
          </w:tcPr>
          <w:p w14:paraId="444CC4C2" w14:textId="77777777" w:rsidR="0006321C" w:rsidRPr="0006321C" w:rsidRDefault="0006321C" w:rsidP="0006321C">
            <w:r w:rsidRPr="0006321C">
              <w:t>Thyroid Preparations</w:t>
            </w:r>
          </w:p>
        </w:tc>
        <w:tc>
          <w:tcPr>
            <w:tcW w:w="2483" w:type="dxa"/>
            <w:tcMar>
              <w:top w:w="80" w:type="dxa"/>
              <w:left w:w="80" w:type="dxa"/>
              <w:bottom w:w="160" w:type="dxa"/>
              <w:right w:w="80" w:type="dxa"/>
            </w:tcMar>
          </w:tcPr>
          <w:p w14:paraId="50252436" w14:textId="77777777" w:rsidR="0006321C" w:rsidRPr="0006321C" w:rsidRDefault="0006321C" w:rsidP="0006321C"/>
        </w:tc>
        <w:tc>
          <w:tcPr>
            <w:tcW w:w="5389" w:type="dxa"/>
            <w:tcMar>
              <w:top w:w="80" w:type="dxa"/>
              <w:left w:w="80" w:type="dxa"/>
              <w:bottom w:w="160" w:type="dxa"/>
              <w:right w:w="80" w:type="dxa"/>
            </w:tcMar>
          </w:tcPr>
          <w:p w14:paraId="3BEB0E60" w14:textId="77777777" w:rsidR="0006321C" w:rsidRPr="0006321C" w:rsidRDefault="0006321C" w:rsidP="0006321C">
            <w:r w:rsidRPr="0006321C">
              <w:t>Update</w:t>
            </w:r>
            <w:r w:rsidRPr="0006321C">
              <w:rPr>
                <w:b/>
                <w:bCs/>
              </w:rPr>
              <w:t xml:space="preserve"> </w:t>
            </w:r>
            <w:r w:rsidRPr="0006321C">
              <w:t>criteria for</w:t>
            </w:r>
            <w:r w:rsidRPr="0006321C">
              <w:rPr>
                <w:b/>
                <w:bCs/>
              </w:rPr>
              <w:t xml:space="preserve"> </w:t>
            </w:r>
            <w:proofErr w:type="spellStart"/>
            <w:r w:rsidRPr="0006321C">
              <w:rPr>
                <w:b/>
                <w:bCs/>
              </w:rPr>
              <w:t>Tirosint</w:t>
            </w:r>
            <w:proofErr w:type="spellEnd"/>
            <w:r w:rsidRPr="0006321C">
              <w:rPr>
                <w:b/>
                <w:bCs/>
              </w:rPr>
              <w:t xml:space="preserve"> solution</w:t>
            </w:r>
            <w:r w:rsidRPr="0006321C">
              <w:t xml:space="preserve"> to add malabsorption as medical necessity. </w:t>
            </w:r>
          </w:p>
        </w:tc>
      </w:tr>
    </w:tbl>
    <w:p w14:paraId="0B6171E9" w14:textId="77777777" w:rsidR="00DA21B3" w:rsidRDefault="00DA21B3" w:rsidP="00B00F0F"/>
    <w:p w14:paraId="6736CAC7" w14:textId="77777777" w:rsidR="00DA21B3" w:rsidRDefault="00DA21B3" w:rsidP="0006321C">
      <w:pPr>
        <w:pStyle w:val="Heading2"/>
      </w:pPr>
      <w:r>
        <w:t>Abbreviations, Acronyms, and Definitions</w:t>
      </w:r>
    </w:p>
    <w:p w14:paraId="37A77888" w14:textId="693484F4" w:rsidR="00DA21B3" w:rsidRDefault="00DA21B3" w:rsidP="00B00F0F">
      <w:r w:rsidRPr="008D2E39">
        <w:rPr>
          <w:b/>
          <w:bCs/>
        </w:rPr>
        <w:t>BP</w:t>
      </w:r>
      <w:proofErr w:type="gramStart"/>
      <w:r w:rsidR="008D2E39" w:rsidRPr="008D2E39">
        <w:rPr>
          <w:b/>
          <w:bCs/>
        </w:rPr>
        <w:t>:</w:t>
      </w:r>
      <w:r w:rsidR="008D2E39">
        <w:tab/>
      </w:r>
      <w:r>
        <w:t xml:space="preserve"> Brand</w:t>
      </w:r>
      <w:proofErr w:type="gramEnd"/>
      <w:r>
        <w:t xml:space="preserve"> preferred over generic equivalents. In general, MassHealth requires a trial of the preferred drug or clinical rationale for prescribing the non-preferred drug generic equivalent.</w:t>
      </w:r>
    </w:p>
    <w:p w14:paraId="7DE7ECEF" w14:textId="1EDD770F" w:rsidR="00DA21B3" w:rsidRDefault="00DA21B3" w:rsidP="00B00F0F">
      <w:r w:rsidRPr="008D2E39">
        <w:rPr>
          <w:b/>
          <w:bCs/>
        </w:rPr>
        <w:t>M90</w:t>
      </w:r>
      <w:proofErr w:type="gramStart"/>
      <w:r w:rsidR="008D2E39" w:rsidRPr="008D2E39">
        <w:rPr>
          <w:b/>
          <w:bCs/>
        </w:rPr>
        <w:t>:</w:t>
      </w:r>
      <w:r w:rsidR="008D2E39">
        <w:tab/>
      </w:r>
      <w:r>
        <w:t xml:space="preserve"> Mandatory</w:t>
      </w:r>
      <w:proofErr w:type="gramEnd"/>
      <w:r>
        <w:t xml:space="preserve"> 90-day supply. After dispensing up to a 30-day supply initial fill, dispensing in a 90-day supply is required. May not include all strengths or formulations. Quantity limits and other restrictions may also apply. </w:t>
      </w:r>
    </w:p>
    <w:p w14:paraId="61B9E795" w14:textId="3F77EE83" w:rsidR="00DA21B3" w:rsidRDefault="00DA21B3" w:rsidP="00B00F0F">
      <w:r w:rsidRPr="008D2E39">
        <w:rPr>
          <w:b/>
          <w:bCs/>
        </w:rPr>
        <w:t>MB</w:t>
      </w:r>
      <w:r w:rsidR="008D2E39">
        <w:rPr>
          <w:b/>
          <w:bCs/>
        </w:rPr>
        <w:t>:</w:t>
      </w:r>
      <w:r>
        <w:t xml:space="preserve"> </w:t>
      </w:r>
      <w:r w:rsidR="008D2E39">
        <w:tab/>
      </w:r>
      <w:r>
        <w:t>Drug is restricted to medical billing.</w:t>
      </w:r>
    </w:p>
    <w:p w14:paraId="07366515" w14:textId="58B26511" w:rsidR="00DA21B3" w:rsidRDefault="00DA21B3" w:rsidP="00B00F0F">
      <w:r w:rsidRPr="008D2E39">
        <w:rPr>
          <w:b/>
          <w:bCs/>
        </w:rPr>
        <w:t>LCA</w:t>
      </w:r>
      <w:proofErr w:type="gramStart"/>
      <w:r w:rsidR="008D2E39" w:rsidRPr="008D2E39">
        <w:rPr>
          <w:b/>
          <w:bCs/>
        </w:rPr>
        <w:t>:</w:t>
      </w:r>
      <w:r>
        <w:t xml:space="preserve"> </w:t>
      </w:r>
      <w:r w:rsidR="008D2E39">
        <w:tab/>
      </w:r>
      <w:r>
        <w:t>Lower</w:t>
      </w:r>
      <w:proofErr w:type="gramEnd"/>
      <w:r>
        <w:t xml:space="preserve">-cost alternative </w:t>
      </w:r>
    </w:p>
    <w:p w14:paraId="788291A4" w14:textId="770E1B12" w:rsidR="00DA21B3" w:rsidRDefault="00DA21B3" w:rsidP="00B00F0F">
      <w:r w:rsidRPr="008D2E39">
        <w:rPr>
          <w:b/>
          <w:bCs/>
        </w:rPr>
        <w:t>PA</w:t>
      </w:r>
      <w:proofErr w:type="gramStart"/>
      <w:r w:rsidR="008D2E39" w:rsidRPr="008D2E39">
        <w:rPr>
          <w:b/>
          <w:bCs/>
        </w:rPr>
        <w:t>:</w:t>
      </w:r>
      <w:r>
        <w:t xml:space="preserve"> </w:t>
      </w:r>
      <w:r w:rsidR="008D2E39">
        <w:tab/>
      </w:r>
      <w:r>
        <w:t>Prior</w:t>
      </w:r>
      <w:proofErr w:type="gramEnd"/>
      <w:r>
        <w:t xml:space="preserve"> authorization</w:t>
      </w:r>
    </w:p>
    <w:p w14:paraId="3B4B8BD3" w14:textId="201DEC3A" w:rsidR="00DA21B3" w:rsidRDefault="00DA21B3" w:rsidP="00B00F0F">
      <w:r w:rsidRPr="008D2E39">
        <w:rPr>
          <w:b/>
          <w:bCs/>
        </w:rPr>
        <w:t>QL</w:t>
      </w:r>
      <w:proofErr w:type="gramStart"/>
      <w:r w:rsidR="008D2E39" w:rsidRPr="008D2E39">
        <w:rPr>
          <w:b/>
          <w:bCs/>
        </w:rPr>
        <w:t>:</w:t>
      </w:r>
      <w:r>
        <w:t xml:space="preserve"> </w:t>
      </w:r>
      <w:r w:rsidR="008D2E39">
        <w:tab/>
      </w:r>
      <w:r>
        <w:t>Quantity</w:t>
      </w:r>
      <w:proofErr w:type="gramEnd"/>
      <w:r>
        <w:t xml:space="preserve"> limit</w:t>
      </w:r>
    </w:p>
    <w:p w14:paraId="5219C569" w14:textId="36FC1E26" w:rsidR="00DA21B3" w:rsidRDefault="00DA21B3" w:rsidP="00B00F0F">
      <w:r w:rsidRPr="008D2E39">
        <w:rPr>
          <w:b/>
          <w:bCs/>
        </w:rPr>
        <w:t>Non-rebate</w:t>
      </w:r>
      <w:r w:rsidR="008D2E39" w:rsidRPr="008D2E39">
        <w:rPr>
          <w:b/>
          <w:bCs/>
        </w:rPr>
        <w:t xml:space="preserve"> criteria:</w:t>
      </w:r>
      <w:r>
        <w:t xml:space="preserve"> </w:t>
      </w:r>
      <w:r w:rsidR="008D2E39">
        <w:tab/>
      </w:r>
      <w:r>
        <w:t>Please refer to the MassHealth Pharmacy Operational Page for non-rebate drugs and criteria biologics criteria.</w:t>
      </w:r>
    </w:p>
    <w:sectPr w:rsidR="00DA21B3" w:rsidSect="007B21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50CE" w14:textId="77777777" w:rsidR="007C4D3D" w:rsidRDefault="007C4D3D" w:rsidP="00E4576C">
      <w:pPr>
        <w:spacing w:before="0" w:after="0" w:line="240" w:lineRule="auto"/>
      </w:pPr>
      <w:r>
        <w:separator/>
      </w:r>
    </w:p>
  </w:endnote>
  <w:endnote w:type="continuationSeparator" w:id="0">
    <w:p w14:paraId="7018041E" w14:textId="77777777" w:rsidR="007C4D3D" w:rsidRDefault="007C4D3D" w:rsidP="00E457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9030" w14:textId="77777777" w:rsidR="0096085F" w:rsidRPr="0096085F" w:rsidRDefault="0096085F" w:rsidP="0096085F">
    <w:pPr>
      <w:pStyle w:val="Footer"/>
      <w:rPr>
        <w:rFonts w:ascii="Aptos Light" w:hAnsi="Aptos Light"/>
        <w:i/>
        <w:iCs/>
        <w:sz w:val="18"/>
        <w:szCs w:val="18"/>
      </w:rPr>
    </w:pPr>
    <w:r w:rsidRPr="0096085F">
      <w:rPr>
        <w:rFonts w:ascii="Aptos Light" w:hAnsi="Aptos Light"/>
        <w:i/>
        <w:iCs/>
        <w:sz w:val="18"/>
        <w:szCs w:val="18"/>
      </w:rPr>
      <w:t>This document reflects information current as of February 11, 2026. Formulary status, coverage criteria, and PA requirements are subject to change. Please refer to the MassHealth Drug List for final updates and additional information.</w:t>
    </w:r>
  </w:p>
  <w:p w14:paraId="1E2CF314" w14:textId="6B321B72" w:rsidR="00F763BB" w:rsidRDefault="00F763BB">
    <w:pPr>
      <w:pStyle w:val="Footer"/>
    </w:pPr>
    <w:r>
      <w:tab/>
    </w:r>
    <w:r w:rsidR="006920B9">
      <w:tab/>
    </w:r>
    <w:r>
      <w:t xml:space="preserve">page </w:t>
    </w:r>
    <w:r>
      <w:fldChar w:fldCharType="begin"/>
    </w:r>
    <w:r>
      <w:instrText xml:space="preserve"> PAGE   \* MERGEFORMAT </w:instrText>
    </w:r>
    <w:r>
      <w:fldChar w:fldCharType="separate"/>
    </w:r>
    <w:r>
      <w:rPr>
        <w:noProof/>
      </w:rPr>
      <w:t>1</w:t>
    </w:r>
    <w:r>
      <w:rPr>
        <w:noProof/>
      </w:rPr>
      <w:fldChar w:fldCharType="end"/>
    </w:r>
    <w:r w:rsidR="0096085F">
      <w:rPr>
        <w:noProof/>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FAA8" w14:textId="77777777" w:rsidR="007C4D3D" w:rsidRDefault="007C4D3D" w:rsidP="00E4576C">
      <w:pPr>
        <w:spacing w:before="0" w:after="0" w:line="240" w:lineRule="auto"/>
      </w:pPr>
      <w:r>
        <w:separator/>
      </w:r>
    </w:p>
  </w:footnote>
  <w:footnote w:type="continuationSeparator" w:id="0">
    <w:p w14:paraId="67031979" w14:textId="77777777" w:rsidR="007C4D3D" w:rsidRDefault="007C4D3D" w:rsidP="00E4576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EF0"/>
    <w:multiLevelType w:val="hybridMultilevel"/>
    <w:tmpl w:val="FF38C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10C2D"/>
    <w:multiLevelType w:val="hybridMultilevel"/>
    <w:tmpl w:val="5FFE316C"/>
    <w:lvl w:ilvl="0" w:tplc="FD1CA438">
      <w:start w:val="9"/>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459E0D84"/>
    <w:multiLevelType w:val="hybridMultilevel"/>
    <w:tmpl w:val="582C1A4C"/>
    <w:lvl w:ilvl="0" w:tplc="96C213AE">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036DD"/>
    <w:multiLevelType w:val="hybridMultilevel"/>
    <w:tmpl w:val="157A3320"/>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853112909">
    <w:abstractNumId w:val="0"/>
  </w:num>
  <w:num w:numId="2" w16cid:durableId="1123620254">
    <w:abstractNumId w:val="3"/>
  </w:num>
  <w:num w:numId="3" w16cid:durableId="1142237389">
    <w:abstractNumId w:val="1"/>
  </w:num>
  <w:num w:numId="4" w16cid:durableId="108372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A"/>
    <w:rsid w:val="00036E9B"/>
    <w:rsid w:val="0005268F"/>
    <w:rsid w:val="0006321C"/>
    <w:rsid w:val="000B5ED5"/>
    <w:rsid w:val="000D77BD"/>
    <w:rsid w:val="000F4499"/>
    <w:rsid w:val="0011375F"/>
    <w:rsid w:val="00175707"/>
    <w:rsid w:val="001F5206"/>
    <w:rsid w:val="00265ABA"/>
    <w:rsid w:val="002B50CD"/>
    <w:rsid w:val="002E64AC"/>
    <w:rsid w:val="00334B6B"/>
    <w:rsid w:val="003458AA"/>
    <w:rsid w:val="003C6763"/>
    <w:rsid w:val="00416FDA"/>
    <w:rsid w:val="004306DF"/>
    <w:rsid w:val="004C21F7"/>
    <w:rsid w:val="00567939"/>
    <w:rsid w:val="005720DC"/>
    <w:rsid w:val="00587E17"/>
    <w:rsid w:val="005A037A"/>
    <w:rsid w:val="005F7CA6"/>
    <w:rsid w:val="00615150"/>
    <w:rsid w:val="006917F9"/>
    <w:rsid w:val="006920B9"/>
    <w:rsid w:val="00704708"/>
    <w:rsid w:val="007200F1"/>
    <w:rsid w:val="00753EFB"/>
    <w:rsid w:val="007938CC"/>
    <w:rsid w:val="007B21CA"/>
    <w:rsid w:val="007B7333"/>
    <w:rsid w:val="007C4D3D"/>
    <w:rsid w:val="007D4BDD"/>
    <w:rsid w:val="007E5B8C"/>
    <w:rsid w:val="007F7D08"/>
    <w:rsid w:val="00800AC5"/>
    <w:rsid w:val="008337AE"/>
    <w:rsid w:val="008A6435"/>
    <w:rsid w:val="008D2E39"/>
    <w:rsid w:val="008D30E3"/>
    <w:rsid w:val="008D6A14"/>
    <w:rsid w:val="008F007F"/>
    <w:rsid w:val="008F0A5D"/>
    <w:rsid w:val="0096085F"/>
    <w:rsid w:val="009868AC"/>
    <w:rsid w:val="00AC5F65"/>
    <w:rsid w:val="00AD2BE8"/>
    <w:rsid w:val="00B00F0F"/>
    <w:rsid w:val="00B324DA"/>
    <w:rsid w:val="00B6458F"/>
    <w:rsid w:val="00B9346B"/>
    <w:rsid w:val="00BB52F7"/>
    <w:rsid w:val="00C018C0"/>
    <w:rsid w:val="00C53AE4"/>
    <w:rsid w:val="00CE38C1"/>
    <w:rsid w:val="00CF37CC"/>
    <w:rsid w:val="00D11727"/>
    <w:rsid w:val="00DA0DE4"/>
    <w:rsid w:val="00DA21B3"/>
    <w:rsid w:val="00DF73EA"/>
    <w:rsid w:val="00E3731E"/>
    <w:rsid w:val="00E43518"/>
    <w:rsid w:val="00E4576C"/>
    <w:rsid w:val="00EB2869"/>
    <w:rsid w:val="00ED7D1C"/>
    <w:rsid w:val="00EF478B"/>
    <w:rsid w:val="00F15D60"/>
    <w:rsid w:val="00F763BB"/>
    <w:rsid w:val="00FC1797"/>
    <w:rsid w:val="00FC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540E"/>
  <w15:chartTrackingRefBased/>
  <w15:docId w15:val="{3E73F1EF-1B87-485F-813A-3E6A64CE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7A"/>
    <w:pPr>
      <w:widowControl w:val="0"/>
      <w:tabs>
        <w:tab w:val="left" w:pos="576"/>
      </w:tabs>
      <w:autoSpaceDE w:val="0"/>
      <w:autoSpaceDN w:val="0"/>
      <w:spacing w:before="120" w:after="120" w:line="288" w:lineRule="auto"/>
      <w:contextualSpacing/>
    </w:pPr>
    <w:rPr>
      <w:rFonts w:cs="Palatino Linotype"/>
      <w:kern w:val="0"/>
      <w14:ligatures w14:val="none"/>
    </w:rPr>
  </w:style>
  <w:style w:type="paragraph" w:styleId="Heading1">
    <w:name w:val="heading 1"/>
    <w:basedOn w:val="Normal"/>
    <w:link w:val="Heading1Char"/>
    <w:uiPriority w:val="9"/>
    <w:qFormat/>
    <w:rsid w:val="004C21F7"/>
    <w:pPr>
      <w:spacing w:after="240"/>
      <w:outlineLvl w:val="0"/>
    </w:pPr>
    <w:rPr>
      <w:rFonts w:ascii="Aptos Display" w:hAnsi="Aptos Display"/>
      <w:b/>
      <w:sz w:val="40"/>
      <w:szCs w:val="36"/>
    </w:rPr>
  </w:style>
  <w:style w:type="paragraph" w:styleId="Heading2">
    <w:name w:val="heading 2"/>
    <w:basedOn w:val="Normal"/>
    <w:next w:val="Normal"/>
    <w:link w:val="Heading2Char"/>
    <w:uiPriority w:val="9"/>
    <w:unhideWhenUsed/>
    <w:qFormat/>
    <w:rsid w:val="00B00F0F"/>
    <w:pPr>
      <w:keepNext/>
      <w:keepLines/>
      <w:spacing w:before="240" w:after="0"/>
      <w:outlineLvl w:val="1"/>
    </w:pPr>
    <w:rPr>
      <w:rFonts w:asciiTheme="majorHAnsi" w:eastAsiaTheme="majorEastAsia" w:hAnsiTheme="majorHAnsi" w:cstheme="majorBidi"/>
      <w:color w:val="0F4761" w:themeColor="accent1" w:themeShade="BF"/>
      <w:sz w:val="36"/>
      <w:szCs w:val="26"/>
    </w:rPr>
  </w:style>
  <w:style w:type="paragraph" w:styleId="Heading3">
    <w:name w:val="heading 3"/>
    <w:basedOn w:val="Normal"/>
    <w:next w:val="Normal"/>
    <w:link w:val="Heading3Char"/>
    <w:uiPriority w:val="9"/>
    <w:unhideWhenUsed/>
    <w:qFormat/>
    <w:rsid w:val="00B00F0F"/>
    <w:pPr>
      <w:keepNext/>
      <w:keepLines/>
      <w:spacing w:before="240" w:after="0"/>
      <w:outlineLvl w:val="2"/>
    </w:pPr>
    <w:rPr>
      <w:rFonts w:asciiTheme="majorHAnsi" w:eastAsiaTheme="majorEastAsia" w:hAnsiTheme="majorHAnsi" w:cstheme="majorBidi"/>
      <w:b/>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F7"/>
    <w:rPr>
      <w:rFonts w:ascii="Aptos Display" w:hAnsi="Aptos Display" w:cs="Palatino Linotype"/>
      <w:b/>
      <w:kern w:val="0"/>
      <w:sz w:val="40"/>
      <w:szCs w:val="36"/>
      <w14:ligatures w14:val="none"/>
    </w:rPr>
  </w:style>
  <w:style w:type="paragraph" w:styleId="PlainText">
    <w:name w:val="Plain Text"/>
    <w:basedOn w:val="Normal"/>
    <w:link w:val="PlainTextChar"/>
    <w:uiPriority w:val="99"/>
    <w:unhideWhenUsed/>
    <w:rsid w:val="009868AC"/>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9868AC"/>
    <w:rPr>
      <w:rFonts w:ascii="Consolas" w:hAnsi="Consolas" w:cs="Palatino Linotype"/>
      <w:kern w:val="0"/>
      <w:sz w:val="21"/>
      <w:szCs w:val="21"/>
      <w14:ligatures w14:val="none"/>
    </w:rPr>
  </w:style>
  <w:style w:type="character" w:customStyle="1" w:styleId="Heading2Char">
    <w:name w:val="Heading 2 Char"/>
    <w:basedOn w:val="DefaultParagraphFont"/>
    <w:link w:val="Heading2"/>
    <w:uiPriority w:val="9"/>
    <w:rsid w:val="00B00F0F"/>
    <w:rPr>
      <w:rFonts w:asciiTheme="majorHAnsi" w:eastAsiaTheme="majorEastAsia" w:hAnsiTheme="majorHAnsi" w:cstheme="majorBidi"/>
      <w:color w:val="0F4761" w:themeColor="accent1" w:themeShade="BF"/>
      <w:kern w:val="0"/>
      <w:sz w:val="36"/>
      <w:szCs w:val="26"/>
      <w14:ligatures w14:val="none"/>
    </w:rPr>
  </w:style>
  <w:style w:type="paragraph" w:customStyle="1" w:styleId="Normal-dots">
    <w:name w:val="Normal - dots"/>
    <w:basedOn w:val="Normal"/>
    <w:qFormat/>
    <w:rsid w:val="00BB52F7"/>
    <w:pPr>
      <w:tabs>
        <w:tab w:val="right" w:leader="dot" w:pos="9360"/>
      </w:tabs>
      <w:spacing w:before="60" w:after="60"/>
    </w:pPr>
  </w:style>
  <w:style w:type="paragraph" w:customStyle="1" w:styleId="Normal-dotstabs">
    <w:name w:val="Normal - dots tabs"/>
    <w:basedOn w:val="Normal-dots"/>
    <w:qFormat/>
    <w:rsid w:val="004C21F7"/>
    <w:pPr>
      <w:tabs>
        <w:tab w:val="right" w:leader="dot" w:pos="3600"/>
        <w:tab w:val="right" w:leader="dot" w:pos="4680"/>
        <w:tab w:val="right" w:leader="dot" w:pos="6120"/>
        <w:tab w:val="right" w:leader="dot" w:pos="7560"/>
      </w:tabs>
    </w:pPr>
  </w:style>
  <w:style w:type="paragraph" w:customStyle="1" w:styleId="Normal-dotsindent">
    <w:name w:val="Normal - dots indent"/>
    <w:basedOn w:val="Normal-dots"/>
    <w:qFormat/>
    <w:rsid w:val="00615150"/>
    <w:pPr>
      <w:ind w:left="576"/>
    </w:pPr>
  </w:style>
  <w:style w:type="paragraph" w:customStyle="1" w:styleId="Normalbold">
    <w:name w:val="Normal bold"/>
    <w:basedOn w:val="Normal"/>
    <w:qFormat/>
    <w:rsid w:val="003458AA"/>
    <w:rPr>
      <w:b/>
    </w:rPr>
  </w:style>
  <w:style w:type="paragraph" w:styleId="ListParagraph">
    <w:name w:val="List Paragraph"/>
    <w:basedOn w:val="Normal"/>
    <w:uiPriority w:val="34"/>
    <w:qFormat/>
    <w:rsid w:val="001F5206"/>
    <w:pPr>
      <w:spacing w:before="240" w:after="240"/>
      <w:ind w:left="720"/>
    </w:pPr>
  </w:style>
  <w:style w:type="character" w:customStyle="1" w:styleId="Heading3Char">
    <w:name w:val="Heading 3 Char"/>
    <w:basedOn w:val="DefaultParagraphFont"/>
    <w:link w:val="Heading3"/>
    <w:uiPriority w:val="9"/>
    <w:rsid w:val="00B00F0F"/>
    <w:rPr>
      <w:rFonts w:asciiTheme="majorHAnsi" w:eastAsiaTheme="majorEastAsia" w:hAnsiTheme="majorHAnsi" w:cstheme="majorBidi"/>
      <w:b/>
      <w:color w:val="0A2F40" w:themeColor="accent1" w:themeShade="7F"/>
      <w:kern w:val="0"/>
      <w:sz w:val="24"/>
      <w:szCs w:val="24"/>
      <w14:ligatures w14:val="none"/>
    </w:rPr>
  </w:style>
  <w:style w:type="paragraph" w:styleId="Header">
    <w:name w:val="header"/>
    <w:basedOn w:val="Normal"/>
    <w:link w:val="HeaderChar"/>
    <w:uiPriority w:val="99"/>
    <w:unhideWhenUsed/>
    <w:rsid w:val="00E4576C"/>
    <w:pPr>
      <w:tabs>
        <w:tab w:val="clear" w:pos="576"/>
        <w:tab w:val="center" w:pos="4680"/>
        <w:tab w:val="right" w:pos="9360"/>
      </w:tabs>
      <w:spacing w:before="0" w:after="0" w:line="240" w:lineRule="auto"/>
    </w:pPr>
  </w:style>
  <w:style w:type="character" w:customStyle="1" w:styleId="HeaderChar">
    <w:name w:val="Header Char"/>
    <w:basedOn w:val="DefaultParagraphFont"/>
    <w:link w:val="Header"/>
    <w:uiPriority w:val="99"/>
    <w:rsid w:val="00E4576C"/>
    <w:rPr>
      <w:rFonts w:cs="Palatino Linotype"/>
      <w:kern w:val="0"/>
      <w14:ligatures w14:val="none"/>
    </w:rPr>
  </w:style>
  <w:style w:type="paragraph" w:styleId="Footer">
    <w:name w:val="footer"/>
    <w:basedOn w:val="Normal"/>
    <w:link w:val="FooterChar"/>
    <w:uiPriority w:val="99"/>
    <w:unhideWhenUsed/>
    <w:rsid w:val="00E4576C"/>
    <w:pPr>
      <w:tabs>
        <w:tab w:val="clear" w:pos="576"/>
        <w:tab w:val="center" w:pos="4680"/>
        <w:tab w:val="right" w:pos="9360"/>
      </w:tabs>
      <w:spacing w:before="0" w:after="0" w:line="240" w:lineRule="auto"/>
    </w:pPr>
  </w:style>
  <w:style w:type="character" w:customStyle="1" w:styleId="FooterChar">
    <w:name w:val="Footer Char"/>
    <w:basedOn w:val="DefaultParagraphFont"/>
    <w:link w:val="Footer"/>
    <w:uiPriority w:val="99"/>
    <w:rsid w:val="00E4576C"/>
    <w:rPr>
      <w:rFonts w:cs="Palatino Linotype"/>
      <w:kern w:val="0"/>
      <w14:ligatures w14:val="none"/>
    </w:rPr>
  </w:style>
  <w:style w:type="paragraph" w:customStyle="1" w:styleId="Normal-bullets">
    <w:name w:val="Normal - bullets"/>
    <w:basedOn w:val="Normal"/>
    <w:qFormat/>
    <w:rsid w:val="00B00F0F"/>
    <w:pPr>
      <w:numPr>
        <w:numId w:val="4"/>
      </w:numPr>
      <w:tabs>
        <w:tab w:val="left" w:pos="360"/>
      </w:tabs>
      <w:ind w:left="360"/>
    </w:pPr>
  </w:style>
  <w:style w:type="paragraph" w:customStyle="1" w:styleId="Normal-TableHead">
    <w:name w:val="Normal - Table Head"/>
    <w:basedOn w:val="Normal"/>
    <w:qFormat/>
    <w:rsid w:val="005720DC"/>
    <w:rPr>
      <w:b/>
    </w:rPr>
  </w:style>
  <w:style w:type="table" w:styleId="PlainTable5">
    <w:name w:val="Plain Table 5"/>
    <w:basedOn w:val="TableNormal"/>
    <w:uiPriority w:val="45"/>
    <w:rsid w:val="008D6A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6A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8D6A1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3C6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Colella-Yantosca, Lucia (EHS)</cp:lastModifiedBy>
  <cp:revision>12</cp:revision>
  <cp:lastPrinted>2026-02-26T21:16:00Z</cp:lastPrinted>
  <dcterms:created xsi:type="dcterms:W3CDTF">2026-03-06T19:18:00Z</dcterms:created>
  <dcterms:modified xsi:type="dcterms:W3CDTF">2026-03-09T17:26:00Z</dcterms:modified>
</cp:coreProperties>
</file>