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BA64E" w14:textId="77777777" w:rsidR="00347805" w:rsidRPr="00B3140B" w:rsidRDefault="000813F2" w:rsidP="00347805">
      <w:pPr>
        <w:rPr>
          <w:sz w:val="24"/>
          <w:szCs w:val="24"/>
        </w:rPr>
      </w:pPr>
      <w:r>
        <w:rPr>
          <w:sz w:val="24"/>
          <w:szCs w:val="24"/>
        </w:rPr>
        <w:t>January 2020</w:t>
      </w:r>
    </w:p>
    <w:p w14:paraId="0767D4F5" w14:textId="2382BA4C" w:rsidR="00347805" w:rsidRPr="00B3140B" w:rsidRDefault="000813F2" w:rsidP="00347805">
      <w:pPr>
        <w:rPr>
          <w:sz w:val="24"/>
          <w:szCs w:val="24"/>
        </w:rPr>
      </w:pPr>
      <w:r>
        <w:rPr>
          <w:sz w:val="24"/>
          <w:szCs w:val="24"/>
        </w:rPr>
        <w:t>Volume</w:t>
      </w:r>
      <w:r w:rsidR="001B636E">
        <w:rPr>
          <w:sz w:val="24"/>
          <w:szCs w:val="24"/>
        </w:rPr>
        <w:t xml:space="preserve"> </w:t>
      </w:r>
      <w:r w:rsidR="00BD4D19">
        <w:rPr>
          <w:sz w:val="24"/>
          <w:szCs w:val="24"/>
        </w:rPr>
        <w:t>10, Issue 1</w:t>
      </w:r>
    </w:p>
    <w:p w14:paraId="35616D95" w14:textId="77777777" w:rsidR="00347805" w:rsidRPr="001060AC" w:rsidRDefault="004F2033" w:rsidP="001060AC">
      <w:pPr>
        <w:spacing w:after="120"/>
        <w:jc w:val="center"/>
        <w:rPr>
          <w:b/>
          <w:sz w:val="28"/>
          <w:szCs w:val="28"/>
        </w:rPr>
      </w:pPr>
      <w:r w:rsidRPr="004F2033">
        <w:rPr>
          <w:b/>
          <w:sz w:val="28"/>
          <w:szCs w:val="28"/>
        </w:rPr>
        <w:t>The Prescriber E-Letter</w:t>
      </w:r>
    </w:p>
    <w:p w14:paraId="75B5B7E8" w14:textId="77777777" w:rsidR="000813F2" w:rsidRPr="002C2FD1" w:rsidRDefault="00347805" w:rsidP="001060AC">
      <w:pPr>
        <w:spacing w:after="120"/>
        <w:rPr>
          <w:sz w:val="22"/>
          <w:szCs w:val="22"/>
        </w:rPr>
      </w:pPr>
      <w:r w:rsidRPr="002C2FD1">
        <w:rPr>
          <w:sz w:val="22"/>
          <w:szCs w:val="22"/>
        </w:rPr>
        <w:t xml:space="preserve">The Prescriber E-Letter is designed to enhance the transparency and efficiency of the MassHealth drug prior authorization (PA) process and the MassHealth Drug List. </w:t>
      </w:r>
      <w:r w:rsidR="000813F2" w:rsidRPr="002C2FD1">
        <w:rPr>
          <w:sz w:val="22"/>
          <w:szCs w:val="22"/>
        </w:rPr>
        <w:t>Published biannually, e</w:t>
      </w:r>
      <w:r w:rsidRPr="002C2FD1">
        <w:rPr>
          <w:sz w:val="22"/>
          <w:szCs w:val="22"/>
        </w:rPr>
        <w:t>ach issue will highlight key clinical information and updates to the MassHealth Pharmacy Progra</w:t>
      </w:r>
      <w:r w:rsidR="001060AC" w:rsidRPr="002C2FD1">
        <w:rPr>
          <w:sz w:val="22"/>
          <w:szCs w:val="22"/>
        </w:rPr>
        <w:t>m and the MassHealth Drug List.</w:t>
      </w:r>
    </w:p>
    <w:p w14:paraId="575D23C2" w14:textId="77777777" w:rsidR="00347805" w:rsidRPr="002C2FD1" w:rsidRDefault="00347805" w:rsidP="001060AC">
      <w:pPr>
        <w:spacing w:after="360"/>
        <w:rPr>
          <w:sz w:val="22"/>
          <w:szCs w:val="22"/>
        </w:rPr>
      </w:pPr>
      <w:r w:rsidRPr="002C2FD1">
        <w:rPr>
          <w:sz w:val="22"/>
          <w:szCs w:val="22"/>
        </w:rPr>
        <w:t xml:space="preserve">The Prescriber E-Letter </w:t>
      </w:r>
      <w:r w:rsidR="000813F2" w:rsidRPr="002C2FD1">
        <w:rPr>
          <w:sz w:val="22"/>
          <w:szCs w:val="22"/>
        </w:rPr>
        <w:t>is</w:t>
      </w:r>
      <w:r w:rsidR="00876D30">
        <w:rPr>
          <w:sz w:val="22"/>
          <w:szCs w:val="22"/>
        </w:rPr>
        <w:t xml:space="preserve"> </w:t>
      </w:r>
      <w:r w:rsidR="000813F2" w:rsidRPr="002C2FD1">
        <w:rPr>
          <w:sz w:val="22"/>
          <w:szCs w:val="22"/>
        </w:rPr>
        <w:t>created</w:t>
      </w:r>
      <w:r w:rsidRPr="002C2FD1">
        <w:rPr>
          <w:sz w:val="22"/>
          <w:szCs w:val="22"/>
        </w:rPr>
        <w:t xml:space="preserve"> by the MassHealth Drug Utilization Review Program and the MassHealth Pharmacy Program.</w:t>
      </w:r>
    </w:p>
    <w:p w14:paraId="2B31B9A5" w14:textId="77777777" w:rsidR="00347805" w:rsidRPr="002C2FD1" w:rsidRDefault="00347805" w:rsidP="001060AC">
      <w:pPr>
        <w:pStyle w:val="Heading1"/>
        <w:spacing w:after="120"/>
        <w:rPr>
          <w:sz w:val="22"/>
          <w:szCs w:val="22"/>
        </w:rPr>
      </w:pPr>
      <w:r w:rsidRPr="002C2FD1">
        <w:rPr>
          <w:sz w:val="22"/>
          <w:szCs w:val="22"/>
        </w:rPr>
        <w:t>COBI (Concomitant Opioids and Benzodiazepines Initiative)</w:t>
      </w:r>
      <w:r w:rsidRPr="002C2FD1">
        <w:rPr>
          <w:sz w:val="22"/>
          <w:szCs w:val="22"/>
        </w:rPr>
        <w:tab/>
      </w:r>
      <w:r w:rsidRPr="002C2FD1">
        <w:rPr>
          <w:sz w:val="22"/>
          <w:szCs w:val="22"/>
        </w:rPr>
        <w:tab/>
      </w:r>
    </w:p>
    <w:p w14:paraId="2DABC58F" w14:textId="77777777" w:rsidR="00F60334" w:rsidRPr="002C2FD1" w:rsidRDefault="00347805" w:rsidP="001060AC">
      <w:pPr>
        <w:spacing w:after="120"/>
        <w:rPr>
          <w:sz w:val="22"/>
          <w:szCs w:val="22"/>
        </w:rPr>
      </w:pPr>
      <w:r w:rsidRPr="002C2FD1">
        <w:rPr>
          <w:sz w:val="22"/>
          <w:szCs w:val="22"/>
        </w:rPr>
        <w:t xml:space="preserve">Opioid analgesics are used to treat a variety of acute and chronic pain conditions; however, opioid-induced respiratory depression continues to be a public health concern in the Commonwealth of Massachusetts. </w:t>
      </w:r>
    </w:p>
    <w:p w14:paraId="31C6D7E4" w14:textId="77777777" w:rsidR="00F60334" w:rsidRPr="002C2FD1" w:rsidRDefault="00347805" w:rsidP="001060AC">
      <w:pPr>
        <w:spacing w:after="120"/>
        <w:rPr>
          <w:sz w:val="22"/>
          <w:szCs w:val="22"/>
        </w:rPr>
      </w:pPr>
      <w:r w:rsidRPr="002C2FD1">
        <w:rPr>
          <w:sz w:val="22"/>
          <w:szCs w:val="22"/>
        </w:rPr>
        <w:t>Benzodiazepines are used to treat a number of conditions</w:t>
      </w:r>
      <w:r w:rsidR="00F60334" w:rsidRPr="002C2FD1">
        <w:rPr>
          <w:sz w:val="22"/>
          <w:szCs w:val="22"/>
        </w:rPr>
        <w:t>,</w:t>
      </w:r>
      <w:r w:rsidRPr="002C2FD1">
        <w:rPr>
          <w:sz w:val="22"/>
          <w:szCs w:val="22"/>
        </w:rPr>
        <w:t xml:space="preserve"> including anxiety, panic disorder, alcohol withdrawal syndrome, seizures</w:t>
      </w:r>
      <w:r w:rsidR="00F60334" w:rsidRPr="002C2FD1">
        <w:rPr>
          <w:sz w:val="22"/>
          <w:szCs w:val="22"/>
        </w:rPr>
        <w:t>,</w:t>
      </w:r>
      <w:r w:rsidRPr="002C2FD1">
        <w:rPr>
          <w:sz w:val="22"/>
          <w:szCs w:val="22"/>
        </w:rPr>
        <w:t xml:space="preserve"> and skeletal muscle spasms. For these conditions, benzodiazepines are not recommended as first-line therapy or as monotherapy in consensus guidelines. Patients may be treated with opioids and benzodiazepines when pain conditions overlap with anxiety or muscle spasms; however, the concomitant use of these agents may increase patient’s risk of additive respiratory depression, impaired coordination with increased risk for falls, hospitalizations, intentional and unintentional overdose or injury. </w:t>
      </w:r>
    </w:p>
    <w:p w14:paraId="3455109C" w14:textId="77777777" w:rsidR="00347805" w:rsidRPr="002C2FD1" w:rsidRDefault="00347805" w:rsidP="001060AC">
      <w:pPr>
        <w:spacing w:after="120"/>
        <w:rPr>
          <w:sz w:val="22"/>
          <w:szCs w:val="22"/>
        </w:rPr>
      </w:pPr>
      <w:r w:rsidRPr="002C2FD1">
        <w:rPr>
          <w:sz w:val="22"/>
          <w:szCs w:val="22"/>
        </w:rPr>
        <w:t>To address this serious concern of overuse and associated risks of overdose, MassHealth implemented a PA requirement for the concomitant use of chronic benzodiazepines and opioids. The PA would apply to overlapping pharmacy claims for one or more benzodiazepine(s) and one or more opioid(s), for at least 60 days within a 90-day period. The MassHealth drug utilization review program will work with prescribers to facilitate a safe benzodiazepine reduction plan that will potentially lead to discontinuation. Emergency overrides will be available while awaiting completion of the PA process.</w:t>
      </w:r>
    </w:p>
    <w:p w14:paraId="3E6AEECA" w14:textId="77777777" w:rsidR="00347805" w:rsidRPr="002C2FD1" w:rsidRDefault="00347805" w:rsidP="002C2FD1">
      <w:pPr>
        <w:spacing w:after="360"/>
        <w:rPr>
          <w:sz w:val="22"/>
          <w:szCs w:val="22"/>
        </w:rPr>
      </w:pPr>
      <w:r w:rsidRPr="002C2FD1">
        <w:rPr>
          <w:sz w:val="22"/>
          <w:szCs w:val="22"/>
        </w:rPr>
        <w:t xml:space="preserve">The prior authorization process for concomitant opioids and benzodiazepines was implemented on </w:t>
      </w:r>
      <w:r w:rsidRPr="002C2FD1">
        <w:rPr>
          <w:b/>
          <w:sz w:val="22"/>
          <w:szCs w:val="22"/>
        </w:rPr>
        <w:t>November 25, 2019</w:t>
      </w:r>
      <w:r w:rsidRPr="002C2FD1">
        <w:rPr>
          <w:sz w:val="22"/>
          <w:szCs w:val="22"/>
        </w:rPr>
        <w:t>. The prior authorization does not include clobazam, rectal diazepam, and injectable/intranasal benzodiazepine formulations. This initiative does not include buprenorphine for medication-assisted treatment (MAT).</w:t>
      </w:r>
    </w:p>
    <w:p w14:paraId="2757851D" w14:textId="77777777" w:rsidR="00347805" w:rsidRPr="002C2FD1" w:rsidRDefault="00347805" w:rsidP="00D84EFF">
      <w:pPr>
        <w:pStyle w:val="Heading2"/>
        <w:rPr>
          <w:sz w:val="22"/>
          <w:szCs w:val="22"/>
        </w:rPr>
      </w:pPr>
      <w:r w:rsidRPr="002C2FD1">
        <w:rPr>
          <w:sz w:val="22"/>
          <w:szCs w:val="22"/>
        </w:rPr>
        <w:t>Concomitant Opioid and Benzodiazepine Polypharmacy PA Requirements</w:t>
      </w:r>
    </w:p>
    <w:p w14:paraId="639A792F" w14:textId="77777777" w:rsidR="00347805" w:rsidRPr="002C2FD1" w:rsidRDefault="00347805" w:rsidP="001060AC">
      <w:pPr>
        <w:spacing w:after="120"/>
        <w:rPr>
          <w:sz w:val="22"/>
          <w:szCs w:val="22"/>
        </w:rPr>
      </w:pPr>
      <w:r w:rsidRPr="002C2FD1">
        <w:rPr>
          <w:sz w:val="22"/>
          <w:szCs w:val="22"/>
        </w:rPr>
        <w:t>For all requests, individual drug PA criteria must be met first where applicable.</w:t>
      </w:r>
    </w:p>
    <w:p w14:paraId="3827DD23" w14:textId="77777777" w:rsidR="00347805" w:rsidRPr="002C2FD1" w:rsidRDefault="00347805" w:rsidP="00347805">
      <w:pPr>
        <w:rPr>
          <w:sz w:val="22"/>
          <w:szCs w:val="22"/>
        </w:rPr>
      </w:pPr>
      <w:r w:rsidRPr="002C2FD1">
        <w:rPr>
          <w:sz w:val="22"/>
          <w:szCs w:val="22"/>
        </w:rPr>
        <w:t>Documentation of the following:</w:t>
      </w:r>
    </w:p>
    <w:p w14:paraId="6C5B521E" w14:textId="77777777" w:rsidR="00347805" w:rsidRPr="002C2FD1" w:rsidRDefault="00347805" w:rsidP="00347805">
      <w:pPr>
        <w:pStyle w:val="ListParagraph"/>
        <w:numPr>
          <w:ilvl w:val="0"/>
          <w:numId w:val="1"/>
        </w:numPr>
        <w:rPr>
          <w:sz w:val="22"/>
          <w:szCs w:val="22"/>
        </w:rPr>
      </w:pPr>
      <w:r w:rsidRPr="002C2FD1">
        <w:rPr>
          <w:sz w:val="22"/>
          <w:szCs w:val="22"/>
        </w:rPr>
        <w:t>Appropriate diagnosis for the benzodiazepine; and</w:t>
      </w:r>
      <w:r w:rsidRPr="002C2FD1">
        <w:rPr>
          <w:sz w:val="22"/>
          <w:szCs w:val="22"/>
        </w:rPr>
        <w:tab/>
      </w:r>
    </w:p>
    <w:p w14:paraId="066A30E7" w14:textId="77777777" w:rsidR="00347805" w:rsidRPr="002C2FD1" w:rsidRDefault="00347805" w:rsidP="00347805">
      <w:pPr>
        <w:pStyle w:val="ListParagraph"/>
        <w:numPr>
          <w:ilvl w:val="0"/>
          <w:numId w:val="1"/>
        </w:numPr>
        <w:rPr>
          <w:sz w:val="22"/>
          <w:szCs w:val="22"/>
        </w:rPr>
      </w:pPr>
      <w:r w:rsidRPr="002C2FD1">
        <w:rPr>
          <w:sz w:val="22"/>
          <w:szCs w:val="22"/>
        </w:rPr>
        <w:t>Appropriate diagnosis for the opioid; and</w:t>
      </w:r>
    </w:p>
    <w:p w14:paraId="32E2C5E4" w14:textId="77777777" w:rsidR="00347805" w:rsidRPr="002C2FD1" w:rsidRDefault="00347805" w:rsidP="00347805">
      <w:pPr>
        <w:pStyle w:val="ListParagraph"/>
        <w:numPr>
          <w:ilvl w:val="0"/>
          <w:numId w:val="1"/>
        </w:numPr>
        <w:rPr>
          <w:sz w:val="22"/>
          <w:szCs w:val="22"/>
        </w:rPr>
      </w:pPr>
      <w:r w:rsidRPr="002C2FD1">
        <w:rPr>
          <w:sz w:val="22"/>
          <w:szCs w:val="22"/>
        </w:rPr>
        <w:t>One of the following:</w:t>
      </w:r>
    </w:p>
    <w:p w14:paraId="40CE899B" w14:textId="77777777" w:rsidR="00347805" w:rsidRPr="002C2FD1" w:rsidRDefault="00347805" w:rsidP="00347805">
      <w:pPr>
        <w:pStyle w:val="ListParagraph"/>
        <w:numPr>
          <w:ilvl w:val="0"/>
          <w:numId w:val="2"/>
        </w:numPr>
        <w:rPr>
          <w:sz w:val="22"/>
          <w:szCs w:val="22"/>
        </w:rPr>
      </w:pPr>
      <w:r w:rsidRPr="002C2FD1">
        <w:rPr>
          <w:sz w:val="22"/>
          <w:szCs w:val="22"/>
        </w:rPr>
        <w:t>If the benzodiazepine is being used for a psychiatric diagnosis, an inadequate response or adverse reaction to three antidepressants, or contraindication to all antidepressants; or</w:t>
      </w:r>
    </w:p>
    <w:p w14:paraId="4E81C79D" w14:textId="77777777" w:rsidR="00347805" w:rsidRPr="002C2FD1" w:rsidRDefault="00347805" w:rsidP="00347805">
      <w:pPr>
        <w:pStyle w:val="ListParagraph"/>
        <w:numPr>
          <w:ilvl w:val="0"/>
          <w:numId w:val="2"/>
        </w:numPr>
        <w:rPr>
          <w:sz w:val="22"/>
          <w:szCs w:val="22"/>
        </w:rPr>
      </w:pPr>
      <w:r w:rsidRPr="002C2FD1">
        <w:rPr>
          <w:sz w:val="22"/>
          <w:szCs w:val="22"/>
        </w:rPr>
        <w:t>If the benzodiazepine is being used for a musculoskeletal diagnosis, an inadequate response or adverse reaction to three skeletal muscle relaxants (</w:t>
      </w:r>
      <w:r w:rsidRPr="002C2FD1">
        <w:rPr>
          <w:i/>
          <w:sz w:val="22"/>
          <w:szCs w:val="22"/>
        </w:rPr>
        <w:t>e.g.,</w:t>
      </w:r>
      <w:r w:rsidRPr="002C2FD1">
        <w:rPr>
          <w:sz w:val="22"/>
          <w:szCs w:val="22"/>
        </w:rPr>
        <w:t xml:space="preserve"> cyclobenzaprine, chlorzoxazone, metaxalone, methocarbamol, orphenadrine), or a contraindication to all skeletal muscle relaxants; or</w:t>
      </w:r>
    </w:p>
    <w:p w14:paraId="63D3B6BD" w14:textId="77777777" w:rsidR="00347805" w:rsidRPr="002C2FD1" w:rsidRDefault="00347805" w:rsidP="00347805">
      <w:pPr>
        <w:pStyle w:val="ListParagraph"/>
        <w:numPr>
          <w:ilvl w:val="0"/>
          <w:numId w:val="2"/>
        </w:numPr>
        <w:rPr>
          <w:sz w:val="22"/>
          <w:szCs w:val="22"/>
        </w:rPr>
      </w:pPr>
      <w:r w:rsidRPr="002C2FD1">
        <w:rPr>
          <w:sz w:val="22"/>
          <w:szCs w:val="22"/>
        </w:rPr>
        <w:t>If the benzodiazepine is being used for a sleep disorder, an inadequate response or adverse reaction to three non-benzodiazepine sleep medications, or a contraindication to all non-benzodiazepine sleep medications; or</w:t>
      </w:r>
    </w:p>
    <w:p w14:paraId="4C164F4B" w14:textId="77777777" w:rsidR="00347805" w:rsidRPr="002C2FD1" w:rsidRDefault="00347805" w:rsidP="00347805">
      <w:pPr>
        <w:pStyle w:val="ListParagraph"/>
        <w:numPr>
          <w:ilvl w:val="0"/>
          <w:numId w:val="2"/>
        </w:numPr>
        <w:rPr>
          <w:sz w:val="22"/>
          <w:szCs w:val="22"/>
        </w:rPr>
      </w:pPr>
      <w:r w:rsidRPr="002C2FD1">
        <w:rPr>
          <w:sz w:val="22"/>
          <w:szCs w:val="22"/>
        </w:rPr>
        <w:t>If the benzodiazepine is being used for a seizure disorder, member is stable on a non-benzodiazepine anticonvulsant; or</w:t>
      </w:r>
    </w:p>
    <w:p w14:paraId="0EECD9E6" w14:textId="77777777" w:rsidR="00347805" w:rsidRPr="002C2FD1" w:rsidRDefault="00347805" w:rsidP="00347805">
      <w:pPr>
        <w:pStyle w:val="ListParagraph"/>
        <w:numPr>
          <w:ilvl w:val="0"/>
          <w:numId w:val="2"/>
        </w:numPr>
        <w:rPr>
          <w:sz w:val="22"/>
          <w:szCs w:val="22"/>
        </w:rPr>
      </w:pPr>
      <w:r w:rsidRPr="002C2FD1">
        <w:rPr>
          <w:sz w:val="22"/>
          <w:szCs w:val="22"/>
        </w:rPr>
        <w:t>Treatment plan to taper off or taper down from benzodiazepine therapy; or</w:t>
      </w:r>
    </w:p>
    <w:p w14:paraId="2F700461" w14:textId="77777777" w:rsidR="00347805" w:rsidRPr="002C2FD1" w:rsidRDefault="00347805" w:rsidP="00347805">
      <w:pPr>
        <w:pStyle w:val="ListParagraph"/>
        <w:numPr>
          <w:ilvl w:val="0"/>
          <w:numId w:val="2"/>
        </w:numPr>
        <w:rPr>
          <w:sz w:val="22"/>
          <w:szCs w:val="22"/>
        </w:rPr>
      </w:pPr>
      <w:r w:rsidRPr="002C2FD1">
        <w:rPr>
          <w:sz w:val="22"/>
          <w:szCs w:val="22"/>
        </w:rPr>
        <w:lastRenderedPageBreak/>
        <w:t>Treatment plan to taper off opioid therapy; or</w:t>
      </w:r>
    </w:p>
    <w:p w14:paraId="7764BD13" w14:textId="77777777" w:rsidR="00347805" w:rsidRPr="002C2FD1" w:rsidRDefault="00347805" w:rsidP="00347805">
      <w:pPr>
        <w:pStyle w:val="ListParagraph"/>
        <w:numPr>
          <w:ilvl w:val="0"/>
          <w:numId w:val="2"/>
        </w:numPr>
        <w:rPr>
          <w:sz w:val="22"/>
          <w:szCs w:val="22"/>
        </w:rPr>
      </w:pPr>
      <w:r w:rsidRPr="002C2FD1">
        <w:rPr>
          <w:sz w:val="22"/>
          <w:szCs w:val="22"/>
        </w:rPr>
        <w:t>Clinical rationale for the concomitant use of opioids and benzodiazepines; and</w:t>
      </w:r>
    </w:p>
    <w:p w14:paraId="6EB678D0" w14:textId="77777777" w:rsidR="00347805" w:rsidRPr="002C2FD1" w:rsidRDefault="00347805" w:rsidP="001060AC">
      <w:pPr>
        <w:pStyle w:val="ListParagraph"/>
        <w:numPr>
          <w:ilvl w:val="0"/>
          <w:numId w:val="1"/>
        </w:numPr>
        <w:spacing w:after="120"/>
        <w:rPr>
          <w:sz w:val="22"/>
          <w:szCs w:val="22"/>
        </w:rPr>
      </w:pPr>
      <w:r w:rsidRPr="002C2FD1">
        <w:rPr>
          <w:sz w:val="22"/>
          <w:szCs w:val="22"/>
        </w:rPr>
        <w:t>Member will be co-prescribed naloxone</w:t>
      </w:r>
    </w:p>
    <w:p w14:paraId="6945A797" w14:textId="77777777" w:rsidR="00347805" w:rsidRPr="002C2FD1" w:rsidRDefault="00347805" w:rsidP="001060AC">
      <w:pPr>
        <w:spacing w:after="120"/>
        <w:rPr>
          <w:sz w:val="22"/>
          <w:szCs w:val="22"/>
        </w:rPr>
      </w:pPr>
      <w:r w:rsidRPr="002C2FD1">
        <w:rPr>
          <w:sz w:val="22"/>
          <w:szCs w:val="22"/>
        </w:rPr>
        <w:t>Further information on the MassHealth Drug List and PA forms can be found at www.mass.gov/masshealth/pharmacy. Helpful resources for benzodiazepine and/or opioid tapers can be found online at:</w:t>
      </w:r>
    </w:p>
    <w:p w14:paraId="303B3894" w14:textId="77777777" w:rsidR="00347805" w:rsidRPr="002C2FD1" w:rsidRDefault="00347805" w:rsidP="00347805">
      <w:pPr>
        <w:rPr>
          <w:sz w:val="22"/>
          <w:szCs w:val="22"/>
        </w:rPr>
      </w:pPr>
      <w:r w:rsidRPr="002C2FD1">
        <w:rPr>
          <w:sz w:val="22"/>
          <w:szCs w:val="22"/>
        </w:rPr>
        <w:t>Benzodiazepine Education Resource</w:t>
      </w:r>
    </w:p>
    <w:p w14:paraId="6AF64EBE" w14:textId="77777777" w:rsidR="00347805" w:rsidRPr="002C2FD1" w:rsidRDefault="004F1E13" w:rsidP="001060AC">
      <w:pPr>
        <w:spacing w:after="120"/>
        <w:rPr>
          <w:sz w:val="22"/>
          <w:szCs w:val="22"/>
        </w:rPr>
      </w:pPr>
      <w:hyperlink r:id="rId9" w:history="1">
        <w:r w:rsidR="00347805" w:rsidRPr="002C2FD1">
          <w:rPr>
            <w:rStyle w:val="Hyperlink"/>
            <w:sz w:val="22"/>
            <w:szCs w:val="22"/>
          </w:rPr>
          <w:t>https://www.pbm.va.gov/PBM/AcademicDetailingService/Documents/Academic_Detailing_Educational_Material_Catalog/22_Benzodiazepine_Provider_AD_Educational_Guide_IB_10_928.pdf</w:t>
        </w:r>
      </w:hyperlink>
    </w:p>
    <w:p w14:paraId="0637CC15" w14:textId="77777777" w:rsidR="00347805" w:rsidRPr="002C2FD1" w:rsidRDefault="00347805" w:rsidP="00347805">
      <w:pPr>
        <w:rPr>
          <w:sz w:val="22"/>
          <w:szCs w:val="22"/>
        </w:rPr>
      </w:pPr>
      <w:r w:rsidRPr="002C2FD1">
        <w:rPr>
          <w:sz w:val="22"/>
          <w:szCs w:val="22"/>
        </w:rPr>
        <w:t>Opioid Taper Resource</w:t>
      </w:r>
    </w:p>
    <w:p w14:paraId="259CFB40" w14:textId="77777777" w:rsidR="00347805" w:rsidRPr="002C2FD1" w:rsidRDefault="004F1E13" w:rsidP="00D84EFF">
      <w:pPr>
        <w:spacing w:after="360"/>
        <w:rPr>
          <w:sz w:val="22"/>
          <w:szCs w:val="22"/>
        </w:rPr>
      </w:pPr>
      <w:hyperlink r:id="rId10" w:history="1">
        <w:r w:rsidR="00347805" w:rsidRPr="002C2FD1">
          <w:rPr>
            <w:rStyle w:val="Hyperlink"/>
            <w:sz w:val="22"/>
            <w:szCs w:val="22"/>
          </w:rPr>
          <w:t>https://www.pbm.va.gov/PBM/AcademicDetailingService/Documents/Academic_Detailing_Educational_Material_Catalog/52_Pain_Opioid_Taper_Tool_IB_10_939_P96820.pdf#</w:t>
        </w:r>
      </w:hyperlink>
    </w:p>
    <w:p w14:paraId="125F93E1" w14:textId="6931AD34" w:rsidR="00347805" w:rsidRPr="002C2FD1" w:rsidRDefault="00347805" w:rsidP="00D84EFF">
      <w:pPr>
        <w:pStyle w:val="Heading1"/>
        <w:spacing w:after="120"/>
        <w:rPr>
          <w:sz w:val="22"/>
          <w:szCs w:val="22"/>
        </w:rPr>
      </w:pPr>
      <w:proofErr w:type="spellStart"/>
      <w:r w:rsidRPr="002C2FD1">
        <w:rPr>
          <w:sz w:val="22"/>
          <w:szCs w:val="22"/>
        </w:rPr>
        <w:t>Suboxone</w:t>
      </w:r>
      <w:proofErr w:type="spellEnd"/>
      <w:r w:rsidRPr="002C2FD1">
        <w:rPr>
          <w:sz w:val="22"/>
          <w:szCs w:val="22"/>
        </w:rPr>
        <w:t xml:space="preserve"> (buprenorphine/naloxone film)</w:t>
      </w:r>
      <w:r w:rsidR="00876D30">
        <w:rPr>
          <w:sz w:val="22"/>
          <w:szCs w:val="22"/>
        </w:rPr>
        <w:t xml:space="preserve"> </w:t>
      </w:r>
    </w:p>
    <w:p w14:paraId="77B8D91B" w14:textId="5E324D22" w:rsidR="00347805" w:rsidRPr="002C2FD1" w:rsidRDefault="00347805" w:rsidP="001060AC">
      <w:pPr>
        <w:spacing w:after="120"/>
        <w:rPr>
          <w:sz w:val="22"/>
          <w:szCs w:val="22"/>
        </w:rPr>
      </w:pPr>
      <w:proofErr w:type="spellStart"/>
      <w:r w:rsidRPr="002C2FD1">
        <w:rPr>
          <w:sz w:val="22"/>
          <w:szCs w:val="22"/>
        </w:rPr>
        <w:t>Suboxone</w:t>
      </w:r>
      <w:proofErr w:type="spellEnd"/>
      <w:r w:rsidRPr="002C2FD1">
        <w:rPr>
          <w:sz w:val="22"/>
          <w:szCs w:val="22"/>
        </w:rPr>
        <w:t xml:space="preserve"> (buprenorphine/naloxone film) is Food and Drug Administration (FDA)-approved for the treatment of opioid dependence. Based on national guideline recommendations, </w:t>
      </w:r>
      <w:proofErr w:type="spellStart"/>
      <w:r w:rsidRPr="002C2FD1">
        <w:rPr>
          <w:sz w:val="22"/>
          <w:szCs w:val="22"/>
        </w:rPr>
        <w:t>Suboxone</w:t>
      </w:r>
      <w:proofErr w:type="spellEnd"/>
      <w:r w:rsidRPr="002C2FD1">
        <w:rPr>
          <w:sz w:val="22"/>
          <w:szCs w:val="22"/>
        </w:rPr>
        <w:t xml:space="preserve"> (buprenorphine/naloxone film) ≤24 mg/day will no longer require prior authorization for the maintenance treatment of opioid dependence. Please note that other buprenorphine products for the treatment of opioid dependence still require PA. Criteria must be met for equivalent doses of bupren</w:t>
      </w:r>
      <w:r w:rsidR="001060AC" w:rsidRPr="002C2FD1">
        <w:rPr>
          <w:sz w:val="22"/>
          <w:szCs w:val="22"/>
        </w:rPr>
        <w:t>orphine &gt;24 mg/day.</w:t>
      </w:r>
    </w:p>
    <w:p w14:paraId="096DCDC2" w14:textId="4AC5F42F" w:rsidR="00347805" w:rsidRPr="002C2FD1" w:rsidRDefault="00347805" w:rsidP="001060AC">
      <w:pPr>
        <w:spacing w:after="120"/>
        <w:rPr>
          <w:sz w:val="22"/>
          <w:szCs w:val="22"/>
        </w:rPr>
      </w:pPr>
      <w:r w:rsidRPr="002C2FD1">
        <w:rPr>
          <w:sz w:val="22"/>
          <w:szCs w:val="22"/>
        </w:rPr>
        <w:t xml:space="preserve">The removal for the prior authorization process for </w:t>
      </w:r>
      <w:proofErr w:type="spellStart"/>
      <w:r w:rsidRPr="002C2FD1">
        <w:rPr>
          <w:sz w:val="22"/>
          <w:szCs w:val="22"/>
        </w:rPr>
        <w:t>Suboxone</w:t>
      </w:r>
      <w:proofErr w:type="spellEnd"/>
      <w:r w:rsidRPr="002C2FD1">
        <w:rPr>
          <w:sz w:val="22"/>
          <w:szCs w:val="22"/>
        </w:rPr>
        <w:t xml:space="preserve"> (buprenorphine/naloxone film) ≤24 mg/day was implemented on July 15, 2019. The prior authorization status of other buprenorph</w:t>
      </w:r>
      <w:r w:rsidR="001060AC" w:rsidRPr="002C2FD1">
        <w:rPr>
          <w:sz w:val="22"/>
          <w:szCs w:val="22"/>
        </w:rPr>
        <w:t>ine products is outlined below.</w:t>
      </w:r>
    </w:p>
    <w:tbl>
      <w:tblPr>
        <w:tblStyle w:val="TableGrid"/>
        <w:tblW w:w="0" w:type="auto"/>
        <w:tblLook w:val="04A0" w:firstRow="1" w:lastRow="0" w:firstColumn="1" w:lastColumn="0" w:noHBand="0" w:noVBand="1"/>
        <w:tblDescription w:val="This table outlines the prior authorization status of other buprenorphine products."/>
      </w:tblPr>
      <w:tblGrid>
        <w:gridCol w:w="3192"/>
        <w:gridCol w:w="3192"/>
        <w:gridCol w:w="3192"/>
      </w:tblGrid>
      <w:tr w:rsidR="00347805" w:rsidRPr="002C2FD1" w14:paraId="5191A1B8" w14:textId="77777777" w:rsidTr="00347805">
        <w:trPr>
          <w:trHeight w:val="368"/>
          <w:tblHeader/>
        </w:trPr>
        <w:tc>
          <w:tcPr>
            <w:tcW w:w="3192" w:type="dxa"/>
            <w:shd w:val="clear" w:color="auto" w:fill="D9D9D9" w:themeFill="background1" w:themeFillShade="D9"/>
            <w:vAlign w:val="center"/>
          </w:tcPr>
          <w:p w14:paraId="547B4326" w14:textId="77777777" w:rsidR="00347805" w:rsidRPr="002C2FD1" w:rsidRDefault="00347805" w:rsidP="00347805">
            <w:pPr>
              <w:rPr>
                <w:sz w:val="22"/>
                <w:szCs w:val="22"/>
              </w:rPr>
            </w:pPr>
            <w:r w:rsidRPr="002C2FD1">
              <w:rPr>
                <w:sz w:val="22"/>
                <w:szCs w:val="22"/>
              </w:rPr>
              <w:t>Drug Generic Name</w:t>
            </w:r>
          </w:p>
        </w:tc>
        <w:tc>
          <w:tcPr>
            <w:tcW w:w="3192" w:type="dxa"/>
            <w:shd w:val="clear" w:color="auto" w:fill="D9D9D9" w:themeFill="background1" w:themeFillShade="D9"/>
            <w:vAlign w:val="center"/>
          </w:tcPr>
          <w:p w14:paraId="17CBE113" w14:textId="77777777" w:rsidR="00347805" w:rsidRPr="002C2FD1" w:rsidRDefault="00347805" w:rsidP="00347805">
            <w:pPr>
              <w:rPr>
                <w:sz w:val="22"/>
                <w:szCs w:val="22"/>
              </w:rPr>
            </w:pPr>
            <w:r w:rsidRPr="002C2FD1">
              <w:rPr>
                <w:sz w:val="22"/>
                <w:szCs w:val="22"/>
              </w:rPr>
              <w:t>Drug Brand Name</w:t>
            </w:r>
          </w:p>
        </w:tc>
        <w:tc>
          <w:tcPr>
            <w:tcW w:w="3192" w:type="dxa"/>
            <w:shd w:val="clear" w:color="auto" w:fill="D9D9D9" w:themeFill="background1" w:themeFillShade="D9"/>
            <w:vAlign w:val="center"/>
          </w:tcPr>
          <w:p w14:paraId="03864855" w14:textId="77777777" w:rsidR="00347805" w:rsidRPr="002C2FD1" w:rsidRDefault="00347805" w:rsidP="00347805">
            <w:pPr>
              <w:rPr>
                <w:sz w:val="22"/>
                <w:szCs w:val="22"/>
              </w:rPr>
            </w:pPr>
            <w:r w:rsidRPr="002C2FD1">
              <w:rPr>
                <w:sz w:val="22"/>
                <w:szCs w:val="22"/>
              </w:rPr>
              <w:t>PA Status</w:t>
            </w:r>
          </w:p>
        </w:tc>
      </w:tr>
      <w:tr w:rsidR="00347805" w:rsidRPr="002C2FD1" w14:paraId="49E7771D" w14:textId="77777777" w:rsidTr="00347805">
        <w:tc>
          <w:tcPr>
            <w:tcW w:w="3192" w:type="dxa"/>
          </w:tcPr>
          <w:p w14:paraId="5AF5FC90" w14:textId="77777777" w:rsidR="00347805" w:rsidRPr="002C2FD1" w:rsidRDefault="00347805" w:rsidP="005F5C1E">
            <w:pPr>
              <w:rPr>
                <w:sz w:val="22"/>
                <w:szCs w:val="22"/>
              </w:rPr>
            </w:pPr>
            <w:r w:rsidRPr="002C2FD1">
              <w:rPr>
                <w:sz w:val="22"/>
                <w:szCs w:val="22"/>
              </w:rPr>
              <w:t>Buprenorphine/naloxone buccal film</w:t>
            </w:r>
          </w:p>
        </w:tc>
        <w:tc>
          <w:tcPr>
            <w:tcW w:w="3192" w:type="dxa"/>
          </w:tcPr>
          <w:p w14:paraId="29E70FA8" w14:textId="273578F5" w:rsidR="00347805" w:rsidRPr="002C2FD1" w:rsidRDefault="00347805" w:rsidP="005F5C1E">
            <w:pPr>
              <w:rPr>
                <w:sz w:val="22"/>
                <w:szCs w:val="22"/>
              </w:rPr>
            </w:pPr>
            <w:proofErr w:type="spellStart"/>
            <w:r w:rsidRPr="002C2FD1">
              <w:rPr>
                <w:sz w:val="22"/>
                <w:szCs w:val="22"/>
              </w:rPr>
              <w:t>Bunavail</w:t>
            </w:r>
            <w:proofErr w:type="spellEnd"/>
          </w:p>
        </w:tc>
        <w:tc>
          <w:tcPr>
            <w:tcW w:w="3192" w:type="dxa"/>
          </w:tcPr>
          <w:p w14:paraId="205076BA" w14:textId="77777777" w:rsidR="00347805" w:rsidRPr="002C2FD1" w:rsidRDefault="00347805" w:rsidP="005F5C1E">
            <w:pPr>
              <w:rPr>
                <w:sz w:val="22"/>
                <w:szCs w:val="22"/>
              </w:rPr>
            </w:pPr>
            <w:r w:rsidRPr="002C2FD1">
              <w:rPr>
                <w:sz w:val="22"/>
                <w:szCs w:val="22"/>
              </w:rPr>
              <w:t>PA</w:t>
            </w:r>
          </w:p>
        </w:tc>
      </w:tr>
      <w:tr w:rsidR="00347805" w:rsidRPr="002C2FD1" w14:paraId="75279261" w14:textId="77777777" w:rsidTr="00347805">
        <w:tc>
          <w:tcPr>
            <w:tcW w:w="3192" w:type="dxa"/>
          </w:tcPr>
          <w:p w14:paraId="4FD1808E" w14:textId="77777777" w:rsidR="00347805" w:rsidRPr="002C2FD1" w:rsidRDefault="00347805" w:rsidP="005F5C1E">
            <w:pPr>
              <w:rPr>
                <w:sz w:val="22"/>
                <w:szCs w:val="22"/>
              </w:rPr>
            </w:pPr>
            <w:r w:rsidRPr="002C2FD1">
              <w:rPr>
                <w:sz w:val="22"/>
                <w:szCs w:val="22"/>
              </w:rPr>
              <w:t>Buprenorphine/naloxone film</w:t>
            </w:r>
          </w:p>
        </w:tc>
        <w:tc>
          <w:tcPr>
            <w:tcW w:w="3192" w:type="dxa"/>
          </w:tcPr>
          <w:p w14:paraId="333DAC71" w14:textId="7F8EFCFA" w:rsidR="00347805" w:rsidRPr="002C2FD1" w:rsidRDefault="00347805" w:rsidP="005F5C1E">
            <w:pPr>
              <w:rPr>
                <w:sz w:val="22"/>
                <w:szCs w:val="22"/>
              </w:rPr>
            </w:pPr>
            <w:proofErr w:type="spellStart"/>
            <w:r w:rsidRPr="002C2FD1">
              <w:rPr>
                <w:sz w:val="22"/>
                <w:szCs w:val="22"/>
              </w:rPr>
              <w:t>Suboxone</w:t>
            </w:r>
            <w:proofErr w:type="spellEnd"/>
            <w:r w:rsidR="00BD4D19">
              <w:rPr>
                <w:sz w:val="22"/>
                <w:szCs w:val="22"/>
                <w:vertAlign w:val="superscript"/>
              </w:rPr>
              <w:t xml:space="preserve"> </w:t>
            </w:r>
            <w:r w:rsidRPr="002C2FD1">
              <w:rPr>
                <w:sz w:val="22"/>
                <w:szCs w:val="22"/>
              </w:rPr>
              <w:t>BP, PD</w:t>
            </w:r>
          </w:p>
        </w:tc>
        <w:tc>
          <w:tcPr>
            <w:tcW w:w="3192" w:type="dxa"/>
          </w:tcPr>
          <w:p w14:paraId="600D3142" w14:textId="77777777" w:rsidR="00347805" w:rsidRPr="002C2FD1" w:rsidRDefault="00347805" w:rsidP="005F5C1E">
            <w:pPr>
              <w:rPr>
                <w:sz w:val="22"/>
                <w:szCs w:val="22"/>
              </w:rPr>
            </w:pPr>
            <w:r w:rsidRPr="002C2FD1">
              <w:rPr>
                <w:sz w:val="22"/>
                <w:szCs w:val="22"/>
              </w:rPr>
              <w:t>PA for 90 days (&gt;24mg/day and ≤32 mg/day)</w:t>
            </w:r>
          </w:p>
        </w:tc>
      </w:tr>
      <w:tr w:rsidR="00347805" w:rsidRPr="002C2FD1" w14:paraId="14D21C7D" w14:textId="77777777" w:rsidTr="00347805">
        <w:tc>
          <w:tcPr>
            <w:tcW w:w="3192" w:type="dxa"/>
          </w:tcPr>
          <w:p w14:paraId="0A27988A" w14:textId="77777777" w:rsidR="00347805" w:rsidRPr="002C2FD1" w:rsidRDefault="00347805" w:rsidP="005F5C1E">
            <w:pPr>
              <w:rPr>
                <w:sz w:val="22"/>
                <w:szCs w:val="22"/>
              </w:rPr>
            </w:pPr>
            <w:r w:rsidRPr="002C2FD1">
              <w:rPr>
                <w:sz w:val="22"/>
                <w:szCs w:val="22"/>
              </w:rPr>
              <w:t>Buprenorphine/naloxone film</w:t>
            </w:r>
          </w:p>
        </w:tc>
        <w:tc>
          <w:tcPr>
            <w:tcW w:w="3192" w:type="dxa"/>
          </w:tcPr>
          <w:p w14:paraId="2C139F01" w14:textId="2B8C0A24" w:rsidR="00347805" w:rsidRPr="002C2FD1" w:rsidRDefault="00347805" w:rsidP="005F5C1E">
            <w:pPr>
              <w:rPr>
                <w:sz w:val="22"/>
                <w:szCs w:val="22"/>
              </w:rPr>
            </w:pPr>
            <w:proofErr w:type="spellStart"/>
            <w:r w:rsidRPr="002C2FD1">
              <w:rPr>
                <w:sz w:val="22"/>
                <w:szCs w:val="22"/>
              </w:rPr>
              <w:t>Suboxone</w:t>
            </w:r>
            <w:proofErr w:type="spellEnd"/>
            <w:r w:rsidRPr="002C2FD1">
              <w:rPr>
                <w:sz w:val="22"/>
                <w:szCs w:val="22"/>
              </w:rPr>
              <w:t xml:space="preserve"> BP, PD</w:t>
            </w:r>
          </w:p>
        </w:tc>
        <w:tc>
          <w:tcPr>
            <w:tcW w:w="3192" w:type="dxa"/>
          </w:tcPr>
          <w:p w14:paraId="07C7BE09" w14:textId="77777777" w:rsidR="00347805" w:rsidRPr="002C2FD1" w:rsidRDefault="00347805" w:rsidP="005F5C1E">
            <w:pPr>
              <w:rPr>
                <w:sz w:val="22"/>
                <w:szCs w:val="22"/>
              </w:rPr>
            </w:pPr>
            <w:r w:rsidRPr="002C2FD1">
              <w:rPr>
                <w:sz w:val="22"/>
                <w:szCs w:val="22"/>
              </w:rPr>
              <w:t>PA for &gt;32 mg/day</w:t>
            </w:r>
          </w:p>
        </w:tc>
      </w:tr>
      <w:tr w:rsidR="00347805" w:rsidRPr="002C2FD1" w14:paraId="226DD3C1" w14:textId="77777777" w:rsidTr="00347805">
        <w:tc>
          <w:tcPr>
            <w:tcW w:w="3192" w:type="dxa"/>
          </w:tcPr>
          <w:p w14:paraId="5B9BAA3F" w14:textId="77777777" w:rsidR="00347805" w:rsidRPr="002C2FD1" w:rsidRDefault="00347805" w:rsidP="005F5C1E">
            <w:pPr>
              <w:rPr>
                <w:sz w:val="22"/>
                <w:szCs w:val="22"/>
              </w:rPr>
            </w:pPr>
            <w:r w:rsidRPr="002C2FD1">
              <w:rPr>
                <w:sz w:val="22"/>
                <w:szCs w:val="22"/>
              </w:rPr>
              <w:t>Buprenorphine/naloxone film ≤24 mg/day</w:t>
            </w:r>
          </w:p>
        </w:tc>
        <w:tc>
          <w:tcPr>
            <w:tcW w:w="3192" w:type="dxa"/>
          </w:tcPr>
          <w:p w14:paraId="7DDF0D9F" w14:textId="366DE291" w:rsidR="00347805" w:rsidRPr="002C2FD1" w:rsidRDefault="00347805" w:rsidP="005F5C1E">
            <w:pPr>
              <w:rPr>
                <w:sz w:val="22"/>
                <w:szCs w:val="22"/>
              </w:rPr>
            </w:pPr>
            <w:proofErr w:type="spellStart"/>
            <w:r w:rsidRPr="002C2FD1">
              <w:rPr>
                <w:sz w:val="22"/>
                <w:szCs w:val="22"/>
              </w:rPr>
              <w:t>Suboxone</w:t>
            </w:r>
            <w:proofErr w:type="spellEnd"/>
            <w:r w:rsidRPr="002C2FD1">
              <w:rPr>
                <w:sz w:val="22"/>
                <w:szCs w:val="22"/>
              </w:rPr>
              <w:t xml:space="preserve"> BP, PD</w:t>
            </w:r>
          </w:p>
        </w:tc>
        <w:tc>
          <w:tcPr>
            <w:tcW w:w="3192" w:type="dxa"/>
          </w:tcPr>
          <w:p w14:paraId="711A8BB0" w14:textId="77777777" w:rsidR="00347805" w:rsidRPr="002C2FD1" w:rsidRDefault="00347805" w:rsidP="005F5C1E">
            <w:pPr>
              <w:rPr>
                <w:sz w:val="22"/>
                <w:szCs w:val="22"/>
              </w:rPr>
            </w:pPr>
          </w:p>
        </w:tc>
      </w:tr>
      <w:tr w:rsidR="00347805" w:rsidRPr="002C2FD1" w14:paraId="5B1B6734" w14:textId="77777777" w:rsidTr="00347805">
        <w:tc>
          <w:tcPr>
            <w:tcW w:w="3192" w:type="dxa"/>
          </w:tcPr>
          <w:p w14:paraId="6A614D7B" w14:textId="77777777" w:rsidR="00347805" w:rsidRPr="002C2FD1" w:rsidRDefault="00347805" w:rsidP="005F5C1E">
            <w:pPr>
              <w:rPr>
                <w:sz w:val="22"/>
                <w:szCs w:val="22"/>
              </w:rPr>
            </w:pPr>
            <w:r w:rsidRPr="002C2FD1">
              <w:rPr>
                <w:sz w:val="22"/>
                <w:szCs w:val="22"/>
              </w:rPr>
              <w:t>Buprenorphine/naloxone tablet</w:t>
            </w:r>
          </w:p>
        </w:tc>
        <w:tc>
          <w:tcPr>
            <w:tcW w:w="3192" w:type="dxa"/>
          </w:tcPr>
          <w:p w14:paraId="31E654A1" w14:textId="77777777" w:rsidR="00347805" w:rsidRPr="002C2FD1" w:rsidRDefault="00347805" w:rsidP="005F5C1E">
            <w:pPr>
              <w:rPr>
                <w:sz w:val="22"/>
                <w:szCs w:val="22"/>
              </w:rPr>
            </w:pPr>
          </w:p>
        </w:tc>
        <w:tc>
          <w:tcPr>
            <w:tcW w:w="3192" w:type="dxa"/>
          </w:tcPr>
          <w:p w14:paraId="6C49825F" w14:textId="77777777" w:rsidR="00347805" w:rsidRPr="002C2FD1" w:rsidRDefault="00347805" w:rsidP="005F5C1E">
            <w:pPr>
              <w:rPr>
                <w:sz w:val="22"/>
                <w:szCs w:val="22"/>
              </w:rPr>
            </w:pPr>
            <w:r w:rsidRPr="002C2FD1">
              <w:rPr>
                <w:sz w:val="22"/>
                <w:szCs w:val="22"/>
              </w:rPr>
              <w:t>PA</w:t>
            </w:r>
          </w:p>
        </w:tc>
      </w:tr>
      <w:tr w:rsidR="00347805" w:rsidRPr="002C2FD1" w14:paraId="0CD5B5B9" w14:textId="77777777" w:rsidTr="00347805">
        <w:tc>
          <w:tcPr>
            <w:tcW w:w="3192" w:type="dxa"/>
          </w:tcPr>
          <w:p w14:paraId="455316EC" w14:textId="35C58295" w:rsidR="00347805" w:rsidRPr="002C2FD1" w:rsidRDefault="00347805" w:rsidP="005F5C1E">
            <w:pPr>
              <w:rPr>
                <w:sz w:val="22"/>
                <w:szCs w:val="22"/>
              </w:rPr>
            </w:pPr>
            <w:r w:rsidRPr="002C2FD1">
              <w:rPr>
                <w:sz w:val="22"/>
                <w:szCs w:val="22"/>
              </w:rPr>
              <w:t>Buprenor</w:t>
            </w:r>
            <w:r w:rsidR="00BD4D19">
              <w:rPr>
                <w:sz w:val="22"/>
                <w:szCs w:val="22"/>
              </w:rPr>
              <w:t xml:space="preserve">phine/naloxone tablet - </w:t>
            </w:r>
            <w:proofErr w:type="spellStart"/>
            <w:r w:rsidR="00BD4D19">
              <w:rPr>
                <w:sz w:val="22"/>
                <w:szCs w:val="22"/>
              </w:rPr>
              <w:t>Zubsolv</w:t>
            </w:r>
            <w:proofErr w:type="spellEnd"/>
          </w:p>
        </w:tc>
        <w:tc>
          <w:tcPr>
            <w:tcW w:w="3192" w:type="dxa"/>
          </w:tcPr>
          <w:p w14:paraId="1FA33E31" w14:textId="3099A633" w:rsidR="00347805" w:rsidRPr="002C2FD1" w:rsidRDefault="00347805" w:rsidP="005F5C1E">
            <w:pPr>
              <w:rPr>
                <w:sz w:val="22"/>
                <w:szCs w:val="22"/>
              </w:rPr>
            </w:pPr>
            <w:proofErr w:type="spellStart"/>
            <w:r w:rsidRPr="002C2FD1">
              <w:rPr>
                <w:sz w:val="22"/>
                <w:szCs w:val="22"/>
              </w:rPr>
              <w:t>Zubsolv</w:t>
            </w:r>
            <w:proofErr w:type="spellEnd"/>
          </w:p>
        </w:tc>
        <w:tc>
          <w:tcPr>
            <w:tcW w:w="3192" w:type="dxa"/>
          </w:tcPr>
          <w:p w14:paraId="5495AB33" w14:textId="77777777" w:rsidR="00347805" w:rsidRPr="002C2FD1" w:rsidRDefault="00347805" w:rsidP="005F5C1E">
            <w:pPr>
              <w:rPr>
                <w:sz w:val="22"/>
                <w:szCs w:val="22"/>
              </w:rPr>
            </w:pPr>
            <w:r w:rsidRPr="002C2FD1">
              <w:rPr>
                <w:sz w:val="22"/>
                <w:szCs w:val="22"/>
              </w:rPr>
              <w:t>PA</w:t>
            </w:r>
          </w:p>
        </w:tc>
      </w:tr>
      <w:tr w:rsidR="00347805" w:rsidRPr="002C2FD1" w14:paraId="2201C51B" w14:textId="77777777" w:rsidTr="00347805">
        <w:tc>
          <w:tcPr>
            <w:tcW w:w="3192" w:type="dxa"/>
          </w:tcPr>
          <w:p w14:paraId="7DA926C9" w14:textId="77777777" w:rsidR="00347805" w:rsidRPr="002C2FD1" w:rsidRDefault="00347805" w:rsidP="005F5C1E">
            <w:pPr>
              <w:rPr>
                <w:sz w:val="22"/>
                <w:szCs w:val="22"/>
              </w:rPr>
            </w:pPr>
            <w:r w:rsidRPr="002C2FD1">
              <w:rPr>
                <w:sz w:val="22"/>
                <w:szCs w:val="22"/>
              </w:rPr>
              <w:t>Buprenorphine extended-release injection</w:t>
            </w:r>
          </w:p>
        </w:tc>
        <w:tc>
          <w:tcPr>
            <w:tcW w:w="3192" w:type="dxa"/>
          </w:tcPr>
          <w:p w14:paraId="5D41F025" w14:textId="1189BDFC" w:rsidR="00347805" w:rsidRPr="002C2FD1" w:rsidRDefault="00347805" w:rsidP="005F5C1E">
            <w:pPr>
              <w:rPr>
                <w:sz w:val="22"/>
                <w:szCs w:val="22"/>
              </w:rPr>
            </w:pPr>
            <w:proofErr w:type="spellStart"/>
            <w:r w:rsidRPr="002C2FD1">
              <w:rPr>
                <w:sz w:val="22"/>
                <w:szCs w:val="22"/>
              </w:rPr>
              <w:t>Sublocade</w:t>
            </w:r>
            <w:proofErr w:type="spellEnd"/>
          </w:p>
        </w:tc>
        <w:tc>
          <w:tcPr>
            <w:tcW w:w="3192" w:type="dxa"/>
          </w:tcPr>
          <w:p w14:paraId="45A6907C" w14:textId="77777777" w:rsidR="00347805" w:rsidRPr="002C2FD1" w:rsidRDefault="00347805" w:rsidP="005F5C1E">
            <w:pPr>
              <w:rPr>
                <w:sz w:val="22"/>
                <w:szCs w:val="22"/>
              </w:rPr>
            </w:pPr>
            <w:r w:rsidRPr="002C2FD1">
              <w:rPr>
                <w:sz w:val="22"/>
                <w:szCs w:val="22"/>
              </w:rPr>
              <w:t>PA</w:t>
            </w:r>
          </w:p>
        </w:tc>
      </w:tr>
      <w:tr w:rsidR="00347805" w:rsidRPr="002C2FD1" w14:paraId="53944EB9" w14:textId="77777777" w:rsidTr="00347805">
        <w:tc>
          <w:tcPr>
            <w:tcW w:w="3192" w:type="dxa"/>
          </w:tcPr>
          <w:p w14:paraId="38F37167" w14:textId="77777777" w:rsidR="00347805" w:rsidRPr="002C2FD1" w:rsidRDefault="00347805" w:rsidP="005F5C1E">
            <w:pPr>
              <w:rPr>
                <w:sz w:val="22"/>
                <w:szCs w:val="22"/>
              </w:rPr>
            </w:pPr>
            <w:r w:rsidRPr="002C2FD1">
              <w:rPr>
                <w:sz w:val="22"/>
                <w:szCs w:val="22"/>
              </w:rPr>
              <w:t>Buprenorphine implant</w:t>
            </w:r>
          </w:p>
        </w:tc>
        <w:tc>
          <w:tcPr>
            <w:tcW w:w="3192" w:type="dxa"/>
          </w:tcPr>
          <w:p w14:paraId="6E525907" w14:textId="6C4A1CA6" w:rsidR="00347805" w:rsidRPr="002C2FD1" w:rsidRDefault="00347805" w:rsidP="005F5C1E">
            <w:pPr>
              <w:rPr>
                <w:sz w:val="22"/>
                <w:szCs w:val="22"/>
              </w:rPr>
            </w:pPr>
            <w:proofErr w:type="spellStart"/>
            <w:r w:rsidRPr="002C2FD1">
              <w:rPr>
                <w:sz w:val="22"/>
                <w:szCs w:val="22"/>
              </w:rPr>
              <w:t>Probuphine</w:t>
            </w:r>
            <w:proofErr w:type="spellEnd"/>
          </w:p>
        </w:tc>
        <w:tc>
          <w:tcPr>
            <w:tcW w:w="3192" w:type="dxa"/>
          </w:tcPr>
          <w:p w14:paraId="682E4EDC" w14:textId="77777777" w:rsidR="00347805" w:rsidRPr="002C2FD1" w:rsidRDefault="00347805" w:rsidP="005F5C1E">
            <w:pPr>
              <w:rPr>
                <w:sz w:val="22"/>
                <w:szCs w:val="22"/>
              </w:rPr>
            </w:pPr>
            <w:r w:rsidRPr="002C2FD1">
              <w:rPr>
                <w:sz w:val="22"/>
                <w:szCs w:val="22"/>
              </w:rPr>
              <w:t>PA</w:t>
            </w:r>
          </w:p>
        </w:tc>
      </w:tr>
      <w:tr w:rsidR="00347805" w:rsidRPr="002C2FD1" w14:paraId="10E091A6" w14:textId="77777777" w:rsidTr="00347805">
        <w:tc>
          <w:tcPr>
            <w:tcW w:w="3192" w:type="dxa"/>
          </w:tcPr>
          <w:p w14:paraId="7B9CF242" w14:textId="77777777" w:rsidR="00347805" w:rsidRPr="002C2FD1" w:rsidRDefault="00347805" w:rsidP="005F5C1E">
            <w:pPr>
              <w:rPr>
                <w:sz w:val="22"/>
                <w:szCs w:val="22"/>
              </w:rPr>
            </w:pPr>
            <w:r w:rsidRPr="002C2FD1">
              <w:rPr>
                <w:sz w:val="22"/>
                <w:szCs w:val="22"/>
              </w:rPr>
              <w:t>Buprenorphine tablet</w:t>
            </w:r>
          </w:p>
        </w:tc>
        <w:tc>
          <w:tcPr>
            <w:tcW w:w="3192" w:type="dxa"/>
          </w:tcPr>
          <w:p w14:paraId="4F06D320" w14:textId="77777777" w:rsidR="00347805" w:rsidRPr="002C2FD1" w:rsidRDefault="00347805" w:rsidP="005F5C1E">
            <w:pPr>
              <w:rPr>
                <w:sz w:val="22"/>
                <w:szCs w:val="22"/>
              </w:rPr>
            </w:pPr>
          </w:p>
        </w:tc>
        <w:tc>
          <w:tcPr>
            <w:tcW w:w="3192" w:type="dxa"/>
          </w:tcPr>
          <w:p w14:paraId="53DE43EC" w14:textId="77777777" w:rsidR="00347805" w:rsidRPr="002C2FD1" w:rsidRDefault="00347805" w:rsidP="005F5C1E">
            <w:pPr>
              <w:rPr>
                <w:sz w:val="22"/>
                <w:szCs w:val="22"/>
              </w:rPr>
            </w:pPr>
            <w:r w:rsidRPr="002C2FD1">
              <w:rPr>
                <w:sz w:val="22"/>
                <w:szCs w:val="22"/>
              </w:rPr>
              <w:t>PA</w:t>
            </w:r>
          </w:p>
        </w:tc>
      </w:tr>
    </w:tbl>
    <w:p w14:paraId="124049C6" w14:textId="77777777" w:rsidR="00347805" w:rsidRPr="00097015" w:rsidRDefault="00347805" w:rsidP="00347805">
      <w:pPr>
        <w:rPr>
          <w:sz w:val="18"/>
          <w:szCs w:val="18"/>
        </w:rPr>
      </w:pPr>
      <w:r w:rsidRPr="00097015">
        <w:rPr>
          <w:sz w:val="18"/>
          <w:szCs w:val="18"/>
          <w:vertAlign w:val="superscript"/>
        </w:rPr>
        <w:t xml:space="preserve">BP </w:t>
      </w:r>
      <w:r w:rsidRPr="00097015">
        <w:rPr>
          <w:sz w:val="18"/>
          <w:szCs w:val="18"/>
        </w:rPr>
        <w:t>Brand Preferred over generic equivalents. In general, MassHealth requires a trial of the preferred drug or clinical rationale for prescribing the non-preferred drug generic equivalent.</w:t>
      </w:r>
    </w:p>
    <w:p w14:paraId="475AFACF" w14:textId="77777777" w:rsidR="00347805" w:rsidRPr="00097015" w:rsidRDefault="00347805" w:rsidP="00097015">
      <w:pPr>
        <w:spacing w:after="240"/>
        <w:rPr>
          <w:sz w:val="18"/>
          <w:szCs w:val="18"/>
        </w:rPr>
      </w:pPr>
      <w:r w:rsidRPr="00097015">
        <w:rPr>
          <w:sz w:val="18"/>
          <w:szCs w:val="18"/>
          <w:vertAlign w:val="superscript"/>
        </w:rPr>
        <w:t xml:space="preserve">PD </w:t>
      </w:r>
      <w:r w:rsidRPr="00097015">
        <w:rPr>
          <w:sz w:val="18"/>
          <w:szCs w:val="18"/>
        </w:rPr>
        <w:t>Preferred Drug. In general, MassHealth requires a trial of the preferred drug or clinical rationale for prescribing a non-preferred drug within a therapeutic class.</w:t>
      </w:r>
    </w:p>
    <w:p w14:paraId="0854B4CA" w14:textId="77777777" w:rsidR="00347805" w:rsidRPr="00097015" w:rsidRDefault="00347805" w:rsidP="001060AC">
      <w:pPr>
        <w:pStyle w:val="Heading1"/>
        <w:spacing w:after="120"/>
        <w:rPr>
          <w:sz w:val="22"/>
          <w:szCs w:val="22"/>
        </w:rPr>
      </w:pPr>
      <w:r w:rsidRPr="00097015">
        <w:rPr>
          <w:sz w:val="22"/>
          <w:szCs w:val="22"/>
        </w:rPr>
        <w:t>Tramadol High-Dose Limit</w:t>
      </w:r>
    </w:p>
    <w:p w14:paraId="34A857D7" w14:textId="77777777" w:rsidR="001F5FED" w:rsidRPr="00097015" w:rsidRDefault="00347805" w:rsidP="001060AC">
      <w:pPr>
        <w:spacing w:after="120"/>
        <w:rPr>
          <w:sz w:val="22"/>
          <w:szCs w:val="22"/>
        </w:rPr>
      </w:pPr>
      <w:r w:rsidRPr="00097015">
        <w:rPr>
          <w:sz w:val="22"/>
          <w:szCs w:val="22"/>
        </w:rPr>
        <w:t xml:space="preserve">Tramadol is FDA-approved for the management of pain severe enough to require an opioid analgesic and for which alternative treatments are inadequate. The analgesic effect of tramadol is believed to be due to both to binding to µ-opioid receptors and weak inhibition of re-uptake of norepinephrine and serotonin. This makes the pharmacology of tramadol similar to opioids. Due to the potential risk for abuse, addiction, and overdose with tramadol, a </w:t>
      </w:r>
      <w:r w:rsidR="001F5FED" w:rsidRPr="00097015">
        <w:rPr>
          <w:sz w:val="22"/>
          <w:szCs w:val="22"/>
        </w:rPr>
        <w:t>high dose limit was developed.</w:t>
      </w:r>
    </w:p>
    <w:p w14:paraId="393E9E42" w14:textId="77777777" w:rsidR="00347805" w:rsidRPr="00097015" w:rsidRDefault="00347805" w:rsidP="001060AC">
      <w:pPr>
        <w:spacing w:after="240"/>
        <w:rPr>
          <w:sz w:val="22"/>
          <w:szCs w:val="22"/>
        </w:rPr>
      </w:pPr>
      <w:r w:rsidRPr="00097015">
        <w:rPr>
          <w:sz w:val="22"/>
          <w:szCs w:val="22"/>
        </w:rPr>
        <w:t>The high dose limit for tramadol was implemented on June 3, 2019. The prior authorization status of individual products is outlined below.</w:t>
      </w:r>
    </w:p>
    <w:tbl>
      <w:tblPr>
        <w:tblStyle w:val="TableGrid"/>
        <w:tblW w:w="0" w:type="auto"/>
        <w:tblLook w:val="04A0" w:firstRow="1" w:lastRow="0" w:firstColumn="1" w:lastColumn="0" w:noHBand="0" w:noVBand="1"/>
        <w:tblDescription w:val="This table outlines the prior authorization status of individual products."/>
      </w:tblPr>
      <w:tblGrid>
        <w:gridCol w:w="3792"/>
        <w:gridCol w:w="2892"/>
        <w:gridCol w:w="2892"/>
      </w:tblGrid>
      <w:tr w:rsidR="001F5FED" w:rsidRPr="00097015" w14:paraId="482FF9F2" w14:textId="77777777" w:rsidTr="00F30FEE">
        <w:trPr>
          <w:tblHeader/>
        </w:trPr>
        <w:tc>
          <w:tcPr>
            <w:tcW w:w="3792" w:type="dxa"/>
            <w:shd w:val="clear" w:color="auto" w:fill="D9D9D9" w:themeFill="background1" w:themeFillShade="D9"/>
          </w:tcPr>
          <w:p w14:paraId="324A2AEF" w14:textId="77777777" w:rsidR="001F5FED" w:rsidRPr="00097015" w:rsidRDefault="001F5FED" w:rsidP="001F5FED">
            <w:pPr>
              <w:rPr>
                <w:sz w:val="22"/>
                <w:szCs w:val="22"/>
              </w:rPr>
            </w:pPr>
            <w:r w:rsidRPr="00097015">
              <w:rPr>
                <w:sz w:val="22"/>
                <w:szCs w:val="22"/>
              </w:rPr>
              <w:lastRenderedPageBreak/>
              <w:t xml:space="preserve">Drug Generic Name </w:t>
            </w:r>
          </w:p>
        </w:tc>
        <w:tc>
          <w:tcPr>
            <w:tcW w:w="2892" w:type="dxa"/>
            <w:shd w:val="clear" w:color="auto" w:fill="D9D9D9" w:themeFill="background1" w:themeFillShade="D9"/>
          </w:tcPr>
          <w:p w14:paraId="625DEE4F" w14:textId="77777777" w:rsidR="001F5FED" w:rsidRPr="00097015" w:rsidRDefault="001F5FED" w:rsidP="00B04FA8">
            <w:pPr>
              <w:rPr>
                <w:sz w:val="22"/>
                <w:szCs w:val="22"/>
              </w:rPr>
            </w:pPr>
            <w:r w:rsidRPr="00097015">
              <w:rPr>
                <w:sz w:val="22"/>
                <w:szCs w:val="22"/>
              </w:rPr>
              <w:t>Drug Brand Name</w:t>
            </w:r>
          </w:p>
        </w:tc>
        <w:tc>
          <w:tcPr>
            <w:tcW w:w="2892" w:type="dxa"/>
            <w:shd w:val="clear" w:color="auto" w:fill="D9D9D9" w:themeFill="background1" w:themeFillShade="D9"/>
          </w:tcPr>
          <w:p w14:paraId="488C4496" w14:textId="77777777" w:rsidR="001F5FED" w:rsidRPr="00097015" w:rsidRDefault="001F5FED" w:rsidP="00B04FA8">
            <w:pPr>
              <w:rPr>
                <w:sz w:val="22"/>
                <w:szCs w:val="22"/>
              </w:rPr>
            </w:pPr>
            <w:r w:rsidRPr="00097015">
              <w:rPr>
                <w:sz w:val="22"/>
                <w:szCs w:val="22"/>
              </w:rPr>
              <w:t>PA Status</w:t>
            </w:r>
          </w:p>
        </w:tc>
      </w:tr>
      <w:tr w:rsidR="001F5FED" w:rsidRPr="00097015" w14:paraId="1766A81E" w14:textId="77777777" w:rsidTr="001F5FED">
        <w:tc>
          <w:tcPr>
            <w:tcW w:w="3792" w:type="dxa"/>
          </w:tcPr>
          <w:p w14:paraId="73948F61" w14:textId="77777777" w:rsidR="001F5FED" w:rsidRPr="00097015" w:rsidRDefault="001F5FED" w:rsidP="001F5FED">
            <w:pPr>
              <w:rPr>
                <w:sz w:val="22"/>
                <w:szCs w:val="22"/>
              </w:rPr>
            </w:pPr>
            <w:r w:rsidRPr="00097015">
              <w:rPr>
                <w:sz w:val="22"/>
                <w:szCs w:val="22"/>
              </w:rPr>
              <w:t xml:space="preserve">Tramadol </w:t>
            </w:r>
          </w:p>
        </w:tc>
        <w:tc>
          <w:tcPr>
            <w:tcW w:w="2892" w:type="dxa"/>
          </w:tcPr>
          <w:p w14:paraId="254D6D9B" w14:textId="752F5289" w:rsidR="001F5FED" w:rsidRPr="00097015" w:rsidRDefault="001F5FED" w:rsidP="00B04FA8">
            <w:pPr>
              <w:rPr>
                <w:sz w:val="22"/>
                <w:szCs w:val="22"/>
              </w:rPr>
            </w:pPr>
            <w:r w:rsidRPr="00097015">
              <w:rPr>
                <w:sz w:val="22"/>
                <w:szCs w:val="22"/>
              </w:rPr>
              <w:t>Ultram #</w:t>
            </w:r>
          </w:p>
        </w:tc>
        <w:tc>
          <w:tcPr>
            <w:tcW w:w="2892" w:type="dxa"/>
          </w:tcPr>
          <w:p w14:paraId="2672A668" w14:textId="77777777" w:rsidR="001F5FED" w:rsidRPr="00097015" w:rsidRDefault="001F5FED" w:rsidP="00B04FA8">
            <w:pPr>
              <w:rPr>
                <w:sz w:val="22"/>
                <w:szCs w:val="22"/>
              </w:rPr>
            </w:pPr>
            <w:r w:rsidRPr="00097015">
              <w:rPr>
                <w:sz w:val="22"/>
                <w:szCs w:val="22"/>
              </w:rPr>
              <w:t>PA for &lt;12 years and PA for &gt;400 mg/day</w:t>
            </w:r>
          </w:p>
        </w:tc>
      </w:tr>
      <w:tr w:rsidR="001F5FED" w:rsidRPr="00097015" w14:paraId="0E8EA39C" w14:textId="77777777" w:rsidTr="001F5FED">
        <w:tc>
          <w:tcPr>
            <w:tcW w:w="3792" w:type="dxa"/>
          </w:tcPr>
          <w:p w14:paraId="584C538D" w14:textId="77777777" w:rsidR="001F5FED" w:rsidRPr="00097015" w:rsidRDefault="001F5FED" w:rsidP="00B04FA8">
            <w:pPr>
              <w:rPr>
                <w:sz w:val="22"/>
                <w:szCs w:val="22"/>
              </w:rPr>
            </w:pPr>
            <w:r w:rsidRPr="00097015">
              <w:rPr>
                <w:sz w:val="22"/>
                <w:szCs w:val="22"/>
              </w:rPr>
              <w:t>Tramadol/</w:t>
            </w:r>
            <w:r w:rsidR="007B20F3" w:rsidRPr="00097015">
              <w:rPr>
                <w:sz w:val="22"/>
                <w:szCs w:val="22"/>
              </w:rPr>
              <w:t>Acetaminophen</w:t>
            </w:r>
          </w:p>
        </w:tc>
        <w:tc>
          <w:tcPr>
            <w:tcW w:w="2892" w:type="dxa"/>
          </w:tcPr>
          <w:p w14:paraId="032E1B19" w14:textId="337E4BC1" w:rsidR="001F5FED" w:rsidRPr="00097015" w:rsidRDefault="00F30FEE" w:rsidP="00B04FA8">
            <w:pPr>
              <w:rPr>
                <w:sz w:val="22"/>
                <w:szCs w:val="22"/>
              </w:rPr>
            </w:pPr>
            <w:proofErr w:type="spellStart"/>
            <w:r w:rsidRPr="00097015">
              <w:rPr>
                <w:sz w:val="22"/>
                <w:szCs w:val="22"/>
              </w:rPr>
              <w:t>Ultracet</w:t>
            </w:r>
            <w:proofErr w:type="spellEnd"/>
            <w:r w:rsidRPr="00097015">
              <w:rPr>
                <w:sz w:val="22"/>
                <w:szCs w:val="22"/>
              </w:rPr>
              <w:tab/>
            </w:r>
            <w:bookmarkStart w:id="0" w:name="_GoBack"/>
            <w:bookmarkEnd w:id="0"/>
          </w:p>
        </w:tc>
        <w:tc>
          <w:tcPr>
            <w:tcW w:w="2892" w:type="dxa"/>
          </w:tcPr>
          <w:p w14:paraId="1AD23D84" w14:textId="77777777" w:rsidR="001F5FED" w:rsidRPr="00097015" w:rsidRDefault="00F30FEE" w:rsidP="00B04FA8">
            <w:pPr>
              <w:rPr>
                <w:sz w:val="22"/>
                <w:szCs w:val="22"/>
              </w:rPr>
            </w:pPr>
            <w:r w:rsidRPr="00097015">
              <w:rPr>
                <w:sz w:val="22"/>
                <w:szCs w:val="22"/>
              </w:rPr>
              <w:t>PA</w:t>
            </w:r>
          </w:p>
        </w:tc>
      </w:tr>
    </w:tbl>
    <w:p w14:paraId="11275A10" w14:textId="77777777" w:rsidR="00347805" w:rsidRPr="00097015" w:rsidRDefault="00347805" w:rsidP="001060AC">
      <w:pPr>
        <w:spacing w:after="240"/>
        <w:rPr>
          <w:sz w:val="18"/>
          <w:szCs w:val="18"/>
        </w:rPr>
      </w:pPr>
      <w:r w:rsidRPr="00097015">
        <w:rPr>
          <w:sz w:val="18"/>
          <w:szCs w:val="18"/>
          <w:vertAlign w:val="superscript"/>
        </w:rPr>
        <w:t xml:space="preserve"># </w:t>
      </w:r>
      <w:r w:rsidRPr="00097015">
        <w:rPr>
          <w:sz w:val="18"/>
          <w:szCs w:val="18"/>
        </w:rPr>
        <w:t>This designates a brand-name drug with FDA “A”-rated generic equivalents. Prior authorization is required for the brand, unless a particular form of that drug (for example, tablet, capsule, or liquid) does not have an FDA “A”-rated generic equivalent.</w:t>
      </w:r>
    </w:p>
    <w:p w14:paraId="2DB6C8BE" w14:textId="77777777" w:rsidR="00347805" w:rsidRPr="00097015" w:rsidRDefault="00347805" w:rsidP="00D84EFF">
      <w:pPr>
        <w:pStyle w:val="Heading2"/>
        <w:rPr>
          <w:sz w:val="22"/>
          <w:szCs w:val="22"/>
        </w:rPr>
      </w:pPr>
      <w:r w:rsidRPr="00097015">
        <w:rPr>
          <w:sz w:val="22"/>
          <w:szCs w:val="22"/>
        </w:rPr>
        <w:t>High-Dose Tramadol PA Requirements</w:t>
      </w:r>
    </w:p>
    <w:p w14:paraId="583FEBF3" w14:textId="77777777" w:rsidR="00347805" w:rsidRPr="00097015" w:rsidRDefault="00347805" w:rsidP="00347805">
      <w:pPr>
        <w:rPr>
          <w:sz w:val="22"/>
          <w:szCs w:val="22"/>
        </w:rPr>
      </w:pPr>
      <w:r w:rsidRPr="00097015">
        <w:rPr>
          <w:sz w:val="22"/>
          <w:szCs w:val="22"/>
        </w:rPr>
        <w:t>Prescribers requesting tramadol products at doses &gt;400 mg/day are required to document the following:</w:t>
      </w:r>
    </w:p>
    <w:p w14:paraId="274BBBB2" w14:textId="77777777" w:rsidR="00347805" w:rsidRPr="00097015" w:rsidRDefault="00347805" w:rsidP="004F2033">
      <w:pPr>
        <w:pStyle w:val="ListParagraph"/>
        <w:numPr>
          <w:ilvl w:val="0"/>
          <w:numId w:val="3"/>
        </w:numPr>
        <w:rPr>
          <w:sz w:val="22"/>
          <w:szCs w:val="22"/>
        </w:rPr>
      </w:pPr>
      <w:r w:rsidRPr="00097015">
        <w:rPr>
          <w:sz w:val="22"/>
          <w:szCs w:val="22"/>
        </w:rPr>
        <w:t>Appropriate diagnosis</w:t>
      </w:r>
    </w:p>
    <w:p w14:paraId="1F6C5D27" w14:textId="77777777" w:rsidR="00347805" w:rsidRPr="00097015" w:rsidRDefault="00347805" w:rsidP="004F2033">
      <w:pPr>
        <w:pStyle w:val="ListParagraph"/>
        <w:numPr>
          <w:ilvl w:val="0"/>
          <w:numId w:val="3"/>
        </w:numPr>
        <w:rPr>
          <w:sz w:val="22"/>
          <w:szCs w:val="22"/>
        </w:rPr>
      </w:pPr>
      <w:r w:rsidRPr="00097015">
        <w:rPr>
          <w:sz w:val="22"/>
          <w:szCs w:val="22"/>
        </w:rPr>
        <w:t>Individual drug PA criteria must be met first, when applicable</w:t>
      </w:r>
    </w:p>
    <w:p w14:paraId="1B3E7192" w14:textId="77777777" w:rsidR="00347805" w:rsidRPr="00097015" w:rsidRDefault="00347805" w:rsidP="004F2033">
      <w:pPr>
        <w:pStyle w:val="ListParagraph"/>
        <w:numPr>
          <w:ilvl w:val="0"/>
          <w:numId w:val="3"/>
        </w:numPr>
        <w:rPr>
          <w:sz w:val="22"/>
          <w:szCs w:val="22"/>
        </w:rPr>
      </w:pPr>
      <w:r w:rsidRPr="00097015">
        <w:rPr>
          <w:sz w:val="22"/>
          <w:szCs w:val="22"/>
        </w:rPr>
        <w:t>Medical records documenting treatment plan, including clinical rationale for high dose and titration of medication up to current dose</w:t>
      </w:r>
    </w:p>
    <w:p w14:paraId="45979DB2" w14:textId="77777777" w:rsidR="00347805" w:rsidRPr="00097015" w:rsidRDefault="00347805" w:rsidP="004F2033">
      <w:pPr>
        <w:pStyle w:val="ListParagraph"/>
        <w:numPr>
          <w:ilvl w:val="0"/>
          <w:numId w:val="3"/>
        </w:numPr>
        <w:rPr>
          <w:sz w:val="22"/>
          <w:szCs w:val="22"/>
        </w:rPr>
      </w:pPr>
      <w:r w:rsidRPr="00097015">
        <w:rPr>
          <w:sz w:val="22"/>
          <w:szCs w:val="22"/>
        </w:rPr>
        <w:t>Pain consult from a pain specialist supporting the high dose requested</w:t>
      </w:r>
    </w:p>
    <w:p w14:paraId="64897D38" w14:textId="77777777" w:rsidR="00347805" w:rsidRPr="00097015" w:rsidRDefault="00347805" w:rsidP="004F2033">
      <w:pPr>
        <w:pStyle w:val="ListParagraph"/>
        <w:numPr>
          <w:ilvl w:val="0"/>
          <w:numId w:val="3"/>
        </w:numPr>
        <w:rPr>
          <w:sz w:val="22"/>
          <w:szCs w:val="22"/>
        </w:rPr>
      </w:pPr>
      <w:r w:rsidRPr="00097015">
        <w:rPr>
          <w:sz w:val="22"/>
          <w:szCs w:val="22"/>
        </w:rPr>
        <w:t>If using as monotherapy, clinical rationale for not utilizing a long-acting agent in a member requiring short-acting opioid therapy for the treatment of chronic pain</w:t>
      </w:r>
    </w:p>
    <w:p w14:paraId="0995B918" w14:textId="77777777" w:rsidR="00B3140B" w:rsidRPr="00097015" w:rsidRDefault="00347805" w:rsidP="00D84EFF">
      <w:pPr>
        <w:pStyle w:val="ListParagraph"/>
        <w:numPr>
          <w:ilvl w:val="0"/>
          <w:numId w:val="3"/>
        </w:numPr>
        <w:spacing w:after="600"/>
        <w:rPr>
          <w:sz w:val="22"/>
          <w:szCs w:val="22"/>
        </w:rPr>
      </w:pPr>
      <w:r w:rsidRPr="00097015">
        <w:rPr>
          <w:sz w:val="22"/>
          <w:szCs w:val="22"/>
        </w:rPr>
        <w:t>Signed and dated patient-provider agreement for opioid use</w:t>
      </w:r>
    </w:p>
    <w:p w14:paraId="4FEA88D6" w14:textId="77777777" w:rsidR="00B3140B" w:rsidRPr="00097015" w:rsidRDefault="00B3140B" w:rsidP="00B3140B">
      <w:pPr>
        <w:pStyle w:val="Footer"/>
        <w:jc w:val="center"/>
        <w:rPr>
          <w:rFonts w:eastAsia="Times New Roman"/>
          <w:sz w:val="22"/>
          <w:szCs w:val="22"/>
        </w:rPr>
      </w:pPr>
      <w:r w:rsidRPr="00097015">
        <w:rPr>
          <w:rFonts w:eastAsia="Times New Roman"/>
          <w:b/>
          <w:bCs/>
          <w:sz w:val="22"/>
          <w:szCs w:val="22"/>
        </w:rPr>
        <w:t xml:space="preserve">Please send suggestions </w:t>
      </w:r>
      <w:r w:rsidR="002D4DCB" w:rsidRPr="00097015">
        <w:rPr>
          <w:rFonts w:eastAsia="Times New Roman"/>
          <w:b/>
          <w:bCs/>
          <w:sz w:val="22"/>
          <w:szCs w:val="22"/>
        </w:rPr>
        <w:t>and</w:t>
      </w:r>
      <w:r w:rsidRPr="00097015">
        <w:rPr>
          <w:rFonts w:eastAsia="Times New Roman"/>
          <w:b/>
          <w:bCs/>
          <w:sz w:val="22"/>
          <w:szCs w:val="22"/>
        </w:rPr>
        <w:t xml:space="preserve"> comments to:  PrescriberELetter@state.ma.us</w:t>
      </w:r>
    </w:p>
    <w:p w14:paraId="73905FA4" w14:textId="77777777" w:rsidR="00B3140B" w:rsidRPr="00B3140B" w:rsidRDefault="00B3140B">
      <w:pPr>
        <w:rPr>
          <w:sz w:val="24"/>
          <w:szCs w:val="24"/>
        </w:rPr>
      </w:pPr>
    </w:p>
    <w:sectPr w:rsidR="00B3140B" w:rsidRPr="00B3140B" w:rsidSect="00D84EFF">
      <w:type w:val="continuous"/>
      <w:pgSz w:w="12240" w:h="15840"/>
      <w:pgMar w:top="450" w:right="1440" w:bottom="1440" w:left="1440" w:header="180" w:footer="16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540729" w15:done="0"/>
  <w15:commentEx w15:paraId="4EC72B67" w15:done="0"/>
  <w15:commentEx w15:paraId="49A352BC" w15:done="0"/>
  <w15:commentEx w15:paraId="19A9E1E6" w15:done="0"/>
  <w15:commentEx w15:paraId="254BF8BE" w15:done="0"/>
  <w15:commentEx w15:paraId="6E924FBC" w15:done="0"/>
  <w15:commentEx w15:paraId="19AD5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540729" w16cid:durableId="21A4B1A6"/>
  <w16cid:commentId w16cid:paraId="4EC72B67" w16cid:durableId="21A4B30D"/>
  <w16cid:commentId w16cid:paraId="49A352BC" w16cid:durableId="21A4B1ED"/>
  <w16cid:commentId w16cid:paraId="19A9E1E6" w16cid:durableId="21A4B22F"/>
  <w16cid:commentId w16cid:paraId="254BF8BE" w16cid:durableId="21A4B244"/>
  <w16cid:commentId w16cid:paraId="6E924FBC" w16cid:durableId="21A4B24E"/>
  <w16cid:commentId w16cid:paraId="19AD5139" w16cid:durableId="21A4B2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8A032" w14:textId="77777777" w:rsidR="0046611B" w:rsidRDefault="0046611B" w:rsidP="00B3140B">
      <w:r>
        <w:separator/>
      </w:r>
    </w:p>
  </w:endnote>
  <w:endnote w:type="continuationSeparator" w:id="0">
    <w:p w14:paraId="2F6F2B66" w14:textId="77777777" w:rsidR="0046611B" w:rsidRDefault="0046611B" w:rsidP="00B31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0E0F9" w14:textId="77777777" w:rsidR="0046611B" w:rsidRDefault="0046611B" w:rsidP="00B3140B">
      <w:r>
        <w:separator/>
      </w:r>
    </w:p>
  </w:footnote>
  <w:footnote w:type="continuationSeparator" w:id="0">
    <w:p w14:paraId="718ECC6A" w14:textId="77777777" w:rsidR="0046611B" w:rsidRDefault="0046611B" w:rsidP="00B314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C49"/>
    <w:multiLevelType w:val="hybridMultilevel"/>
    <w:tmpl w:val="EE88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9B22CC"/>
    <w:multiLevelType w:val="hybridMultilevel"/>
    <w:tmpl w:val="58482862"/>
    <w:lvl w:ilvl="0" w:tplc="4A4EE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3054A8E"/>
    <w:multiLevelType w:val="hybridMultilevel"/>
    <w:tmpl w:val="EE887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ot, Alan">
    <w15:presenceInfo w15:providerId="AD" w15:userId="S::Alan.Gabot@umassmed.edu::edc81a46-54eb-41c8-b5b3-3f614d362b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805"/>
    <w:rsid w:val="000813F2"/>
    <w:rsid w:val="00097015"/>
    <w:rsid w:val="001060AC"/>
    <w:rsid w:val="001B636E"/>
    <w:rsid w:val="001F5FED"/>
    <w:rsid w:val="002C2FD1"/>
    <w:rsid w:val="002D4DCB"/>
    <w:rsid w:val="00347805"/>
    <w:rsid w:val="00377ECB"/>
    <w:rsid w:val="0046611B"/>
    <w:rsid w:val="004F2033"/>
    <w:rsid w:val="00560F1F"/>
    <w:rsid w:val="00566E31"/>
    <w:rsid w:val="007B20F3"/>
    <w:rsid w:val="008044DC"/>
    <w:rsid w:val="00876D30"/>
    <w:rsid w:val="008A7E8A"/>
    <w:rsid w:val="00B3140B"/>
    <w:rsid w:val="00BD4D19"/>
    <w:rsid w:val="00C15E71"/>
    <w:rsid w:val="00C742EA"/>
    <w:rsid w:val="00D84EFF"/>
    <w:rsid w:val="00DB524C"/>
    <w:rsid w:val="00EB3BF5"/>
    <w:rsid w:val="00F30FEE"/>
    <w:rsid w:val="00F47C75"/>
    <w:rsid w:val="00F60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AE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4C"/>
    <w:pPr>
      <w:spacing w:after="0" w:line="240" w:lineRule="auto"/>
    </w:pPr>
    <w:rPr>
      <w:rFonts w:ascii="Times New Roman" w:hAnsi="Times New Roman"/>
      <w:sz w:val="20"/>
      <w:szCs w:val="20"/>
    </w:rPr>
  </w:style>
  <w:style w:type="paragraph" w:styleId="Heading1">
    <w:name w:val="heading 1"/>
    <w:basedOn w:val="Normal"/>
    <w:next w:val="Normal"/>
    <w:link w:val="Heading1Char"/>
    <w:qFormat/>
    <w:rsid w:val="00347805"/>
    <w:pPr>
      <w:outlineLvl w:val="0"/>
    </w:pPr>
    <w:rPr>
      <w:b/>
    </w:rPr>
  </w:style>
  <w:style w:type="paragraph" w:styleId="Heading2">
    <w:name w:val="heading 2"/>
    <w:basedOn w:val="Normal"/>
    <w:next w:val="Normal"/>
    <w:link w:val="Heading2Char"/>
    <w:qFormat/>
    <w:rsid w:val="00D84EFF"/>
    <w:pPr>
      <w:outlineLvl w:val="1"/>
    </w:pPr>
    <w:rPr>
      <w:b/>
      <w:sz w:val="24"/>
      <w:szCs w:val="24"/>
    </w:rPr>
  </w:style>
  <w:style w:type="paragraph" w:styleId="Heading3">
    <w:name w:val="heading 3"/>
    <w:basedOn w:val="Normal"/>
    <w:next w:val="Normal"/>
    <w:link w:val="Heading3Char"/>
    <w:unhideWhenUsed/>
    <w:qFormat/>
    <w:rsid w:val="00DB524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DB524C"/>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DB524C"/>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B52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805"/>
    <w:rPr>
      <w:rFonts w:ascii="Times New Roman" w:hAnsi="Times New Roman"/>
      <w:b/>
      <w:sz w:val="20"/>
      <w:szCs w:val="20"/>
    </w:rPr>
  </w:style>
  <w:style w:type="character" w:customStyle="1" w:styleId="Heading2Char">
    <w:name w:val="Heading 2 Char"/>
    <w:basedOn w:val="DefaultParagraphFont"/>
    <w:link w:val="Heading2"/>
    <w:rsid w:val="00D84EFF"/>
    <w:rPr>
      <w:rFonts w:ascii="Times New Roman" w:hAnsi="Times New Roman"/>
      <w:b/>
      <w:sz w:val="24"/>
      <w:szCs w:val="24"/>
    </w:rPr>
  </w:style>
  <w:style w:type="character" w:customStyle="1" w:styleId="Heading3Char">
    <w:name w:val="Heading 3 Char"/>
    <w:basedOn w:val="DefaultParagraphFont"/>
    <w:link w:val="Heading3"/>
    <w:rsid w:val="00DB524C"/>
    <w:rPr>
      <w:rFonts w:ascii="Cambria" w:eastAsia="Times New Roman" w:hAnsi="Cambria" w:cs="Times New Roman"/>
      <w:b/>
      <w:bCs/>
      <w:sz w:val="26"/>
      <w:szCs w:val="26"/>
    </w:rPr>
  </w:style>
  <w:style w:type="character" w:customStyle="1" w:styleId="Heading4Char">
    <w:name w:val="Heading 4 Char"/>
    <w:basedOn w:val="DefaultParagraphFont"/>
    <w:link w:val="Heading4"/>
    <w:rsid w:val="00DB524C"/>
    <w:rPr>
      <w:rFonts w:ascii="Calibri" w:eastAsia="Times New Roman" w:hAnsi="Calibri" w:cs="Times New Roman"/>
      <w:b/>
      <w:bCs/>
      <w:sz w:val="28"/>
      <w:szCs w:val="28"/>
    </w:rPr>
  </w:style>
  <w:style w:type="character" w:customStyle="1" w:styleId="Heading5Char">
    <w:name w:val="Heading 5 Char"/>
    <w:basedOn w:val="DefaultParagraphFont"/>
    <w:link w:val="Heading5"/>
    <w:rsid w:val="00DB524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B524C"/>
    <w:rPr>
      <w:rFonts w:asciiTheme="majorHAnsi" w:eastAsiaTheme="majorEastAsia" w:hAnsiTheme="majorHAnsi" w:cstheme="majorBidi"/>
      <w:i/>
      <w:iCs/>
      <w:color w:val="243F60" w:themeColor="accent1" w:themeShade="7F"/>
      <w:sz w:val="20"/>
      <w:szCs w:val="20"/>
    </w:rPr>
  </w:style>
  <w:style w:type="paragraph" w:styleId="ListParagraph">
    <w:name w:val="List Paragraph"/>
    <w:basedOn w:val="Normal"/>
    <w:uiPriority w:val="34"/>
    <w:qFormat/>
    <w:rsid w:val="00DB524C"/>
    <w:pPr>
      <w:ind w:left="720"/>
      <w:contextualSpacing/>
    </w:pPr>
    <w:rPr>
      <w:rFonts w:eastAsia="Times New Roman" w:cs="Times New Roman"/>
    </w:rPr>
  </w:style>
  <w:style w:type="character" w:styleId="Hyperlink">
    <w:name w:val="Hyperlink"/>
    <w:basedOn w:val="DefaultParagraphFont"/>
    <w:uiPriority w:val="99"/>
    <w:unhideWhenUsed/>
    <w:rsid w:val="00347805"/>
    <w:rPr>
      <w:color w:val="0000FF" w:themeColor="hyperlink"/>
      <w:u w:val="single"/>
    </w:rPr>
  </w:style>
  <w:style w:type="table" w:styleId="TableGrid">
    <w:name w:val="Table Grid"/>
    <w:basedOn w:val="TableNormal"/>
    <w:uiPriority w:val="59"/>
    <w:rsid w:val="0034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40B"/>
    <w:pPr>
      <w:tabs>
        <w:tab w:val="center" w:pos="4680"/>
        <w:tab w:val="right" w:pos="9360"/>
      </w:tabs>
    </w:pPr>
  </w:style>
  <w:style w:type="character" w:customStyle="1" w:styleId="HeaderChar">
    <w:name w:val="Header Char"/>
    <w:basedOn w:val="DefaultParagraphFont"/>
    <w:link w:val="Header"/>
    <w:uiPriority w:val="99"/>
    <w:rsid w:val="00B3140B"/>
    <w:rPr>
      <w:rFonts w:ascii="Times New Roman" w:hAnsi="Times New Roman"/>
      <w:sz w:val="20"/>
      <w:szCs w:val="20"/>
    </w:rPr>
  </w:style>
  <w:style w:type="paragraph" w:styleId="Footer">
    <w:name w:val="footer"/>
    <w:basedOn w:val="Normal"/>
    <w:link w:val="FooterChar"/>
    <w:uiPriority w:val="99"/>
    <w:unhideWhenUsed/>
    <w:rsid w:val="00B3140B"/>
    <w:pPr>
      <w:tabs>
        <w:tab w:val="center" w:pos="4680"/>
        <w:tab w:val="right" w:pos="9360"/>
      </w:tabs>
    </w:pPr>
  </w:style>
  <w:style w:type="character" w:customStyle="1" w:styleId="FooterChar">
    <w:name w:val="Footer Char"/>
    <w:basedOn w:val="DefaultParagraphFont"/>
    <w:link w:val="Footer"/>
    <w:uiPriority w:val="99"/>
    <w:rsid w:val="00B3140B"/>
    <w:rPr>
      <w:rFonts w:ascii="Times New Roman" w:hAnsi="Times New Roman"/>
      <w:sz w:val="20"/>
      <w:szCs w:val="20"/>
    </w:rPr>
  </w:style>
  <w:style w:type="paragraph" w:styleId="BalloonText">
    <w:name w:val="Balloon Text"/>
    <w:basedOn w:val="Normal"/>
    <w:link w:val="BalloonTextChar"/>
    <w:uiPriority w:val="99"/>
    <w:semiHidden/>
    <w:unhideWhenUsed/>
    <w:rsid w:val="002D4DCB"/>
    <w:rPr>
      <w:rFonts w:ascii="Tahoma" w:hAnsi="Tahoma" w:cs="Tahoma"/>
      <w:sz w:val="16"/>
      <w:szCs w:val="16"/>
    </w:rPr>
  </w:style>
  <w:style w:type="character" w:customStyle="1" w:styleId="BalloonTextChar">
    <w:name w:val="Balloon Text Char"/>
    <w:basedOn w:val="DefaultParagraphFont"/>
    <w:link w:val="BalloonText"/>
    <w:uiPriority w:val="99"/>
    <w:semiHidden/>
    <w:rsid w:val="002D4DCB"/>
    <w:rPr>
      <w:rFonts w:ascii="Tahoma" w:hAnsi="Tahoma" w:cs="Tahoma"/>
      <w:sz w:val="16"/>
      <w:szCs w:val="16"/>
    </w:rPr>
  </w:style>
  <w:style w:type="character" w:styleId="CommentReference">
    <w:name w:val="annotation reference"/>
    <w:basedOn w:val="DefaultParagraphFont"/>
    <w:uiPriority w:val="99"/>
    <w:semiHidden/>
    <w:unhideWhenUsed/>
    <w:rsid w:val="00EB3BF5"/>
    <w:rPr>
      <w:sz w:val="16"/>
      <w:szCs w:val="16"/>
    </w:rPr>
  </w:style>
  <w:style w:type="paragraph" w:styleId="CommentText">
    <w:name w:val="annotation text"/>
    <w:basedOn w:val="Normal"/>
    <w:link w:val="CommentTextChar"/>
    <w:uiPriority w:val="99"/>
    <w:semiHidden/>
    <w:unhideWhenUsed/>
    <w:rsid w:val="00EB3BF5"/>
  </w:style>
  <w:style w:type="character" w:customStyle="1" w:styleId="CommentTextChar">
    <w:name w:val="Comment Text Char"/>
    <w:basedOn w:val="DefaultParagraphFont"/>
    <w:link w:val="CommentText"/>
    <w:uiPriority w:val="99"/>
    <w:semiHidden/>
    <w:rsid w:val="00EB3B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3BF5"/>
    <w:rPr>
      <w:b/>
      <w:bCs/>
    </w:rPr>
  </w:style>
  <w:style w:type="character" w:customStyle="1" w:styleId="CommentSubjectChar">
    <w:name w:val="Comment Subject Char"/>
    <w:basedOn w:val="CommentTextChar"/>
    <w:link w:val="CommentSubject"/>
    <w:uiPriority w:val="99"/>
    <w:semiHidden/>
    <w:rsid w:val="00EB3BF5"/>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4C"/>
    <w:pPr>
      <w:spacing w:after="0" w:line="240" w:lineRule="auto"/>
    </w:pPr>
    <w:rPr>
      <w:rFonts w:ascii="Times New Roman" w:hAnsi="Times New Roman"/>
      <w:sz w:val="20"/>
      <w:szCs w:val="20"/>
    </w:rPr>
  </w:style>
  <w:style w:type="paragraph" w:styleId="Heading1">
    <w:name w:val="heading 1"/>
    <w:basedOn w:val="Normal"/>
    <w:next w:val="Normal"/>
    <w:link w:val="Heading1Char"/>
    <w:qFormat/>
    <w:rsid w:val="00347805"/>
    <w:pPr>
      <w:outlineLvl w:val="0"/>
    </w:pPr>
    <w:rPr>
      <w:b/>
    </w:rPr>
  </w:style>
  <w:style w:type="paragraph" w:styleId="Heading2">
    <w:name w:val="heading 2"/>
    <w:basedOn w:val="Normal"/>
    <w:next w:val="Normal"/>
    <w:link w:val="Heading2Char"/>
    <w:qFormat/>
    <w:rsid w:val="00D84EFF"/>
    <w:pPr>
      <w:outlineLvl w:val="1"/>
    </w:pPr>
    <w:rPr>
      <w:b/>
      <w:sz w:val="24"/>
      <w:szCs w:val="24"/>
    </w:rPr>
  </w:style>
  <w:style w:type="paragraph" w:styleId="Heading3">
    <w:name w:val="heading 3"/>
    <w:basedOn w:val="Normal"/>
    <w:next w:val="Normal"/>
    <w:link w:val="Heading3Char"/>
    <w:unhideWhenUsed/>
    <w:qFormat/>
    <w:rsid w:val="00DB524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DB524C"/>
    <w:pPr>
      <w:keepNext/>
      <w:spacing w:before="240" w:after="60"/>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DB524C"/>
    <w:pPr>
      <w:spacing w:before="240" w:after="6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semiHidden/>
    <w:unhideWhenUsed/>
    <w:qFormat/>
    <w:rsid w:val="00DB524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7805"/>
    <w:rPr>
      <w:rFonts w:ascii="Times New Roman" w:hAnsi="Times New Roman"/>
      <w:b/>
      <w:sz w:val="20"/>
      <w:szCs w:val="20"/>
    </w:rPr>
  </w:style>
  <w:style w:type="character" w:customStyle="1" w:styleId="Heading2Char">
    <w:name w:val="Heading 2 Char"/>
    <w:basedOn w:val="DefaultParagraphFont"/>
    <w:link w:val="Heading2"/>
    <w:rsid w:val="00D84EFF"/>
    <w:rPr>
      <w:rFonts w:ascii="Times New Roman" w:hAnsi="Times New Roman"/>
      <w:b/>
      <w:sz w:val="24"/>
      <w:szCs w:val="24"/>
    </w:rPr>
  </w:style>
  <w:style w:type="character" w:customStyle="1" w:styleId="Heading3Char">
    <w:name w:val="Heading 3 Char"/>
    <w:basedOn w:val="DefaultParagraphFont"/>
    <w:link w:val="Heading3"/>
    <w:rsid w:val="00DB524C"/>
    <w:rPr>
      <w:rFonts w:ascii="Cambria" w:eastAsia="Times New Roman" w:hAnsi="Cambria" w:cs="Times New Roman"/>
      <w:b/>
      <w:bCs/>
      <w:sz w:val="26"/>
      <w:szCs w:val="26"/>
    </w:rPr>
  </w:style>
  <w:style w:type="character" w:customStyle="1" w:styleId="Heading4Char">
    <w:name w:val="Heading 4 Char"/>
    <w:basedOn w:val="DefaultParagraphFont"/>
    <w:link w:val="Heading4"/>
    <w:rsid w:val="00DB524C"/>
    <w:rPr>
      <w:rFonts w:ascii="Calibri" w:eastAsia="Times New Roman" w:hAnsi="Calibri" w:cs="Times New Roman"/>
      <w:b/>
      <w:bCs/>
      <w:sz w:val="28"/>
      <w:szCs w:val="28"/>
    </w:rPr>
  </w:style>
  <w:style w:type="character" w:customStyle="1" w:styleId="Heading5Char">
    <w:name w:val="Heading 5 Char"/>
    <w:basedOn w:val="DefaultParagraphFont"/>
    <w:link w:val="Heading5"/>
    <w:rsid w:val="00DB524C"/>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DB524C"/>
    <w:rPr>
      <w:rFonts w:asciiTheme="majorHAnsi" w:eastAsiaTheme="majorEastAsia" w:hAnsiTheme="majorHAnsi" w:cstheme="majorBidi"/>
      <w:i/>
      <w:iCs/>
      <w:color w:val="243F60" w:themeColor="accent1" w:themeShade="7F"/>
      <w:sz w:val="20"/>
      <w:szCs w:val="20"/>
    </w:rPr>
  </w:style>
  <w:style w:type="paragraph" w:styleId="ListParagraph">
    <w:name w:val="List Paragraph"/>
    <w:basedOn w:val="Normal"/>
    <w:uiPriority w:val="34"/>
    <w:qFormat/>
    <w:rsid w:val="00DB524C"/>
    <w:pPr>
      <w:ind w:left="720"/>
      <w:contextualSpacing/>
    </w:pPr>
    <w:rPr>
      <w:rFonts w:eastAsia="Times New Roman" w:cs="Times New Roman"/>
    </w:rPr>
  </w:style>
  <w:style w:type="character" w:styleId="Hyperlink">
    <w:name w:val="Hyperlink"/>
    <w:basedOn w:val="DefaultParagraphFont"/>
    <w:uiPriority w:val="99"/>
    <w:unhideWhenUsed/>
    <w:rsid w:val="00347805"/>
    <w:rPr>
      <w:color w:val="0000FF" w:themeColor="hyperlink"/>
      <w:u w:val="single"/>
    </w:rPr>
  </w:style>
  <w:style w:type="table" w:styleId="TableGrid">
    <w:name w:val="Table Grid"/>
    <w:basedOn w:val="TableNormal"/>
    <w:uiPriority w:val="59"/>
    <w:rsid w:val="0034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140B"/>
    <w:pPr>
      <w:tabs>
        <w:tab w:val="center" w:pos="4680"/>
        <w:tab w:val="right" w:pos="9360"/>
      </w:tabs>
    </w:pPr>
  </w:style>
  <w:style w:type="character" w:customStyle="1" w:styleId="HeaderChar">
    <w:name w:val="Header Char"/>
    <w:basedOn w:val="DefaultParagraphFont"/>
    <w:link w:val="Header"/>
    <w:uiPriority w:val="99"/>
    <w:rsid w:val="00B3140B"/>
    <w:rPr>
      <w:rFonts w:ascii="Times New Roman" w:hAnsi="Times New Roman"/>
      <w:sz w:val="20"/>
      <w:szCs w:val="20"/>
    </w:rPr>
  </w:style>
  <w:style w:type="paragraph" w:styleId="Footer">
    <w:name w:val="footer"/>
    <w:basedOn w:val="Normal"/>
    <w:link w:val="FooterChar"/>
    <w:uiPriority w:val="99"/>
    <w:unhideWhenUsed/>
    <w:rsid w:val="00B3140B"/>
    <w:pPr>
      <w:tabs>
        <w:tab w:val="center" w:pos="4680"/>
        <w:tab w:val="right" w:pos="9360"/>
      </w:tabs>
    </w:pPr>
  </w:style>
  <w:style w:type="character" w:customStyle="1" w:styleId="FooterChar">
    <w:name w:val="Footer Char"/>
    <w:basedOn w:val="DefaultParagraphFont"/>
    <w:link w:val="Footer"/>
    <w:uiPriority w:val="99"/>
    <w:rsid w:val="00B3140B"/>
    <w:rPr>
      <w:rFonts w:ascii="Times New Roman" w:hAnsi="Times New Roman"/>
      <w:sz w:val="20"/>
      <w:szCs w:val="20"/>
    </w:rPr>
  </w:style>
  <w:style w:type="paragraph" w:styleId="BalloonText">
    <w:name w:val="Balloon Text"/>
    <w:basedOn w:val="Normal"/>
    <w:link w:val="BalloonTextChar"/>
    <w:uiPriority w:val="99"/>
    <w:semiHidden/>
    <w:unhideWhenUsed/>
    <w:rsid w:val="002D4DCB"/>
    <w:rPr>
      <w:rFonts w:ascii="Tahoma" w:hAnsi="Tahoma" w:cs="Tahoma"/>
      <w:sz w:val="16"/>
      <w:szCs w:val="16"/>
    </w:rPr>
  </w:style>
  <w:style w:type="character" w:customStyle="1" w:styleId="BalloonTextChar">
    <w:name w:val="Balloon Text Char"/>
    <w:basedOn w:val="DefaultParagraphFont"/>
    <w:link w:val="BalloonText"/>
    <w:uiPriority w:val="99"/>
    <w:semiHidden/>
    <w:rsid w:val="002D4DCB"/>
    <w:rPr>
      <w:rFonts w:ascii="Tahoma" w:hAnsi="Tahoma" w:cs="Tahoma"/>
      <w:sz w:val="16"/>
      <w:szCs w:val="16"/>
    </w:rPr>
  </w:style>
  <w:style w:type="character" w:styleId="CommentReference">
    <w:name w:val="annotation reference"/>
    <w:basedOn w:val="DefaultParagraphFont"/>
    <w:uiPriority w:val="99"/>
    <w:semiHidden/>
    <w:unhideWhenUsed/>
    <w:rsid w:val="00EB3BF5"/>
    <w:rPr>
      <w:sz w:val="16"/>
      <w:szCs w:val="16"/>
    </w:rPr>
  </w:style>
  <w:style w:type="paragraph" w:styleId="CommentText">
    <w:name w:val="annotation text"/>
    <w:basedOn w:val="Normal"/>
    <w:link w:val="CommentTextChar"/>
    <w:uiPriority w:val="99"/>
    <w:semiHidden/>
    <w:unhideWhenUsed/>
    <w:rsid w:val="00EB3BF5"/>
  </w:style>
  <w:style w:type="character" w:customStyle="1" w:styleId="CommentTextChar">
    <w:name w:val="Comment Text Char"/>
    <w:basedOn w:val="DefaultParagraphFont"/>
    <w:link w:val="CommentText"/>
    <w:uiPriority w:val="99"/>
    <w:semiHidden/>
    <w:rsid w:val="00EB3BF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B3BF5"/>
    <w:rPr>
      <w:b/>
      <w:bCs/>
    </w:rPr>
  </w:style>
  <w:style w:type="character" w:customStyle="1" w:styleId="CommentSubjectChar">
    <w:name w:val="Comment Subject Char"/>
    <w:basedOn w:val="CommentTextChar"/>
    <w:link w:val="CommentSubject"/>
    <w:uiPriority w:val="99"/>
    <w:semiHidden/>
    <w:rsid w:val="00EB3BF5"/>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pbm.va.gov/PBM/AcademicDetailingService/Documents/Academic_Detailing_Educational_Material_Catalog/52_Pain_Opioid_Taper_Tool_IB_10_939_P96820.pdf" TargetMode="External"/><Relationship Id="rId4" Type="http://schemas.microsoft.com/office/2007/relationships/stylesWithEffects" Target="stylesWithEffects.xml"/><Relationship Id="rId9" Type="http://schemas.openxmlformats.org/officeDocument/2006/relationships/hyperlink" Target="https://www.pbm.va.gov/PBM/AcademicDetailingService/Documents/Academic_Detailing_Educational_Material_Catalog/22_Benzodiazepine_Provider_AD_Educational_Guide_IB_10_928.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69AC8-A90C-43D3-9D9B-2E9619297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Deleo</dc:creator>
  <cp:lastModifiedBy>Dan Deleo</cp:lastModifiedBy>
  <cp:revision>33</cp:revision>
  <dcterms:created xsi:type="dcterms:W3CDTF">2019-12-16T21:16:00Z</dcterms:created>
  <dcterms:modified xsi:type="dcterms:W3CDTF">2019-12-31T19:07:00Z</dcterms:modified>
</cp:coreProperties>
</file>