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77A16B1D" w:rsidR="00AD42BB" w:rsidRPr="00427893" w:rsidRDefault="005851F1" w:rsidP="6D6E69F4">
      <w:pPr>
        <w:pStyle w:val="Heading1"/>
        <w:tabs>
          <w:tab w:val="left" w:pos="900"/>
        </w:tabs>
        <w:spacing w:before="240" w:after="1080"/>
        <w:ind w:firstLine="252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2834ED52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6D6E69F4">
        <w:rPr>
          <w:color w:val="FFFFFF" w:themeColor="background1"/>
          <w:lang w:val="en-US"/>
        </w:rPr>
        <w:t xml:space="preserve">The Prescriber e-Letter, </w:t>
      </w:r>
      <w:r w:rsidR="00CD7211">
        <w:br w:type="textWrapping" w:clear="all"/>
      </w:r>
      <w:r w:rsidR="00E90319" w:rsidRPr="6D6E69F4">
        <w:rPr>
          <w:lang w:val="en-US"/>
        </w:rPr>
        <w:t>V</w:t>
      </w:r>
      <w:r w:rsidRPr="6D6E69F4">
        <w:rPr>
          <w:lang w:val="en-US"/>
        </w:rPr>
        <w:t>olume</w:t>
      </w:r>
      <w:r w:rsidR="00427893">
        <w:rPr>
          <w:lang w:val="en-US"/>
        </w:rPr>
        <w:t xml:space="preserve"> 15</w:t>
      </w:r>
      <w:r w:rsidRPr="6D6E69F4">
        <w:rPr>
          <w:lang w:val="en-US"/>
        </w:rPr>
        <w:t>, Issue</w:t>
      </w:r>
      <w:r w:rsidR="00427893">
        <w:rPr>
          <w:lang w:val="en-US"/>
        </w:rPr>
        <w:t xml:space="preserve"> 1</w:t>
      </w:r>
      <w:r w:rsidR="00C76762" w:rsidRPr="6D6E69F4">
        <w:rPr>
          <w:lang w:val="en-US"/>
        </w:rPr>
        <w:t xml:space="preserve">, </w:t>
      </w:r>
      <w:r w:rsidR="00993B05" w:rsidRPr="00993B05">
        <w:rPr>
          <w:lang w:val="en-US"/>
        </w:rPr>
        <w:t xml:space="preserve">January </w:t>
      </w:r>
      <w:r w:rsidR="002559B8" w:rsidRPr="00427893">
        <w:rPr>
          <w:lang w:val="en-US"/>
        </w:rPr>
        <w:t>202</w:t>
      </w:r>
      <w:r w:rsidR="00993B05" w:rsidRPr="00427893">
        <w:rPr>
          <w:lang w:val="en-US"/>
        </w:rPr>
        <w:t>5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50059E31" w14:textId="77777777" w:rsidR="006B20D5" w:rsidRDefault="006B20D5" w:rsidP="006B20D5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bookmarkStart w:id="0" w:name="_Hlk56006764"/>
    </w:p>
    <w:p w14:paraId="4D4BDAB0" w14:textId="5C5D08C1" w:rsidR="006B20D5" w:rsidRDefault="00BA69EB" w:rsidP="005704FB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r w:rsidRPr="00BA69EB">
        <w:rPr>
          <w:rFonts w:ascii="Arial" w:hAnsi="Arial" w:cs="Arial"/>
          <w:sz w:val="26"/>
          <w:szCs w:val="26"/>
        </w:rPr>
        <w:t>Overview of More Restrictive Coverage Changes</w:t>
      </w:r>
      <w:r w:rsidR="00E2339F">
        <w:rPr>
          <w:rFonts w:ascii="Arial" w:hAnsi="Arial" w:cs="Arial"/>
          <w:sz w:val="26"/>
          <w:szCs w:val="26"/>
        </w:rPr>
        <w:t xml:space="preserve"> Effective </w:t>
      </w:r>
      <w:r w:rsidR="005704FB" w:rsidRPr="005704FB">
        <w:rPr>
          <w:rFonts w:ascii="Arial" w:hAnsi="Arial" w:cs="Arial"/>
          <w:sz w:val="26"/>
          <w:szCs w:val="26"/>
        </w:rPr>
        <w:t>April 1, 2025</w:t>
      </w:r>
    </w:p>
    <w:p w14:paraId="5AC0D1ED" w14:textId="77777777" w:rsidR="005704FB" w:rsidRPr="00993B05" w:rsidRDefault="005704FB" w:rsidP="00993B05">
      <w:pPr>
        <w:tabs>
          <w:tab w:val="left" w:pos="1080"/>
        </w:tabs>
        <w:rPr>
          <w:rFonts w:ascii="Arial" w:hAnsi="Arial" w:cs="Arial"/>
        </w:rPr>
      </w:pPr>
    </w:p>
    <w:p w14:paraId="0E69DC36" w14:textId="3C76A353" w:rsidR="00B92F91" w:rsidRDefault="00C26785" w:rsidP="00C26785">
      <w:p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bookmarkStart w:id="1" w:name="_Hlk178665884"/>
      <w:r w:rsidRPr="00C26785">
        <w:rPr>
          <w:rFonts w:ascii="Arial" w:hAnsi="Arial" w:cs="Arial"/>
          <w:bCs/>
          <w:color w:val="auto"/>
          <w:sz w:val="22"/>
          <w:szCs w:val="22"/>
        </w:rPr>
        <w:t>MassHealth evaluates the prior authorization (PA) status for drugs on an ongoing basis and updates the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C26785">
        <w:rPr>
          <w:rFonts w:ascii="Arial" w:hAnsi="Arial" w:cs="Arial"/>
          <w:bCs/>
          <w:color w:val="auto"/>
          <w:sz w:val="22"/>
          <w:szCs w:val="22"/>
        </w:rPr>
        <w:t xml:space="preserve">MassHealth Drug List accordingly. </w:t>
      </w:r>
      <w:r w:rsidR="00427893" w:rsidRPr="00427893">
        <w:rPr>
          <w:rFonts w:ascii="Arial" w:hAnsi="Arial" w:cs="Arial"/>
          <w:bCs/>
          <w:color w:val="auto"/>
          <w:sz w:val="22"/>
          <w:szCs w:val="22"/>
        </w:rPr>
        <w:t>The list below shows changes to the MassHealth Drug List for the rollout that is effective April 1, 2025.</w:t>
      </w:r>
      <w:r w:rsidR="0042789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27893" w:rsidRPr="00427893">
        <w:rPr>
          <w:rFonts w:ascii="Arial" w:hAnsi="Arial" w:cs="Arial"/>
          <w:bCs/>
          <w:color w:val="auto"/>
          <w:sz w:val="22"/>
          <w:szCs w:val="22"/>
        </w:rPr>
        <w:t>The listed drugs have changes that have been identified as more restrictive in nature.</w:t>
      </w:r>
    </w:p>
    <w:p w14:paraId="62648E8B" w14:textId="77777777" w:rsidR="00427893" w:rsidRPr="00C26785" w:rsidRDefault="00427893" w:rsidP="00C26785">
      <w:p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</w:p>
    <w:p w14:paraId="25F3B864" w14:textId="02721053" w:rsidR="0055653E" w:rsidRPr="0055653E" w:rsidRDefault="00DB3BB6" w:rsidP="006B20D5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Change in Prior Authorization Status</w:t>
      </w:r>
    </w:p>
    <w:bookmarkEnd w:id="1"/>
    <w:p w14:paraId="5C79886A" w14:textId="77777777" w:rsidR="00F66EB8" w:rsidRDefault="00F66EB8" w:rsidP="00C27D9C">
      <w:pPr>
        <w:tabs>
          <w:tab w:val="left" w:pos="1080"/>
        </w:tabs>
        <w:rPr>
          <w:rFonts w:ascii="Arial" w:hAnsi="Arial" w:cs="Arial"/>
        </w:rPr>
      </w:pPr>
    </w:p>
    <w:p w14:paraId="2F25665B" w14:textId="04BC5687" w:rsidR="00C27D9C" w:rsidRPr="00C27D9C" w:rsidRDefault="00C27D9C" w:rsidP="00C27D9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2" w:name="_Hlk98931753"/>
      <w:bookmarkStart w:id="3" w:name="_Hlk30086979"/>
      <w:r w:rsidRPr="00C27D9C">
        <w:rPr>
          <w:rFonts w:ascii="Arial" w:hAnsi="Arial" w:cs="Arial"/>
          <w:color w:val="auto"/>
          <w:sz w:val="22"/>
          <w:szCs w:val="22"/>
        </w:rPr>
        <w:t xml:space="preserve">Effective </w:t>
      </w:r>
      <w:r w:rsidR="00861741">
        <w:rPr>
          <w:rFonts w:ascii="Arial" w:hAnsi="Arial" w:cs="Arial"/>
          <w:color w:val="auto"/>
          <w:sz w:val="22"/>
          <w:szCs w:val="22"/>
        </w:rPr>
        <w:t>April 1</w:t>
      </w:r>
      <w:r w:rsidRPr="00C27D9C">
        <w:rPr>
          <w:rFonts w:ascii="Arial" w:hAnsi="Arial" w:cs="Arial"/>
          <w:color w:val="auto"/>
          <w:sz w:val="22"/>
          <w:szCs w:val="22"/>
        </w:rPr>
        <w:t xml:space="preserve">, 2025, the following </w:t>
      </w:r>
      <w:r w:rsidR="00101872" w:rsidRPr="00101872">
        <w:rPr>
          <w:rFonts w:ascii="Arial" w:hAnsi="Arial" w:cs="Arial"/>
          <w:color w:val="auto"/>
          <w:sz w:val="22"/>
          <w:szCs w:val="22"/>
        </w:rPr>
        <w:t>gastrointestinal anti-inflammatory</w:t>
      </w:r>
      <w:r w:rsidRPr="00C27D9C">
        <w:rPr>
          <w:rFonts w:ascii="Arial" w:hAnsi="Arial" w:cs="Arial"/>
          <w:color w:val="auto"/>
          <w:sz w:val="22"/>
          <w:szCs w:val="22"/>
        </w:rPr>
        <w:t xml:space="preserve"> agent will require </w:t>
      </w:r>
      <w:r w:rsidRPr="00993B05">
        <w:rPr>
          <w:rFonts w:ascii="Arial" w:hAnsi="Arial" w:cs="Arial"/>
          <w:b/>
          <w:bCs/>
          <w:color w:val="000000" w:themeColor="text1"/>
          <w:sz w:val="22"/>
          <w:szCs w:val="22"/>
        </w:rPr>
        <w:t>PA</w:t>
      </w:r>
      <w:r w:rsidRPr="00C27D9C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C17C323" w14:textId="77777777" w:rsidR="00C556DB" w:rsidRDefault="00C556DB" w:rsidP="00C556DB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C556DB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Lialda (mesalamine 1.2 gram delayed-release tablet) – </w:t>
      </w:r>
      <w:r w:rsidRPr="00C556DB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  <w:r w:rsidRPr="00C556DB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; A90 </w:t>
      </w:r>
    </w:p>
    <w:bookmarkEnd w:id="2"/>
    <w:bookmarkEnd w:id="3"/>
    <w:p w14:paraId="789AA7AA" w14:textId="0E71E1CE" w:rsidR="00C27D9C" w:rsidRPr="00C27D9C" w:rsidRDefault="00C27D9C" w:rsidP="00CA4C28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27D9C">
        <w:rPr>
          <w:rFonts w:ascii="Arial" w:hAnsi="Arial" w:cs="Arial"/>
          <w:color w:val="auto"/>
          <w:sz w:val="22"/>
          <w:szCs w:val="22"/>
        </w:rPr>
        <w:t xml:space="preserve">Effective </w:t>
      </w:r>
      <w:r w:rsidR="0044614E">
        <w:rPr>
          <w:rFonts w:ascii="Arial" w:hAnsi="Arial" w:cs="Arial"/>
          <w:color w:val="auto"/>
          <w:sz w:val="22"/>
          <w:szCs w:val="22"/>
        </w:rPr>
        <w:t>April</w:t>
      </w:r>
      <w:r w:rsidRPr="00C27D9C">
        <w:rPr>
          <w:rFonts w:ascii="Arial" w:hAnsi="Arial" w:cs="Arial"/>
          <w:color w:val="auto"/>
          <w:sz w:val="22"/>
          <w:szCs w:val="22"/>
        </w:rPr>
        <w:t xml:space="preserve"> 1, 2025, the following </w:t>
      </w:r>
      <w:r w:rsidR="001978CB" w:rsidRPr="001978CB">
        <w:rPr>
          <w:rFonts w:ascii="Arial" w:hAnsi="Arial" w:cs="Arial"/>
          <w:color w:val="auto"/>
          <w:sz w:val="22"/>
          <w:szCs w:val="22"/>
        </w:rPr>
        <w:t xml:space="preserve">insulin agent </w:t>
      </w:r>
      <w:r w:rsidRPr="00C27D9C">
        <w:rPr>
          <w:rFonts w:ascii="Arial" w:hAnsi="Arial" w:cs="Arial"/>
          <w:color w:val="auto"/>
          <w:sz w:val="22"/>
          <w:szCs w:val="22"/>
        </w:rPr>
        <w:t xml:space="preserve">will require </w:t>
      </w:r>
      <w:r w:rsidRPr="00C27D9C">
        <w:rPr>
          <w:rFonts w:ascii="Arial" w:hAnsi="Arial" w:cs="Arial"/>
          <w:b/>
          <w:color w:val="auto"/>
          <w:sz w:val="22"/>
          <w:szCs w:val="22"/>
        </w:rPr>
        <w:t>PA</w:t>
      </w:r>
      <w:r w:rsidRPr="00C27D9C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01F22C9" w14:textId="76B7E46E" w:rsidR="00C27D9C" w:rsidRPr="00BF4A81" w:rsidRDefault="00C863E7" w:rsidP="00C27D9C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863E7">
        <w:rPr>
          <w:rFonts w:ascii="Arial" w:hAnsi="Arial" w:cs="Arial"/>
          <w:color w:val="auto"/>
          <w:sz w:val="22"/>
          <w:szCs w:val="22"/>
        </w:rPr>
        <w:t xml:space="preserve">insulin </w:t>
      </w:r>
      <w:proofErr w:type="spellStart"/>
      <w:r w:rsidRPr="00C863E7">
        <w:rPr>
          <w:rFonts w:ascii="Arial" w:hAnsi="Arial" w:cs="Arial"/>
          <w:color w:val="auto"/>
          <w:sz w:val="22"/>
          <w:szCs w:val="22"/>
        </w:rPr>
        <w:t>aspart</w:t>
      </w:r>
      <w:proofErr w:type="spellEnd"/>
      <w:r w:rsidR="00C27D9C" w:rsidRPr="00C27D9C">
        <w:rPr>
          <w:rFonts w:ascii="Arial" w:hAnsi="Arial" w:cs="Arial"/>
          <w:color w:val="auto"/>
          <w:sz w:val="22"/>
          <w:szCs w:val="22"/>
        </w:rPr>
        <w:t xml:space="preserve"> – </w:t>
      </w:r>
      <w:r w:rsidR="00C27D9C" w:rsidRPr="00C27D9C">
        <w:rPr>
          <w:rFonts w:ascii="Arial" w:hAnsi="Arial" w:cs="Arial"/>
          <w:b/>
          <w:color w:val="auto"/>
          <w:sz w:val="22"/>
          <w:szCs w:val="22"/>
        </w:rPr>
        <w:t>PA</w:t>
      </w:r>
    </w:p>
    <w:p w14:paraId="648FAC2B" w14:textId="1DCFC229" w:rsidR="00BF4A81" w:rsidRPr="00852ADF" w:rsidRDefault="00BF4A81" w:rsidP="00CA4C28">
      <w:pPr>
        <w:pStyle w:val="Default"/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r w:rsidRPr="00C27D9C">
        <w:rPr>
          <w:rFonts w:ascii="Arial" w:hAnsi="Arial" w:cs="Arial"/>
          <w:color w:val="auto"/>
          <w:sz w:val="22"/>
          <w:szCs w:val="22"/>
        </w:rPr>
        <w:t xml:space="preserve">Effective </w:t>
      </w:r>
      <w:r>
        <w:rPr>
          <w:rFonts w:ascii="Arial" w:hAnsi="Arial" w:cs="Arial"/>
          <w:color w:val="auto"/>
          <w:sz w:val="22"/>
          <w:szCs w:val="22"/>
        </w:rPr>
        <w:t>April</w:t>
      </w:r>
      <w:r w:rsidRPr="00C27D9C">
        <w:rPr>
          <w:rFonts w:ascii="Arial" w:hAnsi="Arial" w:cs="Arial"/>
          <w:color w:val="auto"/>
          <w:sz w:val="22"/>
          <w:szCs w:val="22"/>
        </w:rPr>
        <w:t xml:space="preserve"> 1, 2025, the following </w:t>
      </w:r>
      <w:r>
        <w:rPr>
          <w:rFonts w:ascii="Arial" w:hAnsi="Arial" w:cs="Arial"/>
          <w:color w:val="auto"/>
          <w:sz w:val="22"/>
          <w:szCs w:val="22"/>
        </w:rPr>
        <w:t>topical antifungal</w:t>
      </w:r>
      <w:r w:rsidRPr="001978CB">
        <w:rPr>
          <w:rFonts w:ascii="Arial" w:hAnsi="Arial" w:cs="Arial"/>
          <w:color w:val="auto"/>
          <w:sz w:val="22"/>
          <w:szCs w:val="22"/>
        </w:rPr>
        <w:t xml:space="preserve"> agent </w:t>
      </w:r>
      <w:r w:rsidRPr="00C27D9C">
        <w:rPr>
          <w:rFonts w:ascii="Arial" w:hAnsi="Arial" w:cs="Arial"/>
          <w:color w:val="auto"/>
          <w:sz w:val="22"/>
          <w:szCs w:val="22"/>
        </w:rPr>
        <w:t xml:space="preserve">will require </w:t>
      </w:r>
      <w:r w:rsidRPr="00C27D9C">
        <w:rPr>
          <w:rFonts w:ascii="Arial" w:hAnsi="Arial" w:cs="Arial"/>
          <w:b/>
          <w:color w:val="auto"/>
          <w:sz w:val="22"/>
          <w:szCs w:val="22"/>
        </w:rPr>
        <w:t>PA</w:t>
      </w:r>
    </w:p>
    <w:p w14:paraId="62AEBCD9" w14:textId="0D112C9E" w:rsidR="00BF4A81" w:rsidRPr="00852ADF" w:rsidRDefault="00283CFD" w:rsidP="00C27D9C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283CFD">
        <w:rPr>
          <w:rFonts w:ascii="Arial" w:hAnsi="Arial" w:cs="Arial"/>
          <w:color w:val="auto"/>
          <w:sz w:val="22"/>
          <w:szCs w:val="22"/>
        </w:rPr>
        <w:t xml:space="preserve">Ertaczo (sertaconazole) </w:t>
      </w:r>
      <w:r w:rsidRPr="00852ADF">
        <w:rPr>
          <w:rFonts w:ascii="Arial" w:hAnsi="Arial" w:cs="Arial"/>
          <w:color w:val="auto"/>
          <w:sz w:val="22"/>
          <w:szCs w:val="22"/>
        </w:rPr>
        <w:t xml:space="preserve">– </w:t>
      </w:r>
      <w:r w:rsidRPr="00852ADF">
        <w:rPr>
          <w:rFonts w:ascii="Arial" w:hAnsi="Arial" w:cs="Arial"/>
          <w:b/>
          <w:bCs/>
          <w:color w:val="auto"/>
          <w:sz w:val="22"/>
          <w:szCs w:val="22"/>
        </w:rPr>
        <w:t>PA</w:t>
      </w:r>
    </w:p>
    <w:p w14:paraId="04FE2B9D" w14:textId="3470BB94" w:rsidR="00852ADF" w:rsidRPr="00852ADF" w:rsidRDefault="00852ADF" w:rsidP="00CA4C28">
      <w:pPr>
        <w:pStyle w:val="Default"/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r w:rsidRPr="00C27D9C">
        <w:rPr>
          <w:rFonts w:ascii="Arial" w:hAnsi="Arial" w:cs="Arial"/>
          <w:color w:val="auto"/>
          <w:sz w:val="22"/>
          <w:szCs w:val="22"/>
        </w:rPr>
        <w:t xml:space="preserve">Effective </w:t>
      </w:r>
      <w:r>
        <w:rPr>
          <w:rFonts w:ascii="Arial" w:hAnsi="Arial" w:cs="Arial"/>
          <w:color w:val="auto"/>
          <w:sz w:val="22"/>
          <w:szCs w:val="22"/>
        </w:rPr>
        <w:t>April</w:t>
      </w:r>
      <w:r w:rsidRPr="00C27D9C">
        <w:rPr>
          <w:rFonts w:ascii="Arial" w:hAnsi="Arial" w:cs="Arial"/>
          <w:color w:val="auto"/>
          <w:sz w:val="22"/>
          <w:szCs w:val="22"/>
        </w:rPr>
        <w:t xml:space="preserve"> 1, 2025, the following </w:t>
      </w:r>
      <w:r>
        <w:rPr>
          <w:rFonts w:ascii="Arial" w:hAnsi="Arial" w:cs="Arial"/>
          <w:color w:val="auto"/>
          <w:sz w:val="22"/>
          <w:szCs w:val="22"/>
        </w:rPr>
        <w:t>antidiabetic</w:t>
      </w:r>
      <w:r w:rsidRPr="001978CB">
        <w:rPr>
          <w:rFonts w:ascii="Arial" w:hAnsi="Arial" w:cs="Arial"/>
          <w:color w:val="auto"/>
          <w:sz w:val="22"/>
          <w:szCs w:val="22"/>
        </w:rPr>
        <w:t xml:space="preserve"> agent </w:t>
      </w:r>
      <w:r w:rsidRPr="00C27D9C">
        <w:rPr>
          <w:rFonts w:ascii="Arial" w:hAnsi="Arial" w:cs="Arial"/>
          <w:color w:val="auto"/>
          <w:sz w:val="22"/>
          <w:szCs w:val="22"/>
        </w:rPr>
        <w:t xml:space="preserve">will require </w:t>
      </w:r>
      <w:r w:rsidRPr="00C27D9C">
        <w:rPr>
          <w:rFonts w:ascii="Arial" w:hAnsi="Arial" w:cs="Arial"/>
          <w:b/>
          <w:color w:val="auto"/>
          <w:sz w:val="22"/>
          <w:szCs w:val="22"/>
        </w:rPr>
        <w:t>PA</w:t>
      </w:r>
    </w:p>
    <w:p w14:paraId="241321DB" w14:textId="13E99A7B" w:rsidR="00C863E7" w:rsidRPr="00283CFD" w:rsidRDefault="00852ADF" w:rsidP="00283CFD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852ADF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glimepiride 3 mg – </w:t>
      </w:r>
      <w:r w:rsidRPr="00852ADF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  <w:r w:rsidRPr="00852ADF">
        <w:rPr>
          <w:rFonts w:ascii="Arial" w:eastAsiaTheme="minorHAnsi" w:hAnsi="Arial" w:cs="Arial"/>
          <w:color w:val="auto"/>
          <w:kern w:val="0"/>
          <w:sz w:val="22"/>
          <w:szCs w:val="22"/>
        </w:rPr>
        <w:t>; M90</w:t>
      </w:r>
    </w:p>
    <w:p w14:paraId="6E96466F" w14:textId="77777777" w:rsidR="006B20D5" w:rsidRPr="00993B05" w:rsidRDefault="006B20D5" w:rsidP="00993B05">
      <w:pPr>
        <w:tabs>
          <w:tab w:val="left" w:pos="1080"/>
        </w:tabs>
        <w:rPr>
          <w:rFonts w:ascii="Arial" w:hAnsi="Arial" w:cs="Arial"/>
        </w:rPr>
      </w:pPr>
    </w:p>
    <w:p w14:paraId="18A3C2C8" w14:textId="77777777" w:rsidR="00311223" w:rsidRPr="00311223" w:rsidRDefault="00311223" w:rsidP="00311223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r w:rsidRPr="00311223">
        <w:rPr>
          <w:rFonts w:ascii="Arial" w:hAnsi="Arial" w:cs="Arial"/>
          <w:sz w:val="26"/>
          <w:szCs w:val="26"/>
        </w:rPr>
        <w:t>Change in MassHealth Brand Name Preferred Over Generic Drug List Status</w:t>
      </w:r>
    </w:p>
    <w:p w14:paraId="0714937D" w14:textId="77777777" w:rsidR="00062FC6" w:rsidRPr="00993B05" w:rsidRDefault="00062FC6" w:rsidP="00993B05">
      <w:pPr>
        <w:tabs>
          <w:tab w:val="left" w:pos="1080"/>
        </w:tabs>
        <w:rPr>
          <w:rFonts w:ascii="Arial" w:hAnsi="Arial" w:cs="Arial"/>
        </w:rPr>
      </w:pPr>
    </w:p>
    <w:p w14:paraId="4A7DD8EA" w14:textId="74490A0F" w:rsidR="004504B6" w:rsidRDefault="004504B6" w:rsidP="004504B6">
      <w:p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C92EE8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Effective </w:t>
      </w:r>
      <w:r w:rsidR="00775CAA">
        <w:rPr>
          <w:rFonts w:ascii="Arial" w:eastAsiaTheme="minorHAnsi" w:hAnsi="Arial" w:cs="Arial"/>
          <w:color w:val="auto"/>
          <w:kern w:val="0"/>
          <w:sz w:val="22"/>
          <w:szCs w:val="22"/>
        </w:rPr>
        <w:t>April</w:t>
      </w:r>
      <w:r w:rsidRPr="00C92EE8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</w:t>
      </w:r>
      <w:r w:rsidR="00775CAA">
        <w:rPr>
          <w:rFonts w:ascii="Arial" w:eastAsiaTheme="minorHAnsi" w:hAnsi="Arial" w:cs="Arial"/>
          <w:color w:val="auto"/>
          <w:kern w:val="0"/>
          <w:sz w:val="22"/>
          <w:szCs w:val="22"/>
        </w:rPr>
        <w:t>1</w:t>
      </w:r>
      <w:r w:rsidRPr="00C92EE8">
        <w:rPr>
          <w:rFonts w:ascii="Arial" w:eastAsiaTheme="minorHAnsi" w:hAnsi="Arial" w:cs="Arial"/>
          <w:color w:val="auto"/>
          <w:kern w:val="0"/>
          <w:sz w:val="22"/>
          <w:szCs w:val="22"/>
        </w:rPr>
        <w:t>, 2025, the following agents will be added to the MassHealth Brand Name Preferred Over</w:t>
      </w:r>
      <w:r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</w:t>
      </w:r>
      <w:r w:rsidRPr="00C92EE8">
        <w:rPr>
          <w:rFonts w:ascii="Arial" w:eastAsiaTheme="minorHAnsi" w:hAnsi="Arial" w:cs="Arial"/>
          <w:color w:val="auto"/>
          <w:kern w:val="0"/>
          <w:sz w:val="22"/>
          <w:szCs w:val="22"/>
        </w:rPr>
        <w:t>Generic Drug List.</w:t>
      </w:r>
    </w:p>
    <w:p w14:paraId="3C4F5508" w14:textId="77777777" w:rsidR="004504B6" w:rsidRPr="00993B05" w:rsidRDefault="004504B6" w:rsidP="00993B05">
      <w:pPr>
        <w:tabs>
          <w:tab w:val="left" w:pos="1080"/>
        </w:tabs>
        <w:rPr>
          <w:rFonts w:ascii="Arial" w:hAnsi="Arial" w:cs="Arial"/>
        </w:rPr>
      </w:pPr>
    </w:p>
    <w:p w14:paraId="3022D46F" w14:textId="2717EBE0" w:rsidR="00775CAA" w:rsidRPr="00775CAA" w:rsidRDefault="00775CAA" w:rsidP="00775CAA">
      <w:pPr>
        <w:pStyle w:val="ListParagraph"/>
        <w:numPr>
          <w:ilvl w:val="0"/>
          <w:numId w:val="23"/>
        </w:num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775CAA">
        <w:rPr>
          <w:rFonts w:ascii="Arial" w:hAnsi="Arial" w:cs="Arial"/>
          <w:bCs/>
          <w:color w:val="auto"/>
          <w:sz w:val="22"/>
          <w:szCs w:val="22"/>
        </w:rPr>
        <w:t xml:space="preserve">Betimol (timolol) - </w:t>
      </w:r>
      <w:r w:rsidRPr="00775CAA">
        <w:rPr>
          <w:rFonts w:ascii="Arial" w:hAnsi="Arial" w:cs="Arial"/>
          <w:b/>
          <w:color w:val="auto"/>
          <w:sz w:val="22"/>
          <w:szCs w:val="22"/>
        </w:rPr>
        <w:t>PA</w:t>
      </w:r>
      <w:r w:rsidRPr="00775CAA">
        <w:rPr>
          <w:rFonts w:ascii="Arial" w:hAnsi="Arial" w:cs="Arial"/>
          <w:bCs/>
          <w:color w:val="auto"/>
          <w:sz w:val="22"/>
          <w:szCs w:val="22"/>
        </w:rPr>
        <w:t>; BP</w:t>
      </w:r>
      <w:r w:rsidR="00993B05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433C778C" w14:textId="0ED6FFF3" w:rsidR="00775CAA" w:rsidRPr="00775CAA" w:rsidRDefault="00775CAA" w:rsidP="00775CAA">
      <w:pPr>
        <w:pStyle w:val="ListParagraph"/>
        <w:numPr>
          <w:ilvl w:val="0"/>
          <w:numId w:val="23"/>
        </w:num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775CAA">
        <w:rPr>
          <w:rFonts w:ascii="Arial" w:hAnsi="Arial" w:cs="Arial"/>
          <w:bCs/>
          <w:color w:val="auto"/>
          <w:sz w:val="22"/>
          <w:szCs w:val="22"/>
        </w:rPr>
        <w:t>Mestinon (pyridostigmine bromide 60 mg tablet, 180 mg extended-release tablet); BP, A90</w:t>
      </w:r>
    </w:p>
    <w:p w14:paraId="68A53D3F" w14:textId="6AFB2EF9" w:rsidR="004504B6" w:rsidRPr="00993B05" w:rsidRDefault="00775CAA" w:rsidP="00775CAA">
      <w:pPr>
        <w:pStyle w:val="ListParagraph"/>
        <w:numPr>
          <w:ilvl w:val="0"/>
          <w:numId w:val="23"/>
        </w:numPr>
        <w:spacing w:line="259" w:lineRule="auto"/>
        <w:rPr>
          <w:rFonts w:ascii="Arial" w:hAnsi="Arial" w:cs="Arial"/>
          <w:bCs/>
          <w:color w:val="auto"/>
          <w:sz w:val="22"/>
          <w:szCs w:val="22"/>
          <w:lang w:val="pt-BR"/>
        </w:rPr>
      </w:pPr>
      <w:r w:rsidRPr="00993B05">
        <w:rPr>
          <w:rFonts w:ascii="Arial" w:hAnsi="Arial" w:cs="Arial"/>
          <w:bCs/>
          <w:color w:val="auto"/>
          <w:sz w:val="22"/>
          <w:szCs w:val="22"/>
          <w:lang w:val="pt-BR"/>
        </w:rPr>
        <w:t xml:space="preserve">Zituvio (sitagliptin) – </w:t>
      </w:r>
      <w:r w:rsidRPr="00993B05">
        <w:rPr>
          <w:rFonts w:ascii="Arial" w:hAnsi="Arial" w:cs="Arial"/>
          <w:b/>
          <w:color w:val="auto"/>
          <w:sz w:val="22"/>
          <w:szCs w:val="22"/>
          <w:lang w:val="pt-BR"/>
        </w:rPr>
        <w:t>PA</w:t>
      </w:r>
      <w:r w:rsidRPr="00993B05">
        <w:rPr>
          <w:rFonts w:ascii="Arial" w:hAnsi="Arial" w:cs="Arial"/>
          <w:bCs/>
          <w:color w:val="auto"/>
          <w:sz w:val="22"/>
          <w:szCs w:val="22"/>
          <w:lang w:val="pt-BR"/>
        </w:rPr>
        <w:t>; BP, M90</w:t>
      </w:r>
    </w:p>
    <w:p w14:paraId="2DD0AC20" w14:textId="77777777" w:rsidR="004504B6" w:rsidRPr="00993B05" w:rsidRDefault="004504B6" w:rsidP="00993B05">
      <w:pPr>
        <w:tabs>
          <w:tab w:val="left" w:pos="1080"/>
        </w:tabs>
        <w:rPr>
          <w:rFonts w:ascii="Arial" w:hAnsi="Arial" w:cs="Arial"/>
          <w:lang w:val="pt-BR"/>
        </w:rPr>
      </w:pPr>
    </w:p>
    <w:p w14:paraId="508CB263" w14:textId="2B5A2522" w:rsidR="00EF3241" w:rsidRPr="00EF3241" w:rsidRDefault="00EF3241" w:rsidP="00EF3241">
      <w:p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EF3241">
        <w:rPr>
          <w:rFonts w:ascii="Arial" w:hAnsi="Arial" w:cs="Arial"/>
          <w:bCs/>
          <w:color w:val="auto"/>
          <w:sz w:val="22"/>
          <w:szCs w:val="22"/>
        </w:rPr>
        <w:t xml:space="preserve">Effective </w:t>
      </w:r>
      <w:r w:rsidR="00DA6D62">
        <w:rPr>
          <w:rFonts w:ascii="Arial" w:hAnsi="Arial" w:cs="Arial"/>
          <w:bCs/>
          <w:color w:val="auto"/>
          <w:sz w:val="22"/>
          <w:szCs w:val="22"/>
        </w:rPr>
        <w:t>April</w:t>
      </w:r>
      <w:r w:rsidR="00043912">
        <w:rPr>
          <w:rFonts w:ascii="Arial" w:hAnsi="Arial" w:cs="Arial"/>
          <w:bCs/>
          <w:color w:val="auto"/>
          <w:sz w:val="22"/>
          <w:szCs w:val="22"/>
        </w:rPr>
        <w:t xml:space="preserve"> 1, 2025</w:t>
      </w:r>
      <w:r w:rsidRPr="00EF3241">
        <w:rPr>
          <w:rFonts w:ascii="Arial" w:hAnsi="Arial" w:cs="Arial"/>
          <w:bCs/>
          <w:color w:val="auto"/>
          <w:sz w:val="22"/>
          <w:szCs w:val="22"/>
        </w:rPr>
        <w:t>, the following agents will be removed from the MassHealth Brand Name Preferred Over Generic Drug List.</w:t>
      </w:r>
    </w:p>
    <w:p w14:paraId="2AA67EEE" w14:textId="444AB1C8" w:rsidR="00AC546E" w:rsidRPr="00AC546E" w:rsidRDefault="00AC546E" w:rsidP="00AC546E">
      <w:pPr>
        <w:pStyle w:val="Default"/>
        <w:framePr w:hSpace="180" w:wrap="around" w:vAnchor="text" w:hAnchor="text" w:y="117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AC546E">
        <w:rPr>
          <w:rFonts w:ascii="Arial" w:hAnsi="Arial" w:cs="Arial"/>
          <w:color w:val="auto"/>
          <w:sz w:val="22"/>
          <w:szCs w:val="22"/>
        </w:rPr>
        <w:t xml:space="preserve">Emend (aprepitant trifold pack) – </w:t>
      </w:r>
      <w:r w:rsidRPr="00AC546E">
        <w:rPr>
          <w:rFonts w:ascii="Arial" w:hAnsi="Arial" w:cs="Arial"/>
          <w:b/>
          <w:bCs/>
          <w:color w:val="auto"/>
          <w:sz w:val="22"/>
          <w:szCs w:val="22"/>
        </w:rPr>
        <w:t>PA</w:t>
      </w:r>
      <w:r w:rsidRPr="00AC546E">
        <w:rPr>
          <w:rFonts w:ascii="Arial" w:hAnsi="Arial" w:cs="Arial"/>
          <w:color w:val="auto"/>
          <w:sz w:val="22"/>
          <w:szCs w:val="22"/>
        </w:rPr>
        <w:t>; A90</w:t>
      </w:r>
      <w:r w:rsidR="00993B0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0604D4C" w14:textId="4ACE6CF7" w:rsidR="00AC546E" w:rsidRPr="00AC546E" w:rsidRDefault="00AC546E" w:rsidP="00AC546E">
      <w:pPr>
        <w:pStyle w:val="Default"/>
        <w:framePr w:hSpace="180" w:wrap="around" w:vAnchor="text" w:hAnchor="text" w:y="117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AC546E">
        <w:rPr>
          <w:rFonts w:ascii="Arial" w:hAnsi="Arial" w:cs="Arial"/>
          <w:color w:val="auto"/>
          <w:sz w:val="22"/>
          <w:szCs w:val="22"/>
        </w:rPr>
        <w:t>Marinol (dronabinol 2.5 mg) –</w:t>
      </w:r>
      <w:r w:rsidRPr="00AC546E">
        <w:rPr>
          <w:rFonts w:ascii="Arial" w:hAnsi="Arial" w:cs="Arial"/>
          <w:b/>
          <w:bCs/>
          <w:color w:val="auto"/>
          <w:sz w:val="22"/>
          <w:szCs w:val="22"/>
        </w:rPr>
        <w:t xml:space="preserve"> PA &gt; 2 units/day</w:t>
      </w:r>
      <w:r w:rsidRPr="00AC546E">
        <w:rPr>
          <w:rFonts w:ascii="Arial" w:hAnsi="Arial" w:cs="Arial"/>
          <w:color w:val="auto"/>
          <w:sz w:val="22"/>
          <w:szCs w:val="22"/>
        </w:rPr>
        <w:t>; #</w:t>
      </w:r>
      <w:r w:rsidR="00993B0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9823879" w14:textId="4C52CDDB" w:rsidR="00AC546E" w:rsidRPr="00AC546E" w:rsidRDefault="00AC546E" w:rsidP="00AC546E">
      <w:pPr>
        <w:pStyle w:val="Default"/>
        <w:framePr w:hSpace="180" w:wrap="around" w:vAnchor="text" w:hAnchor="text" w:y="117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AC546E">
        <w:rPr>
          <w:rFonts w:ascii="Arial" w:hAnsi="Arial" w:cs="Arial"/>
          <w:color w:val="auto"/>
          <w:sz w:val="22"/>
          <w:szCs w:val="22"/>
        </w:rPr>
        <w:t>Mycobutin</w:t>
      </w:r>
      <w:proofErr w:type="spellEnd"/>
      <w:r w:rsidRPr="00AC546E">
        <w:rPr>
          <w:rFonts w:ascii="Arial" w:hAnsi="Arial" w:cs="Arial"/>
          <w:color w:val="auto"/>
          <w:sz w:val="22"/>
          <w:szCs w:val="22"/>
        </w:rPr>
        <w:t xml:space="preserve"> (rifabutin); #; A90</w:t>
      </w:r>
      <w:r w:rsidR="00993B0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3BD47F5" w14:textId="77777777" w:rsidR="00AC546E" w:rsidRPr="00AC546E" w:rsidRDefault="00AC546E" w:rsidP="00AC546E">
      <w:pPr>
        <w:pStyle w:val="Default"/>
        <w:framePr w:hSpace="180" w:wrap="around" w:vAnchor="text" w:hAnchor="text" w:y="117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AC546E">
        <w:rPr>
          <w:rFonts w:ascii="Arial" w:hAnsi="Arial" w:cs="Arial"/>
          <w:color w:val="auto"/>
          <w:sz w:val="22"/>
          <w:szCs w:val="22"/>
        </w:rPr>
        <w:t xml:space="preserve">Nucynta (tapentadol) – </w:t>
      </w:r>
      <w:r w:rsidRPr="008762B2">
        <w:rPr>
          <w:rFonts w:ascii="Arial" w:hAnsi="Arial" w:cs="Arial"/>
          <w:b/>
          <w:bCs/>
          <w:color w:val="auto"/>
          <w:sz w:val="22"/>
          <w:szCs w:val="22"/>
        </w:rPr>
        <w:t>PA &gt; 300 mg/day</w:t>
      </w:r>
    </w:p>
    <w:p w14:paraId="6BD965D2" w14:textId="66937816" w:rsidR="00A2758A" w:rsidRPr="00A2758A" w:rsidRDefault="00AC546E" w:rsidP="00AC546E">
      <w:pPr>
        <w:pStyle w:val="Default"/>
        <w:framePr w:hSpace="180" w:wrap="around" w:vAnchor="text" w:hAnchor="text" w:y="117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AC546E">
        <w:rPr>
          <w:rFonts w:ascii="Arial" w:hAnsi="Arial" w:cs="Arial"/>
          <w:color w:val="auto"/>
          <w:sz w:val="22"/>
          <w:szCs w:val="22"/>
        </w:rPr>
        <w:t xml:space="preserve">Nucynta ER (tapentadol extended-release) – </w:t>
      </w:r>
      <w:r w:rsidRPr="008762B2">
        <w:rPr>
          <w:rFonts w:ascii="Arial" w:hAnsi="Arial" w:cs="Arial"/>
          <w:b/>
          <w:bCs/>
          <w:color w:val="auto"/>
          <w:sz w:val="22"/>
          <w:szCs w:val="22"/>
        </w:rPr>
        <w:t>PA &gt; 300 mg/day</w:t>
      </w:r>
    </w:p>
    <w:p w14:paraId="500936F1" w14:textId="21364154" w:rsidR="00205E56" w:rsidRPr="00205E56" w:rsidRDefault="00FC575E" w:rsidP="00CB1524">
      <w:pPr>
        <w:pStyle w:val="Heading2"/>
        <w:framePr w:hSpace="0" w:wrap="auto" w:vAnchor="margin" w:yAlign="inline"/>
        <w:spacing w:before="360" w:line="276" w:lineRule="auto"/>
      </w:pPr>
      <w:r>
        <w:rPr>
          <w:rFonts w:ascii="Arial" w:hAnsi="Arial" w:cs="Arial"/>
          <w:sz w:val="22"/>
          <w:szCs w:val="22"/>
        </w:rPr>
        <w:t>Deletions</w:t>
      </w:r>
    </w:p>
    <w:p w14:paraId="751BFBBB" w14:textId="7490AAAD" w:rsidR="0019219C" w:rsidRPr="0019219C" w:rsidRDefault="0019219C" w:rsidP="0019219C">
      <w:p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The following drugs </w:t>
      </w:r>
      <w:r w:rsidR="004D493F">
        <w:rPr>
          <w:rFonts w:ascii="Arial" w:hAnsi="Arial" w:cs="Arial"/>
          <w:bCs/>
          <w:color w:val="auto"/>
          <w:sz w:val="22"/>
          <w:szCs w:val="22"/>
        </w:rPr>
        <w:t>will</w:t>
      </w:r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 be removed from the MassHealth Drug List </w:t>
      </w:r>
      <w:r w:rsidR="004D493F">
        <w:rPr>
          <w:rFonts w:ascii="Arial" w:hAnsi="Arial" w:cs="Arial"/>
          <w:bCs/>
          <w:color w:val="auto"/>
          <w:sz w:val="22"/>
          <w:szCs w:val="22"/>
        </w:rPr>
        <w:t xml:space="preserve">effective </w:t>
      </w:r>
      <w:r w:rsidR="008762B2">
        <w:rPr>
          <w:rFonts w:ascii="Arial" w:hAnsi="Arial" w:cs="Arial"/>
          <w:bCs/>
          <w:color w:val="auto"/>
          <w:sz w:val="22"/>
          <w:szCs w:val="22"/>
        </w:rPr>
        <w:t>April</w:t>
      </w:r>
      <w:r w:rsidR="00043912">
        <w:rPr>
          <w:rFonts w:ascii="Arial" w:hAnsi="Arial" w:cs="Arial"/>
          <w:bCs/>
          <w:color w:val="auto"/>
          <w:sz w:val="22"/>
          <w:szCs w:val="22"/>
        </w:rPr>
        <w:t xml:space="preserve"> 1, 2025</w:t>
      </w:r>
      <w:r w:rsidR="004D493F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Pr="0019219C">
        <w:rPr>
          <w:rFonts w:ascii="Arial" w:hAnsi="Arial" w:cs="Arial"/>
          <w:bCs/>
          <w:color w:val="auto"/>
          <w:sz w:val="22"/>
          <w:szCs w:val="22"/>
        </w:rPr>
        <w:t>because they have been discontinued by the manufacturer.</w:t>
      </w:r>
    </w:p>
    <w:p w14:paraId="4D952D45" w14:textId="77777777" w:rsidR="0019219C" w:rsidRPr="0019219C" w:rsidRDefault="0019219C" w:rsidP="0019219C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5F2F577" w14:textId="3399B6D8" w:rsidR="00781F1C" w:rsidRPr="00781F1C" w:rsidRDefault="00781F1C" w:rsidP="00781F1C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781F1C">
        <w:rPr>
          <w:rFonts w:ascii="Arial" w:hAnsi="Arial" w:cs="Arial"/>
          <w:color w:val="auto"/>
          <w:sz w:val="22"/>
          <w:szCs w:val="22"/>
        </w:rPr>
        <w:lastRenderedPageBreak/>
        <w:t>Amaryl (glimepiride); #, M90</w:t>
      </w:r>
    </w:p>
    <w:p w14:paraId="54BF970B" w14:textId="10E99139" w:rsidR="00781F1C" w:rsidRPr="00781F1C" w:rsidRDefault="00781F1C" w:rsidP="00781F1C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781F1C">
        <w:rPr>
          <w:rFonts w:ascii="Arial" w:hAnsi="Arial" w:cs="Arial"/>
          <w:color w:val="auto"/>
          <w:sz w:val="22"/>
          <w:szCs w:val="22"/>
        </w:rPr>
        <w:t>Boniva (ibandronate tablet); #, M90</w:t>
      </w:r>
      <w:r w:rsidR="00993B0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5125F68" w14:textId="33EFDF3E" w:rsidR="00781F1C" w:rsidRPr="00781F1C" w:rsidRDefault="00781F1C" w:rsidP="00781F1C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781F1C">
        <w:rPr>
          <w:rFonts w:ascii="Arial" w:hAnsi="Arial" w:cs="Arial"/>
          <w:color w:val="auto"/>
          <w:sz w:val="22"/>
          <w:szCs w:val="22"/>
        </w:rPr>
        <w:t>Exkivity</w:t>
      </w:r>
      <w:proofErr w:type="spellEnd"/>
      <w:r w:rsidRPr="00781F1C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781F1C">
        <w:rPr>
          <w:rFonts w:ascii="Arial" w:hAnsi="Arial" w:cs="Arial"/>
          <w:color w:val="auto"/>
          <w:sz w:val="22"/>
          <w:szCs w:val="22"/>
        </w:rPr>
        <w:t>mobocertinib</w:t>
      </w:r>
      <w:proofErr w:type="spellEnd"/>
      <w:r w:rsidRPr="00781F1C">
        <w:rPr>
          <w:rFonts w:ascii="Arial" w:hAnsi="Arial" w:cs="Arial"/>
          <w:color w:val="auto"/>
          <w:sz w:val="22"/>
          <w:szCs w:val="22"/>
        </w:rPr>
        <w:t xml:space="preserve">) – </w:t>
      </w:r>
      <w:r w:rsidRPr="00781F1C">
        <w:rPr>
          <w:rFonts w:ascii="Arial" w:hAnsi="Arial" w:cs="Arial"/>
          <w:b/>
          <w:bCs/>
          <w:color w:val="auto"/>
          <w:sz w:val="22"/>
          <w:szCs w:val="22"/>
        </w:rPr>
        <w:t>PA</w:t>
      </w:r>
      <w:r w:rsidR="00993B0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CE2ED87" w14:textId="0F8310A7" w:rsidR="00781F1C" w:rsidRPr="00781F1C" w:rsidRDefault="00781F1C" w:rsidP="00781F1C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781F1C">
        <w:rPr>
          <w:rFonts w:ascii="Arial" w:hAnsi="Arial" w:cs="Arial"/>
          <w:color w:val="auto"/>
          <w:sz w:val="22"/>
          <w:szCs w:val="22"/>
        </w:rPr>
        <w:t xml:space="preserve">Kerydin (tavaborole) – </w:t>
      </w:r>
      <w:r w:rsidRPr="00781F1C">
        <w:rPr>
          <w:rFonts w:ascii="Arial" w:hAnsi="Arial" w:cs="Arial"/>
          <w:b/>
          <w:bCs/>
          <w:color w:val="auto"/>
          <w:sz w:val="22"/>
          <w:szCs w:val="22"/>
        </w:rPr>
        <w:t>PA</w:t>
      </w:r>
      <w:r w:rsidRPr="00781F1C">
        <w:rPr>
          <w:rFonts w:ascii="Arial" w:hAnsi="Arial" w:cs="Arial"/>
          <w:color w:val="auto"/>
          <w:sz w:val="22"/>
          <w:szCs w:val="22"/>
        </w:rPr>
        <w:t>; A90</w:t>
      </w:r>
      <w:r w:rsidR="00993B0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5EDF663" w14:textId="5C3AEA76" w:rsidR="00FC626B" w:rsidRPr="00FC626B" w:rsidRDefault="00781F1C" w:rsidP="00781F1C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781F1C">
        <w:rPr>
          <w:rFonts w:ascii="Arial" w:hAnsi="Arial" w:cs="Arial"/>
          <w:color w:val="auto"/>
          <w:sz w:val="22"/>
          <w:szCs w:val="22"/>
        </w:rPr>
        <w:t xml:space="preserve">Oxistat (oxiconazole cream) – </w:t>
      </w:r>
      <w:r w:rsidRPr="00781F1C">
        <w:rPr>
          <w:rFonts w:ascii="Arial" w:hAnsi="Arial" w:cs="Arial"/>
          <w:b/>
          <w:bCs/>
          <w:color w:val="auto"/>
          <w:sz w:val="22"/>
          <w:szCs w:val="22"/>
        </w:rPr>
        <w:t>PA</w:t>
      </w:r>
      <w:r w:rsidRPr="00781F1C">
        <w:rPr>
          <w:rFonts w:ascii="Arial" w:hAnsi="Arial" w:cs="Arial"/>
          <w:color w:val="auto"/>
          <w:sz w:val="22"/>
          <w:szCs w:val="22"/>
        </w:rPr>
        <w:t>; A90</w:t>
      </w:r>
      <w:r w:rsidR="00993B0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125E1BF" w14:textId="77777777" w:rsidR="0019219C" w:rsidRPr="0019219C" w:rsidRDefault="0019219C" w:rsidP="0019219C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75522537" w14:textId="2F30F10E" w:rsidR="0019219C" w:rsidRPr="0019219C" w:rsidRDefault="0019219C" w:rsidP="0019219C">
      <w:p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The </w:t>
      </w:r>
      <w:hyperlink r:id="rId16" w:history="1">
        <w:r w:rsidRPr="00A12B49">
          <w:rPr>
            <w:rStyle w:val="Hyperlink"/>
            <w:rFonts w:ascii="Arial" w:hAnsi="Arial" w:cs="Arial"/>
            <w:bCs/>
            <w:sz w:val="22"/>
            <w:szCs w:val="22"/>
          </w:rPr>
          <w:t>MassHealth Drug List's Upcoming and Recent Updates</w:t>
        </w:r>
      </w:hyperlink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 page summarizes changes that will become effective on </w:t>
      </w:r>
      <w:r w:rsidR="00781F1C">
        <w:rPr>
          <w:rFonts w:ascii="Arial" w:hAnsi="Arial" w:cs="Arial"/>
          <w:bCs/>
          <w:color w:val="auto"/>
          <w:sz w:val="22"/>
          <w:szCs w:val="22"/>
        </w:rPr>
        <w:t>April</w:t>
      </w:r>
      <w:r w:rsidR="00043912">
        <w:rPr>
          <w:rFonts w:ascii="Arial" w:hAnsi="Arial" w:cs="Arial"/>
          <w:bCs/>
          <w:color w:val="auto"/>
          <w:sz w:val="22"/>
          <w:szCs w:val="22"/>
        </w:rPr>
        <w:t xml:space="preserve"> 1, 2025</w:t>
      </w:r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. Please refer to the updated summary for more information (including other important upcoming changes). Additional information about coverage status and Prior Authorization requirements can be found on the </w:t>
      </w:r>
      <w:hyperlink r:id="rId17" w:history="1">
        <w:r w:rsidRPr="003125A4">
          <w:rPr>
            <w:rStyle w:val="Hyperlink"/>
            <w:rFonts w:ascii="Arial" w:hAnsi="Arial" w:cs="Arial"/>
            <w:bCs/>
            <w:sz w:val="22"/>
            <w:szCs w:val="22"/>
          </w:rPr>
          <w:t>MassHealth Drug List website</w:t>
        </w:r>
      </w:hyperlink>
      <w:r w:rsidRPr="0019219C">
        <w:rPr>
          <w:rFonts w:ascii="Arial" w:hAnsi="Arial" w:cs="Arial"/>
          <w:bCs/>
          <w:color w:val="auto"/>
          <w:sz w:val="22"/>
          <w:szCs w:val="22"/>
        </w:rPr>
        <w:t>.</w:t>
      </w:r>
    </w:p>
    <w:bookmarkEnd w:id="0"/>
    <w:p w14:paraId="677AEDCF" w14:textId="77777777" w:rsidR="00571C6C" w:rsidRDefault="00571C6C" w:rsidP="00992143">
      <w:pPr>
        <w:spacing w:after="4400" w:line="276" w:lineRule="auto"/>
        <w:jc w:val="center"/>
        <w:rPr>
          <w:rFonts w:ascii="Arial" w:hAnsi="Arial" w:cs="Arial"/>
        </w:rPr>
      </w:pPr>
    </w:p>
    <w:p w14:paraId="7B099E8F" w14:textId="12E7F3A6" w:rsidR="00AE483E" w:rsidRPr="0004685E" w:rsidRDefault="006558AB" w:rsidP="006B20D5">
      <w:pPr>
        <w:spacing w:line="276" w:lineRule="auto"/>
        <w:jc w:val="center"/>
        <w:rPr>
          <w:rFonts w:ascii="Arial" w:hAnsi="Arial" w:cs="Arial"/>
        </w:rPr>
      </w:pPr>
      <w:r w:rsidRPr="0004685E">
        <w:rPr>
          <w:rFonts w:ascii="Arial" w:hAnsi="Arial" w:cs="Arial"/>
        </w:rPr>
        <w:t>The Prescriber e-Letter is an update designed to enhance the transparency and efficiency of the MassHealth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drug prior-authorization (PA) process and the MassHealth Drug List. Each issue highlights key clinical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information and updates to the MassHealth Drug List. The Prescriber E-Letter was prepared by the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MassHealth Drug Utilization Review Program and the MassHealth Pharmacy Program.</w:t>
      </w:r>
    </w:p>
    <w:sectPr w:rsidR="00AE483E" w:rsidRPr="0004685E" w:rsidSect="00870CBF">
      <w:headerReference w:type="default" r:id="rId18"/>
      <w:footerReference w:type="even" r:id="rId19"/>
      <w:footerReference w:type="default" r:id="rId20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FE214" w14:textId="77777777" w:rsidR="006A2743" w:rsidRDefault="006A2743">
      <w:r>
        <w:separator/>
      </w:r>
    </w:p>
  </w:endnote>
  <w:endnote w:type="continuationSeparator" w:id="0">
    <w:p w14:paraId="3BF3DF0D" w14:textId="77777777" w:rsidR="006A2743" w:rsidRDefault="006A2743">
      <w:r>
        <w:continuationSeparator/>
      </w:r>
    </w:p>
  </w:endnote>
  <w:endnote w:type="continuationNotice" w:id="1">
    <w:p w14:paraId="1DE53BA5" w14:textId="77777777" w:rsidR="006A2743" w:rsidRDefault="006A2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  <w:p w14:paraId="3A077509" w14:textId="6268F1D9" w:rsidR="002F4A95" w:rsidRDefault="002F4A95" w:rsidP="002F4A9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6CD6" w14:textId="77777777" w:rsidR="006A2743" w:rsidRDefault="006A2743">
      <w:r>
        <w:separator/>
      </w:r>
    </w:p>
  </w:footnote>
  <w:footnote w:type="continuationSeparator" w:id="0">
    <w:p w14:paraId="2B3E5D68" w14:textId="77777777" w:rsidR="006A2743" w:rsidRDefault="006A2743">
      <w:r>
        <w:continuationSeparator/>
      </w:r>
    </w:p>
  </w:footnote>
  <w:footnote w:type="continuationNotice" w:id="1">
    <w:p w14:paraId="0B37841B" w14:textId="77777777" w:rsidR="006A2743" w:rsidRDefault="006A27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7E15" w14:textId="7C0884EA" w:rsidR="00F56604" w:rsidRPr="00F56604" w:rsidRDefault="001751B1" w:rsidP="00F56604">
    <w:pPr>
      <w:pStyle w:val="Header"/>
    </w:pPr>
    <w:r w:rsidRPr="6D6E69F4">
      <w:t>Volume</w:t>
    </w:r>
    <w:r>
      <w:t xml:space="preserve"> 15</w:t>
    </w:r>
    <w:r w:rsidRPr="6D6E69F4">
      <w:t>, Issue</w:t>
    </w:r>
    <w:r>
      <w:t xml:space="preserve"> 1</w:t>
    </w:r>
    <w:r w:rsidRPr="6D6E69F4">
      <w:t xml:space="preserve">, </w:t>
    </w:r>
    <w:r w:rsidRPr="00993B05">
      <w:t xml:space="preserve">January </w:t>
    </w:r>
    <w:r w:rsidRPr="00427893">
      <w:t>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0E7A3C79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01DC2">
      <w:rPr>
        <w:rFonts w:ascii="Trebuchet MS" w:hAnsi="Trebuchet MS"/>
        <w:b/>
        <w:sz w:val="18"/>
        <w:szCs w:val="18"/>
        <w:lang w:val="en"/>
      </w:rPr>
      <w:t>[X]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01DC2">
      <w:rPr>
        <w:rFonts w:ascii="Trebuchet MS" w:hAnsi="Trebuchet MS"/>
        <w:b/>
        <w:sz w:val="18"/>
        <w:szCs w:val="18"/>
        <w:lang w:val="en"/>
      </w:rPr>
      <w:t>[X], [MONTH YEAR]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A5C5A"/>
    <w:multiLevelType w:val="hybridMultilevel"/>
    <w:tmpl w:val="04DA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8255C"/>
    <w:multiLevelType w:val="hybridMultilevel"/>
    <w:tmpl w:val="B2CEF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F132B"/>
    <w:multiLevelType w:val="hybridMultilevel"/>
    <w:tmpl w:val="DB84D9E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3C01EA"/>
    <w:multiLevelType w:val="hybridMultilevel"/>
    <w:tmpl w:val="3A4CDCAE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4711A3"/>
    <w:multiLevelType w:val="hybridMultilevel"/>
    <w:tmpl w:val="C0BEB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65391">
    <w:abstractNumId w:val="1"/>
  </w:num>
  <w:num w:numId="2" w16cid:durableId="900097909">
    <w:abstractNumId w:val="20"/>
  </w:num>
  <w:num w:numId="3" w16cid:durableId="1055355579">
    <w:abstractNumId w:val="9"/>
  </w:num>
  <w:num w:numId="4" w16cid:durableId="199826978">
    <w:abstractNumId w:val="8"/>
  </w:num>
  <w:num w:numId="5" w16cid:durableId="1782339195">
    <w:abstractNumId w:val="21"/>
  </w:num>
  <w:num w:numId="6" w16cid:durableId="321617534">
    <w:abstractNumId w:val="22"/>
  </w:num>
  <w:num w:numId="7" w16cid:durableId="514729983">
    <w:abstractNumId w:val="2"/>
  </w:num>
  <w:num w:numId="8" w16cid:durableId="1932081016">
    <w:abstractNumId w:val="12"/>
  </w:num>
  <w:num w:numId="9" w16cid:durableId="2079358099">
    <w:abstractNumId w:val="4"/>
  </w:num>
  <w:num w:numId="10" w16cid:durableId="329336526">
    <w:abstractNumId w:val="0"/>
  </w:num>
  <w:num w:numId="11" w16cid:durableId="747574778">
    <w:abstractNumId w:val="5"/>
  </w:num>
  <w:num w:numId="12" w16cid:durableId="864055193">
    <w:abstractNumId w:val="3"/>
  </w:num>
  <w:num w:numId="13" w16cid:durableId="990477161">
    <w:abstractNumId w:val="11"/>
  </w:num>
  <w:num w:numId="14" w16cid:durableId="1299412918">
    <w:abstractNumId w:val="14"/>
  </w:num>
  <w:num w:numId="15" w16cid:durableId="47382837">
    <w:abstractNumId w:val="19"/>
  </w:num>
  <w:num w:numId="16" w16cid:durableId="223032385">
    <w:abstractNumId w:val="13"/>
  </w:num>
  <w:num w:numId="17" w16cid:durableId="957570114">
    <w:abstractNumId w:val="7"/>
  </w:num>
  <w:num w:numId="18" w16cid:durableId="923419402">
    <w:abstractNumId w:val="6"/>
  </w:num>
  <w:num w:numId="19" w16cid:durableId="1414740414">
    <w:abstractNumId w:val="15"/>
  </w:num>
  <w:num w:numId="20" w16cid:durableId="573467208">
    <w:abstractNumId w:val="17"/>
  </w:num>
  <w:num w:numId="21" w16cid:durableId="265770662">
    <w:abstractNumId w:val="18"/>
  </w:num>
  <w:num w:numId="22" w16cid:durableId="848445145">
    <w:abstractNumId w:val="10"/>
  </w:num>
  <w:num w:numId="23" w16cid:durableId="5547035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5E7"/>
    <w:rsid w:val="000006DF"/>
    <w:rsid w:val="0000582A"/>
    <w:rsid w:val="0000622F"/>
    <w:rsid w:val="0001242D"/>
    <w:rsid w:val="000172B8"/>
    <w:rsid w:val="00022CA5"/>
    <w:rsid w:val="00032571"/>
    <w:rsid w:val="00034CE8"/>
    <w:rsid w:val="00041A1A"/>
    <w:rsid w:val="00041F7C"/>
    <w:rsid w:val="00042FD6"/>
    <w:rsid w:val="0004346A"/>
    <w:rsid w:val="00043912"/>
    <w:rsid w:val="00043DB1"/>
    <w:rsid w:val="00045863"/>
    <w:rsid w:val="0004685E"/>
    <w:rsid w:val="00051E6C"/>
    <w:rsid w:val="00055E2A"/>
    <w:rsid w:val="00057562"/>
    <w:rsid w:val="00062FC6"/>
    <w:rsid w:val="00066FFE"/>
    <w:rsid w:val="00070C8D"/>
    <w:rsid w:val="00074014"/>
    <w:rsid w:val="00076469"/>
    <w:rsid w:val="00076A4D"/>
    <w:rsid w:val="00080A76"/>
    <w:rsid w:val="000814C3"/>
    <w:rsid w:val="000A26B3"/>
    <w:rsid w:val="000A6C99"/>
    <w:rsid w:val="000B4487"/>
    <w:rsid w:val="000C15E5"/>
    <w:rsid w:val="000C2AEE"/>
    <w:rsid w:val="000E5134"/>
    <w:rsid w:val="000E515F"/>
    <w:rsid w:val="000F145D"/>
    <w:rsid w:val="000F19D2"/>
    <w:rsid w:val="001003DC"/>
    <w:rsid w:val="00101872"/>
    <w:rsid w:val="001038B4"/>
    <w:rsid w:val="001049C6"/>
    <w:rsid w:val="00107CA4"/>
    <w:rsid w:val="00112E05"/>
    <w:rsid w:val="00113A33"/>
    <w:rsid w:val="00137002"/>
    <w:rsid w:val="00143EFF"/>
    <w:rsid w:val="00146E96"/>
    <w:rsid w:val="00161B6A"/>
    <w:rsid w:val="0016598C"/>
    <w:rsid w:val="00165FB0"/>
    <w:rsid w:val="0017504B"/>
    <w:rsid w:val="001751B1"/>
    <w:rsid w:val="00175C12"/>
    <w:rsid w:val="00177988"/>
    <w:rsid w:val="00180CAA"/>
    <w:rsid w:val="00182385"/>
    <w:rsid w:val="0019219C"/>
    <w:rsid w:val="001978CB"/>
    <w:rsid w:val="001A4C38"/>
    <w:rsid w:val="001A6565"/>
    <w:rsid w:val="001B2DED"/>
    <w:rsid w:val="001B4E72"/>
    <w:rsid w:val="001B58F6"/>
    <w:rsid w:val="001B712E"/>
    <w:rsid w:val="001C1FAD"/>
    <w:rsid w:val="001C2E84"/>
    <w:rsid w:val="001C4E25"/>
    <w:rsid w:val="001D2A7B"/>
    <w:rsid w:val="001D5124"/>
    <w:rsid w:val="001D7759"/>
    <w:rsid w:val="001E3620"/>
    <w:rsid w:val="001E762D"/>
    <w:rsid w:val="001E7935"/>
    <w:rsid w:val="00203122"/>
    <w:rsid w:val="00205E56"/>
    <w:rsid w:val="00215FB5"/>
    <w:rsid w:val="002172A7"/>
    <w:rsid w:val="0021775D"/>
    <w:rsid w:val="0022143C"/>
    <w:rsid w:val="00227174"/>
    <w:rsid w:val="002400F6"/>
    <w:rsid w:val="00242A52"/>
    <w:rsid w:val="00246894"/>
    <w:rsid w:val="00251218"/>
    <w:rsid w:val="002520E7"/>
    <w:rsid w:val="002559B8"/>
    <w:rsid w:val="002712BE"/>
    <w:rsid w:val="00272F9F"/>
    <w:rsid w:val="00273E75"/>
    <w:rsid w:val="0027618E"/>
    <w:rsid w:val="00283746"/>
    <w:rsid w:val="00283CFD"/>
    <w:rsid w:val="00286F9C"/>
    <w:rsid w:val="00287F60"/>
    <w:rsid w:val="002959F0"/>
    <w:rsid w:val="002A566F"/>
    <w:rsid w:val="002B16E1"/>
    <w:rsid w:val="002B4B60"/>
    <w:rsid w:val="002C14BD"/>
    <w:rsid w:val="002C261E"/>
    <w:rsid w:val="002C326C"/>
    <w:rsid w:val="002D1C5C"/>
    <w:rsid w:val="002D6F34"/>
    <w:rsid w:val="002E55F8"/>
    <w:rsid w:val="002E6DD1"/>
    <w:rsid w:val="002E75D3"/>
    <w:rsid w:val="002F154A"/>
    <w:rsid w:val="002F1A78"/>
    <w:rsid w:val="002F3AAD"/>
    <w:rsid w:val="002F4A95"/>
    <w:rsid w:val="003064EC"/>
    <w:rsid w:val="0031009A"/>
    <w:rsid w:val="00311223"/>
    <w:rsid w:val="003125A4"/>
    <w:rsid w:val="003128F3"/>
    <w:rsid w:val="0031549E"/>
    <w:rsid w:val="003159D1"/>
    <w:rsid w:val="00316A86"/>
    <w:rsid w:val="0031728E"/>
    <w:rsid w:val="00325D8F"/>
    <w:rsid w:val="00330FB0"/>
    <w:rsid w:val="00344037"/>
    <w:rsid w:val="0034440C"/>
    <w:rsid w:val="00353AD3"/>
    <w:rsid w:val="00365B4B"/>
    <w:rsid w:val="00366132"/>
    <w:rsid w:val="00366BAA"/>
    <w:rsid w:val="00367696"/>
    <w:rsid w:val="00371601"/>
    <w:rsid w:val="00373275"/>
    <w:rsid w:val="00377A75"/>
    <w:rsid w:val="00391D58"/>
    <w:rsid w:val="00394194"/>
    <w:rsid w:val="003971CE"/>
    <w:rsid w:val="00397377"/>
    <w:rsid w:val="003A17FB"/>
    <w:rsid w:val="003A670A"/>
    <w:rsid w:val="003B251D"/>
    <w:rsid w:val="003C0161"/>
    <w:rsid w:val="003C15F6"/>
    <w:rsid w:val="003D177D"/>
    <w:rsid w:val="003E7380"/>
    <w:rsid w:val="003F7F93"/>
    <w:rsid w:val="0040022A"/>
    <w:rsid w:val="00401354"/>
    <w:rsid w:val="00410458"/>
    <w:rsid w:val="00411059"/>
    <w:rsid w:val="00411C19"/>
    <w:rsid w:val="0041665A"/>
    <w:rsid w:val="00424615"/>
    <w:rsid w:val="00425560"/>
    <w:rsid w:val="00427893"/>
    <w:rsid w:val="00427D00"/>
    <w:rsid w:val="00433649"/>
    <w:rsid w:val="0044614E"/>
    <w:rsid w:val="00446350"/>
    <w:rsid w:val="004504B6"/>
    <w:rsid w:val="004564C8"/>
    <w:rsid w:val="00456BB4"/>
    <w:rsid w:val="004607BC"/>
    <w:rsid w:val="004607D7"/>
    <w:rsid w:val="00463AE8"/>
    <w:rsid w:val="004650A7"/>
    <w:rsid w:val="0046520A"/>
    <w:rsid w:val="00467BD4"/>
    <w:rsid w:val="00470FE2"/>
    <w:rsid w:val="0047213A"/>
    <w:rsid w:val="004733F0"/>
    <w:rsid w:val="004755BD"/>
    <w:rsid w:val="0047627E"/>
    <w:rsid w:val="00477057"/>
    <w:rsid w:val="00485E86"/>
    <w:rsid w:val="004867E2"/>
    <w:rsid w:val="0049555F"/>
    <w:rsid w:val="0049734F"/>
    <w:rsid w:val="004A58A3"/>
    <w:rsid w:val="004A5933"/>
    <w:rsid w:val="004B24F7"/>
    <w:rsid w:val="004B4369"/>
    <w:rsid w:val="004B77A9"/>
    <w:rsid w:val="004C0C22"/>
    <w:rsid w:val="004D06F1"/>
    <w:rsid w:val="004D493F"/>
    <w:rsid w:val="004D7846"/>
    <w:rsid w:val="004E42DD"/>
    <w:rsid w:val="004E58D0"/>
    <w:rsid w:val="004E6787"/>
    <w:rsid w:val="004F3FB4"/>
    <w:rsid w:val="004F5803"/>
    <w:rsid w:val="00502B92"/>
    <w:rsid w:val="00505053"/>
    <w:rsid w:val="0050687D"/>
    <w:rsid w:val="005175F7"/>
    <w:rsid w:val="00523813"/>
    <w:rsid w:val="00532641"/>
    <w:rsid w:val="00533C5E"/>
    <w:rsid w:val="005345EF"/>
    <w:rsid w:val="00536EBB"/>
    <w:rsid w:val="0055653E"/>
    <w:rsid w:val="005566B0"/>
    <w:rsid w:val="005639B0"/>
    <w:rsid w:val="00567B9D"/>
    <w:rsid w:val="00570406"/>
    <w:rsid w:val="005704FB"/>
    <w:rsid w:val="00571C6C"/>
    <w:rsid w:val="0057278E"/>
    <w:rsid w:val="00576DC3"/>
    <w:rsid w:val="00577FEC"/>
    <w:rsid w:val="00580E97"/>
    <w:rsid w:val="00581E50"/>
    <w:rsid w:val="00583A96"/>
    <w:rsid w:val="005842A0"/>
    <w:rsid w:val="005851F1"/>
    <w:rsid w:val="00591187"/>
    <w:rsid w:val="0059122F"/>
    <w:rsid w:val="00592C98"/>
    <w:rsid w:val="0059487B"/>
    <w:rsid w:val="00596534"/>
    <w:rsid w:val="005A21DB"/>
    <w:rsid w:val="005A74DA"/>
    <w:rsid w:val="005B3507"/>
    <w:rsid w:val="005B73A3"/>
    <w:rsid w:val="005C05FA"/>
    <w:rsid w:val="005D3CAF"/>
    <w:rsid w:val="005D506B"/>
    <w:rsid w:val="005D56B2"/>
    <w:rsid w:val="005E0ED5"/>
    <w:rsid w:val="005E52FC"/>
    <w:rsid w:val="005E576E"/>
    <w:rsid w:val="005E7B03"/>
    <w:rsid w:val="005F35CD"/>
    <w:rsid w:val="00610115"/>
    <w:rsid w:val="00612B60"/>
    <w:rsid w:val="00622404"/>
    <w:rsid w:val="0062336E"/>
    <w:rsid w:val="0062529B"/>
    <w:rsid w:val="00626A67"/>
    <w:rsid w:val="0064259B"/>
    <w:rsid w:val="0064266F"/>
    <w:rsid w:val="00650CB2"/>
    <w:rsid w:val="00653EAC"/>
    <w:rsid w:val="006558AB"/>
    <w:rsid w:val="0067107B"/>
    <w:rsid w:val="00680C86"/>
    <w:rsid w:val="00690023"/>
    <w:rsid w:val="0069031E"/>
    <w:rsid w:val="006A2743"/>
    <w:rsid w:val="006A28CD"/>
    <w:rsid w:val="006A777A"/>
    <w:rsid w:val="006B207B"/>
    <w:rsid w:val="006B20D5"/>
    <w:rsid w:val="006B7613"/>
    <w:rsid w:val="006C3B50"/>
    <w:rsid w:val="006D5F0A"/>
    <w:rsid w:val="006D70E0"/>
    <w:rsid w:val="006E0362"/>
    <w:rsid w:val="00702546"/>
    <w:rsid w:val="00711113"/>
    <w:rsid w:val="00717A1C"/>
    <w:rsid w:val="00721778"/>
    <w:rsid w:val="007243D7"/>
    <w:rsid w:val="007311C3"/>
    <w:rsid w:val="007459B2"/>
    <w:rsid w:val="00752617"/>
    <w:rsid w:val="00755D91"/>
    <w:rsid w:val="00762B83"/>
    <w:rsid w:val="00767D6F"/>
    <w:rsid w:val="00770CB5"/>
    <w:rsid w:val="007736F7"/>
    <w:rsid w:val="00775CAA"/>
    <w:rsid w:val="00776346"/>
    <w:rsid w:val="00781F1C"/>
    <w:rsid w:val="00785C9F"/>
    <w:rsid w:val="0078683C"/>
    <w:rsid w:val="0079312B"/>
    <w:rsid w:val="007947FB"/>
    <w:rsid w:val="00795A7C"/>
    <w:rsid w:val="00796800"/>
    <w:rsid w:val="007A2C73"/>
    <w:rsid w:val="007A3DAF"/>
    <w:rsid w:val="007A715F"/>
    <w:rsid w:val="007E4CAE"/>
    <w:rsid w:val="007E77D7"/>
    <w:rsid w:val="007F2D62"/>
    <w:rsid w:val="0080735F"/>
    <w:rsid w:val="00807E9F"/>
    <w:rsid w:val="00816B7A"/>
    <w:rsid w:val="00821F5B"/>
    <w:rsid w:val="00822B62"/>
    <w:rsid w:val="008403CA"/>
    <w:rsid w:val="00840D1F"/>
    <w:rsid w:val="0084212C"/>
    <w:rsid w:val="00844307"/>
    <w:rsid w:val="00844A19"/>
    <w:rsid w:val="0084544F"/>
    <w:rsid w:val="00852ADF"/>
    <w:rsid w:val="0085378A"/>
    <w:rsid w:val="00860511"/>
    <w:rsid w:val="00860BA1"/>
    <w:rsid w:val="00861741"/>
    <w:rsid w:val="00862590"/>
    <w:rsid w:val="00865AEA"/>
    <w:rsid w:val="00870CBF"/>
    <w:rsid w:val="008722AE"/>
    <w:rsid w:val="00872E7F"/>
    <w:rsid w:val="00873BEF"/>
    <w:rsid w:val="00875B78"/>
    <w:rsid w:val="008762B2"/>
    <w:rsid w:val="008819EB"/>
    <w:rsid w:val="0088325C"/>
    <w:rsid w:val="008911F3"/>
    <w:rsid w:val="00892205"/>
    <w:rsid w:val="00893E85"/>
    <w:rsid w:val="00894622"/>
    <w:rsid w:val="008946E9"/>
    <w:rsid w:val="008967CE"/>
    <w:rsid w:val="008A1B35"/>
    <w:rsid w:val="008A4DFB"/>
    <w:rsid w:val="008B0999"/>
    <w:rsid w:val="008B221F"/>
    <w:rsid w:val="008B56EF"/>
    <w:rsid w:val="008B6DEF"/>
    <w:rsid w:val="008C4642"/>
    <w:rsid w:val="008E5183"/>
    <w:rsid w:val="008E79B3"/>
    <w:rsid w:val="008F25B4"/>
    <w:rsid w:val="00901DC2"/>
    <w:rsid w:val="00915088"/>
    <w:rsid w:val="00917BB8"/>
    <w:rsid w:val="00922C53"/>
    <w:rsid w:val="00923341"/>
    <w:rsid w:val="00927CAB"/>
    <w:rsid w:val="00947F70"/>
    <w:rsid w:val="00950233"/>
    <w:rsid w:val="009555A8"/>
    <w:rsid w:val="00956812"/>
    <w:rsid w:val="00980B18"/>
    <w:rsid w:val="00981497"/>
    <w:rsid w:val="00982128"/>
    <w:rsid w:val="00986205"/>
    <w:rsid w:val="00986AF3"/>
    <w:rsid w:val="009913AF"/>
    <w:rsid w:val="00992143"/>
    <w:rsid w:val="00993B05"/>
    <w:rsid w:val="009A2A6E"/>
    <w:rsid w:val="009A3763"/>
    <w:rsid w:val="009A4123"/>
    <w:rsid w:val="009B1AAF"/>
    <w:rsid w:val="009B2ABA"/>
    <w:rsid w:val="009D1E1C"/>
    <w:rsid w:val="009D2B0C"/>
    <w:rsid w:val="009D453B"/>
    <w:rsid w:val="009E00CE"/>
    <w:rsid w:val="009E2313"/>
    <w:rsid w:val="009F04D6"/>
    <w:rsid w:val="00A128B9"/>
    <w:rsid w:val="00A12B49"/>
    <w:rsid w:val="00A13579"/>
    <w:rsid w:val="00A26095"/>
    <w:rsid w:val="00A2758A"/>
    <w:rsid w:val="00A34B98"/>
    <w:rsid w:val="00A36FA0"/>
    <w:rsid w:val="00A37691"/>
    <w:rsid w:val="00A54558"/>
    <w:rsid w:val="00A63EE0"/>
    <w:rsid w:val="00A65E97"/>
    <w:rsid w:val="00A82D27"/>
    <w:rsid w:val="00A83962"/>
    <w:rsid w:val="00A84104"/>
    <w:rsid w:val="00A856E6"/>
    <w:rsid w:val="00A95432"/>
    <w:rsid w:val="00AA0399"/>
    <w:rsid w:val="00AA6F20"/>
    <w:rsid w:val="00AB304D"/>
    <w:rsid w:val="00AC546E"/>
    <w:rsid w:val="00AD349F"/>
    <w:rsid w:val="00AD42BB"/>
    <w:rsid w:val="00AD5A76"/>
    <w:rsid w:val="00AE483E"/>
    <w:rsid w:val="00AF3BAA"/>
    <w:rsid w:val="00B10C3E"/>
    <w:rsid w:val="00B13074"/>
    <w:rsid w:val="00B20840"/>
    <w:rsid w:val="00B30E77"/>
    <w:rsid w:val="00B31AF2"/>
    <w:rsid w:val="00B44DE1"/>
    <w:rsid w:val="00B529FF"/>
    <w:rsid w:val="00B5390A"/>
    <w:rsid w:val="00B54AB5"/>
    <w:rsid w:val="00B65AEA"/>
    <w:rsid w:val="00B6651C"/>
    <w:rsid w:val="00B7453A"/>
    <w:rsid w:val="00B92F91"/>
    <w:rsid w:val="00B96C06"/>
    <w:rsid w:val="00BA69EB"/>
    <w:rsid w:val="00BB15B2"/>
    <w:rsid w:val="00BB6229"/>
    <w:rsid w:val="00BD0118"/>
    <w:rsid w:val="00BD7648"/>
    <w:rsid w:val="00BE46A7"/>
    <w:rsid w:val="00BF4A81"/>
    <w:rsid w:val="00BF73BB"/>
    <w:rsid w:val="00C0073C"/>
    <w:rsid w:val="00C009F8"/>
    <w:rsid w:val="00C03DAA"/>
    <w:rsid w:val="00C07931"/>
    <w:rsid w:val="00C208B7"/>
    <w:rsid w:val="00C21F71"/>
    <w:rsid w:val="00C24050"/>
    <w:rsid w:val="00C25B35"/>
    <w:rsid w:val="00C26785"/>
    <w:rsid w:val="00C27D9C"/>
    <w:rsid w:val="00C35B94"/>
    <w:rsid w:val="00C4079D"/>
    <w:rsid w:val="00C409B3"/>
    <w:rsid w:val="00C4587F"/>
    <w:rsid w:val="00C50054"/>
    <w:rsid w:val="00C54D38"/>
    <w:rsid w:val="00C556DB"/>
    <w:rsid w:val="00C578AB"/>
    <w:rsid w:val="00C578C7"/>
    <w:rsid w:val="00C62A5E"/>
    <w:rsid w:val="00C656AF"/>
    <w:rsid w:val="00C76762"/>
    <w:rsid w:val="00C82355"/>
    <w:rsid w:val="00C833EF"/>
    <w:rsid w:val="00C8396F"/>
    <w:rsid w:val="00C863E7"/>
    <w:rsid w:val="00C92FCC"/>
    <w:rsid w:val="00C97787"/>
    <w:rsid w:val="00CA0313"/>
    <w:rsid w:val="00CA0669"/>
    <w:rsid w:val="00CA1D66"/>
    <w:rsid w:val="00CA4BAC"/>
    <w:rsid w:val="00CA4C28"/>
    <w:rsid w:val="00CA6B6E"/>
    <w:rsid w:val="00CB1524"/>
    <w:rsid w:val="00CC539D"/>
    <w:rsid w:val="00CD1B3A"/>
    <w:rsid w:val="00CD7211"/>
    <w:rsid w:val="00CD7C0E"/>
    <w:rsid w:val="00CE27E7"/>
    <w:rsid w:val="00CE36C1"/>
    <w:rsid w:val="00CE4848"/>
    <w:rsid w:val="00CF2078"/>
    <w:rsid w:val="00CF48E3"/>
    <w:rsid w:val="00D05D9C"/>
    <w:rsid w:val="00D115B8"/>
    <w:rsid w:val="00D14BBD"/>
    <w:rsid w:val="00D15F4A"/>
    <w:rsid w:val="00D201C0"/>
    <w:rsid w:val="00D21FA6"/>
    <w:rsid w:val="00D245EF"/>
    <w:rsid w:val="00D2695E"/>
    <w:rsid w:val="00D726DF"/>
    <w:rsid w:val="00D757B8"/>
    <w:rsid w:val="00D77884"/>
    <w:rsid w:val="00D821A9"/>
    <w:rsid w:val="00D97D27"/>
    <w:rsid w:val="00DA302D"/>
    <w:rsid w:val="00DA4328"/>
    <w:rsid w:val="00DA6D62"/>
    <w:rsid w:val="00DA7FE7"/>
    <w:rsid w:val="00DB2EE5"/>
    <w:rsid w:val="00DB3BB6"/>
    <w:rsid w:val="00DB79AB"/>
    <w:rsid w:val="00DC0E97"/>
    <w:rsid w:val="00DC1ACC"/>
    <w:rsid w:val="00DC7F7B"/>
    <w:rsid w:val="00DD2187"/>
    <w:rsid w:val="00DE5C94"/>
    <w:rsid w:val="00DF2CCE"/>
    <w:rsid w:val="00DF3E53"/>
    <w:rsid w:val="00E009F7"/>
    <w:rsid w:val="00E06D78"/>
    <w:rsid w:val="00E1027A"/>
    <w:rsid w:val="00E2339F"/>
    <w:rsid w:val="00E23CEA"/>
    <w:rsid w:val="00E31AED"/>
    <w:rsid w:val="00E31CAE"/>
    <w:rsid w:val="00E35E0F"/>
    <w:rsid w:val="00E370BD"/>
    <w:rsid w:val="00E61DD5"/>
    <w:rsid w:val="00E679DA"/>
    <w:rsid w:val="00E831CE"/>
    <w:rsid w:val="00E90319"/>
    <w:rsid w:val="00E9521B"/>
    <w:rsid w:val="00EA3B9F"/>
    <w:rsid w:val="00EB0E73"/>
    <w:rsid w:val="00EB3ACD"/>
    <w:rsid w:val="00EB5FE2"/>
    <w:rsid w:val="00EC08AC"/>
    <w:rsid w:val="00EE1090"/>
    <w:rsid w:val="00EE333C"/>
    <w:rsid w:val="00EE46DF"/>
    <w:rsid w:val="00EE67F4"/>
    <w:rsid w:val="00EE74FF"/>
    <w:rsid w:val="00EF3241"/>
    <w:rsid w:val="00EF76E8"/>
    <w:rsid w:val="00F01FFC"/>
    <w:rsid w:val="00F42C2D"/>
    <w:rsid w:val="00F51B4F"/>
    <w:rsid w:val="00F53DA0"/>
    <w:rsid w:val="00F53FFB"/>
    <w:rsid w:val="00F56604"/>
    <w:rsid w:val="00F636E3"/>
    <w:rsid w:val="00F66EB8"/>
    <w:rsid w:val="00F67537"/>
    <w:rsid w:val="00F67D45"/>
    <w:rsid w:val="00F71CC7"/>
    <w:rsid w:val="00F85E0D"/>
    <w:rsid w:val="00F9023B"/>
    <w:rsid w:val="00F95CD5"/>
    <w:rsid w:val="00F9792D"/>
    <w:rsid w:val="00FA5787"/>
    <w:rsid w:val="00FA5B7B"/>
    <w:rsid w:val="00FA657B"/>
    <w:rsid w:val="00FB53EC"/>
    <w:rsid w:val="00FB7719"/>
    <w:rsid w:val="00FC575E"/>
    <w:rsid w:val="00FC626B"/>
    <w:rsid w:val="00FD5009"/>
    <w:rsid w:val="00FD5CE5"/>
    <w:rsid w:val="00FF17E3"/>
    <w:rsid w:val="00FF1A2E"/>
    <w:rsid w:val="00FF20CF"/>
    <w:rsid w:val="00FF3E05"/>
    <w:rsid w:val="6D6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F6CC43AD-9BBE-4BAE-BA60-24763DE0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3962"/>
  </w:style>
  <w:style w:type="character" w:customStyle="1" w:styleId="CommentTextChar">
    <w:name w:val="Comment Text Char"/>
    <w:basedOn w:val="DefaultParagraphFont"/>
    <w:link w:val="CommentText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2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mhdl.pharmacy.services.conduent.com/MHDL/welcome.d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hdl.pharmacy.services.conduent.com/MHDL/pubmhdlupdates.do?category=Upcoming+and+Recent+Updates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Version xmlns="5c0ed19a-6442-486d-a068-86457d131ec5">true</CurrentVersion>
    <TaxCatchAll xmlns="a2ac5cde-4468-402a-ac20-5b556603971c" xsi:nil="true"/>
    <lcf76f155ced4ddcb4097134ff3c332f xmlns="5c0ed19a-6442-486d-a068-86457d131ec5">
      <Terms xmlns="http://schemas.microsoft.com/office/infopath/2007/PartnerControls"/>
    </lcf76f155ced4ddcb4097134ff3c332f>
    <Effectiveon xmlns="5c0ed19a-6442-486d-a068-86457d131ec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948B3CF23A144A486E4E782C08A15" ma:contentTypeVersion="20" ma:contentTypeDescription="Create a new document." ma:contentTypeScope="" ma:versionID="247c188bef81f8dde2c204dfb30e81f8">
  <xsd:schema xmlns:xsd="http://www.w3.org/2001/XMLSchema" xmlns:xs="http://www.w3.org/2001/XMLSchema" xmlns:p="http://schemas.microsoft.com/office/2006/metadata/properties" xmlns:ns1="http://schemas.microsoft.com/sharepoint/v3" xmlns:ns2="5c0ed19a-6442-486d-a068-86457d131ec5" xmlns:ns3="a2ac5cde-4468-402a-ac20-5b556603971c" targetNamespace="http://schemas.microsoft.com/office/2006/metadata/properties" ma:root="true" ma:fieldsID="9584c690942716e74c93cd43a058c058" ns1:_="" ns2:_="" ns3:_="">
    <xsd:import namespace="http://schemas.microsoft.com/sharepoint/v3"/>
    <xsd:import namespace="5c0ed19a-6442-486d-a068-86457d131ec5"/>
    <xsd:import namespace="a2ac5cde-4468-402a-ac20-5b5566039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urrentVersion" minOccurs="0"/>
                <xsd:element ref="ns2:Effective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d19a-6442-486d-a068-86457d131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CurrentVersion" ma:index="22" nillable="true" ma:displayName="Current Version" ma:default="1" ma:format="Dropdown" ma:internalName="CurrentVersion">
      <xsd:simpleType>
        <xsd:restriction base="dms:Boolean"/>
      </xsd:simpleType>
    </xsd:element>
    <xsd:element name="Effectiveon" ma:index="23" nillable="true" ma:displayName="Effective on" ma:format="DateOnly" ma:internalName="Effectiveon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c5cde-4468-402a-ac20-5b5566039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5a8000-916a-4dcb-802f-e3b4d15fce1e}" ma:internalName="TaxCatchAll" ma:showField="CatchAllData" ma:web="a2ac5cde-4468-402a-ac20-5b5566039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045BA3-E273-40E8-A07E-588FCB9C4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8E02A4-5FB5-4E7B-80A5-BC29D8225755}">
  <ds:schemaRefs>
    <ds:schemaRef ds:uri="http://schemas.microsoft.com/office/2006/metadata/properties"/>
    <ds:schemaRef ds:uri="http://schemas.microsoft.com/office/infopath/2007/PartnerControls"/>
    <ds:schemaRef ds:uri="5c0ed19a-6442-486d-a068-86457d131ec5"/>
    <ds:schemaRef ds:uri="a2ac5cde-4468-402a-ac20-5b556603971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1134AA5-D9DE-49EE-9282-A632F5B9C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0ed19a-6442-486d-a068-86457d131ec5"/>
    <ds:schemaRef ds:uri="a2ac5cde-4468-402a-ac20-5b5566039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Prescriber e-Letter Volume 14, Issue 2</vt:lpstr>
    </vt:vector>
  </TitlesOfParts>
  <Company>Office of Health and Human Services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creator>MassHealth</dc:creator>
  <cp:lastModifiedBy>Gambarini, Jacqueline (EHS)</cp:lastModifiedBy>
  <cp:revision>3</cp:revision>
  <cp:lastPrinted>2024-10-16T15:48:00Z</cp:lastPrinted>
  <dcterms:created xsi:type="dcterms:W3CDTF">2025-01-27T14:48:00Z</dcterms:created>
  <dcterms:modified xsi:type="dcterms:W3CDTF">2025-01-27T14:48:00Z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0x010100C20948B3CF23A144A486E4E782C08A15</vt:lpwstr>
  </property>
  <property fmtid="{D5CDD505-2E9C-101B-9397-08002B2CF9AE}" pid="3" name="MediaServiceImageTags">
    <vt:lpwstr/>
  </property>
</Properties>
</file>