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22B14BA4" w:rsidR="00AD42BB" w:rsidRPr="00AD42BB" w:rsidRDefault="005851F1" w:rsidP="00055E2A">
      <w:pPr>
        <w:pStyle w:val="Heading1"/>
        <w:tabs>
          <w:tab w:val="left" w:pos="900"/>
        </w:tabs>
        <w:spacing w:before="240" w:after="1080"/>
        <w:ind w:firstLine="25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E90319">
        <w:t>V</w:t>
      </w:r>
      <w:r>
        <w:t xml:space="preserve">olume </w:t>
      </w:r>
      <w:r w:rsidR="00242EBC">
        <w:t>16</w:t>
      </w:r>
      <w:r>
        <w:t xml:space="preserve">, Issue </w:t>
      </w:r>
      <w:r w:rsidR="00242EBC">
        <w:t>1</w:t>
      </w:r>
      <w:r w:rsidR="00C76762">
        <w:t xml:space="preserve">, </w:t>
      </w:r>
      <w:r w:rsidR="00E20290">
        <w:t>January</w:t>
      </w:r>
      <w:r w:rsidR="001B7B82">
        <w:t xml:space="preserve"> </w:t>
      </w:r>
      <w:r w:rsidR="004821AA">
        <w:t>202</w:t>
      </w:r>
      <w:r w:rsidR="00E20290">
        <w:t>6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69E6215C" w14:textId="392CB6AA" w:rsidR="00840D1F" w:rsidRDefault="006D70E0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1" w:name="_Hlk179535790"/>
      <w:r w:rsidRPr="006D70E0">
        <w:rPr>
          <w:rFonts w:ascii="Arial" w:hAnsi="Arial" w:cs="Arial"/>
          <w:sz w:val="26"/>
          <w:szCs w:val="26"/>
        </w:rPr>
        <w:t xml:space="preserve">Respiratory </w:t>
      </w:r>
      <w:r w:rsidR="00915088" w:rsidRPr="006D70E0">
        <w:rPr>
          <w:rFonts w:ascii="Arial" w:hAnsi="Arial" w:cs="Arial"/>
          <w:sz w:val="26"/>
          <w:szCs w:val="26"/>
        </w:rPr>
        <w:t>Syncytial</w:t>
      </w:r>
      <w:r w:rsidRPr="006D70E0">
        <w:rPr>
          <w:rFonts w:ascii="Arial" w:hAnsi="Arial" w:cs="Arial"/>
          <w:sz w:val="26"/>
          <w:szCs w:val="26"/>
        </w:rPr>
        <w:t xml:space="preserve"> Virus </w:t>
      </w:r>
      <w:bookmarkEnd w:id="1"/>
      <w:r w:rsidRPr="006D70E0">
        <w:rPr>
          <w:rFonts w:ascii="Arial" w:hAnsi="Arial" w:cs="Arial"/>
          <w:sz w:val="26"/>
          <w:szCs w:val="26"/>
        </w:rPr>
        <w:t>Coverage Updates</w:t>
      </w:r>
    </w:p>
    <w:p w14:paraId="4D4BDAB0" w14:textId="77777777" w:rsidR="006B20D5" w:rsidRPr="006B20D5" w:rsidRDefault="006B20D5" w:rsidP="006B20D5"/>
    <w:p w14:paraId="62BF6EA9" w14:textId="5DE442AA" w:rsidR="006D70E0" w:rsidRPr="001B2F69" w:rsidRDefault="006D70E0" w:rsidP="006B20D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Hlk178665884"/>
      <w:r w:rsidRPr="00840D1F">
        <w:rPr>
          <w:rFonts w:ascii="Arial" w:hAnsi="Arial" w:cs="Arial"/>
          <w:bCs/>
          <w:color w:val="auto"/>
          <w:sz w:val="22"/>
          <w:szCs w:val="22"/>
        </w:rPr>
        <w:t xml:space="preserve">MassHealth </w:t>
      </w:r>
      <w:r w:rsidR="00E20290">
        <w:rPr>
          <w:rFonts w:ascii="Arial" w:hAnsi="Arial" w:cs="Arial"/>
          <w:bCs/>
          <w:color w:val="auto"/>
          <w:sz w:val="22"/>
          <w:szCs w:val="22"/>
        </w:rPr>
        <w:t xml:space="preserve">updated </w:t>
      </w:r>
      <w:r w:rsidRPr="00840D1F">
        <w:rPr>
          <w:rFonts w:ascii="Arial" w:hAnsi="Arial" w:cs="Arial"/>
          <w:bCs/>
          <w:color w:val="auto"/>
          <w:sz w:val="22"/>
          <w:szCs w:val="22"/>
        </w:rPr>
        <w:t xml:space="preserve">coverage for </w:t>
      </w:r>
      <w:r w:rsidR="00893E85">
        <w:rPr>
          <w:rFonts w:ascii="Arial" w:hAnsi="Arial" w:cs="Arial"/>
          <w:sz w:val="22"/>
          <w:szCs w:val="22"/>
        </w:rPr>
        <w:t>r</w:t>
      </w:r>
      <w:r w:rsidR="00893E85" w:rsidRPr="00B31AF2">
        <w:rPr>
          <w:rFonts w:ascii="Arial" w:hAnsi="Arial" w:cs="Arial"/>
          <w:sz w:val="22"/>
          <w:szCs w:val="22"/>
        </w:rPr>
        <w:t xml:space="preserve">espiratory </w:t>
      </w:r>
      <w:r w:rsidR="00893E85">
        <w:rPr>
          <w:rFonts w:ascii="Arial" w:hAnsi="Arial" w:cs="Arial"/>
          <w:sz w:val="22"/>
          <w:szCs w:val="22"/>
        </w:rPr>
        <w:t>s</w:t>
      </w:r>
      <w:r w:rsidR="00893E85" w:rsidRPr="00B31AF2">
        <w:rPr>
          <w:rFonts w:ascii="Arial" w:hAnsi="Arial" w:cs="Arial"/>
          <w:sz w:val="22"/>
          <w:szCs w:val="22"/>
        </w:rPr>
        <w:t xml:space="preserve">yncytial </w:t>
      </w:r>
      <w:r w:rsidR="00893E85">
        <w:rPr>
          <w:rFonts w:ascii="Arial" w:hAnsi="Arial" w:cs="Arial"/>
          <w:sz w:val="22"/>
          <w:szCs w:val="22"/>
        </w:rPr>
        <w:t>v</w:t>
      </w:r>
      <w:r w:rsidR="00893E85" w:rsidRPr="00B31AF2">
        <w:rPr>
          <w:rFonts w:ascii="Arial" w:hAnsi="Arial" w:cs="Arial"/>
          <w:sz w:val="22"/>
          <w:szCs w:val="22"/>
        </w:rPr>
        <w:t xml:space="preserve">irus </w:t>
      </w:r>
      <w:r w:rsidR="00893E85">
        <w:rPr>
          <w:rFonts w:ascii="Arial" w:hAnsi="Arial" w:cs="Arial"/>
          <w:sz w:val="22"/>
          <w:szCs w:val="22"/>
        </w:rPr>
        <w:t>(</w:t>
      </w:r>
      <w:r w:rsidR="00893E85" w:rsidRPr="00FF20CF">
        <w:rPr>
          <w:rFonts w:ascii="Arial" w:hAnsi="Arial" w:cs="Arial"/>
          <w:sz w:val="22"/>
          <w:szCs w:val="22"/>
        </w:rPr>
        <w:t>RSV</w:t>
      </w:r>
      <w:r w:rsidR="00893E85">
        <w:rPr>
          <w:rFonts w:ascii="Arial" w:hAnsi="Arial" w:cs="Arial"/>
          <w:sz w:val="22"/>
          <w:szCs w:val="22"/>
        </w:rPr>
        <w:t>)</w:t>
      </w:r>
      <w:r w:rsidRPr="00840D1F">
        <w:rPr>
          <w:rFonts w:ascii="Arial" w:hAnsi="Arial" w:cs="Arial"/>
          <w:bCs/>
          <w:color w:val="auto"/>
          <w:sz w:val="22"/>
          <w:szCs w:val="22"/>
        </w:rPr>
        <w:t xml:space="preserve"> products</w:t>
      </w:r>
      <w:r w:rsidR="00C91D1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840D1F">
        <w:rPr>
          <w:rFonts w:ascii="Arial" w:hAnsi="Arial" w:cs="Arial"/>
          <w:bCs/>
          <w:color w:val="auto"/>
          <w:sz w:val="22"/>
          <w:szCs w:val="22"/>
        </w:rPr>
        <w:t xml:space="preserve">effective </w:t>
      </w:r>
      <w:r w:rsidR="007541B1" w:rsidRPr="00DD0D7B">
        <w:rPr>
          <w:rFonts w:ascii="Arial" w:hAnsi="Arial" w:cs="Arial"/>
          <w:bCs/>
          <w:color w:val="auto"/>
          <w:sz w:val="22"/>
          <w:szCs w:val="22"/>
        </w:rPr>
        <w:t>November</w:t>
      </w:r>
      <w:r w:rsidR="00B31AF2" w:rsidRPr="00DD0D7B">
        <w:rPr>
          <w:rFonts w:ascii="Arial" w:hAnsi="Arial" w:cs="Arial"/>
          <w:bCs/>
          <w:color w:val="auto"/>
          <w:sz w:val="22"/>
          <w:szCs w:val="22"/>
        </w:rPr>
        <w:t xml:space="preserve"> 1</w:t>
      </w:r>
      <w:r w:rsidR="007541B1" w:rsidRPr="00DD0D7B">
        <w:rPr>
          <w:rFonts w:ascii="Arial" w:hAnsi="Arial" w:cs="Arial"/>
          <w:bCs/>
          <w:color w:val="auto"/>
          <w:sz w:val="22"/>
          <w:szCs w:val="22"/>
        </w:rPr>
        <w:t>7</w:t>
      </w:r>
      <w:r w:rsidR="00B31AF2" w:rsidRPr="00DD0D7B">
        <w:rPr>
          <w:rFonts w:ascii="Arial" w:hAnsi="Arial" w:cs="Arial"/>
          <w:bCs/>
          <w:color w:val="auto"/>
          <w:sz w:val="22"/>
          <w:szCs w:val="22"/>
        </w:rPr>
        <w:t>, 202</w:t>
      </w:r>
      <w:r w:rsidR="007541B1" w:rsidRPr="00DD0D7B">
        <w:rPr>
          <w:rFonts w:ascii="Arial" w:hAnsi="Arial" w:cs="Arial"/>
          <w:bCs/>
          <w:color w:val="auto"/>
          <w:sz w:val="22"/>
          <w:szCs w:val="22"/>
        </w:rPr>
        <w:t>5</w:t>
      </w:r>
      <w:r w:rsidRPr="001B2F69">
        <w:rPr>
          <w:rFonts w:ascii="Arial" w:hAnsi="Arial" w:cs="Arial"/>
          <w:color w:val="auto"/>
          <w:sz w:val="22"/>
          <w:szCs w:val="22"/>
        </w:rPr>
        <w:t xml:space="preserve">. </w:t>
      </w:r>
      <w:bookmarkStart w:id="3" w:name="_Hlk179969261"/>
      <w:r w:rsidRPr="001B2F69">
        <w:rPr>
          <w:rFonts w:ascii="Arial" w:hAnsi="Arial" w:cs="Arial"/>
          <w:color w:val="auto"/>
          <w:sz w:val="22"/>
          <w:szCs w:val="22"/>
        </w:rPr>
        <w:t>As of June 202</w:t>
      </w:r>
      <w:r w:rsidR="007541B1" w:rsidRPr="001B2F69">
        <w:rPr>
          <w:rFonts w:ascii="Arial" w:hAnsi="Arial" w:cs="Arial"/>
          <w:color w:val="auto"/>
          <w:sz w:val="22"/>
          <w:szCs w:val="22"/>
        </w:rPr>
        <w:t>5</w:t>
      </w:r>
      <w:r w:rsidRPr="001B2F69">
        <w:rPr>
          <w:rFonts w:ascii="Arial" w:hAnsi="Arial" w:cs="Arial"/>
          <w:color w:val="auto"/>
          <w:sz w:val="22"/>
          <w:szCs w:val="22"/>
        </w:rPr>
        <w:t>, the C</w:t>
      </w:r>
      <w:r w:rsidR="00796800" w:rsidRPr="001B2F69">
        <w:rPr>
          <w:rFonts w:ascii="Arial" w:hAnsi="Arial" w:cs="Arial"/>
          <w:color w:val="auto"/>
          <w:sz w:val="22"/>
          <w:szCs w:val="22"/>
        </w:rPr>
        <w:t>enter</w:t>
      </w:r>
      <w:r w:rsidR="00816B7A" w:rsidRPr="001B2F69">
        <w:rPr>
          <w:rFonts w:ascii="Arial" w:hAnsi="Arial" w:cs="Arial"/>
          <w:color w:val="auto"/>
          <w:sz w:val="22"/>
          <w:szCs w:val="22"/>
        </w:rPr>
        <w:t>s</w:t>
      </w:r>
      <w:r w:rsidR="00796800" w:rsidRPr="001B2F69">
        <w:rPr>
          <w:rFonts w:ascii="Arial" w:hAnsi="Arial" w:cs="Arial"/>
          <w:color w:val="auto"/>
          <w:sz w:val="22"/>
          <w:szCs w:val="22"/>
        </w:rPr>
        <w:t xml:space="preserve"> for Disease Control </w:t>
      </w:r>
      <w:r w:rsidR="008C2518" w:rsidRPr="001B2F69">
        <w:rPr>
          <w:rFonts w:ascii="Arial" w:hAnsi="Arial" w:cs="Arial"/>
          <w:color w:val="auto"/>
          <w:sz w:val="22"/>
          <w:szCs w:val="22"/>
        </w:rPr>
        <w:t xml:space="preserve">and Prevention </w:t>
      </w:r>
      <w:r w:rsidR="00796800" w:rsidRPr="001B2F69">
        <w:rPr>
          <w:rFonts w:ascii="Arial" w:hAnsi="Arial" w:cs="Arial"/>
          <w:color w:val="auto"/>
          <w:sz w:val="22"/>
          <w:szCs w:val="22"/>
        </w:rPr>
        <w:t>(C</w:t>
      </w:r>
      <w:r w:rsidRPr="001B2F69">
        <w:rPr>
          <w:rFonts w:ascii="Arial" w:hAnsi="Arial" w:cs="Arial"/>
          <w:color w:val="auto"/>
          <w:sz w:val="22"/>
          <w:szCs w:val="22"/>
        </w:rPr>
        <w:t>DC</w:t>
      </w:r>
      <w:r w:rsidR="00796800" w:rsidRPr="001B2F69">
        <w:rPr>
          <w:rFonts w:ascii="Arial" w:hAnsi="Arial" w:cs="Arial"/>
          <w:color w:val="auto"/>
          <w:sz w:val="22"/>
          <w:szCs w:val="22"/>
        </w:rPr>
        <w:t>)</w:t>
      </w:r>
      <w:r w:rsidRPr="001B2F69">
        <w:rPr>
          <w:rFonts w:ascii="Arial" w:hAnsi="Arial" w:cs="Arial"/>
          <w:color w:val="auto"/>
          <w:sz w:val="22"/>
          <w:szCs w:val="22"/>
        </w:rPr>
        <w:t xml:space="preserve"> recommend a single dose of RSV vaccine for all adults </w:t>
      </w:r>
      <w:r w:rsidR="002C2E2A" w:rsidRPr="001B2F69">
        <w:rPr>
          <w:rFonts w:ascii="Arial" w:hAnsi="Arial" w:cs="Arial"/>
          <w:color w:val="auto"/>
          <w:sz w:val="22"/>
          <w:szCs w:val="22"/>
        </w:rPr>
        <w:t xml:space="preserve">aged </w:t>
      </w:r>
      <w:r w:rsidRPr="001B2F69">
        <w:rPr>
          <w:rFonts w:ascii="Arial" w:hAnsi="Arial" w:cs="Arial"/>
          <w:color w:val="auto"/>
          <w:sz w:val="22"/>
          <w:szCs w:val="22"/>
        </w:rPr>
        <w:t xml:space="preserve">75 and older and </w:t>
      </w:r>
      <w:r w:rsidR="00796800" w:rsidRPr="001B2F69">
        <w:rPr>
          <w:rFonts w:ascii="Arial" w:hAnsi="Arial" w:cs="Arial"/>
          <w:color w:val="auto"/>
          <w:sz w:val="22"/>
          <w:szCs w:val="22"/>
        </w:rPr>
        <w:t xml:space="preserve">for </w:t>
      </w:r>
      <w:r w:rsidRPr="001B2F69">
        <w:rPr>
          <w:rFonts w:ascii="Arial" w:hAnsi="Arial" w:cs="Arial"/>
          <w:color w:val="auto"/>
          <w:sz w:val="22"/>
          <w:szCs w:val="22"/>
        </w:rPr>
        <w:t>adults</w:t>
      </w:r>
      <w:r w:rsidR="002C2E2A" w:rsidRPr="001B2F69">
        <w:rPr>
          <w:rFonts w:ascii="Arial" w:hAnsi="Arial" w:cs="Arial"/>
          <w:color w:val="auto"/>
          <w:sz w:val="22"/>
          <w:szCs w:val="22"/>
        </w:rPr>
        <w:t xml:space="preserve"> aged</w:t>
      </w:r>
      <w:r w:rsidRPr="001B2F69">
        <w:rPr>
          <w:rFonts w:ascii="Arial" w:hAnsi="Arial" w:cs="Arial"/>
          <w:color w:val="auto"/>
          <w:sz w:val="22"/>
          <w:szCs w:val="22"/>
        </w:rPr>
        <w:t xml:space="preserve"> </w:t>
      </w:r>
      <w:r w:rsidR="007541B1" w:rsidRPr="001B2F69">
        <w:rPr>
          <w:rFonts w:ascii="Arial" w:hAnsi="Arial" w:cs="Arial"/>
          <w:color w:val="auto"/>
          <w:sz w:val="22"/>
          <w:szCs w:val="22"/>
        </w:rPr>
        <w:t>5</w:t>
      </w:r>
      <w:r w:rsidRPr="001B2F69">
        <w:rPr>
          <w:rFonts w:ascii="Arial" w:hAnsi="Arial" w:cs="Arial"/>
          <w:color w:val="auto"/>
          <w:sz w:val="22"/>
          <w:szCs w:val="22"/>
        </w:rPr>
        <w:t>0 to 74 at increased risk of severe</w:t>
      </w:r>
      <w:r w:rsidR="002C2E2A" w:rsidRPr="001B2F69">
        <w:rPr>
          <w:rFonts w:ascii="Arial" w:hAnsi="Arial" w:cs="Arial"/>
          <w:color w:val="auto"/>
          <w:sz w:val="22"/>
          <w:szCs w:val="22"/>
        </w:rPr>
        <w:t xml:space="preserve"> </w:t>
      </w:r>
      <w:r w:rsidR="002C2E2A" w:rsidRPr="00DD0D7B">
        <w:rPr>
          <w:rFonts w:ascii="Arial" w:hAnsi="Arial" w:cs="Arial"/>
          <w:color w:val="auto"/>
          <w:sz w:val="22"/>
          <w:szCs w:val="22"/>
        </w:rPr>
        <w:t xml:space="preserve">lower respiratory tract disease (LRTD) due to </w:t>
      </w:r>
      <w:r w:rsidRPr="001B2F69">
        <w:rPr>
          <w:rFonts w:ascii="Arial" w:hAnsi="Arial" w:cs="Arial"/>
          <w:color w:val="auto"/>
          <w:sz w:val="22"/>
          <w:szCs w:val="22"/>
        </w:rPr>
        <w:t>RSV.</w:t>
      </w:r>
      <w:r w:rsidR="002C2E2A" w:rsidRPr="001B2F69">
        <w:rPr>
          <w:rFonts w:ascii="Arial" w:hAnsi="Arial" w:cs="Arial"/>
          <w:color w:val="auto"/>
          <w:sz w:val="22"/>
          <w:szCs w:val="22"/>
        </w:rPr>
        <w:t xml:space="preserve"> </w:t>
      </w:r>
      <w:r w:rsidR="00C91D13" w:rsidRPr="001B2F69">
        <w:rPr>
          <w:rFonts w:ascii="Arial" w:hAnsi="Arial" w:cs="Arial"/>
          <w:color w:val="auto"/>
          <w:sz w:val="22"/>
          <w:szCs w:val="22"/>
        </w:rPr>
        <w:t xml:space="preserve">Infants are recommended to be protected from severe LRTD due to RSV by administration of </w:t>
      </w:r>
      <w:r w:rsidRPr="001B2F69">
        <w:rPr>
          <w:rFonts w:ascii="Arial" w:hAnsi="Arial" w:cs="Arial"/>
          <w:color w:val="auto"/>
          <w:sz w:val="22"/>
          <w:szCs w:val="22"/>
        </w:rPr>
        <w:t xml:space="preserve">an RSV vaccine </w:t>
      </w:r>
      <w:r w:rsidR="00C91D13" w:rsidRPr="001B2F69">
        <w:rPr>
          <w:rFonts w:ascii="Arial" w:hAnsi="Arial" w:cs="Arial"/>
          <w:color w:val="auto"/>
          <w:sz w:val="22"/>
          <w:szCs w:val="22"/>
        </w:rPr>
        <w:t xml:space="preserve">to the </w:t>
      </w:r>
      <w:r w:rsidR="00234AE0" w:rsidRPr="001B2F69">
        <w:rPr>
          <w:rFonts w:ascii="Arial" w:hAnsi="Arial" w:cs="Arial"/>
          <w:color w:val="auto"/>
          <w:sz w:val="22"/>
          <w:szCs w:val="22"/>
        </w:rPr>
        <w:t>mother</w:t>
      </w:r>
      <w:r w:rsidR="002C2E2A" w:rsidRPr="001B2F69">
        <w:rPr>
          <w:rFonts w:ascii="Arial" w:hAnsi="Arial" w:cs="Arial"/>
          <w:color w:val="auto"/>
          <w:sz w:val="22"/>
          <w:szCs w:val="22"/>
        </w:rPr>
        <w:t xml:space="preserve"> between </w:t>
      </w:r>
      <w:r w:rsidR="002C2E2A" w:rsidRPr="00DD0D7B">
        <w:rPr>
          <w:rFonts w:ascii="Arial" w:hAnsi="Arial" w:cs="Arial"/>
          <w:color w:val="auto"/>
          <w:sz w:val="22"/>
          <w:szCs w:val="22"/>
        </w:rPr>
        <w:t>32 and 36</w:t>
      </w:r>
      <w:r w:rsidR="00E20290">
        <w:rPr>
          <w:rFonts w:ascii="Arial" w:hAnsi="Arial" w:cs="Arial"/>
          <w:color w:val="auto"/>
          <w:sz w:val="22"/>
          <w:szCs w:val="22"/>
        </w:rPr>
        <w:t xml:space="preserve"> </w:t>
      </w:r>
      <w:r w:rsidR="002C2E2A" w:rsidRPr="00DD0D7B">
        <w:rPr>
          <w:rFonts w:ascii="Arial" w:hAnsi="Arial" w:cs="Arial"/>
          <w:color w:val="auto"/>
          <w:sz w:val="22"/>
          <w:szCs w:val="22"/>
        </w:rPr>
        <w:t>weeks gestation</w:t>
      </w:r>
      <w:r w:rsidR="00C91D13" w:rsidRPr="001B2F69">
        <w:rPr>
          <w:rFonts w:ascii="Arial" w:hAnsi="Arial" w:cs="Arial"/>
          <w:color w:val="auto"/>
          <w:sz w:val="22"/>
          <w:szCs w:val="22"/>
        </w:rPr>
        <w:t xml:space="preserve"> or immunization of the infant with a</w:t>
      </w:r>
      <w:r w:rsidR="0086300C" w:rsidRPr="001B2F69">
        <w:rPr>
          <w:rFonts w:ascii="Arial" w:hAnsi="Arial" w:cs="Arial"/>
          <w:color w:val="auto"/>
          <w:sz w:val="22"/>
          <w:szCs w:val="22"/>
        </w:rPr>
        <w:t xml:space="preserve"> long-acting</w:t>
      </w:r>
      <w:r w:rsidR="00C91D13" w:rsidRPr="001B2F69">
        <w:rPr>
          <w:rFonts w:ascii="Arial" w:hAnsi="Arial" w:cs="Arial"/>
          <w:color w:val="auto"/>
          <w:sz w:val="22"/>
          <w:szCs w:val="22"/>
        </w:rPr>
        <w:t xml:space="preserve"> </w:t>
      </w:r>
      <w:bookmarkEnd w:id="3"/>
      <w:r w:rsidRPr="001B2F69">
        <w:rPr>
          <w:rFonts w:ascii="Arial" w:hAnsi="Arial" w:cs="Arial"/>
          <w:color w:val="auto"/>
          <w:sz w:val="22"/>
          <w:szCs w:val="22"/>
        </w:rPr>
        <w:t xml:space="preserve">monoclonal antibody </w:t>
      </w:r>
      <w:r w:rsidR="002C2E2A" w:rsidRPr="001B2F69">
        <w:rPr>
          <w:rFonts w:ascii="Arial" w:hAnsi="Arial" w:cs="Arial"/>
          <w:color w:val="auto"/>
          <w:sz w:val="22"/>
          <w:szCs w:val="22"/>
        </w:rPr>
        <w:t>after birth</w:t>
      </w:r>
      <w:r w:rsidRPr="001B2F69">
        <w:rPr>
          <w:rFonts w:ascii="Arial" w:hAnsi="Arial" w:cs="Arial"/>
          <w:color w:val="auto"/>
          <w:sz w:val="22"/>
          <w:szCs w:val="22"/>
        </w:rPr>
        <w:t>. The following provides an overview of MassHealth RSV coverage, including specific updates to certain products</w:t>
      </w:r>
      <w:r w:rsidR="00DD0D7B">
        <w:rPr>
          <w:rFonts w:ascii="Arial" w:hAnsi="Arial" w:cs="Arial"/>
          <w:color w:val="auto"/>
          <w:sz w:val="22"/>
          <w:szCs w:val="22"/>
        </w:rPr>
        <w:t xml:space="preserve"> and prior authorization (PA) requirements.</w:t>
      </w:r>
    </w:p>
    <w:p w14:paraId="0B22B391" w14:textId="77777777" w:rsidR="006B20D5" w:rsidRPr="001B2F69" w:rsidRDefault="006B20D5" w:rsidP="006B20D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5F3B864" w14:textId="026E63AD" w:rsidR="0055653E" w:rsidRPr="0055653E" w:rsidRDefault="00F66EB8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 w:rsidRPr="00F66EB8">
        <w:rPr>
          <w:rFonts w:ascii="Arial" w:hAnsi="Arial" w:cs="Arial"/>
          <w:sz w:val="26"/>
          <w:szCs w:val="26"/>
        </w:rPr>
        <w:t xml:space="preserve">MassHealth RSV Monoclonal Antibody and Vaccine Coverage </w:t>
      </w:r>
      <w:r w:rsidR="00CE4848">
        <w:rPr>
          <w:rFonts w:ascii="Arial" w:hAnsi="Arial" w:cs="Arial"/>
          <w:sz w:val="26"/>
          <w:szCs w:val="26"/>
        </w:rPr>
        <w:t>E</w:t>
      </w:r>
      <w:r w:rsidR="00CE4848" w:rsidRPr="00F66EB8">
        <w:rPr>
          <w:rFonts w:ascii="Arial" w:hAnsi="Arial" w:cs="Arial"/>
          <w:sz w:val="26"/>
          <w:szCs w:val="26"/>
        </w:rPr>
        <w:t xml:space="preserve">ffective </w:t>
      </w:r>
      <w:r w:rsidR="007541B1">
        <w:rPr>
          <w:rFonts w:ascii="Arial" w:hAnsi="Arial" w:cs="Arial"/>
          <w:sz w:val="26"/>
          <w:szCs w:val="26"/>
        </w:rPr>
        <w:t>November 17</w:t>
      </w:r>
      <w:r w:rsidRPr="00F66EB8">
        <w:rPr>
          <w:rFonts w:ascii="Arial" w:hAnsi="Arial" w:cs="Arial"/>
          <w:sz w:val="26"/>
          <w:szCs w:val="26"/>
        </w:rPr>
        <w:t>, 202</w:t>
      </w:r>
      <w:r w:rsidR="007541B1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</w:t>
      </w:r>
    </w:p>
    <w:bookmarkEnd w:id="2"/>
    <w:p w14:paraId="5C79886A" w14:textId="77777777" w:rsidR="00F66EB8" w:rsidRPr="00FF20CF" w:rsidRDefault="00F66EB8" w:rsidP="00F66EB8">
      <w:pPr>
        <w:tabs>
          <w:tab w:val="left" w:pos="1080"/>
        </w:tabs>
        <w:rPr>
          <w:rFonts w:ascii="Arial" w:hAnsi="Arial" w:cs="Arial"/>
        </w:rPr>
      </w:pPr>
    </w:p>
    <w:tbl>
      <w:tblPr>
        <w:tblStyle w:val="TableGrid"/>
        <w:tblW w:w="7110" w:type="dxa"/>
        <w:tblInd w:w="625" w:type="dxa"/>
        <w:tblLook w:val="04A0" w:firstRow="1" w:lastRow="0" w:firstColumn="1" w:lastColumn="0" w:noHBand="0" w:noVBand="1"/>
      </w:tblPr>
      <w:tblGrid>
        <w:gridCol w:w="3113"/>
        <w:gridCol w:w="1440"/>
        <w:gridCol w:w="2557"/>
      </w:tblGrid>
      <w:tr w:rsidR="00F66EB8" w:rsidRPr="00FF20CF" w14:paraId="7E32574F" w14:textId="77777777" w:rsidTr="00242EBC">
        <w:tc>
          <w:tcPr>
            <w:tcW w:w="3113" w:type="dxa"/>
            <w:shd w:val="clear" w:color="auto" w:fill="E7E6E6" w:themeFill="background2"/>
            <w:vAlign w:val="center"/>
          </w:tcPr>
          <w:p w14:paraId="3D732399" w14:textId="339AEF52" w:rsidR="00F66EB8" w:rsidRPr="00FF20CF" w:rsidRDefault="00F66EB8" w:rsidP="00242E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>RSV Vaccine/Drug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5297D4D" w14:textId="439497D8" w:rsidR="00F66EB8" w:rsidRPr="00FF20CF" w:rsidRDefault="00F66EB8" w:rsidP="00242E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PA </w:t>
            </w:r>
            <w:r w:rsidR="00840D1F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>equired</w:t>
            </w:r>
          </w:p>
        </w:tc>
        <w:tc>
          <w:tcPr>
            <w:tcW w:w="2557" w:type="dxa"/>
            <w:shd w:val="clear" w:color="auto" w:fill="E7E6E6" w:themeFill="background2"/>
            <w:vAlign w:val="center"/>
          </w:tcPr>
          <w:p w14:paraId="23B8A8D9" w14:textId="30A02462" w:rsidR="00F66EB8" w:rsidRPr="00FF20CF" w:rsidRDefault="00F66EB8" w:rsidP="00242E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 </w:t>
            </w:r>
            <w:r w:rsidR="00840D1F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FF20CF">
              <w:rPr>
                <w:rFonts w:ascii="Arial" w:hAnsi="Arial" w:cs="Arial"/>
                <w:b/>
                <w:bCs/>
                <w:sz w:val="22"/>
                <w:szCs w:val="22"/>
              </w:rPr>
              <w:t>equired</w:t>
            </w:r>
          </w:p>
        </w:tc>
      </w:tr>
      <w:tr w:rsidR="00F66EB8" w:rsidRPr="00FF20CF" w14:paraId="59C6283C" w14:textId="77777777" w:rsidTr="00840D1F">
        <w:tc>
          <w:tcPr>
            <w:tcW w:w="3113" w:type="dxa"/>
          </w:tcPr>
          <w:p w14:paraId="6C4C60AA" w14:textId="2001D6E5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Abrysvo</w:t>
            </w:r>
            <w:proofErr w:type="spellEnd"/>
            <w:r w:rsidRPr="00FF20CF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="00080A76">
              <w:rPr>
                <w:rFonts w:ascii="Arial" w:hAnsi="Arial" w:cs="Arial"/>
                <w:color w:val="auto"/>
                <w:sz w:val="22"/>
                <w:szCs w:val="22"/>
              </w:rPr>
              <w:t>RSV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vaccine)</w:t>
            </w:r>
            <w:r w:rsidR="002C2E2A" w:rsidRPr="00FF20CF">
              <w:rPr>
                <w:rFonts w:ascii="Arial" w:hAnsi="Arial" w:cs="Arial"/>
              </w:rPr>
              <w:t>*</w:t>
            </w:r>
          </w:p>
        </w:tc>
        <w:tc>
          <w:tcPr>
            <w:tcW w:w="1440" w:type="dxa"/>
          </w:tcPr>
          <w:p w14:paraId="49255A69" w14:textId="2618C013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≥</w:t>
            </w:r>
            <w:r w:rsidR="005D0ED2"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years</w:t>
            </w:r>
          </w:p>
        </w:tc>
        <w:tc>
          <w:tcPr>
            <w:tcW w:w="2557" w:type="dxa"/>
          </w:tcPr>
          <w:p w14:paraId="390A4357" w14:textId="57D7D49D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&lt;</w:t>
            </w:r>
            <w:r w:rsidR="005D0ED2"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years^</w:t>
            </w:r>
          </w:p>
        </w:tc>
      </w:tr>
      <w:tr w:rsidR="00F66EB8" w:rsidRPr="00FF20CF" w14:paraId="1941751B" w14:textId="77777777" w:rsidTr="00840D1F">
        <w:tc>
          <w:tcPr>
            <w:tcW w:w="3113" w:type="dxa"/>
          </w:tcPr>
          <w:p w14:paraId="22027884" w14:textId="634D1A96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Arexvy</w:t>
            </w:r>
            <w:proofErr w:type="spellEnd"/>
            <w:r w:rsidRPr="00FF20CF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="00080A76">
              <w:rPr>
                <w:rFonts w:ascii="Arial" w:hAnsi="Arial" w:cs="Arial"/>
                <w:color w:val="auto"/>
                <w:sz w:val="22"/>
                <w:szCs w:val="22"/>
              </w:rPr>
              <w:t>RSV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vaccine, adjuvanted)</w:t>
            </w:r>
            <w:r w:rsidR="002C2E2A" w:rsidRPr="00FF20CF">
              <w:rPr>
                <w:rFonts w:ascii="Arial" w:hAnsi="Arial" w:cs="Arial"/>
              </w:rPr>
              <w:t>*</w:t>
            </w:r>
            <w:r w:rsidR="00080A76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14:paraId="53D616F3" w14:textId="1E8D6525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≥50 years</w:t>
            </w:r>
          </w:p>
        </w:tc>
        <w:tc>
          <w:tcPr>
            <w:tcW w:w="2557" w:type="dxa"/>
          </w:tcPr>
          <w:p w14:paraId="573B4E8E" w14:textId="0E047A3B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&lt;50 years</w:t>
            </w:r>
          </w:p>
        </w:tc>
      </w:tr>
      <w:tr w:rsidR="00F66EB8" w:rsidRPr="00FF20CF" w14:paraId="247F54FE" w14:textId="77777777" w:rsidTr="00840D1F">
        <w:tc>
          <w:tcPr>
            <w:tcW w:w="3113" w:type="dxa"/>
          </w:tcPr>
          <w:p w14:paraId="7F364646" w14:textId="1D6A9731" w:rsidR="00F66EB8" w:rsidRPr="00FF20CF" w:rsidRDefault="00F66EB8" w:rsidP="00F66EB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mRESVIA</w:t>
            </w:r>
            <w:proofErr w:type="spellEnd"/>
            <w:r w:rsidRPr="00FF20CF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="00080A76">
              <w:rPr>
                <w:rFonts w:ascii="Arial" w:hAnsi="Arial" w:cs="Arial"/>
                <w:color w:val="auto"/>
                <w:sz w:val="22"/>
                <w:szCs w:val="22"/>
              </w:rPr>
              <w:t>RSV</w:t>
            </w:r>
            <w:r w:rsidR="00D23238">
              <w:rPr>
                <w:rFonts w:ascii="Arial" w:hAnsi="Arial" w:cs="Arial"/>
                <w:color w:val="auto"/>
                <w:sz w:val="22"/>
                <w:szCs w:val="22"/>
              </w:rPr>
              <w:t xml:space="preserve"> vaccine, mRNA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="002C2E2A" w:rsidRPr="00FF20CF">
              <w:rPr>
                <w:rFonts w:ascii="Arial" w:hAnsi="Arial" w:cs="Arial"/>
              </w:rPr>
              <w:t>*</w:t>
            </w:r>
          </w:p>
        </w:tc>
        <w:tc>
          <w:tcPr>
            <w:tcW w:w="1440" w:type="dxa"/>
          </w:tcPr>
          <w:p w14:paraId="6032F7D8" w14:textId="2151BD4C" w:rsidR="00F66EB8" w:rsidRPr="00FF20CF" w:rsidRDefault="00F66EB8" w:rsidP="00F66EB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≥</w:t>
            </w:r>
            <w:r w:rsidR="002C2E2A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0 years</w:t>
            </w:r>
          </w:p>
        </w:tc>
        <w:tc>
          <w:tcPr>
            <w:tcW w:w="2557" w:type="dxa"/>
          </w:tcPr>
          <w:p w14:paraId="1E5B0298" w14:textId="5CD1F230" w:rsidR="00F66EB8" w:rsidRPr="00FF20CF" w:rsidRDefault="00F66EB8" w:rsidP="00F66EB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&lt;</w:t>
            </w:r>
            <w:r w:rsidR="002C2E2A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0 years</w:t>
            </w:r>
          </w:p>
        </w:tc>
      </w:tr>
      <w:tr w:rsidR="00F66EB8" w:rsidRPr="00FF20CF" w14:paraId="626C8A0E" w14:textId="77777777" w:rsidTr="00840D1F">
        <w:tc>
          <w:tcPr>
            <w:tcW w:w="3113" w:type="dxa"/>
          </w:tcPr>
          <w:p w14:paraId="43EC4A99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Beyfortus</w:t>
            </w:r>
            <w:proofErr w:type="spellEnd"/>
            <w:r w:rsidRPr="00FF20CF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® 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proofErr w:type="spellStart"/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nirsevimab-alip</w:t>
            </w:r>
            <w:proofErr w:type="spellEnd"/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14:paraId="5AF69D82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&lt;8 months</w:t>
            </w:r>
          </w:p>
        </w:tc>
        <w:tc>
          <w:tcPr>
            <w:tcW w:w="2557" w:type="dxa"/>
          </w:tcPr>
          <w:p w14:paraId="42055A78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≥8 months</w:t>
            </w:r>
          </w:p>
        </w:tc>
      </w:tr>
      <w:tr w:rsidR="007541B1" w:rsidRPr="00FF20CF" w14:paraId="46266E28" w14:textId="77777777" w:rsidTr="00840D1F">
        <w:tc>
          <w:tcPr>
            <w:tcW w:w="3113" w:type="dxa"/>
          </w:tcPr>
          <w:p w14:paraId="67AEE1B2" w14:textId="2EACAEF2" w:rsidR="007541B1" w:rsidRPr="007541B1" w:rsidRDefault="007541B1" w:rsidP="007541B1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Enflonsia</w:t>
            </w:r>
            <w:proofErr w:type="spellEnd"/>
            <w:r w:rsidRPr="00FF20CF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="002178A6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Pr="007541B1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proofErr w:type="spellStart"/>
            <w:r w:rsidRPr="007541B1">
              <w:rPr>
                <w:rFonts w:ascii="Arial" w:hAnsi="Arial" w:cs="Arial"/>
                <w:color w:val="auto"/>
                <w:sz w:val="22"/>
                <w:szCs w:val="22"/>
              </w:rPr>
              <w:t>clesrovimab-cfor</w:t>
            </w:r>
            <w:proofErr w:type="spellEnd"/>
            <w:r w:rsidRPr="007541B1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14:paraId="3B155ACE" w14:textId="760CF565" w:rsidR="007541B1" w:rsidRPr="00FF20CF" w:rsidRDefault="007541B1" w:rsidP="007541B1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&lt;8 months</w:t>
            </w:r>
          </w:p>
        </w:tc>
        <w:tc>
          <w:tcPr>
            <w:tcW w:w="2557" w:type="dxa"/>
          </w:tcPr>
          <w:p w14:paraId="3D497551" w14:textId="6A2F1CB3" w:rsidR="007541B1" w:rsidRPr="00FF20CF" w:rsidRDefault="007541B1" w:rsidP="007541B1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≥8 months</w:t>
            </w:r>
          </w:p>
        </w:tc>
      </w:tr>
      <w:tr w:rsidR="00F66EB8" w:rsidRPr="00FF20CF" w14:paraId="1AC9FB3D" w14:textId="77777777" w:rsidTr="00840D1F">
        <w:trPr>
          <w:trHeight w:val="63"/>
        </w:trPr>
        <w:tc>
          <w:tcPr>
            <w:tcW w:w="3113" w:type="dxa"/>
          </w:tcPr>
          <w:p w14:paraId="78F91A77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20CF">
              <w:rPr>
                <w:rFonts w:ascii="Arial" w:eastAsia="Calibri" w:hAnsi="Arial" w:cs="Arial"/>
                <w:color w:val="auto"/>
                <w:sz w:val="22"/>
                <w:szCs w:val="22"/>
              </w:rPr>
              <w:t>Synagis</w:t>
            </w:r>
            <w:proofErr w:type="spellEnd"/>
            <w:r w:rsidRPr="00FF20CF">
              <w:rPr>
                <w:rFonts w:ascii="Arial" w:eastAsia="Calibri" w:hAnsi="Arial" w:cs="Arial"/>
                <w:color w:val="auto"/>
                <w:sz w:val="22"/>
                <w:szCs w:val="22"/>
                <w:vertAlign w:val="superscript"/>
              </w:rPr>
              <w:t>®</w:t>
            </w:r>
            <w:r w:rsidRPr="00FF20CF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(</w:t>
            </w:r>
            <w:r w:rsidRPr="00FF20CF">
              <w:rPr>
                <w:rFonts w:ascii="Arial" w:hAnsi="Arial" w:cs="Arial"/>
                <w:color w:val="auto"/>
                <w:sz w:val="22"/>
                <w:szCs w:val="22"/>
              </w:rPr>
              <w:t>palivizumab)</w:t>
            </w:r>
          </w:p>
        </w:tc>
        <w:tc>
          <w:tcPr>
            <w:tcW w:w="1440" w:type="dxa"/>
          </w:tcPr>
          <w:p w14:paraId="07795034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557" w:type="dxa"/>
          </w:tcPr>
          <w:p w14:paraId="54068FDD" w14:textId="77777777" w:rsidR="00F66EB8" w:rsidRPr="00FF20CF" w:rsidRDefault="00F66EB8" w:rsidP="00F66EB8">
            <w:pPr>
              <w:rPr>
                <w:rFonts w:ascii="Arial" w:hAnsi="Arial" w:cs="Arial"/>
                <w:sz w:val="22"/>
                <w:szCs w:val="22"/>
              </w:rPr>
            </w:pPr>
            <w:r w:rsidRPr="00FF20CF">
              <w:rPr>
                <w:rFonts w:ascii="Arial" w:hAnsi="Arial" w:cs="Arial"/>
                <w:sz w:val="22"/>
                <w:szCs w:val="22"/>
              </w:rPr>
              <w:t>All ages</w:t>
            </w:r>
          </w:p>
        </w:tc>
      </w:tr>
    </w:tbl>
    <w:p w14:paraId="51B8007E" w14:textId="46AC804F" w:rsidR="00F66EB8" w:rsidRPr="00FF20CF" w:rsidRDefault="00FF20CF" w:rsidP="00840D1F">
      <w:pPr>
        <w:ind w:left="540"/>
        <w:rPr>
          <w:rFonts w:ascii="Arial" w:hAnsi="Arial" w:cs="Arial"/>
        </w:rPr>
      </w:pPr>
      <w:r w:rsidRPr="00FF20CF">
        <w:rPr>
          <w:rFonts w:ascii="Arial" w:hAnsi="Arial" w:cs="Arial"/>
        </w:rPr>
        <w:t xml:space="preserve"> </w:t>
      </w:r>
      <w:r w:rsidR="00F66EB8" w:rsidRPr="00FF20CF">
        <w:rPr>
          <w:rFonts w:ascii="Arial" w:hAnsi="Arial" w:cs="Arial"/>
        </w:rPr>
        <w:t>*Limit of one lifetime dose</w:t>
      </w:r>
    </w:p>
    <w:p w14:paraId="1AF7B77E" w14:textId="4B28A5AD" w:rsidR="00F66EB8" w:rsidRPr="00FF20CF" w:rsidRDefault="00FF20CF" w:rsidP="00840D1F">
      <w:pPr>
        <w:ind w:left="540"/>
        <w:rPr>
          <w:rFonts w:ascii="Arial" w:hAnsi="Arial" w:cs="Arial"/>
        </w:rPr>
      </w:pPr>
      <w:r w:rsidRPr="00FF20CF">
        <w:rPr>
          <w:rFonts w:ascii="Arial" w:hAnsi="Arial" w:cs="Arial"/>
        </w:rPr>
        <w:t xml:space="preserve"> </w:t>
      </w:r>
      <w:r w:rsidR="00F66EB8" w:rsidRPr="00FF20CF">
        <w:rPr>
          <w:rFonts w:ascii="Arial" w:hAnsi="Arial" w:cs="Arial"/>
        </w:rPr>
        <w:t>^</w:t>
      </w:r>
      <w:proofErr w:type="spellStart"/>
      <w:r w:rsidR="00F66EB8" w:rsidRPr="00FF20CF">
        <w:rPr>
          <w:rFonts w:ascii="Arial" w:hAnsi="Arial" w:cs="Arial"/>
        </w:rPr>
        <w:t>Abrysvo</w:t>
      </w:r>
      <w:proofErr w:type="spellEnd"/>
      <w:r w:rsidR="00F66EB8" w:rsidRPr="00FF20CF">
        <w:rPr>
          <w:rFonts w:ascii="Arial" w:hAnsi="Arial" w:cs="Arial"/>
        </w:rPr>
        <w:t xml:space="preserve"> is available without PA through medical billing </w:t>
      </w:r>
      <w:r w:rsidR="001D2A7B">
        <w:rPr>
          <w:rFonts w:ascii="Arial" w:hAnsi="Arial" w:cs="Arial"/>
        </w:rPr>
        <w:t>for u</w:t>
      </w:r>
      <w:r w:rsidR="0080735F">
        <w:rPr>
          <w:rFonts w:ascii="Arial" w:hAnsi="Arial" w:cs="Arial"/>
        </w:rPr>
        <w:t>se in pregnant people</w:t>
      </w:r>
      <w:r w:rsidR="00041A1A">
        <w:rPr>
          <w:rFonts w:ascii="Arial" w:hAnsi="Arial" w:cs="Arial"/>
        </w:rPr>
        <w:t>.</w:t>
      </w:r>
    </w:p>
    <w:p w14:paraId="6E96466F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noProof/>
          <w:sz w:val="26"/>
          <w:szCs w:val="26"/>
        </w:rPr>
      </w:pPr>
    </w:p>
    <w:p w14:paraId="39FBAB1B" w14:textId="7DA3A039" w:rsidR="00062FC6" w:rsidRPr="006B20D5" w:rsidRDefault="00062FC6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noProof/>
          <w:sz w:val="26"/>
          <w:szCs w:val="26"/>
        </w:rPr>
      </w:pPr>
      <w:r w:rsidRPr="006B20D5">
        <w:rPr>
          <w:rFonts w:ascii="Arial" w:hAnsi="Arial" w:cs="Arial"/>
          <w:noProof/>
          <w:sz w:val="26"/>
          <w:szCs w:val="26"/>
        </w:rPr>
        <w:t xml:space="preserve">Pharmacy Coverage </w:t>
      </w:r>
      <w:r w:rsidR="00CE4848">
        <w:rPr>
          <w:rFonts w:ascii="Arial" w:hAnsi="Arial" w:cs="Arial"/>
          <w:noProof/>
          <w:sz w:val="26"/>
          <w:szCs w:val="26"/>
        </w:rPr>
        <w:t>E</w:t>
      </w:r>
      <w:r w:rsidR="00CE4848" w:rsidRPr="006B20D5">
        <w:rPr>
          <w:rFonts w:ascii="Arial" w:hAnsi="Arial" w:cs="Arial"/>
          <w:noProof/>
          <w:sz w:val="26"/>
          <w:szCs w:val="26"/>
        </w:rPr>
        <w:t xml:space="preserve">ffective </w:t>
      </w:r>
      <w:r w:rsidR="005D0ED2">
        <w:rPr>
          <w:rFonts w:ascii="Arial" w:hAnsi="Arial" w:cs="Arial"/>
          <w:noProof/>
          <w:sz w:val="26"/>
          <w:szCs w:val="26"/>
        </w:rPr>
        <w:t>November 17, 2025</w:t>
      </w:r>
    </w:p>
    <w:p w14:paraId="0714937D" w14:textId="77777777" w:rsidR="00062FC6" w:rsidRDefault="00062FC6" w:rsidP="006B20D5">
      <w:pPr>
        <w:spacing w:line="276" w:lineRule="auto"/>
      </w:pPr>
    </w:p>
    <w:p w14:paraId="0BB6417C" w14:textId="11D8F8A8" w:rsidR="00062FC6" w:rsidRPr="00062FC6" w:rsidRDefault="00062FC6" w:rsidP="00982128">
      <w:pPr>
        <w:pStyle w:val="Heading2"/>
        <w:framePr w:hSpace="0" w:wrap="auto" w:vAnchor="margin" w:yAlign="inline"/>
        <w:spacing w:before="0" w:line="276" w:lineRule="auto"/>
      </w:pPr>
      <w:proofErr w:type="spellStart"/>
      <w:r w:rsidRPr="00205E56">
        <w:rPr>
          <w:rFonts w:ascii="Arial" w:hAnsi="Arial" w:cs="Arial"/>
          <w:sz w:val="22"/>
          <w:szCs w:val="22"/>
        </w:rPr>
        <w:t>Beyfortus</w:t>
      </w:r>
      <w:proofErr w:type="spellEnd"/>
      <w:r w:rsidR="00A03155" w:rsidRPr="00062FC6">
        <w:rPr>
          <w:rFonts w:ascii="Arial" w:hAnsi="Arial" w:cs="Arial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sz w:val="22"/>
          <w:szCs w:val="22"/>
        </w:rPr>
        <w:t xml:space="preserve"> Coverage Update</w:t>
      </w:r>
    </w:p>
    <w:p w14:paraId="76038ACE" w14:textId="4FFC85AA" w:rsidR="005D0ED2" w:rsidRDefault="00062FC6" w:rsidP="006B20D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062FC6">
        <w:rPr>
          <w:rFonts w:ascii="Arial" w:hAnsi="Arial" w:cs="Arial"/>
          <w:color w:val="auto"/>
          <w:sz w:val="22"/>
          <w:szCs w:val="22"/>
        </w:rPr>
        <w:t>Beyfortus</w:t>
      </w:r>
      <w:proofErr w:type="spellEnd"/>
      <w:r w:rsidRPr="00062FC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062FC6">
        <w:rPr>
          <w:rFonts w:ascii="Arial" w:hAnsi="Arial" w:cs="Arial"/>
          <w:color w:val="auto"/>
          <w:sz w:val="22"/>
          <w:szCs w:val="22"/>
        </w:rPr>
        <w:t>nirsevimab</w:t>
      </w:r>
      <w:proofErr w:type="spellEnd"/>
      <w:r w:rsidRPr="00062FC6">
        <w:rPr>
          <w:rFonts w:ascii="Arial" w:hAnsi="Arial" w:cs="Arial"/>
          <w:color w:val="auto"/>
          <w:sz w:val="22"/>
          <w:szCs w:val="22"/>
        </w:rPr>
        <w:t xml:space="preserve">) will </w:t>
      </w:r>
      <w:r w:rsidR="00323174">
        <w:rPr>
          <w:rFonts w:ascii="Arial" w:hAnsi="Arial" w:cs="Arial"/>
          <w:color w:val="auto"/>
          <w:sz w:val="22"/>
          <w:szCs w:val="22"/>
        </w:rPr>
        <w:t>continue to be covered without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 PA for MassHealth members</w:t>
      </w:r>
      <w:r w:rsidR="002C2E2A">
        <w:rPr>
          <w:rFonts w:ascii="Arial" w:hAnsi="Arial" w:cs="Arial"/>
          <w:color w:val="auto"/>
          <w:sz w:val="22"/>
          <w:szCs w:val="22"/>
        </w:rPr>
        <w:t xml:space="preserve"> younger than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 </w:t>
      </w:r>
      <w:r w:rsidR="00796800">
        <w:rPr>
          <w:rFonts w:ascii="Arial" w:hAnsi="Arial" w:cs="Arial"/>
          <w:color w:val="auto"/>
          <w:sz w:val="22"/>
          <w:szCs w:val="22"/>
        </w:rPr>
        <w:t>eight</w:t>
      </w:r>
      <w:r w:rsidR="005E7B03">
        <w:rPr>
          <w:rFonts w:ascii="Arial" w:hAnsi="Arial" w:cs="Arial"/>
          <w:color w:val="auto"/>
          <w:sz w:val="22"/>
          <w:szCs w:val="22"/>
        </w:rPr>
        <w:t xml:space="preserve"> m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onths. For members </w:t>
      </w:r>
      <w:r w:rsidR="005E7B03" w:rsidRPr="007E77D7">
        <w:rPr>
          <w:rFonts w:ascii="Arial" w:hAnsi="Arial" w:cs="Arial"/>
          <w:color w:val="auto"/>
          <w:sz w:val="22"/>
          <w:szCs w:val="22"/>
        </w:rPr>
        <w:t>eight</w:t>
      </w:r>
      <w:r w:rsidRPr="007E77D7">
        <w:rPr>
          <w:rFonts w:ascii="Arial" w:hAnsi="Arial" w:cs="Arial"/>
          <w:color w:val="auto"/>
          <w:sz w:val="22"/>
          <w:szCs w:val="22"/>
        </w:rPr>
        <w:t xml:space="preserve"> </w:t>
      </w:r>
      <w:r w:rsidRPr="00062FC6">
        <w:rPr>
          <w:rFonts w:ascii="Arial" w:hAnsi="Arial" w:cs="Arial"/>
          <w:color w:val="auto"/>
          <w:sz w:val="22"/>
          <w:szCs w:val="22"/>
        </w:rPr>
        <w:t>months</w:t>
      </w:r>
      <w:r w:rsidR="005E7B03">
        <w:rPr>
          <w:rFonts w:ascii="Arial" w:hAnsi="Arial" w:cs="Arial"/>
          <w:color w:val="auto"/>
          <w:sz w:val="22"/>
          <w:szCs w:val="22"/>
        </w:rPr>
        <w:t xml:space="preserve"> or older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, PA will be required to determine medical necessity based on comorbidities. </w:t>
      </w:r>
      <w:proofErr w:type="spellStart"/>
      <w:r w:rsidRPr="00062FC6">
        <w:rPr>
          <w:rFonts w:ascii="Arial" w:hAnsi="Arial" w:cs="Arial"/>
          <w:color w:val="auto"/>
          <w:sz w:val="22"/>
          <w:szCs w:val="22"/>
        </w:rPr>
        <w:t>Beyfortus</w:t>
      </w:r>
      <w:proofErr w:type="spellEnd"/>
      <w:r w:rsidRPr="00062FC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062FC6">
        <w:rPr>
          <w:rFonts w:ascii="Arial" w:hAnsi="Arial" w:cs="Arial"/>
          <w:color w:val="auto"/>
          <w:sz w:val="22"/>
          <w:szCs w:val="22"/>
        </w:rPr>
        <w:t>nirsevimab</w:t>
      </w:r>
      <w:proofErr w:type="spellEnd"/>
      <w:r w:rsidRPr="00062FC6">
        <w:rPr>
          <w:rFonts w:ascii="Arial" w:hAnsi="Arial" w:cs="Arial"/>
          <w:color w:val="auto"/>
          <w:sz w:val="22"/>
          <w:szCs w:val="22"/>
        </w:rPr>
        <w:t xml:space="preserve">) is available through the Massachusetts Department of Public Health Vaccines for Children program. </w:t>
      </w:r>
    </w:p>
    <w:p w14:paraId="35C7F0BA" w14:textId="77777777" w:rsidR="005D0ED2" w:rsidRDefault="005D0ED2" w:rsidP="006B20D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753CE21" w14:textId="675EF3BC" w:rsidR="005D0ED2" w:rsidRPr="00062FC6" w:rsidRDefault="005D0ED2" w:rsidP="005D0ED2">
      <w:pPr>
        <w:pStyle w:val="Heading2"/>
        <w:framePr w:hSpace="0" w:wrap="auto" w:vAnchor="margin" w:yAlign="inline"/>
        <w:spacing w:before="0" w:line="276" w:lineRule="auto"/>
      </w:pPr>
      <w:proofErr w:type="spellStart"/>
      <w:r>
        <w:rPr>
          <w:rFonts w:ascii="Arial" w:hAnsi="Arial" w:cs="Arial"/>
          <w:sz w:val="22"/>
          <w:szCs w:val="22"/>
        </w:rPr>
        <w:t>Enflonsia</w:t>
      </w:r>
      <w:proofErr w:type="spellEnd"/>
      <w:r w:rsidR="00A03155" w:rsidRPr="00062FC6">
        <w:rPr>
          <w:rFonts w:ascii="Arial" w:hAnsi="Arial" w:cs="Arial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sz w:val="22"/>
          <w:szCs w:val="22"/>
        </w:rPr>
        <w:t xml:space="preserve"> </w:t>
      </w:r>
      <w:r w:rsidR="00C11D30">
        <w:rPr>
          <w:rFonts w:ascii="Arial" w:hAnsi="Arial" w:cs="Arial"/>
          <w:sz w:val="22"/>
          <w:szCs w:val="22"/>
        </w:rPr>
        <w:t>FDA</w:t>
      </w:r>
      <w:r w:rsidR="00323174">
        <w:rPr>
          <w:rFonts w:ascii="Arial" w:hAnsi="Arial" w:cs="Arial"/>
          <w:sz w:val="22"/>
          <w:szCs w:val="22"/>
        </w:rPr>
        <w:t>-</w:t>
      </w:r>
      <w:r w:rsidR="00C11D30">
        <w:rPr>
          <w:rFonts w:ascii="Arial" w:hAnsi="Arial" w:cs="Arial"/>
          <w:sz w:val="22"/>
          <w:szCs w:val="22"/>
        </w:rPr>
        <w:t>Approval</w:t>
      </w:r>
    </w:p>
    <w:p w14:paraId="25179072" w14:textId="310CF72F" w:rsidR="005D0ED2" w:rsidRDefault="005D0ED2" w:rsidP="005D0ED2">
      <w:pPr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Enflonsia</w:t>
      </w:r>
      <w:proofErr w:type="spellEnd"/>
      <w:r w:rsidRPr="00FF20CF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  <w:r w:rsidRPr="007541B1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Pr="007541B1">
        <w:rPr>
          <w:rFonts w:ascii="Arial" w:hAnsi="Arial" w:cs="Arial"/>
          <w:color w:val="auto"/>
          <w:sz w:val="22"/>
          <w:szCs w:val="22"/>
        </w:rPr>
        <w:t>clesrovimab-cfor</w:t>
      </w:r>
      <w:proofErr w:type="spellEnd"/>
      <w:r w:rsidRPr="007541B1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 xml:space="preserve"> was approved by the Food and Drug Administration (FDA) on </w:t>
      </w:r>
      <w:r w:rsidR="00C11D30">
        <w:rPr>
          <w:rFonts w:ascii="Arial" w:hAnsi="Arial" w:cs="Arial"/>
          <w:color w:val="auto"/>
          <w:sz w:val="22"/>
          <w:szCs w:val="22"/>
        </w:rPr>
        <w:t>June 9, 2025</w:t>
      </w:r>
      <w:r w:rsidR="00E20290">
        <w:rPr>
          <w:rFonts w:ascii="Arial" w:hAnsi="Arial" w:cs="Arial"/>
          <w:color w:val="auto"/>
          <w:sz w:val="22"/>
          <w:szCs w:val="22"/>
        </w:rPr>
        <w:t>,</w:t>
      </w:r>
      <w:r w:rsidR="00C11D30">
        <w:rPr>
          <w:rFonts w:ascii="Arial" w:hAnsi="Arial" w:cs="Arial"/>
          <w:color w:val="auto"/>
          <w:sz w:val="22"/>
          <w:szCs w:val="22"/>
        </w:rPr>
        <w:t xml:space="preserve"> for the prevention of RSV </w:t>
      </w:r>
      <w:r w:rsidR="00DF4E6B">
        <w:rPr>
          <w:rFonts w:ascii="Arial" w:hAnsi="Arial" w:cs="Arial"/>
          <w:color w:val="auto"/>
          <w:sz w:val="22"/>
          <w:szCs w:val="22"/>
        </w:rPr>
        <w:t>LRTD</w:t>
      </w:r>
      <w:r w:rsidR="00C11D30">
        <w:rPr>
          <w:rFonts w:ascii="Arial" w:hAnsi="Arial" w:cs="Arial"/>
          <w:color w:val="auto"/>
          <w:sz w:val="22"/>
          <w:szCs w:val="22"/>
        </w:rPr>
        <w:t xml:space="preserve"> in </w:t>
      </w:r>
      <w:r w:rsidR="00DD0D7B">
        <w:rPr>
          <w:rFonts w:ascii="Arial" w:hAnsi="Arial" w:cs="Arial"/>
          <w:color w:val="auto"/>
          <w:sz w:val="22"/>
          <w:szCs w:val="22"/>
        </w:rPr>
        <w:t xml:space="preserve">infants </w:t>
      </w:r>
      <w:r w:rsidR="00C11D30">
        <w:rPr>
          <w:rFonts w:ascii="Arial" w:hAnsi="Arial" w:cs="Arial"/>
          <w:color w:val="auto"/>
          <w:sz w:val="22"/>
          <w:szCs w:val="22"/>
        </w:rPr>
        <w:t xml:space="preserve">who are born during or entering their first RSV season. </w:t>
      </w:r>
      <w:proofErr w:type="spellStart"/>
      <w:r w:rsidR="00C11D30">
        <w:rPr>
          <w:rFonts w:ascii="Arial" w:hAnsi="Arial" w:cs="Arial"/>
          <w:color w:val="auto"/>
          <w:sz w:val="22"/>
          <w:szCs w:val="22"/>
        </w:rPr>
        <w:t>Enflonsia</w:t>
      </w:r>
      <w:proofErr w:type="spellEnd"/>
      <w:r w:rsidR="00C11D30" w:rsidRPr="00FF20CF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C11D30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  <w:r w:rsidR="00C11D30" w:rsidRPr="007541B1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="00C11D30" w:rsidRPr="007541B1">
        <w:rPr>
          <w:rFonts w:ascii="Arial" w:hAnsi="Arial" w:cs="Arial"/>
          <w:color w:val="auto"/>
          <w:sz w:val="22"/>
          <w:szCs w:val="22"/>
        </w:rPr>
        <w:t>clesrovimab-cfor</w:t>
      </w:r>
      <w:proofErr w:type="spellEnd"/>
      <w:r w:rsidR="00C11D30" w:rsidRPr="007541B1">
        <w:rPr>
          <w:rFonts w:ascii="Arial" w:hAnsi="Arial" w:cs="Arial"/>
          <w:color w:val="auto"/>
          <w:sz w:val="22"/>
          <w:szCs w:val="22"/>
        </w:rPr>
        <w:t>)</w:t>
      </w:r>
      <w:r w:rsidR="00C11D30">
        <w:rPr>
          <w:rFonts w:ascii="Arial" w:hAnsi="Arial" w:cs="Arial"/>
          <w:color w:val="auto"/>
          <w:sz w:val="22"/>
          <w:szCs w:val="22"/>
        </w:rPr>
        <w:t xml:space="preserve"> </w:t>
      </w:r>
      <w:r w:rsidRPr="00062FC6">
        <w:rPr>
          <w:rFonts w:ascii="Arial" w:hAnsi="Arial" w:cs="Arial"/>
          <w:color w:val="auto"/>
          <w:sz w:val="22"/>
          <w:szCs w:val="22"/>
        </w:rPr>
        <w:t>will</w:t>
      </w:r>
      <w:r>
        <w:rPr>
          <w:rFonts w:ascii="Arial" w:hAnsi="Arial" w:cs="Arial"/>
          <w:color w:val="auto"/>
          <w:sz w:val="22"/>
          <w:szCs w:val="22"/>
        </w:rPr>
        <w:t xml:space="preserve"> be</w:t>
      </w:r>
      <w:r w:rsidR="00D86DD6">
        <w:rPr>
          <w:rFonts w:ascii="Arial" w:hAnsi="Arial" w:cs="Arial"/>
          <w:color w:val="auto"/>
          <w:sz w:val="22"/>
          <w:szCs w:val="22"/>
        </w:rPr>
        <w:t xml:space="preserve"> added to the MassHealth drug list</w:t>
      </w:r>
      <w:r>
        <w:rPr>
          <w:rFonts w:ascii="Arial" w:hAnsi="Arial" w:cs="Arial"/>
          <w:color w:val="auto"/>
          <w:sz w:val="22"/>
          <w:szCs w:val="22"/>
        </w:rPr>
        <w:t xml:space="preserve"> without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 PA for MassHealth members </w:t>
      </w:r>
      <w:r w:rsidR="00DF4E6B">
        <w:rPr>
          <w:rFonts w:ascii="Arial" w:hAnsi="Arial" w:cs="Arial"/>
          <w:color w:val="auto"/>
          <w:sz w:val="22"/>
          <w:szCs w:val="22"/>
        </w:rPr>
        <w:t xml:space="preserve">younger than </w:t>
      </w:r>
      <w:r>
        <w:rPr>
          <w:rFonts w:ascii="Arial" w:hAnsi="Arial" w:cs="Arial"/>
          <w:color w:val="auto"/>
          <w:sz w:val="22"/>
          <w:szCs w:val="22"/>
        </w:rPr>
        <w:t>eight m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onths. For members </w:t>
      </w:r>
      <w:r w:rsidRPr="007E77D7">
        <w:rPr>
          <w:rFonts w:ascii="Arial" w:hAnsi="Arial" w:cs="Arial"/>
          <w:color w:val="auto"/>
          <w:sz w:val="22"/>
          <w:szCs w:val="22"/>
        </w:rPr>
        <w:t xml:space="preserve">eight </w:t>
      </w:r>
      <w:r w:rsidRPr="00062FC6">
        <w:rPr>
          <w:rFonts w:ascii="Arial" w:hAnsi="Arial" w:cs="Arial"/>
          <w:color w:val="auto"/>
          <w:sz w:val="22"/>
          <w:szCs w:val="22"/>
        </w:rPr>
        <w:t>months</w:t>
      </w:r>
      <w:r>
        <w:rPr>
          <w:rFonts w:ascii="Arial" w:hAnsi="Arial" w:cs="Arial"/>
          <w:color w:val="auto"/>
          <w:sz w:val="22"/>
          <w:szCs w:val="22"/>
        </w:rPr>
        <w:t xml:space="preserve"> or older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, </w:t>
      </w:r>
      <w:r w:rsidRPr="00062FC6">
        <w:rPr>
          <w:rFonts w:ascii="Arial" w:hAnsi="Arial" w:cs="Arial"/>
          <w:color w:val="auto"/>
          <w:sz w:val="22"/>
          <w:szCs w:val="22"/>
        </w:rPr>
        <w:lastRenderedPageBreak/>
        <w:t xml:space="preserve">PA will be required to determine medical necessity based on comorbidities.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Enflonsia</w:t>
      </w:r>
      <w:proofErr w:type="spellEnd"/>
      <w:r w:rsidRPr="00FF20CF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  <w:r w:rsidRPr="007541B1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Pr="007541B1">
        <w:rPr>
          <w:rFonts w:ascii="Arial" w:hAnsi="Arial" w:cs="Arial"/>
          <w:color w:val="auto"/>
          <w:sz w:val="22"/>
          <w:szCs w:val="22"/>
        </w:rPr>
        <w:t>clesrovimab-cfor</w:t>
      </w:r>
      <w:proofErr w:type="spellEnd"/>
      <w:r w:rsidRPr="007541B1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062FC6">
        <w:rPr>
          <w:rFonts w:ascii="Arial" w:hAnsi="Arial" w:cs="Arial"/>
          <w:color w:val="auto"/>
          <w:sz w:val="22"/>
          <w:szCs w:val="22"/>
        </w:rPr>
        <w:t xml:space="preserve">is available through the Massachusetts Department of Public Health Vaccines for Children program. </w:t>
      </w:r>
    </w:p>
    <w:p w14:paraId="0F1D4BA9" w14:textId="1C2B082B" w:rsidR="00062FC6" w:rsidRPr="00C11D30" w:rsidRDefault="00062FC6" w:rsidP="006B20D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B020384" w14:textId="17D15E8C" w:rsidR="00205E56" w:rsidRPr="00205E56" w:rsidRDefault="00870CBF" w:rsidP="00982128">
      <w:pPr>
        <w:pStyle w:val="Heading2"/>
        <w:framePr w:hSpace="0" w:wrap="auto" w:vAnchor="margin" w:yAlign="inline"/>
        <w:spacing w:before="0" w:line="276" w:lineRule="auto"/>
      </w:pPr>
      <w:r w:rsidRPr="00205E56">
        <w:rPr>
          <w:rFonts w:ascii="Arial" w:hAnsi="Arial" w:cs="Arial"/>
          <w:noProof/>
          <w:sz w:val="22"/>
          <w:szCs w:val="22"/>
        </w:rPr>
        <w:t>Synagis</w:t>
      </w:r>
      <w:r w:rsidR="00A03155" w:rsidRPr="00062FC6">
        <w:rPr>
          <w:rFonts w:ascii="Arial" w:hAnsi="Arial" w:cs="Arial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sz w:val="22"/>
          <w:szCs w:val="22"/>
        </w:rPr>
        <w:t xml:space="preserve"> Coverage Update</w:t>
      </w:r>
    </w:p>
    <w:p w14:paraId="06764276" w14:textId="02F51A40" w:rsidR="00870CBF" w:rsidRDefault="00870CBF" w:rsidP="006B20D5">
      <w:pPr>
        <w:spacing w:line="276" w:lineRule="auto"/>
        <w:ind w:right="-94"/>
        <w:rPr>
          <w:rFonts w:ascii="Arial" w:hAnsi="Arial" w:cs="Arial"/>
          <w:color w:val="auto"/>
          <w:sz w:val="22"/>
          <w:szCs w:val="22"/>
        </w:rPr>
      </w:pPr>
      <w:proofErr w:type="spellStart"/>
      <w:r w:rsidRPr="00205E56">
        <w:rPr>
          <w:rFonts w:ascii="Arial" w:hAnsi="Arial" w:cs="Arial"/>
          <w:color w:val="auto"/>
          <w:sz w:val="22"/>
          <w:szCs w:val="22"/>
        </w:rPr>
        <w:t>Synagis</w:t>
      </w:r>
      <w:proofErr w:type="spellEnd"/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(palivizumab) will continue to require PA</w:t>
      </w:r>
      <w:r w:rsidR="00DF4E6B">
        <w:rPr>
          <w:rFonts w:ascii="Arial" w:hAnsi="Arial" w:cs="Arial"/>
          <w:color w:val="auto"/>
          <w:sz w:val="22"/>
          <w:szCs w:val="22"/>
        </w:rPr>
        <w:t xml:space="preserve"> for all ages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. MassHealth clinical criteria </w:t>
      </w:r>
      <w:r w:rsidR="00234AE0" w:rsidRPr="00205E56">
        <w:rPr>
          <w:rFonts w:ascii="Arial" w:hAnsi="Arial" w:cs="Arial"/>
          <w:color w:val="auto"/>
          <w:sz w:val="22"/>
          <w:szCs w:val="22"/>
        </w:rPr>
        <w:t>w</w:t>
      </w:r>
      <w:r w:rsidR="00234AE0">
        <w:rPr>
          <w:rFonts w:ascii="Arial" w:hAnsi="Arial" w:cs="Arial"/>
          <w:color w:val="auto"/>
          <w:sz w:val="22"/>
          <w:szCs w:val="22"/>
        </w:rPr>
        <w:t>ill be</w:t>
      </w:r>
      <w:r w:rsidR="00234AE0"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updated to include clinical rationale for use instead of </w:t>
      </w:r>
      <w:proofErr w:type="spellStart"/>
      <w:r w:rsidRPr="00205E56">
        <w:rPr>
          <w:rFonts w:ascii="Arial" w:hAnsi="Arial" w:cs="Arial"/>
          <w:color w:val="auto"/>
          <w:sz w:val="22"/>
          <w:szCs w:val="22"/>
        </w:rPr>
        <w:t>Beyfortus</w:t>
      </w:r>
      <w:proofErr w:type="spellEnd"/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205E56">
        <w:rPr>
          <w:rFonts w:ascii="Arial" w:hAnsi="Arial" w:cs="Arial"/>
          <w:color w:val="auto"/>
          <w:sz w:val="22"/>
          <w:szCs w:val="22"/>
        </w:rPr>
        <w:t>nirsevimab</w:t>
      </w:r>
      <w:proofErr w:type="spellEnd"/>
      <w:r w:rsidRPr="00205E56">
        <w:rPr>
          <w:rFonts w:ascii="Arial" w:hAnsi="Arial" w:cs="Arial"/>
          <w:color w:val="auto"/>
          <w:sz w:val="22"/>
          <w:szCs w:val="22"/>
        </w:rPr>
        <w:t>)</w:t>
      </w:r>
      <w:r w:rsidR="005D0ED2">
        <w:rPr>
          <w:rFonts w:ascii="Arial" w:hAnsi="Arial" w:cs="Arial"/>
          <w:color w:val="auto"/>
          <w:sz w:val="22"/>
          <w:szCs w:val="22"/>
        </w:rPr>
        <w:t xml:space="preserve"> or </w:t>
      </w:r>
      <w:proofErr w:type="spellStart"/>
      <w:r w:rsidR="005D0ED2">
        <w:rPr>
          <w:rFonts w:ascii="Arial" w:hAnsi="Arial" w:cs="Arial"/>
          <w:color w:val="auto"/>
          <w:sz w:val="22"/>
          <w:szCs w:val="22"/>
        </w:rPr>
        <w:t>Enflonsia</w:t>
      </w:r>
      <w:proofErr w:type="spellEnd"/>
      <w:r w:rsidR="005D0ED2" w:rsidRPr="00FF20CF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5D0ED2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  <w:r w:rsidR="005D0ED2" w:rsidRPr="007541B1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="005D0ED2" w:rsidRPr="007541B1">
        <w:rPr>
          <w:rFonts w:ascii="Arial" w:hAnsi="Arial" w:cs="Arial"/>
          <w:color w:val="auto"/>
          <w:sz w:val="22"/>
          <w:szCs w:val="22"/>
        </w:rPr>
        <w:t>clesrovimab-cfor</w:t>
      </w:r>
      <w:proofErr w:type="spellEnd"/>
      <w:r w:rsidR="005D0ED2" w:rsidRPr="007541B1">
        <w:rPr>
          <w:rFonts w:ascii="Arial" w:hAnsi="Arial" w:cs="Arial"/>
          <w:color w:val="auto"/>
          <w:sz w:val="22"/>
          <w:szCs w:val="22"/>
        </w:rPr>
        <w:t>)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. </w:t>
      </w:r>
      <w:r w:rsidR="00323174">
        <w:rPr>
          <w:rFonts w:ascii="Arial" w:hAnsi="Arial" w:cs="Arial"/>
          <w:color w:val="auto"/>
          <w:sz w:val="22"/>
          <w:szCs w:val="22"/>
        </w:rPr>
        <w:t>A</w:t>
      </w:r>
      <w:r w:rsidRPr="00205E56">
        <w:rPr>
          <w:rFonts w:ascii="Arial" w:hAnsi="Arial" w:cs="Arial"/>
          <w:color w:val="auto"/>
          <w:sz w:val="22"/>
          <w:szCs w:val="22"/>
        </w:rPr>
        <w:t>dditional documentation</w:t>
      </w:r>
      <w:r w:rsidR="00323174">
        <w:rPr>
          <w:rFonts w:ascii="Arial" w:hAnsi="Arial" w:cs="Arial"/>
          <w:color w:val="auto"/>
          <w:sz w:val="22"/>
          <w:szCs w:val="22"/>
        </w:rPr>
        <w:t xml:space="preserve"> will also be required </w:t>
      </w:r>
      <w:r w:rsidR="00AC3152">
        <w:rPr>
          <w:rFonts w:ascii="Arial" w:hAnsi="Arial" w:cs="Arial"/>
          <w:color w:val="auto"/>
          <w:sz w:val="22"/>
          <w:szCs w:val="22"/>
        </w:rPr>
        <w:t xml:space="preserve">upon </w:t>
      </w:r>
      <w:r w:rsidR="00321F5C">
        <w:rPr>
          <w:rFonts w:ascii="Arial" w:hAnsi="Arial" w:cs="Arial"/>
          <w:color w:val="auto"/>
          <w:sz w:val="22"/>
          <w:szCs w:val="22"/>
        </w:rPr>
        <w:t>submission</w:t>
      </w:r>
      <w:r w:rsidR="00AC3152">
        <w:rPr>
          <w:rFonts w:ascii="Arial" w:hAnsi="Arial" w:cs="Arial"/>
          <w:color w:val="auto"/>
          <w:sz w:val="22"/>
          <w:szCs w:val="22"/>
        </w:rPr>
        <w:t xml:space="preserve"> </w:t>
      </w:r>
      <w:r w:rsidR="00321F5C">
        <w:rPr>
          <w:rFonts w:ascii="Arial" w:hAnsi="Arial" w:cs="Arial"/>
          <w:color w:val="auto"/>
          <w:sz w:val="22"/>
          <w:szCs w:val="22"/>
        </w:rPr>
        <w:t xml:space="preserve">for the diagnoses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of </w:t>
      </w:r>
      <w:r w:rsidR="005E7B03">
        <w:rPr>
          <w:rFonts w:ascii="Arial" w:hAnsi="Arial" w:cs="Arial"/>
          <w:color w:val="auto"/>
          <w:sz w:val="22"/>
          <w:szCs w:val="22"/>
        </w:rPr>
        <w:t>chronic lung disease (</w:t>
      </w:r>
      <w:r w:rsidRPr="00205E56">
        <w:rPr>
          <w:rFonts w:ascii="Arial" w:hAnsi="Arial" w:cs="Arial"/>
          <w:color w:val="auto"/>
          <w:sz w:val="22"/>
          <w:szCs w:val="22"/>
        </w:rPr>
        <w:t>CLD</w:t>
      </w:r>
      <w:r w:rsidR="005E7B03">
        <w:rPr>
          <w:rFonts w:ascii="Arial" w:hAnsi="Arial" w:cs="Arial"/>
          <w:color w:val="auto"/>
          <w:sz w:val="22"/>
          <w:szCs w:val="22"/>
        </w:rPr>
        <w:t>)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of prematurity, </w:t>
      </w:r>
      <w:r w:rsidR="005E7B03">
        <w:rPr>
          <w:rFonts w:ascii="Arial" w:hAnsi="Arial" w:cs="Arial"/>
          <w:color w:val="auto"/>
          <w:sz w:val="22"/>
          <w:szCs w:val="22"/>
        </w:rPr>
        <w:t>b</w:t>
      </w:r>
      <w:r w:rsidR="005E7B03" w:rsidRPr="005E7B03">
        <w:rPr>
          <w:rFonts w:ascii="Arial" w:hAnsi="Arial" w:cs="Arial"/>
          <w:color w:val="auto"/>
          <w:sz w:val="22"/>
          <w:szCs w:val="22"/>
        </w:rPr>
        <w:t xml:space="preserve">ronchopulmonary dysplasia </w:t>
      </w:r>
      <w:r w:rsidR="005E7B03">
        <w:rPr>
          <w:rFonts w:ascii="Arial" w:hAnsi="Arial" w:cs="Arial"/>
          <w:color w:val="auto"/>
          <w:sz w:val="22"/>
          <w:szCs w:val="22"/>
        </w:rPr>
        <w:t>(</w:t>
      </w:r>
      <w:r w:rsidRPr="00205E56">
        <w:rPr>
          <w:rFonts w:ascii="Arial" w:hAnsi="Arial" w:cs="Arial"/>
          <w:color w:val="auto"/>
          <w:sz w:val="22"/>
          <w:szCs w:val="22"/>
        </w:rPr>
        <w:t>BPD</w:t>
      </w:r>
      <w:r w:rsidR="005E7B03">
        <w:rPr>
          <w:rFonts w:ascii="Arial" w:hAnsi="Arial" w:cs="Arial"/>
          <w:color w:val="auto"/>
          <w:sz w:val="22"/>
          <w:szCs w:val="22"/>
        </w:rPr>
        <w:t>)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, prematurity, or </w:t>
      </w:r>
      <w:r w:rsidR="005E7B03">
        <w:rPr>
          <w:rFonts w:ascii="Arial" w:hAnsi="Arial" w:cs="Arial"/>
          <w:color w:val="auto"/>
          <w:sz w:val="22"/>
          <w:szCs w:val="22"/>
        </w:rPr>
        <w:t>c</w:t>
      </w:r>
      <w:r w:rsidR="00C11D30">
        <w:rPr>
          <w:rFonts w:ascii="Arial" w:hAnsi="Arial" w:cs="Arial"/>
          <w:color w:val="auto"/>
          <w:sz w:val="22"/>
          <w:szCs w:val="22"/>
        </w:rPr>
        <w:t>ongenital</w:t>
      </w:r>
      <w:r w:rsidR="005E7B03">
        <w:rPr>
          <w:rFonts w:ascii="Arial" w:hAnsi="Arial" w:cs="Arial"/>
          <w:color w:val="auto"/>
          <w:sz w:val="22"/>
          <w:szCs w:val="22"/>
        </w:rPr>
        <w:t xml:space="preserve"> heart disease (</w:t>
      </w:r>
      <w:r w:rsidRPr="00205E56">
        <w:rPr>
          <w:rFonts w:ascii="Arial" w:hAnsi="Arial" w:cs="Arial"/>
          <w:color w:val="auto"/>
          <w:sz w:val="22"/>
          <w:szCs w:val="22"/>
        </w:rPr>
        <w:t>CHD</w:t>
      </w:r>
      <w:r w:rsidR="005E7B03">
        <w:rPr>
          <w:rFonts w:ascii="Arial" w:hAnsi="Arial" w:cs="Arial"/>
          <w:color w:val="auto"/>
          <w:sz w:val="22"/>
          <w:szCs w:val="22"/>
        </w:rPr>
        <w:t>)</w:t>
      </w:r>
      <w:r w:rsidRPr="00205E56">
        <w:rPr>
          <w:rFonts w:ascii="Arial" w:hAnsi="Arial" w:cs="Arial"/>
          <w:color w:val="auto"/>
          <w:sz w:val="22"/>
          <w:szCs w:val="22"/>
        </w:rPr>
        <w:t>.</w:t>
      </w:r>
      <w:r w:rsidR="00234AE0">
        <w:rPr>
          <w:rFonts w:ascii="Arial" w:hAnsi="Arial" w:cs="Arial"/>
          <w:color w:val="auto"/>
          <w:sz w:val="22"/>
          <w:szCs w:val="22"/>
        </w:rPr>
        <w:t xml:space="preserve"> Notably, </w:t>
      </w:r>
      <w:proofErr w:type="spellStart"/>
      <w:r w:rsidR="00234AE0" w:rsidRPr="00205E56">
        <w:rPr>
          <w:rFonts w:ascii="Arial" w:hAnsi="Arial" w:cs="Arial"/>
          <w:color w:val="auto"/>
          <w:sz w:val="22"/>
          <w:szCs w:val="22"/>
        </w:rPr>
        <w:t>Synagis</w:t>
      </w:r>
      <w:proofErr w:type="spellEnd"/>
      <w:r w:rsidR="00234AE0"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234AE0" w:rsidRPr="00205E56">
        <w:rPr>
          <w:rFonts w:ascii="Arial" w:hAnsi="Arial" w:cs="Arial"/>
          <w:color w:val="auto"/>
          <w:sz w:val="22"/>
          <w:szCs w:val="22"/>
        </w:rPr>
        <w:t xml:space="preserve"> (palivizumab)</w:t>
      </w:r>
      <w:r w:rsidR="00234AE0">
        <w:rPr>
          <w:rFonts w:ascii="Arial" w:hAnsi="Arial" w:cs="Arial"/>
          <w:color w:val="auto"/>
          <w:sz w:val="22"/>
          <w:szCs w:val="22"/>
        </w:rPr>
        <w:t xml:space="preserve"> will be discontinued </w:t>
      </w:r>
      <w:r w:rsidR="00B31EFC">
        <w:rPr>
          <w:rFonts w:ascii="Arial" w:hAnsi="Arial" w:cs="Arial"/>
          <w:color w:val="auto"/>
          <w:sz w:val="22"/>
          <w:szCs w:val="22"/>
        </w:rPr>
        <w:t>effective December 31, 2025.</w:t>
      </w:r>
    </w:p>
    <w:p w14:paraId="6D49DABF" w14:textId="77777777" w:rsidR="004C1412" w:rsidRPr="00205E56" w:rsidRDefault="004C1412" w:rsidP="006B20D5">
      <w:pPr>
        <w:spacing w:line="276" w:lineRule="auto"/>
        <w:ind w:right="-94"/>
        <w:rPr>
          <w:rFonts w:ascii="Arial" w:hAnsi="Arial" w:cs="Arial"/>
          <w:color w:val="auto"/>
          <w:sz w:val="22"/>
          <w:szCs w:val="22"/>
        </w:rPr>
      </w:pPr>
    </w:p>
    <w:p w14:paraId="500936F1" w14:textId="27A864B6" w:rsidR="00205E56" w:rsidRPr="00D86DD6" w:rsidRDefault="00B15D97" w:rsidP="00D86DD6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noProof/>
          <w:sz w:val="26"/>
          <w:szCs w:val="26"/>
        </w:rPr>
      </w:pPr>
      <w:r w:rsidRPr="00D86DD6">
        <w:rPr>
          <w:rFonts w:ascii="Arial" w:hAnsi="Arial" w:cs="Arial"/>
          <w:noProof/>
          <w:sz w:val="26"/>
          <w:szCs w:val="26"/>
        </w:rPr>
        <w:t>RSV Vaccines</w:t>
      </w:r>
    </w:p>
    <w:p w14:paraId="2990C571" w14:textId="77777777" w:rsidR="00B15D97" w:rsidRDefault="00B15D97" w:rsidP="00B15D97">
      <w:pPr>
        <w:rPr>
          <w:rFonts w:ascii="Arial" w:hAnsi="Arial" w:cs="Arial"/>
          <w:b/>
          <w:bCs/>
          <w:sz w:val="22"/>
          <w:szCs w:val="22"/>
        </w:rPr>
      </w:pPr>
    </w:p>
    <w:p w14:paraId="5EA1EC00" w14:textId="6EE13576" w:rsidR="00B15D97" w:rsidRPr="00D86DD6" w:rsidRDefault="00B15D97" w:rsidP="00D86DD6">
      <w:proofErr w:type="spellStart"/>
      <w:r w:rsidRPr="00D86DD6">
        <w:rPr>
          <w:rFonts w:ascii="Arial" w:hAnsi="Arial" w:cs="Arial"/>
          <w:b/>
          <w:bCs/>
          <w:sz w:val="22"/>
          <w:szCs w:val="22"/>
        </w:rPr>
        <w:t>Abrysvo</w:t>
      </w:r>
      <w:proofErr w:type="spellEnd"/>
      <w:r w:rsidRPr="00D86DD6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</w:p>
    <w:p w14:paraId="18182413" w14:textId="2EB929D1" w:rsidR="00870CBF" w:rsidRPr="00205E56" w:rsidRDefault="00870CBF" w:rsidP="006B20D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205E56">
        <w:rPr>
          <w:rFonts w:ascii="Arial" w:hAnsi="Arial" w:cs="Arial"/>
          <w:color w:val="auto"/>
          <w:sz w:val="22"/>
          <w:szCs w:val="22"/>
        </w:rPr>
        <w:t>Abrysvo</w:t>
      </w:r>
      <w:proofErr w:type="spellEnd"/>
      <w:r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0E62A4">
        <w:rPr>
          <w:rFonts w:ascii="Arial" w:hAnsi="Arial" w:cs="Arial"/>
          <w:color w:val="auto"/>
          <w:sz w:val="22"/>
          <w:szCs w:val="22"/>
        </w:rPr>
        <w:t>is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323174">
        <w:rPr>
          <w:rFonts w:ascii="Arial" w:hAnsi="Arial" w:cs="Arial"/>
          <w:color w:val="auto"/>
          <w:sz w:val="22"/>
          <w:szCs w:val="22"/>
        </w:rPr>
        <w:t>FDA-</w:t>
      </w:r>
      <w:r w:rsidRPr="00205E56">
        <w:rPr>
          <w:rFonts w:ascii="Arial" w:hAnsi="Arial" w:cs="Arial"/>
          <w:color w:val="auto"/>
          <w:sz w:val="22"/>
          <w:szCs w:val="22"/>
        </w:rPr>
        <w:t>approve</w:t>
      </w:r>
      <w:r w:rsidR="000E62A4">
        <w:rPr>
          <w:rFonts w:ascii="Arial" w:hAnsi="Arial" w:cs="Arial"/>
          <w:color w:val="auto"/>
          <w:sz w:val="22"/>
          <w:szCs w:val="22"/>
        </w:rPr>
        <w:t>d</w:t>
      </w:r>
      <w:r w:rsidR="009029C1">
        <w:rPr>
          <w:rFonts w:ascii="Arial" w:hAnsi="Arial" w:cs="Arial"/>
          <w:color w:val="auto"/>
          <w:sz w:val="22"/>
          <w:szCs w:val="22"/>
        </w:rPr>
        <w:t xml:space="preserve"> for active immunization of </w:t>
      </w:r>
      <w:r w:rsidR="009029C1" w:rsidRPr="00205E56">
        <w:rPr>
          <w:rFonts w:ascii="Arial" w:hAnsi="Arial" w:cs="Arial"/>
          <w:color w:val="auto"/>
          <w:sz w:val="22"/>
          <w:szCs w:val="22"/>
        </w:rPr>
        <w:t xml:space="preserve">pregnant </w:t>
      </w:r>
      <w:r w:rsidR="009029C1">
        <w:rPr>
          <w:rFonts w:ascii="Arial" w:hAnsi="Arial" w:cs="Arial"/>
          <w:color w:val="auto"/>
          <w:sz w:val="22"/>
          <w:szCs w:val="22"/>
        </w:rPr>
        <w:t>individuals</w:t>
      </w:r>
      <w:r w:rsidR="009029C1" w:rsidRPr="00205E56">
        <w:rPr>
          <w:rFonts w:ascii="Arial" w:hAnsi="Arial" w:cs="Arial"/>
          <w:color w:val="auto"/>
          <w:sz w:val="22"/>
          <w:szCs w:val="22"/>
        </w:rPr>
        <w:t xml:space="preserve"> at </w:t>
      </w:r>
      <w:r w:rsidR="00AC3152" w:rsidRPr="00205E56">
        <w:rPr>
          <w:rFonts w:ascii="Arial" w:hAnsi="Arial" w:cs="Arial"/>
          <w:color w:val="auto"/>
          <w:sz w:val="22"/>
          <w:szCs w:val="22"/>
        </w:rPr>
        <w:t>32 t</w:t>
      </w:r>
      <w:r w:rsidR="00AC3152">
        <w:rPr>
          <w:rFonts w:ascii="Arial" w:hAnsi="Arial" w:cs="Arial"/>
          <w:color w:val="auto"/>
          <w:sz w:val="22"/>
          <w:szCs w:val="22"/>
        </w:rPr>
        <w:t>o</w:t>
      </w:r>
      <w:r w:rsidR="00AC3152" w:rsidRPr="00205E56">
        <w:rPr>
          <w:rFonts w:ascii="Arial" w:hAnsi="Arial" w:cs="Arial"/>
          <w:color w:val="auto"/>
          <w:sz w:val="22"/>
          <w:szCs w:val="22"/>
        </w:rPr>
        <w:t xml:space="preserve"> 36 weeks </w:t>
      </w:r>
      <w:r w:rsidR="009029C1">
        <w:rPr>
          <w:rFonts w:ascii="Arial" w:hAnsi="Arial" w:cs="Arial"/>
          <w:color w:val="auto"/>
          <w:sz w:val="22"/>
          <w:szCs w:val="22"/>
        </w:rPr>
        <w:t xml:space="preserve">gestation </w:t>
      </w:r>
      <w:r w:rsidR="009029C1" w:rsidRPr="00205E56">
        <w:rPr>
          <w:rFonts w:ascii="Arial" w:hAnsi="Arial" w:cs="Arial"/>
          <w:color w:val="auto"/>
          <w:sz w:val="22"/>
          <w:szCs w:val="22"/>
        </w:rPr>
        <w:t xml:space="preserve">for the prevention of LRTD and severe LRTD caused by RSV in infants from birth through </w:t>
      </w:r>
      <w:r w:rsidR="009029C1">
        <w:rPr>
          <w:rFonts w:ascii="Arial" w:hAnsi="Arial" w:cs="Arial"/>
          <w:color w:val="auto"/>
          <w:sz w:val="22"/>
          <w:szCs w:val="22"/>
        </w:rPr>
        <w:t>six</w:t>
      </w:r>
      <w:r w:rsidR="009029C1" w:rsidRPr="00205E56">
        <w:rPr>
          <w:rFonts w:ascii="Arial" w:hAnsi="Arial" w:cs="Arial"/>
          <w:color w:val="auto"/>
          <w:sz w:val="22"/>
          <w:szCs w:val="22"/>
        </w:rPr>
        <w:t xml:space="preserve"> months</w:t>
      </w:r>
      <w:r w:rsidR="009029C1">
        <w:rPr>
          <w:rFonts w:ascii="Arial" w:hAnsi="Arial" w:cs="Arial"/>
          <w:color w:val="auto"/>
          <w:sz w:val="22"/>
          <w:szCs w:val="22"/>
        </w:rPr>
        <w:t xml:space="preserve"> and for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active immunization </w:t>
      </w:r>
      <w:r w:rsidR="009029C1">
        <w:rPr>
          <w:rFonts w:ascii="Arial" w:hAnsi="Arial" w:cs="Arial"/>
          <w:color w:val="auto"/>
          <w:sz w:val="22"/>
          <w:szCs w:val="22"/>
        </w:rPr>
        <w:t>in adults</w:t>
      </w:r>
      <w:r w:rsidR="009029C1"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B15D97">
        <w:rPr>
          <w:rFonts w:ascii="Arial" w:hAnsi="Arial" w:cs="Arial"/>
          <w:color w:val="auto"/>
          <w:sz w:val="22"/>
          <w:szCs w:val="22"/>
        </w:rPr>
        <w:t>18</w:t>
      </w:r>
      <w:r w:rsidR="00B15D97"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9029C1" w:rsidRPr="00205E56">
        <w:rPr>
          <w:rFonts w:ascii="Arial" w:hAnsi="Arial" w:cs="Arial"/>
          <w:color w:val="auto"/>
          <w:sz w:val="22"/>
          <w:szCs w:val="22"/>
        </w:rPr>
        <w:t xml:space="preserve">years </w:t>
      </w:r>
      <w:r w:rsidR="009029C1">
        <w:rPr>
          <w:rFonts w:ascii="Arial" w:hAnsi="Arial" w:cs="Arial"/>
          <w:color w:val="auto"/>
          <w:sz w:val="22"/>
          <w:szCs w:val="22"/>
        </w:rPr>
        <w:t xml:space="preserve">or older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for the prevention of </w:t>
      </w:r>
      <w:r w:rsidR="00C11D30">
        <w:rPr>
          <w:rFonts w:ascii="Arial" w:hAnsi="Arial" w:cs="Arial"/>
          <w:color w:val="auto"/>
          <w:sz w:val="22"/>
          <w:szCs w:val="22"/>
        </w:rPr>
        <w:t>LRTD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caused by RSV</w:t>
      </w:r>
      <w:r w:rsidR="009029C1">
        <w:rPr>
          <w:rFonts w:ascii="Arial" w:hAnsi="Arial" w:cs="Arial"/>
          <w:color w:val="auto"/>
          <w:sz w:val="22"/>
          <w:szCs w:val="22"/>
        </w:rPr>
        <w:t>.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9029C1" w:rsidRPr="00205E56">
        <w:rPr>
          <w:rFonts w:ascii="Arial" w:hAnsi="Arial" w:cs="Arial"/>
          <w:color w:val="auto"/>
          <w:sz w:val="22"/>
          <w:szCs w:val="22"/>
        </w:rPr>
        <w:t>Abrysvo</w:t>
      </w:r>
      <w:proofErr w:type="spellEnd"/>
      <w:r w:rsidR="009029C1"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="009029C1"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will </w:t>
      </w:r>
      <w:r w:rsidR="00412265">
        <w:rPr>
          <w:rFonts w:ascii="Arial" w:hAnsi="Arial" w:cs="Arial"/>
          <w:bCs/>
          <w:color w:val="auto"/>
          <w:sz w:val="22"/>
          <w:szCs w:val="22"/>
        </w:rPr>
        <w:t>continue</w:t>
      </w:r>
      <w:r w:rsidR="003F391D">
        <w:rPr>
          <w:rFonts w:ascii="Arial" w:hAnsi="Arial" w:cs="Arial"/>
          <w:bCs/>
          <w:color w:val="auto"/>
          <w:sz w:val="22"/>
          <w:szCs w:val="22"/>
        </w:rPr>
        <w:t xml:space="preserve"> to 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be covered without PA for </w:t>
      </w:r>
      <w:r w:rsidR="000B4487">
        <w:rPr>
          <w:rFonts w:ascii="Arial" w:hAnsi="Arial" w:cs="Arial"/>
          <w:bCs/>
          <w:color w:val="auto"/>
          <w:sz w:val="22"/>
          <w:szCs w:val="22"/>
        </w:rPr>
        <w:t xml:space="preserve">MassHealth 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members </w:t>
      </w:r>
      <w:r w:rsidR="00870187">
        <w:rPr>
          <w:rFonts w:ascii="Arial" w:hAnsi="Arial" w:cs="Arial"/>
          <w:bCs/>
          <w:color w:val="auto"/>
          <w:sz w:val="22"/>
          <w:szCs w:val="22"/>
        </w:rPr>
        <w:t xml:space="preserve">aged </w:t>
      </w:r>
      <w:r w:rsidR="009029C1">
        <w:rPr>
          <w:rFonts w:ascii="Arial" w:hAnsi="Arial" w:cs="Arial"/>
          <w:bCs/>
          <w:color w:val="auto"/>
          <w:sz w:val="22"/>
          <w:szCs w:val="22"/>
        </w:rPr>
        <w:t>18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67D6F">
        <w:rPr>
          <w:rFonts w:ascii="Arial" w:hAnsi="Arial" w:cs="Arial"/>
          <w:bCs/>
          <w:color w:val="auto"/>
          <w:sz w:val="22"/>
          <w:szCs w:val="22"/>
        </w:rPr>
        <w:t>or older</w:t>
      </w:r>
      <w:r w:rsidR="003F391D">
        <w:rPr>
          <w:rFonts w:ascii="Arial" w:hAnsi="Arial" w:cs="Arial"/>
          <w:color w:val="auto"/>
          <w:sz w:val="22"/>
          <w:szCs w:val="22"/>
        </w:rPr>
        <w:t>. For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members </w:t>
      </w:r>
      <w:r w:rsidR="00767D6F">
        <w:rPr>
          <w:rFonts w:ascii="Arial" w:hAnsi="Arial" w:cs="Arial"/>
          <w:color w:val="auto"/>
          <w:sz w:val="22"/>
          <w:szCs w:val="22"/>
        </w:rPr>
        <w:t xml:space="preserve">younger than </w:t>
      </w:r>
      <w:r w:rsidR="009029C1">
        <w:rPr>
          <w:rFonts w:ascii="Arial" w:hAnsi="Arial" w:cs="Arial"/>
          <w:color w:val="auto"/>
          <w:sz w:val="22"/>
          <w:szCs w:val="22"/>
        </w:rPr>
        <w:t>18</w:t>
      </w:r>
      <w:r w:rsidR="003F391D">
        <w:rPr>
          <w:rFonts w:ascii="Arial" w:hAnsi="Arial" w:cs="Arial"/>
          <w:color w:val="auto"/>
          <w:sz w:val="22"/>
          <w:szCs w:val="22"/>
        </w:rPr>
        <w:t>,</w:t>
      </w:r>
      <w:r w:rsidR="003F391D" w:rsidRPr="003F391D">
        <w:rPr>
          <w:rFonts w:ascii="Arial" w:hAnsi="Arial" w:cs="Arial"/>
          <w:color w:val="auto"/>
          <w:sz w:val="22"/>
          <w:szCs w:val="22"/>
        </w:rPr>
        <w:t xml:space="preserve"> </w:t>
      </w:r>
      <w:r w:rsidR="003F391D" w:rsidRPr="00205E56">
        <w:rPr>
          <w:rFonts w:ascii="Arial" w:hAnsi="Arial" w:cs="Arial"/>
          <w:color w:val="auto"/>
          <w:sz w:val="22"/>
          <w:szCs w:val="22"/>
        </w:rPr>
        <w:t xml:space="preserve">including </w:t>
      </w:r>
      <w:r w:rsidR="003F391D">
        <w:rPr>
          <w:rFonts w:ascii="Arial" w:hAnsi="Arial" w:cs="Arial"/>
          <w:color w:val="auto"/>
          <w:sz w:val="22"/>
          <w:szCs w:val="22"/>
        </w:rPr>
        <w:t xml:space="preserve">those who are </w:t>
      </w:r>
      <w:r w:rsidR="003F391D" w:rsidRPr="00205E56">
        <w:rPr>
          <w:rFonts w:ascii="Arial" w:hAnsi="Arial" w:cs="Arial"/>
          <w:color w:val="auto"/>
          <w:sz w:val="22"/>
          <w:szCs w:val="22"/>
        </w:rPr>
        <w:t>pregnant</w:t>
      </w:r>
      <w:r w:rsidR="003F391D">
        <w:rPr>
          <w:rFonts w:ascii="Arial" w:hAnsi="Arial" w:cs="Arial"/>
          <w:color w:val="auto"/>
          <w:sz w:val="22"/>
          <w:szCs w:val="22"/>
        </w:rPr>
        <w:t>,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3F391D" w:rsidRPr="00205E56">
        <w:rPr>
          <w:rFonts w:ascii="Arial" w:hAnsi="Arial" w:cs="Arial"/>
          <w:color w:val="auto"/>
          <w:sz w:val="22"/>
          <w:szCs w:val="22"/>
        </w:rPr>
        <w:t xml:space="preserve">PA </w:t>
      </w:r>
      <w:r w:rsidR="003F391D">
        <w:rPr>
          <w:rFonts w:ascii="Arial" w:hAnsi="Arial" w:cs="Arial"/>
          <w:color w:val="auto"/>
          <w:sz w:val="22"/>
          <w:szCs w:val="22"/>
        </w:rPr>
        <w:t xml:space="preserve">is required </w:t>
      </w:r>
      <w:r w:rsidR="003F391D" w:rsidRPr="00205E56">
        <w:rPr>
          <w:rFonts w:ascii="Arial" w:hAnsi="Arial" w:cs="Arial"/>
          <w:color w:val="auto"/>
          <w:sz w:val="22"/>
          <w:szCs w:val="22"/>
        </w:rPr>
        <w:t>for pharmacy claims</w:t>
      </w:r>
      <w:r w:rsidR="003F391D">
        <w:rPr>
          <w:rFonts w:ascii="Arial" w:hAnsi="Arial" w:cs="Arial"/>
          <w:color w:val="auto"/>
          <w:sz w:val="22"/>
          <w:szCs w:val="22"/>
        </w:rPr>
        <w:t>.</w:t>
      </w:r>
      <w:r w:rsidR="003F391D"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3F391D">
        <w:rPr>
          <w:rFonts w:ascii="Arial" w:hAnsi="Arial" w:cs="Arial"/>
          <w:color w:val="auto"/>
          <w:sz w:val="22"/>
          <w:szCs w:val="22"/>
        </w:rPr>
        <w:t xml:space="preserve">However, no </w:t>
      </w:r>
      <w:r w:rsidR="002D561E">
        <w:rPr>
          <w:rFonts w:ascii="Arial" w:hAnsi="Arial" w:cs="Arial"/>
          <w:color w:val="auto"/>
          <w:sz w:val="22"/>
          <w:szCs w:val="22"/>
        </w:rPr>
        <w:t>age restriction is in place</w:t>
      </w:r>
      <w:r w:rsidR="003F391D">
        <w:rPr>
          <w:rFonts w:ascii="Arial" w:hAnsi="Arial" w:cs="Arial"/>
          <w:color w:val="auto"/>
          <w:sz w:val="22"/>
          <w:szCs w:val="22"/>
        </w:rPr>
        <w:t xml:space="preserve"> for </w:t>
      </w:r>
      <w:proofErr w:type="spellStart"/>
      <w:r w:rsidRPr="00205E56">
        <w:rPr>
          <w:rFonts w:ascii="Arial" w:hAnsi="Arial" w:cs="Arial"/>
          <w:bCs/>
          <w:color w:val="auto"/>
          <w:sz w:val="22"/>
          <w:szCs w:val="22"/>
        </w:rPr>
        <w:t>Abrysvo</w:t>
      </w:r>
      <w:proofErr w:type="spellEnd"/>
      <w:r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through the medical benefit</w:t>
      </w:r>
      <w:r w:rsidR="003F391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bCs/>
          <w:color w:val="auto"/>
          <w:sz w:val="22"/>
          <w:szCs w:val="22"/>
        </w:rPr>
        <w:t>due to its</w:t>
      </w:r>
      <w:r w:rsidR="00875B78">
        <w:rPr>
          <w:rFonts w:ascii="Arial" w:hAnsi="Arial" w:cs="Arial"/>
          <w:bCs/>
          <w:color w:val="auto"/>
          <w:sz w:val="22"/>
          <w:szCs w:val="22"/>
        </w:rPr>
        <w:t xml:space="preserve"> indication for use </w:t>
      </w:r>
      <w:r w:rsidR="003F391D">
        <w:rPr>
          <w:rFonts w:ascii="Arial" w:hAnsi="Arial" w:cs="Arial"/>
          <w:bCs/>
          <w:color w:val="auto"/>
          <w:sz w:val="22"/>
          <w:szCs w:val="22"/>
        </w:rPr>
        <w:t>in pregnancy</w:t>
      </w:r>
      <w:r w:rsidR="00875B78">
        <w:rPr>
          <w:rFonts w:ascii="Arial" w:hAnsi="Arial" w:cs="Arial"/>
          <w:bCs/>
          <w:color w:val="auto"/>
          <w:sz w:val="22"/>
          <w:szCs w:val="22"/>
        </w:rPr>
        <w:t>.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Providers can bill for </w:t>
      </w:r>
      <w:proofErr w:type="spellStart"/>
      <w:r w:rsidRPr="00205E56">
        <w:rPr>
          <w:rFonts w:ascii="Arial" w:hAnsi="Arial" w:cs="Arial"/>
          <w:color w:val="auto"/>
          <w:sz w:val="22"/>
          <w:szCs w:val="22"/>
        </w:rPr>
        <w:t>Abrysvo</w:t>
      </w:r>
      <w:proofErr w:type="spellEnd"/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using procedure code 90678. </w:t>
      </w:r>
      <w:r w:rsidR="001C1FAD">
        <w:rPr>
          <w:rFonts w:ascii="Arial" w:hAnsi="Arial" w:cs="Arial"/>
          <w:color w:val="auto"/>
          <w:sz w:val="22"/>
          <w:szCs w:val="22"/>
        </w:rPr>
        <w:t xml:space="preserve">Providers should </w:t>
      </w:r>
      <w:r w:rsidRPr="00205E56">
        <w:rPr>
          <w:rFonts w:ascii="Arial" w:hAnsi="Arial" w:cs="Arial"/>
          <w:color w:val="auto"/>
          <w:sz w:val="22"/>
          <w:szCs w:val="22"/>
        </w:rPr>
        <w:t>refer to appropriate provider manuals for more information.</w:t>
      </w:r>
    </w:p>
    <w:p w14:paraId="5494C884" w14:textId="77777777" w:rsidR="00870CBF" w:rsidRPr="008A4091" w:rsidRDefault="00870CBF" w:rsidP="006B20D5">
      <w:pPr>
        <w:spacing w:line="276" w:lineRule="auto"/>
        <w:rPr>
          <w:color w:val="auto"/>
          <w:sz w:val="22"/>
          <w:szCs w:val="22"/>
        </w:rPr>
      </w:pPr>
    </w:p>
    <w:p w14:paraId="725E817B" w14:textId="76AE7BBC" w:rsidR="00205E56" w:rsidRPr="00205E56" w:rsidRDefault="00870CBF" w:rsidP="00982128">
      <w:pPr>
        <w:pStyle w:val="Heading2"/>
        <w:framePr w:hSpace="0" w:wrap="auto" w:vAnchor="margin" w:yAlign="inline"/>
        <w:spacing w:before="0" w:line="276" w:lineRule="auto"/>
      </w:pPr>
      <w:proofErr w:type="spellStart"/>
      <w:r w:rsidRPr="00205E56">
        <w:rPr>
          <w:rFonts w:ascii="Arial" w:hAnsi="Arial" w:cs="Arial"/>
          <w:sz w:val="22"/>
          <w:szCs w:val="22"/>
        </w:rPr>
        <w:t>Arexvy</w:t>
      </w:r>
      <w:proofErr w:type="spellEnd"/>
      <w:r w:rsidRPr="00205E56">
        <w:rPr>
          <w:rFonts w:ascii="Arial" w:hAnsi="Arial" w:cs="Arial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sz w:val="22"/>
          <w:szCs w:val="22"/>
        </w:rPr>
        <w:t xml:space="preserve"> </w:t>
      </w:r>
    </w:p>
    <w:p w14:paraId="0495E000" w14:textId="2636C152" w:rsidR="00205E56" w:rsidRDefault="00870CBF" w:rsidP="006B20D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205E56">
        <w:rPr>
          <w:rFonts w:ascii="Arial" w:hAnsi="Arial" w:cs="Arial"/>
          <w:color w:val="auto"/>
          <w:sz w:val="22"/>
          <w:szCs w:val="22"/>
        </w:rPr>
        <w:t>Arexvy</w:t>
      </w:r>
      <w:proofErr w:type="spellEnd"/>
      <w:r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323174">
        <w:rPr>
          <w:rFonts w:ascii="Arial" w:hAnsi="Arial" w:cs="Arial"/>
          <w:color w:val="auto"/>
          <w:sz w:val="22"/>
          <w:szCs w:val="22"/>
        </w:rPr>
        <w:t>is FDA-approved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for active immunization for the prevention of LRTD caused by RSV in </w:t>
      </w:r>
      <w:r w:rsidRPr="00875B78">
        <w:rPr>
          <w:rFonts w:ascii="Arial" w:hAnsi="Arial" w:cs="Arial"/>
          <w:color w:val="auto"/>
          <w:sz w:val="22"/>
          <w:szCs w:val="22"/>
        </w:rPr>
        <w:t>individuals</w:t>
      </w:r>
      <w:r w:rsidR="00870187">
        <w:rPr>
          <w:rFonts w:ascii="Arial" w:hAnsi="Arial" w:cs="Arial"/>
          <w:color w:val="auto"/>
          <w:sz w:val="22"/>
          <w:szCs w:val="22"/>
        </w:rPr>
        <w:t xml:space="preserve"> aged</w:t>
      </w:r>
      <w:r w:rsidRPr="00875B78">
        <w:rPr>
          <w:rFonts w:ascii="Arial" w:hAnsi="Arial" w:cs="Arial"/>
          <w:color w:val="auto"/>
          <w:sz w:val="22"/>
          <w:szCs w:val="22"/>
        </w:rPr>
        <w:t xml:space="preserve"> 60 </w:t>
      </w:r>
      <w:r w:rsidR="001C1FAD" w:rsidRPr="00875B78">
        <w:rPr>
          <w:rFonts w:ascii="Arial" w:hAnsi="Arial" w:cs="Arial"/>
          <w:color w:val="auto"/>
          <w:sz w:val="22"/>
          <w:szCs w:val="22"/>
        </w:rPr>
        <w:t>or older</w:t>
      </w:r>
      <w:r w:rsidR="00323174">
        <w:rPr>
          <w:rFonts w:ascii="Arial" w:hAnsi="Arial" w:cs="Arial"/>
          <w:color w:val="auto"/>
          <w:sz w:val="22"/>
          <w:szCs w:val="22"/>
        </w:rPr>
        <w:t xml:space="preserve"> and</w:t>
      </w:r>
      <w:r w:rsidRPr="00875B78">
        <w:rPr>
          <w:rFonts w:ascii="Arial" w:hAnsi="Arial" w:cs="Arial"/>
          <w:color w:val="auto"/>
          <w:sz w:val="22"/>
          <w:szCs w:val="22"/>
        </w:rPr>
        <w:t xml:space="preserve"> individuals </w:t>
      </w:r>
      <w:r w:rsidR="00870187">
        <w:rPr>
          <w:rFonts w:ascii="Arial" w:hAnsi="Arial" w:cs="Arial"/>
          <w:color w:val="auto"/>
          <w:sz w:val="22"/>
          <w:szCs w:val="22"/>
        </w:rPr>
        <w:t xml:space="preserve">aged </w:t>
      </w:r>
      <w:r w:rsidRPr="00875B78">
        <w:rPr>
          <w:rFonts w:ascii="Arial" w:hAnsi="Arial" w:cs="Arial"/>
          <w:color w:val="auto"/>
          <w:sz w:val="22"/>
          <w:szCs w:val="22"/>
        </w:rPr>
        <w:t xml:space="preserve">50 </w:t>
      </w:r>
      <w:r w:rsidR="00870187">
        <w:rPr>
          <w:rFonts w:ascii="Arial" w:hAnsi="Arial" w:cs="Arial"/>
          <w:color w:val="auto"/>
          <w:sz w:val="22"/>
          <w:szCs w:val="22"/>
        </w:rPr>
        <w:t>to</w:t>
      </w:r>
      <w:r w:rsidRPr="00875B78">
        <w:rPr>
          <w:rFonts w:ascii="Arial" w:hAnsi="Arial" w:cs="Arial"/>
          <w:color w:val="auto"/>
          <w:sz w:val="22"/>
          <w:szCs w:val="22"/>
        </w:rPr>
        <w:t xml:space="preserve"> 59 who are at increased risk for LRTD caused by RSV. </w:t>
      </w:r>
      <w:proofErr w:type="spellStart"/>
      <w:r w:rsidRPr="00875B78">
        <w:rPr>
          <w:rFonts w:ascii="Arial" w:hAnsi="Arial" w:cs="Arial"/>
          <w:bCs/>
          <w:color w:val="auto"/>
          <w:sz w:val="22"/>
          <w:szCs w:val="22"/>
        </w:rPr>
        <w:t>Arexvy</w:t>
      </w:r>
      <w:proofErr w:type="spellEnd"/>
      <w:r w:rsidRPr="00875B7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875B7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12DEA">
        <w:rPr>
          <w:rFonts w:ascii="Arial" w:hAnsi="Arial" w:cs="Arial"/>
          <w:bCs/>
          <w:color w:val="auto"/>
          <w:sz w:val="22"/>
          <w:szCs w:val="22"/>
        </w:rPr>
        <w:t xml:space="preserve">will continue to be covered </w:t>
      </w:r>
      <w:r w:rsidRPr="00875B78">
        <w:rPr>
          <w:rFonts w:ascii="Arial" w:hAnsi="Arial" w:cs="Arial"/>
          <w:bCs/>
          <w:color w:val="auto"/>
          <w:sz w:val="22"/>
          <w:szCs w:val="22"/>
        </w:rPr>
        <w:t>without PA for</w:t>
      </w:r>
      <w:r w:rsidR="004C1412">
        <w:rPr>
          <w:rFonts w:ascii="Arial" w:hAnsi="Arial" w:cs="Arial"/>
          <w:bCs/>
          <w:color w:val="auto"/>
          <w:sz w:val="22"/>
          <w:szCs w:val="22"/>
        </w:rPr>
        <w:t xml:space="preserve"> pharmacy claims for</w:t>
      </w:r>
      <w:r w:rsidRPr="00875B7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4C1412">
        <w:rPr>
          <w:rFonts w:ascii="Arial" w:hAnsi="Arial" w:cs="Arial"/>
          <w:bCs/>
          <w:color w:val="auto"/>
          <w:sz w:val="22"/>
          <w:szCs w:val="22"/>
        </w:rPr>
        <w:t xml:space="preserve">members </w:t>
      </w:r>
      <w:r w:rsidR="00323174" w:rsidRPr="004C1412">
        <w:rPr>
          <w:rFonts w:ascii="Arial" w:hAnsi="Arial" w:cs="Arial"/>
          <w:bCs/>
          <w:color w:val="auto"/>
          <w:sz w:val="22"/>
          <w:szCs w:val="22"/>
        </w:rPr>
        <w:t xml:space="preserve">aged </w:t>
      </w:r>
      <w:r w:rsidRPr="004C1412">
        <w:rPr>
          <w:rFonts w:ascii="Arial" w:hAnsi="Arial" w:cs="Arial"/>
          <w:bCs/>
          <w:color w:val="auto"/>
          <w:sz w:val="22"/>
          <w:szCs w:val="22"/>
        </w:rPr>
        <w:t xml:space="preserve">50 </w:t>
      </w:r>
      <w:r w:rsidR="001C1FAD" w:rsidRPr="004C1412">
        <w:rPr>
          <w:rFonts w:ascii="Arial" w:hAnsi="Arial" w:cs="Arial"/>
          <w:bCs/>
          <w:color w:val="auto"/>
          <w:sz w:val="22"/>
          <w:szCs w:val="22"/>
        </w:rPr>
        <w:t>or older</w:t>
      </w:r>
      <w:r w:rsidRPr="00875B78">
        <w:rPr>
          <w:rFonts w:ascii="Arial" w:hAnsi="Arial" w:cs="Arial"/>
          <w:bCs/>
          <w:color w:val="auto"/>
          <w:sz w:val="22"/>
          <w:szCs w:val="22"/>
        </w:rPr>
        <w:t>.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C1412">
        <w:rPr>
          <w:rFonts w:ascii="Arial" w:hAnsi="Arial" w:cs="Arial"/>
          <w:bCs/>
          <w:color w:val="auto"/>
          <w:sz w:val="22"/>
          <w:szCs w:val="22"/>
        </w:rPr>
        <w:t xml:space="preserve">However, PA is still required for members younger than 60 years of age through the medical benefit. </w:t>
      </w:r>
      <w:r w:rsidR="00AF563E">
        <w:rPr>
          <w:rFonts w:ascii="Arial" w:hAnsi="Arial" w:cs="Arial"/>
          <w:bCs/>
          <w:color w:val="auto"/>
          <w:sz w:val="22"/>
          <w:szCs w:val="22"/>
        </w:rPr>
        <w:t>C</w:t>
      </w:r>
      <w:r w:rsidR="003F391D">
        <w:rPr>
          <w:rFonts w:ascii="Arial" w:hAnsi="Arial" w:cs="Arial"/>
          <w:bCs/>
          <w:color w:val="auto"/>
          <w:sz w:val="22"/>
          <w:szCs w:val="22"/>
        </w:rPr>
        <w:t>riteria</w:t>
      </w:r>
      <w:r w:rsidR="004C1412">
        <w:rPr>
          <w:rFonts w:ascii="Arial" w:hAnsi="Arial" w:cs="Arial"/>
          <w:bCs/>
          <w:color w:val="auto"/>
          <w:sz w:val="22"/>
          <w:szCs w:val="22"/>
        </w:rPr>
        <w:t xml:space="preserve"> will be updated to align with the pharmacy benefit </w:t>
      </w:r>
      <w:r w:rsidR="00FE502F" w:rsidRPr="00FE502F">
        <w:rPr>
          <w:rFonts w:ascii="Arial" w:hAnsi="Arial" w:cs="Arial"/>
          <w:color w:val="auto"/>
          <w:sz w:val="22"/>
          <w:szCs w:val="22"/>
        </w:rPr>
        <w:t xml:space="preserve">in the </w:t>
      </w:r>
      <w:r w:rsidR="0040471B">
        <w:rPr>
          <w:rFonts w:ascii="Arial" w:hAnsi="Arial" w:cs="Arial"/>
          <w:color w:val="auto"/>
          <w:sz w:val="22"/>
          <w:szCs w:val="22"/>
        </w:rPr>
        <w:t>next</w:t>
      </w:r>
      <w:r w:rsidR="00FE502F" w:rsidRPr="00FE502F">
        <w:rPr>
          <w:rFonts w:ascii="Arial" w:hAnsi="Arial" w:cs="Arial"/>
          <w:color w:val="auto"/>
          <w:sz w:val="22"/>
          <w:szCs w:val="22"/>
        </w:rPr>
        <w:t xml:space="preserve"> Subchapter</w:t>
      </w:r>
      <w:r w:rsidR="00FE502F">
        <w:rPr>
          <w:rFonts w:ascii="Arial" w:hAnsi="Arial" w:cs="Arial"/>
          <w:color w:val="auto"/>
          <w:sz w:val="22"/>
          <w:szCs w:val="22"/>
        </w:rPr>
        <w:t xml:space="preserve"> </w:t>
      </w:r>
      <w:r w:rsidR="00FE502F" w:rsidRPr="00FE502F">
        <w:rPr>
          <w:rFonts w:ascii="Arial" w:hAnsi="Arial" w:cs="Arial"/>
          <w:color w:val="auto"/>
          <w:sz w:val="22"/>
          <w:szCs w:val="22"/>
        </w:rPr>
        <w:t>6 update</w:t>
      </w:r>
      <w:r w:rsidR="00FE502F">
        <w:rPr>
          <w:rFonts w:ascii="Arial" w:hAnsi="Arial" w:cs="Arial"/>
          <w:color w:val="auto"/>
          <w:sz w:val="22"/>
          <w:szCs w:val="22"/>
        </w:rPr>
        <w:t>,</w:t>
      </w:r>
      <w:r w:rsidR="00FE502F" w:rsidRPr="00FE502F">
        <w:rPr>
          <w:rFonts w:ascii="Arial" w:hAnsi="Arial" w:cs="Arial"/>
          <w:color w:val="auto"/>
          <w:sz w:val="22"/>
          <w:szCs w:val="22"/>
        </w:rPr>
        <w:t xml:space="preserve"> with all claims reprocessed back to </w:t>
      </w:r>
      <w:r w:rsidR="00FE502F">
        <w:rPr>
          <w:rFonts w:ascii="Arial" w:hAnsi="Arial" w:cs="Arial"/>
          <w:color w:val="auto"/>
          <w:sz w:val="22"/>
          <w:szCs w:val="22"/>
        </w:rPr>
        <w:t>January 1, 2026</w:t>
      </w:r>
      <w:r w:rsidR="00FE502F" w:rsidRPr="00FE502F">
        <w:rPr>
          <w:rFonts w:ascii="Arial" w:hAnsi="Arial" w:cs="Arial"/>
          <w:color w:val="auto"/>
          <w:sz w:val="22"/>
          <w:szCs w:val="22"/>
        </w:rPr>
        <w:t>.</w:t>
      </w:r>
      <w:r w:rsidR="00FE502F">
        <w:rPr>
          <w:rFonts w:ascii="Arial" w:hAnsi="Arial" w:cs="Arial"/>
          <w:color w:val="auto"/>
          <w:sz w:val="22"/>
          <w:szCs w:val="22"/>
        </w:rPr>
        <w:t xml:space="preserve"> </w:t>
      </w:r>
      <w:r w:rsidR="003305C8" w:rsidRPr="003305C8">
        <w:rPr>
          <w:rFonts w:ascii="Arial" w:hAnsi="Arial" w:cs="Arial"/>
          <w:color w:val="auto"/>
          <w:sz w:val="22"/>
          <w:szCs w:val="22"/>
        </w:rPr>
        <w:t xml:space="preserve">Providers can bill for </w:t>
      </w:r>
      <w:proofErr w:type="spellStart"/>
      <w:r w:rsidR="003305C8" w:rsidRPr="00875B78">
        <w:rPr>
          <w:rFonts w:ascii="Arial" w:hAnsi="Arial" w:cs="Arial"/>
          <w:bCs/>
          <w:color w:val="auto"/>
          <w:sz w:val="22"/>
          <w:szCs w:val="22"/>
        </w:rPr>
        <w:t>Arexvy</w:t>
      </w:r>
      <w:proofErr w:type="spellEnd"/>
      <w:r w:rsidR="003305C8" w:rsidRPr="00875B7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="003305C8" w:rsidRPr="00875B7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305C8" w:rsidRPr="003305C8">
        <w:rPr>
          <w:rFonts w:ascii="Arial" w:hAnsi="Arial" w:cs="Arial"/>
          <w:color w:val="auto"/>
          <w:sz w:val="22"/>
          <w:szCs w:val="22"/>
        </w:rPr>
        <w:t>using procedure code 906</w:t>
      </w:r>
      <w:r w:rsidR="003305C8">
        <w:rPr>
          <w:rFonts w:ascii="Arial" w:hAnsi="Arial" w:cs="Arial"/>
          <w:color w:val="auto"/>
          <w:sz w:val="22"/>
          <w:szCs w:val="22"/>
        </w:rPr>
        <w:t>79</w:t>
      </w:r>
      <w:r w:rsidR="003305C8" w:rsidRPr="003305C8">
        <w:rPr>
          <w:rFonts w:ascii="Arial" w:hAnsi="Arial" w:cs="Arial"/>
          <w:color w:val="auto"/>
          <w:sz w:val="22"/>
          <w:szCs w:val="22"/>
        </w:rPr>
        <w:t xml:space="preserve">. Providers should refer to appropriate provider manuals for more </w:t>
      </w:r>
      <w:r w:rsidR="00156AE9" w:rsidRPr="003305C8">
        <w:rPr>
          <w:rFonts w:ascii="Arial" w:hAnsi="Arial" w:cs="Arial"/>
          <w:color w:val="auto"/>
          <w:sz w:val="22"/>
          <w:szCs w:val="22"/>
        </w:rPr>
        <w:t>information.</w:t>
      </w:r>
    </w:p>
    <w:p w14:paraId="4DD70B81" w14:textId="77777777" w:rsidR="003305C8" w:rsidRPr="008A4091" w:rsidRDefault="003305C8" w:rsidP="006B20D5">
      <w:pPr>
        <w:spacing w:line="276" w:lineRule="auto"/>
        <w:rPr>
          <w:color w:val="auto"/>
          <w:sz w:val="22"/>
          <w:szCs w:val="22"/>
        </w:rPr>
      </w:pPr>
    </w:p>
    <w:p w14:paraId="3399E721" w14:textId="0130FBEF" w:rsidR="00205E56" w:rsidRPr="00205E56" w:rsidRDefault="00870CBF" w:rsidP="00982128">
      <w:pPr>
        <w:pStyle w:val="Heading2"/>
        <w:framePr w:hSpace="0" w:wrap="auto" w:vAnchor="margin" w:yAlign="inline"/>
        <w:spacing w:before="0" w:line="276" w:lineRule="auto"/>
      </w:pPr>
      <w:proofErr w:type="spellStart"/>
      <w:r w:rsidRPr="00205E56">
        <w:rPr>
          <w:rFonts w:ascii="Arial" w:hAnsi="Arial" w:cs="Arial"/>
          <w:sz w:val="22"/>
          <w:szCs w:val="22"/>
        </w:rPr>
        <w:t>mRESVIA</w:t>
      </w:r>
      <w:proofErr w:type="spellEnd"/>
      <w:r w:rsidRPr="00D23238">
        <w:rPr>
          <w:rFonts w:ascii="Arial" w:hAnsi="Arial" w:cs="Arial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sz w:val="22"/>
          <w:szCs w:val="22"/>
        </w:rPr>
        <w:t xml:space="preserve"> </w:t>
      </w:r>
    </w:p>
    <w:p w14:paraId="551B45BF" w14:textId="27306282" w:rsidR="00AF563E" w:rsidRPr="00205E56" w:rsidRDefault="00870CBF" w:rsidP="006B20D5">
      <w:pPr>
        <w:spacing w:line="276" w:lineRule="auto"/>
        <w:ind w:right="83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205E56">
        <w:rPr>
          <w:rFonts w:ascii="Arial" w:hAnsi="Arial" w:cs="Arial"/>
          <w:color w:val="auto"/>
          <w:sz w:val="22"/>
          <w:szCs w:val="22"/>
        </w:rPr>
        <w:t>mRESVIA</w:t>
      </w:r>
      <w:proofErr w:type="spellEnd"/>
      <w:r w:rsidRPr="00205E56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</w:t>
      </w:r>
      <w:r w:rsidR="00323174">
        <w:rPr>
          <w:rFonts w:ascii="Arial" w:hAnsi="Arial" w:cs="Arial"/>
          <w:color w:val="auto"/>
          <w:sz w:val="22"/>
          <w:szCs w:val="22"/>
        </w:rPr>
        <w:t>is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 FDA-approved for the active immunization for the prevention of LRTD caused by RSV in individuals </w:t>
      </w:r>
      <w:r w:rsidR="002C2E2A">
        <w:rPr>
          <w:rFonts w:ascii="Arial" w:hAnsi="Arial" w:cs="Arial"/>
          <w:color w:val="auto"/>
          <w:sz w:val="22"/>
          <w:szCs w:val="22"/>
        </w:rPr>
        <w:t xml:space="preserve">aged </w:t>
      </w:r>
      <w:r w:rsidRPr="00205E56">
        <w:rPr>
          <w:rFonts w:ascii="Arial" w:hAnsi="Arial" w:cs="Arial"/>
          <w:color w:val="auto"/>
          <w:sz w:val="22"/>
          <w:szCs w:val="22"/>
        </w:rPr>
        <w:t xml:space="preserve">60 </w:t>
      </w:r>
      <w:r w:rsidR="00915088">
        <w:rPr>
          <w:rFonts w:ascii="Arial" w:hAnsi="Arial" w:cs="Arial"/>
          <w:color w:val="auto"/>
          <w:sz w:val="22"/>
          <w:szCs w:val="22"/>
        </w:rPr>
        <w:t>or older</w:t>
      </w:r>
      <w:r w:rsidRPr="00205E56">
        <w:rPr>
          <w:rFonts w:ascii="Arial" w:hAnsi="Arial" w:cs="Arial"/>
          <w:color w:val="auto"/>
          <w:sz w:val="22"/>
          <w:szCs w:val="22"/>
        </w:rPr>
        <w:t>.</w:t>
      </w:r>
      <w:r w:rsidRPr="00205E5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C2518">
        <w:rPr>
          <w:rFonts w:ascii="Arial" w:hAnsi="Arial" w:cs="Arial"/>
          <w:bCs/>
          <w:color w:val="auto"/>
          <w:sz w:val="22"/>
          <w:szCs w:val="22"/>
        </w:rPr>
        <w:t>On June 12, 2025, this indication was expanded to include active immunization in individuals 18 to 59 years old at increased risk for LRTD cause</w:t>
      </w:r>
      <w:r w:rsidR="00D23238">
        <w:rPr>
          <w:rFonts w:ascii="Arial" w:hAnsi="Arial" w:cs="Arial"/>
          <w:bCs/>
          <w:color w:val="auto"/>
          <w:sz w:val="22"/>
          <w:szCs w:val="22"/>
        </w:rPr>
        <w:t>d</w:t>
      </w:r>
      <w:r w:rsidR="008C2518">
        <w:rPr>
          <w:rFonts w:ascii="Arial" w:hAnsi="Arial" w:cs="Arial"/>
          <w:bCs/>
          <w:color w:val="auto"/>
          <w:sz w:val="22"/>
          <w:szCs w:val="22"/>
        </w:rPr>
        <w:t xml:space="preserve"> by RSV.</w:t>
      </w:r>
      <w:r w:rsidR="00DC14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C2518">
        <w:rPr>
          <w:rFonts w:ascii="Arial" w:hAnsi="Arial" w:cs="Arial"/>
          <w:bCs/>
          <w:color w:val="auto"/>
          <w:sz w:val="22"/>
          <w:szCs w:val="22"/>
        </w:rPr>
        <w:t>Coverage will be updated to remove the PA requirement for</w:t>
      </w:r>
      <w:r w:rsidR="00FE502F">
        <w:rPr>
          <w:rFonts w:ascii="Arial" w:hAnsi="Arial" w:cs="Arial"/>
          <w:bCs/>
          <w:color w:val="auto"/>
          <w:sz w:val="22"/>
          <w:szCs w:val="22"/>
        </w:rPr>
        <w:t xml:space="preserve"> pharmacy claims in</w:t>
      </w:r>
      <w:r w:rsidR="008C2518">
        <w:rPr>
          <w:rFonts w:ascii="Arial" w:hAnsi="Arial" w:cs="Arial"/>
          <w:bCs/>
          <w:color w:val="auto"/>
          <w:sz w:val="22"/>
          <w:szCs w:val="22"/>
        </w:rPr>
        <w:t xml:space="preserve"> individuals aged 18 to 59 </w:t>
      </w:r>
      <w:r w:rsidR="00321F5C">
        <w:rPr>
          <w:rFonts w:ascii="Arial" w:hAnsi="Arial" w:cs="Arial"/>
          <w:bCs/>
          <w:color w:val="auto"/>
          <w:sz w:val="22"/>
          <w:szCs w:val="22"/>
        </w:rPr>
        <w:t xml:space="preserve">on </w:t>
      </w:r>
      <w:r w:rsidR="008C2518">
        <w:rPr>
          <w:rFonts w:ascii="Arial" w:hAnsi="Arial" w:cs="Arial"/>
          <w:bCs/>
          <w:color w:val="auto"/>
          <w:sz w:val="22"/>
          <w:szCs w:val="22"/>
        </w:rPr>
        <w:t xml:space="preserve">January </w:t>
      </w:r>
      <w:r w:rsidR="00321F5C">
        <w:rPr>
          <w:rFonts w:ascii="Arial" w:hAnsi="Arial" w:cs="Arial"/>
          <w:bCs/>
          <w:color w:val="auto"/>
          <w:sz w:val="22"/>
          <w:szCs w:val="22"/>
        </w:rPr>
        <w:t xml:space="preserve">5, </w:t>
      </w:r>
      <w:r w:rsidR="008C2518">
        <w:rPr>
          <w:rFonts w:ascii="Arial" w:hAnsi="Arial" w:cs="Arial"/>
          <w:bCs/>
          <w:color w:val="auto"/>
          <w:sz w:val="22"/>
          <w:szCs w:val="22"/>
        </w:rPr>
        <w:t>2026.</w:t>
      </w:r>
      <w:r w:rsidR="00C040C7" w:rsidRPr="00C040C7">
        <w:rPr>
          <w:rFonts w:ascii="Arial" w:hAnsi="Arial" w:cs="Arial"/>
          <w:color w:val="auto"/>
          <w:sz w:val="22"/>
          <w:szCs w:val="22"/>
        </w:rPr>
        <w:t xml:space="preserve"> </w:t>
      </w:r>
      <w:r w:rsidR="00AF563E" w:rsidRPr="00AF563E">
        <w:rPr>
          <w:rFonts w:ascii="Arial" w:hAnsi="Arial" w:cs="Arial"/>
          <w:color w:val="auto"/>
          <w:sz w:val="22"/>
          <w:szCs w:val="22"/>
        </w:rPr>
        <w:t xml:space="preserve">This change will </w:t>
      </w:r>
      <w:r w:rsidR="00AF563E">
        <w:rPr>
          <w:rFonts w:ascii="Arial" w:hAnsi="Arial" w:cs="Arial"/>
          <w:color w:val="auto"/>
          <w:sz w:val="22"/>
          <w:szCs w:val="22"/>
        </w:rPr>
        <w:t xml:space="preserve">also </w:t>
      </w:r>
      <w:r w:rsidR="00AF563E" w:rsidRPr="00AF563E">
        <w:rPr>
          <w:rFonts w:ascii="Arial" w:hAnsi="Arial" w:cs="Arial"/>
          <w:color w:val="auto"/>
          <w:sz w:val="22"/>
          <w:szCs w:val="22"/>
        </w:rPr>
        <w:t xml:space="preserve">be reflected in the </w:t>
      </w:r>
      <w:r w:rsidR="002A5BCC">
        <w:rPr>
          <w:rFonts w:ascii="Arial" w:hAnsi="Arial" w:cs="Arial"/>
          <w:color w:val="auto"/>
          <w:sz w:val="22"/>
          <w:szCs w:val="22"/>
        </w:rPr>
        <w:t xml:space="preserve">next </w:t>
      </w:r>
      <w:r w:rsidR="00AF563E" w:rsidRPr="00AF563E">
        <w:rPr>
          <w:rFonts w:ascii="Arial" w:hAnsi="Arial" w:cs="Arial"/>
          <w:color w:val="auto"/>
          <w:sz w:val="22"/>
          <w:szCs w:val="22"/>
        </w:rPr>
        <w:t>Subchapter</w:t>
      </w:r>
      <w:r w:rsidR="00AF563E">
        <w:rPr>
          <w:rFonts w:ascii="Arial" w:hAnsi="Arial" w:cs="Arial"/>
          <w:color w:val="auto"/>
          <w:sz w:val="22"/>
          <w:szCs w:val="22"/>
        </w:rPr>
        <w:t xml:space="preserve"> </w:t>
      </w:r>
      <w:r w:rsidR="00AF563E" w:rsidRPr="00AF563E">
        <w:rPr>
          <w:rFonts w:ascii="Arial" w:hAnsi="Arial" w:cs="Arial"/>
          <w:color w:val="auto"/>
          <w:sz w:val="22"/>
          <w:szCs w:val="22"/>
        </w:rPr>
        <w:t xml:space="preserve">6 update with all </w:t>
      </w:r>
      <w:r w:rsidR="00AF563E">
        <w:rPr>
          <w:rFonts w:ascii="Arial" w:hAnsi="Arial" w:cs="Arial"/>
          <w:color w:val="auto"/>
          <w:sz w:val="22"/>
          <w:szCs w:val="22"/>
        </w:rPr>
        <w:t xml:space="preserve">medical </w:t>
      </w:r>
      <w:r w:rsidR="00AF563E" w:rsidRPr="00AF563E">
        <w:rPr>
          <w:rFonts w:ascii="Arial" w:hAnsi="Arial" w:cs="Arial"/>
          <w:color w:val="auto"/>
          <w:sz w:val="22"/>
          <w:szCs w:val="22"/>
        </w:rPr>
        <w:t xml:space="preserve">claims reprocessed back to </w:t>
      </w:r>
      <w:r w:rsidR="00AF563E">
        <w:rPr>
          <w:rFonts w:ascii="Arial" w:hAnsi="Arial" w:cs="Arial"/>
          <w:color w:val="auto"/>
          <w:sz w:val="22"/>
          <w:szCs w:val="22"/>
        </w:rPr>
        <w:t>January 1, 2026</w:t>
      </w:r>
      <w:r w:rsidR="00AF563E" w:rsidRPr="00AF563E">
        <w:rPr>
          <w:rFonts w:ascii="Arial" w:hAnsi="Arial" w:cs="Arial"/>
          <w:color w:val="auto"/>
          <w:sz w:val="22"/>
          <w:szCs w:val="22"/>
        </w:rPr>
        <w:t>.</w:t>
      </w:r>
      <w:r w:rsidR="00AF563E">
        <w:rPr>
          <w:rFonts w:ascii="Arial" w:hAnsi="Arial" w:cs="Arial"/>
          <w:color w:val="auto"/>
          <w:sz w:val="22"/>
          <w:szCs w:val="22"/>
        </w:rPr>
        <w:t xml:space="preserve"> </w:t>
      </w:r>
      <w:r w:rsidR="003305C8" w:rsidRPr="003305C8">
        <w:rPr>
          <w:rFonts w:ascii="Arial" w:hAnsi="Arial" w:cs="Arial"/>
          <w:color w:val="auto"/>
          <w:sz w:val="22"/>
          <w:szCs w:val="22"/>
        </w:rPr>
        <w:t xml:space="preserve">Providers can bill for </w:t>
      </w:r>
      <w:proofErr w:type="spellStart"/>
      <w:r w:rsidR="003305C8">
        <w:rPr>
          <w:rFonts w:ascii="Arial" w:hAnsi="Arial" w:cs="Arial"/>
          <w:bCs/>
          <w:color w:val="auto"/>
          <w:sz w:val="22"/>
          <w:szCs w:val="22"/>
        </w:rPr>
        <w:t>m</w:t>
      </w:r>
      <w:r w:rsidR="003305C8" w:rsidRPr="00205E56">
        <w:rPr>
          <w:rFonts w:ascii="Arial" w:hAnsi="Arial" w:cs="Arial"/>
          <w:bCs/>
          <w:color w:val="auto"/>
          <w:sz w:val="22"/>
          <w:szCs w:val="22"/>
        </w:rPr>
        <w:t>RESVIA</w:t>
      </w:r>
      <w:proofErr w:type="spellEnd"/>
      <w:r w:rsidR="003305C8" w:rsidRPr="00205E56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="003305C8" w:rsidRPr="00205E5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305C8" w:rsidRPr="003305C8">
        <w:rPr>
          <w:rFonts w:ascii="Arial" w:hAnsi="Arial" w:cs="Arial"/>
          <w:color w:val="auto"/>
          <w:sz w:val="22"/>
          <w:szCs w:val="22"/>
        </w:rPr>
        <w:t>using procedure code 906</w:t>
      </w:r>
      <w:r w:rsidR="003305C8">
        <w:rPr>
          <w:rFonts w:ascii="Arial" w:hAnsi="Arial" w:cs="Arial"/>
          <w:color w:val="auto"/>
          <w:sz w:val="22"/>
          <w:szCs w:val="22"/>
        </w:rPr>
        <w:t>83</w:t>
      </w:r>
      <w:r w:rsidR="003305C8" w:rsidRPr="003305C8">
        <w:rPr>
          <w:rFonts w:ascii="Arial" w:hAnsi="Arial" w:cs="Arial"/>
          <w:color w:val="auto"/>
          <w:sz w:val="22"/>
          <w:szCs w:val="22"/>
        </w:rPr>
        <w:t>. Providers should refer to appropriate provider manuals for more information.</w:t>
      </w:r>
    </w:p>
    <w:p w14:paraId="54D795E2" w14:textId="77777777" w:rsidR="00EB28EF" w:rsidRDefault="00EB28EF" w:rsidP="006B20D5">
      <w:pPr>
        <w:spacing w:line="276" w:lineRule="auto"/>
        <w:ind w:right="83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F9D7851" w14:textId="0285749E" w:rsidR="00870CBF" w:rsidRPr="00982128" w:rsidRDefault="00870CBF" w:rsidP="006B20D5">
      <w:pPr>
        <w:spacing w:line="276" w:lineRule="auto"/>
        <w:ind w:right="83"/>
        <w:rPr>
          <w:rFonts w:ascii="Arial" w:hAnsi="Arial" w:cs="Arial"/>
          <w:b/>
          <w:bCs/>
          <w:color w:val="auto"/>
          <w:sz w:val="22"/>
          <w:szCs w:val="22"/>
        </w:rPr>
      </w:pPr>
      <w:r w:rsidRPr="00982128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References</w:t>
      </w:r>
    </w:p>
    <w:p w14:paraId="55E50C22" w14:textId="14F90F8F" w:rsidR="00571C6C" w:rsidRPr="00205E56" w:rsidRDefault="00DF4E6B" w:rsidP="006B20D5">
      <w:pPr>
        <w:spacing w:line="276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  <w:r w:rsidRPr="00DF4E6B">
        <w:rPr>
          <w:rFonts w:ascii="Arial" w:hAnsi="Arial" w:cs="Arial"/>
          <w:sz w:val="22"/>
          <w:szCs w:val="22"/>
        </w:rPr>
        <w:t>Centers for Disease Control and Prevention. ACIP Recommendations</w:t>
      </w:r>
      <w:r>
        <w:rPr>
          <w:rFonts w:ascii="Arial" w:hAnsi="Arial" w:cs="Arial"/>
          <w:sz w:val="22"/>
          <w:szCs w:val="22"/>
        </w:rPr>
        <w:t xml:space="preserve"> </w:t>
      </w:r>
      <w:r w:rsidRPr="00DF4E6B">
        <w:rPr>
          <w:rFonts w:ascii="Arial" w:hAnsi="Arial" w:cs="Arial"/>
          <w:sz w:val="22"/>
          <w:szCs w:val="22"/>
        </w:rPr>
        <w:t xml:space="preserve">[webpage on the Internet]. Atlanta (GA). Centers for Disease Control and </w:t>
      </w:r>
      <w:r w:rsidR="00156AE9" w:rsidRPr="00DF4E6B">
        <w:rPr>
          <w:rFonts w:ascii="Arial" w:hAnsi="Arial" w:cs="Arial"/>
          <w:sz w:val="22"/>
          <w:szCs w:val="22"/>
        </w:rPr>
        <w:t>Prevention;</w:t>
      </w:r>
      <w:r w:rsidRPr="00DF4E6B">
        <w:rPr>
          <w:rFonts w:ascii="Arial" w:hAnsi="Arial" w:cs="Arial"/>
          <w:sz w:val="22"/>
          <w:szCs w:val="22"/>
        </w:rPr>
        <w:t xml:space="preserve"> 2025 [cited 2025 </w:t>
      </w:r>
      <w:r>
        <w:rPr>
          <w:rFonts w:ascii="Arial" w:hAnsi="Arial" w:cs="Arial"/>
          <w:sz w:val="22"/>
          <w:szCs w:val="22"/>
        </w:rPr>
        <w:t>Oct</w:t>
      </w:r>
      <w:r w:rsidRPr="00DF4E6B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4</w:t>
      </w:r>
      <w:r w:rsidRPr="00DF4E6B">
        <w:rPr>
          <w:rFonts w:ascii="Arial" w:hAnsi="Arial" w:cs="Arial"/>
          <w:sz w:val="22"/>
          <w:szCs w:val="22"/>
        </w:rPr>
        <w:t xml:space="preserve">]. Available from: </w:t>
      </w:r>
      <w:hyperlink r:id="rId13" w:tgtFrame="_blank" w:history="1">
        <w:r w:rsidR="00242EBC">
          <w:rPr>
            <w:rStyle w:val="Hyperlink"/>
            <w:rFonts w:ascii="Arial" w:hAnsi="Arial" w:cs="Arial"/>
            <w:sz w:val="22"/>
            <w:szCs w:val="22"/>
          </w:rPr>
          <w:t>cdc.gov/</w:t>
        </w:r>
        <w:proofErr w:type="spellStart"/>
        <w:r w:rsidR="00242EBC">
          <w:rPr>
            <w:rStyle w:val="Hyperlink"/>
            <w:rFonts w:ascii="Arial" w:hAnsi="Arial" w:cs="Arial"/>
            <w:sz w:val="22"/>
            <w:szCs w:val="22"/>
          </w:rPr>
          <w:t>acip</w:t>
        </w:r>
        <w:proofErr w:type="spellEnd"/>
        <w:r w:rsidR="00242EBC">
          <w:rPr>
            <w:rStyle w:val="Hyperlink"/>
            <w:rFonts w:ascii="Arial" w:hAnsi="Arial" w:cs="Arial"/>
            <w:sz w:val="22"/>
            <w:szCs w:val="22"/>
          </w:rPr>
          <w:t>/vaccine-recommendations/index.html</w:t>
        </w:r>
      </w:hyperlink>
    </w:p>
    <w:bookmarkEnd w:id="0"/>
    <w:p w14:paraId="2E7D2B04" w14:textId="77777777" w:rsidR="00571C6C" w:rsidRDefault="00571C6C" w:rsidP="007E77D7">
      <w:pPr>
        <w:spacing w:before="2520" w:line="276" w:lineRule="auto"/>
        <w:jc w:val="center"/>
        <w:rPr>
          <w:rFonts w:ascii="Arial" w:hAnsi="Arial" w:cs="Arial"/>
        </w:rPr>
      </w:pPr>
    </w:p>
    <w:p w14:paraId="677AEDCF" w14:textId="77777777" w:rsidR="00571C6C" w:rsidRDefault="00571C6C" w:rsidP="006B20D5">
      <w:pPr>
        <w:spacing w:line="276" w:lineRule="auto"/>
        <w:jc w:val="center"/>
        <w:rPr>
          <w:rFonts w:ascii="Arial" w:hAnsi="Arial" w:cs="Arial"/>
        </w:rPr>
      </w:pPr>
    </w:p>
    <w:p w14:paraId="6C740D93" w14:textId="1DAD17FD" w:rsidR="00A57CAB" w:rsidRDefault="006558AB" w:rsidP="00A57CAB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 xml:space="preserve">information and updates to the MassHealth Drug List. The Prescriber </w:t>
      </w:r>
      <w:r w:rsidR="00983827">
        <w:rPr>
          <w:rFonts w:ascii="Arial" w:hAnsi="Arial" w:cs="Arial"/>
        </w:rPr>
        <w:t>e</w:t>
      </w:r>
      <w:r w:rsidRPr="0004685E">
        <w:rPr>
          <w:rFonts w:ascii="Arial" w:hAnsi="Arial" w:cs="Arial"/>
        </w:rPr>
        <w:t>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p w14:paraId="14569390" w14:textId="588DA1EB" w:rsidR="00A57CAB" w:rsidRDefault="00A57CAB" w:rsidP="00A57CAB">
      <w:pPr>
        <w:spacing w:before="70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2DE5E6E4" w14:textId="73F7C303" w:rsidR="00A57CAB" w:rsidRPr="0004685E" w:rsidRDefault="00A57CAB" w:rsidP="00A57CAB">
      <w:pPr>
        <w:tabs>
          <w:tab w:val="left" w:pos="4650"/>
        </w:tabs>
        <w:jc w:val="center"/>
        <w:rPr>
          <w:rFonts w:ascii="Arial" w:hAnsi="Arial" w:cs="Arial"/>
        </w:rPr>
      </w:pPr>
      <w:r>
        <w:rPr>
          <w:lang w:val="en"/>
        </w:rPr>
        <w:t xml:space="preserve">Please send any </w:t>
      </w:r>
      <w:r>
        <w:rPr>
          <w:b/>
          <w:bCs/>
          <w:lang w:val="en"/>
        </w:rPr>
        <w:t xml:space="preserve">suggestions </w:t>
      </w:r>
      <w:r>
        <w:rPr>
          <w:lang w:val="en"/>
        </w:rPr>
        <w:t xml:space="preserve">or </w:t>
      </w:r>
      <w:r>
        <w:rPr>
          <w:b/>
          <w:bCs/>
          <w:lang w:val="en"/>
        </w:rPr>
        <w:t xml:space="preserve">comments </w:t>
      </w:r>
      <w:r>
        <w:rPr>
          <w:lang w:val="en"/>
        </w:rPr>
        <w:t xml:space="preserve">to </w:t>
      </w:r>
      <w:hyperlink r:id="rId14" w:history="1">
        <w:r w:rsidRPr="003B17DC">
          <w:rPr>
            <w:rStyle w:val="Hyperlink"/>
            <w:lang w:val="en"/>
          </w:rPr>
          <w:t>prescribereletter@massm</w:t>
        </w:r>
        <w:r w:rsidRPr="003B17DC">
          <w:rPr>
            <w:rStyle w:val="Hyperlink"/>
            <w:lang w:val="en"/>
          </w:rPr>
          <w:t>a</w:t>
        </w:r>
        <w:r w:rsidRPr="003B17DC">
          <w:rPr>
            <w:rStyle w:val="Hyperlink"/>
            <w:lang w:val="en"/>
          </w:rPr>
          <w:t>il.state.ma.us</w:t>
        </w:r>
      </w:hyperlink>
    </w:p>
    <w:sectPr w:rsidR="00A57CAB" w:rsidRPr="0004685E" w:rsidSect="00870CBF">
      <w:headerReference w:type="default" r:id="rId15"/>
      <w:footerReference w:type="even" r:id="rId16"/>
      <w:footerReference w:type="default" r:id="rId17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1E50" w14:textId="77777777" w:rsidR="00F70AAE" w:rsidRDefault="00F70AAE">
      <w:r>
        <w:separator/>
      </w:r>
    </w:p>
  </w:endnote>
  <w:endnote w:type="continuationSeparator" w:id="0">
    <w:p w14:paraId="04AA2A86" w14:textId="77777777" w:rsidR="00F70AAE" w:rsidRDefault="00F7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1831" w14:textId="6D4CFAB5" w:rsidR="00246441" w:rsidRDefault="00246441" w:rsidP="005B3507">
    <w:pPr>
      <w:jc w:val="center"/>
    </w:pPr>
  </w:p>
  <w:p w14:paraId="6F3BC106" w14:textId="33D302F4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F7D1" w14:textId="77777777" w:rsidR="00F70AAE" w:rsidRDefault="00F70AAE">
      <w:r>
        <w:separator/>
      </w:r>
    </w:p>
  </w:footnote>
  <w:footnote w:type="continuationSeparator" w:id="0">
    <w:p w14:paraId="241E957E" w14:textId="77777777" w:rsidR="00F70AAE" w:rsidRDefault="00F7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5741F710" w:rsidR="001A4C38" w:rsidRPr="0046520A" w:rsidRDefault="008967CE" w:rsidP="002D6F3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69031E">
      <w:rPr>
        <w:rFonts w:ascii="Trebuchet MS" w:hAnsi="Trebuchet MS"/>
        <w:b/>
        <w:sz w:val="18"/>
        <w:szCs w:val="18"/>
        <w:lang w:val="en"/>
      </w:rPr>
      <w:t>1</w:t>
    </w:r>
    <w:r w:rsidR="00242EBC">
      <w:rPr>
        <w:rFonts w:ascii="Trebuchet MS" w:hAnsi="Trebuchet MS"/>
        <w:b/>
        <w:sz w:val="18"/>
        <w:szCs w:val="18"/>
        <w:lang w:val="en"/>
      </w:rPr>
      <w:t>6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242EBC">
      <w:rPr>
        <w:rFonts w:ascii="Trebuchet MS" w:hAnsi="Trebuchet MS"/>
        <w:b/>
        <w:sz w:val="18"/>
        <w:szCs w:val="18"/>
        <w:lang w:val="en"/>
      </w:rPr>
      <w:t>1</w:t>
    </w:r>
    <w:r w:rsidR="005345EF">
      <w:rPr>
        <w:rFonts w:ascii="Trebuchet MS" w:hAnsi="Trebuchet MS"/>
        <w:b/>
        <w:sz w:val="18"/>
        <w:szCs w:val="18"/>
        <w:lang w:val="en"/>
      </w:rPr>
      <w:t xml:space="preserve">, </w:t>
    </w:r>
    <w:r w:rsidR="00242EBC">
      <w:rPr>
        <w:rFonts w:ascii="Trebuchet MS" w:hAnsi="Trebuchet MS"/>
        <w:b/>
        <w:sz w:val="18"/>
        <w:szCs w:val="18"/>
        <w:lang w:val="en"/>
      </w:rPr>
      <w:t>January 2026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9DE2647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242EBC">
      <w:rPr>
        <w:rFonts w:ascii="Trebuchet MS" w:hAnsi="Trebuchet MS"/>
        <w:b/>
        <w:sz w:val="18"/>
        <w:szCs w:val="18"/>
        <w:lang w:val="en"/>
      </w:rPr>
      <w:t>16</w:t>
    </w:r>
    <w:r w:rsidRPr="00AA6F20">
      <w:rPr>
        <w:rFonts w:ascii="Trebuchet MS" w:hAnsi="Trebuchet MS"/>
        <w:b/>
        <w:sz w:val="18"/>
        <w:szCs w:val="18"/>
        <w:lang w:val="en"/>
      </w:rPr>
      <w:t>, Issue</w:t>
    </w:r>
    <w:r w:rsidR="00242EBC">
      <w:rPr>
        <w:rFonts w:ascii="Trebuchet MS" w:hAnsi="Trebuchet MS"/>
        <w:b/>
        <w:sz w:val="18"/>
        <w:szCs w:val="18"/>
        <w:lang w:val="en"/>
      </w:rPr>
      <w:t xml:space="preserve"> 1</w:t>
    </w:r>
    <w:r w:rsidR="00901DC2">
      <w:rPr>
        <w:rFonts w:ascii="Trebuchet MS" w:hAnsi="Trebuchet MS"/>
        <w:b/>
        <w:sz w:val="18"/>
        <w:szCs w:val="18"/>
        <w:lang w:val="en"/>
      </w:rPr>
      <w:t xml:space="preserve">, </w:t>
    </w:r>
    <w:r w:rsidR="00242EBC">
      <w:rPr>
        <w:rFonts w:ascii="Trebuchet MS" w:hAnsi="Trebuchet MS"/>
        <w:b/>
        <w:sz w:val="18"/>
        <w:szCs w:val="18"/>
        <w:lang w:val="en"/>
      </w:rPr>
      <w:t>January 2026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1"/>
  </w:num>
  <w:num w:numId="2" w16cid:durableId="900097909">
    <w:abstractNumId w:val="14"/>
  </w:num>
  <w:num w:numId="3" w16cid:durableId="1055355579">
    <w:abstractNumId w:val="8"/>
  </w:num>
  <w:num w:numId="4" w16cid:durableId="199826978">
    <w:abstractNumId w:val="7"/>
  </w:num>
  <w:num w:numId="5" w16cid:durableId="1782339195">
    <w:abstractNumId w:val="15"/>
  </w:num>
  <w:num w:numId="6" w16cid:durableId="321617534">
    <w:abstractNumId w:val="16"/>
  </w:num>
  <w:num w:numId="7" w16cid:durableId="514729983">
    <w:abstractNumId w:val="2"/>
  </w:num>
  <w:num w:numId="8" w16cid:durableId="1932081016">
    <w:abstractNumId w:val="10"/>
  </w:num>
  <w:num w:numId="9" w16cid:durableId="2079358099">
    <w:abstractNumId w:val="4"/>
  </w:num>
  <w:num w:numId="10" w16cid:durableId="329336526">
    <w:abstractNumId w:val="0"/>
  </w:num>
  <w:num w:numId="11" w16cid:durableId="747574778">
    <w:abstractNumId w:val="5"/>
  </w:num>
  <w:num w:numId="12" w16cid:durableId="864055193">
    <w:abstractNumId w:val="3"/>
  </w:num>
  <w:num w:numId="13" w16cid:durableId="990477161">
    <w:abstractNumId w:val="9"/>
  </w:num>
  <w:num w:numId="14" w16cid:durableId="1299412918">
    <w:abstractNumId w:val="12"/>
  </w:num>
  <w:num w:numId="15" w16cid:durableId="47382837">
    <w:abstractNumId w:val="13"/>
  </w:num>
  <w:num w:numId="16" w16cid:durableId="223032385">
    <w:abstractNumId w:val="11"/>
  </w:num>
  <w:num w:numId="17" w16cid:durableId="957570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1A1A"/>
    <w:rsid w:val="00041F7C"/>
    <w:rsid w:val="00042FD6"/>
    <w:rsid w:val="0004346A"/>
    <w:rsid w:val="00043DB1"/>
    <w:rsid w:val="00045863"/>
    <w:rsid w:val="0004685E"/>
    <w:rsid w:val="00051E6C"/>
    <w:rsid w:val="00052B35"/>
    <w:rsid w:val="00055E2A"/>
    <w:rsid w:val="00057562"/>
    <w:rsid w:val="00062FC6"/>
    <w:rsid w:val="00070B66"/>
    <w:rsid w:val="00074014"/>
    <w:rsid w:val="00076A4D"/>
    <w:rsid w:val="00080A76"/>
    <w:rsid w:val="000814C3"/>
    <w:rsid w:val="000A26B3"/>
    <w:rsid w:val="000A6C99"/>
    <w:rsid w:val="000B4487"/>
    <w:rsid w:val="000B6930"/>
    <w:rsid w:val="000C15E5"/>
    <w:rsid w:val="000C2AEE"/>
    <w:rsid w:val="000E515F"/>
    <w:rsid w:val="000E62A4"/>
    <w:rsid w:val="000F145D"/>
    <w:rsid w:val="000F19D2"/>
    <w:rsid w:val="001003DC"/>
    <w:rsid w:val="001038B4"/>
    <w:rsid w:val="001049C6"/>
    <w:rsid w:val="00107CA4"/>
    <w:rsid w:val="00112E05"/>
    <w:rsid w:val="00113A33"/>
    <w:rsid w:val="00113C09"/>
    <w:rsid w:val="00137002"/>
    <w:rsid w:val="00143EFF"/>
    <w:rsid w:val="00146E96"/>
    <w:rsid w:val="00156AE9"/>
    <w:rsid w:val="0016598C"/>
    <w:rsid w:val="00166092"/>
    <w:rsid w:val="0017504B"/>
    <w:rsid w:val="00175C12"/>
    <w:rsid w:val="00180CAA"/>
    <w:rsid w:val="00182385"/>
    <w:rsid w:val="001A4C38"/>
    <w:rsid w:val="001A6565"/>
    <w:rsid w:val="001B2DED"/>
    <w:rsid w:val="001B2F69"/>
    <w:rsid w:val="001B4E72"/>
    <w:rsid w:val="001B58F6"/>
    <w:rsid w:val="001B6532"/>
    <w:rsid w:val="001B712E"/>
    <w:rsid w:val="001B7B82"/>
    <w:rsid w:val="001C1FAD"/>
    <w:rsid w:val="001C2E84"/>
    <w:rsid w:val="001C4E5C"/>
    <w:rsid w:val="001D2A7B"/>
    <w:rsid w:val="001D4D7E"/>
    <w:rsid w:val="001D7759"/>
    <w:rsid w:val="001E3620"/>
    <w:rsid w:val="001E762D"/>
    <w:rsid w:val="001E7935"/>
    <w:rsid w:val="00205E56"/>
    <w:rsid w:val="00215FB5"/>
    <w:rsid w:val="002172A7"/>
    <w:rsid w:val="0021775D"/>
    <w:rsid w:val="002178A6"/>
    <w:rsid w:val="0022143C"/>
    <w:rsid w:val="00221667"/>
    <w:rsid w:val="00227174"/>
    <w:rsid w:val="00234AE0"/>
    <w:rsid w:val="002400F6"/>
    <w:rsid w:val="00242A52"/>
    <w:rsid w:val="00242EBC"/>
    <w:rsid w:val="00246441"/>
    <w:rsid w:val="00246894"/>
    <w:rsid w:val="002559B8"/>
    <w:rsid w:val="002712BE"/>
    <w:rsid w:val="00272F9F"/>
    <w:rsid w:val="00273E75"/>
    <w:rsid w:val="0027618E"/>
    <w:rsid w:val="00283746"/>
    <w:rsid w:val="00287F60"/>
    <w:rsid w:val="002A566F"/>
    <w:rsid w:val="002A5BCC"/>
    <w:rsid w:val="002B16E1"/>
    <w:rsid w:val="002B4B60"/>
    <w:rsid w:val="002C14BD"/>
    <w:rsid w:val="002C261E"/>
    <w:rsid w:val="002C2E2A"/>
    <w:rsid w:val="002C326C"/>
    <w:rsid w:val="002D1C5C"/>
    <w:rsid w:val="002D561E"/>
    <w:rsid w:val="002D6F34"/>
    <w:rsid w:val="002E55F8"/>
    <w:rsid w:val="002E6DD1"/>
    <w:rsid w:val="002E75D3"/>
    <w:rsid w:val="002F1A78"/>
    <w:rsid w:val="002F4A95"/>
    <w:rsid w:val="003064EC"/>
    <w:rsid w:val="0031009A"/>
    <w:rsid w:val="003128F3"/>
    <w:rsid w:val="0031549E"/>
    <w:rsid w:val="003159D1"/>
    <w:rsid w:val="00316A86"/>
    <w:rsid w:val="0031728E"/>
    <w:rsid w:val="00321F5C"/>
    <w:rsid w:val="00323174"/>
    <w:rsid w:val="00325D8F"/>
    <w:rsid w:val="003305C8"/>
    <w:rsid w:val="00330FB0"/>
    <w:rsid w:val="00343FEE"/>
    <w:rsid w:val="00344037"/>
    <w:rsid w:val="0034440C"/>
    <w:rsid w:val="00353AD3"/>
    <w:rsid w:val="003568D5"/>
    <w:rsid w:val="00365B4B"/>
    <w:rsid w:val="00366132"/>
    <w:rsid w:val="00366BAA"/>
    <w:rsid w:val="00367696"/>
    <w:rsid w:val="00371601"/>
    <w:rsid w:val="00373275"/>
    <w:rsid w:val="00377A75"/>
    <w:rsid w:val="003971CE"/>
    <w:rsid w:val="00397377"/>
    <w:rsid w:val="003A17FB"/>
    <w:rsid w:val="003A670A"/>
    <w:rsid w:val="003B251D"/>
    <w:rsid w:val="003C0161"/>
    <w:rsid w:val="003C15F6"/>
    <w:rsid w:val="003C2288"/>
    <w:rsid w:val="003D177D"/>
    <w:rsid w:val="003E7380"/>
    <w:rsid w:val="003F391D"/>
    <w:rsid w:val="003F7F93"/>
    <w:rsid w:val="0040022A"/>
    <w:rsid w:val="00401354"/>
    <w:rsid w:val="0040471B"/>
    <w:rsid w:val="00410458"/>
    <w:rsid w:val="00411059"/>
    <w:rsid w:val="00411C19"/>
    <w:rsid w:val="00412265"/>
    <w:rsid w:val="0041665A"/>
    <w:rsid w:val="00424615"/>
    <w:rsid w:val="00425560"/>
    <w:rsid w:val="00427593"/>
    <w:rsid w:val="00427D00"/>
    <w:rsid w:val="00433649"/>
    <w:rsid w:val="00446350"/>
    <w:rsid w:val="004564C8"/>
    <w:rsid w:val="00456BB4"/>
    <w:rsid w:val="004607BC"/>
    <w:rsid w:val="00463AE8"/>
    <w:rsid w:val="004650A7"/>
    <w:rsid w:val="0046520A"/>
    <w:rsid w:val="00467BD4"/>
    <w:rsid w:val="0047213A"/>
    <w:rsid w:val="004733F0"/>
    <w:rsid w:val="00475241"/>
    <w:rsid w:val="00477057"/>
    <w:rsid w:val="004821AA"/>
    <w:rsid w:val="00485E86"/>
    <w:rsid w:val="0049555F"/>
    <w:rsid w:val="0049734F"/>
    <w:rsid w:val="004A58A3"/>
    <w:rsid w:val="004A5933"/>
    <w:rsid w:val="004B24F7"/>
    <w:rsid w:val="004B77A9"/>
    <w:rsid w:val="004C0C22"/>
    <w:rsid w:val="004C1412"/>
    <w:rsid w:val="004E42DD"/>
    <w:rsid w:val="004E574A"/>
    <w:rsid w:val="004E58D0"/>
    <w:rsid w:val="004E6787"/>
    <w:rsid w:val="004F3FB4"/>
    <w:rsid w:val="004F5803"/>
    <w:rsid w:val="00502B92"/>
    <w:rsid w:val="005175F7"/>
    <w:rsid w:val="005202BB"/>
    <w:rsid w:val="00523813"/>
    <w:rsid w:val="00532641"/>
    <w:rsid w:val="00533C5E"/>
    <w:rsid w:val="005345EF"/>
    <w:rsid w:val="00536EBB"/>
    <w:rsid w:val="00551655"/>
    <w:rsid w:val="0055653E"/>
    <w:rsid w:val="005566B0"/>
    <w:rsid w:val="00567B9D"/>
    <w:rsid w:val="00571C6C"/>
    <w:rsid w:val="00576DC3"/>
    <w:rsid w:val="00576FE6"/>
    <w:rsid w:val="00577FEC"/>
    <w:rsid w:val="00581E50"/>
    <w:rsid w:val="00583A96"/>
    <w:rsid w:val="005842A0"/>
    <w:rsid w:val="005851F1"/>
    <w:rsid w:val="00591187"/>
    <w:rsid w:val="0059122F"/>
    <w:rsid w:val="00592C98"/>
    <w:rsid w:val="0059487B"/>
    <w:rsid w:val="005A21DB"/>
    <w:rsid w:val="005A74DA"/>
    <w:rsid w:val="005B3507"/>
    <w:rsid w:val="005B73A3"/>
    <w:rsid w:val="005C05FA"/>
    <w:rsid w:val="005D0ED2"/>
    <w:rsid w:val="005D3CAF"/>
    <w:rsid w:val="005D506B"/>
    <w:rsid w:val="005D56B2"/>
    <w:rsid w:val="005E0ED5"/>
    <w:rsid w:val="005E52FC"/>
    <w:rsid w:val="005E7B03"/>
    <w:rsid w:val="005E7BFE"/>
    <w:rsid w:val="005F35CD"/>
    <w:rsid w:val="00610115"/>
    <w:rsid w:val="00612B60"/>
    <w:rsid w:val="00622404"/>
    <w:rsid w:val="0062336E"/>
    <w:rsid w:val="0062529B"/>
    <w:rsid w:val="00626239"/>
    <w:rsid w:val="00626A67"/>
    <w:rsid w:val="0063357E"/>
    <w:rsid w:val="0064259B"/>
    <w:rsid w:val="00650CB2"/>
    <w:rsid w:val="00653EAC"/>
    <w:rsid w:val="006558AB"/>
    <w:rsid w:val="0067107B"/>
    <w:rsid w:val="00673A8F"/>
    <w:rsid w:val="00680C86"/>
    <w:rsid w:val="00690023"/>
    <w:rsid w:val="0069031E"/>
    <w:rsid w:val="006A777A"/>
    <w:rsid w:val="006B207B"/>
    <w:rsid w:val="006B20D5"/>
    <w:rsid w:val="006B7613"/>
    <w:rsid w:val="006C3B50"/>
    <w:rsid w:val="006D70E0"/>
    <w:rsid w:val="006E0362"/>
    <w:rsid w:val="006F61BD"/>
    <w:rsid w:val="00702546"/>
    <w:rsid w:val="00711113"/>
    <w:rsid w:val="007175D5"/>
    <w:rsid w:val="00717A1C"/>
    <w:rsid w:val="00721778"/>
    <w:rsid w:val="00723BAB"/>
    <w:rsid w:val="007243D7"/>
    <w:rsid w:val="007311C3"/>
    <w:rsid w:val="007459B2"/>
    <w:rsid w:val="00752617"/>
    <w:rsid w:val="007541B1"/>
    <w:rsid w:val="00762B83"/>
    <w:rsid w:val="00767D6F"/>
    <w:rsid w:val="00770CB5"/>
    <w:rsid w:val="007712EE"/>
    <w:rsid w:val="007736F7"/>
    <w:rsid w:val="00776346"/>
    <w:rsid w:val="00785C9F"/>
    <w:rsid w:val="0078683C"/>
    <w:rsid w:val="0079312B"/>
    <w:rsid w:val="007947FB"/>
    <w:rsid w:val="00795A7C"/>
    <w:rsid w:val="00796800"/>
    <w:rsid w:val="007A2C73"/>
    <w:rsid w:val="007A3DAF"/>
    <w:rsid w:val="007E4CAE"/>
    <w:rsid w:val="007E77D7"/>
    <w:rsid w:val="007F2D62"/>
    <w:rsid w:val="0080735F"/>
    <w:rsid w:val="00807E9F"/>
    <w:rsid w:val="00811A9D"/>
    <w:rsid w:val="00816B7A"/>
    <w:rsid w:val="008403CA"/>
    <w:rsid w:val="00840D1F"/>
    <w:rsid w:val="008410F8"/>
    <w:rsid w:val="0084212C"/>
    <w:rsid w:val="00844307"/>
    <w:rsid w:val="00844A19"/>
    <w:rsid w:val="0084544F"/>
    <w:rsid w:val="0085378A"/>
    <w:rsid w:val="00860511"/>
    <w:rsid w:val="00860BA1"/>
    <w:rsid w:val="00862590"/>
    <w:rsid w:val="0086300C"/>
    <w:rsid w:val="008638CB"/>
    <w:rsid w:val="00865AEA"/>
    <w:rsid w:val="00870187"/>
    <w:rsid w:val="00870CBF"/>
    <w:rsid w:val="008722AE"/>
    <w:rsid w:val="00872E7F"/>
    <w:rsid w:val="00873BEF"/>
    <w:rsid w:val="00875B78"/>
    <w:rsid w:val="008819EB"/>
    <w:rsid w:val="0088325C"/>
    <w:rsid w:val="008911F3"/>
    <w:rsid w:val="00892205"/>
    <w:rsid w:val="00893E85"/>
    <w:rsid w:val="00894622"/>
    <w:rsid w:val="008946E9"/>
    <w:rsid w:val="008967CE"/>
    <w:rsid w:val="008A1B35"/>
    <w:rsid w:val="008B0999"/>
    <w:rsid w:val="008B221F"/>
    <w:rsid w:val="008B56EF"/>
    <w:rsid w:val="008C2518"/>
    <w:rsid w:val="008D3ED8"/>
    <w:rsid w:val="008E5183"/>
    <w:rsid w:val="008E79B3"/>
    <w:rsid w:val="008F25B4"/>
    <w:rsid w:val="00901DC2"/>
    <w:rsid w:val="009027AC"/>
    <w:rsid w:val="009029C1"/>
    <w:rsid w:val="00915088"/>
    <w:rsid w:val="00917BB8"/>
    <w:rsid w:val="00922C53"/>
    <w:rsid w:val="00923341"/>
    <w:rsid w:val="00927CAB"/>
    <w:rsid w:val="009340A4"/>
    <w:rsid w:val="00947F70"/>
    <w:rsid w:val="009555A8"/>
    <w:rsid w:val="00956812"/>
    <w:rsid w:val="00980B18"/>
    <w:rsid w:val="00982128"/>
    <w:rsid w:val="00983827"/>
    <w:rsid w:val="00986AF3"/>
    <w:rsid w:val="009913AF"/>
    <w:rsid w:val="009A2A6E"/>
    <w:rsid w:val="009A3763"/>
    <w:rsid w:val="009A4123"/>
    <w:rsid w:val="009A4A69"/>
    <w:rsid w:val="009B1AAF"/>
    <w:rsid w:val="009B2ABA"/>
    <w:rsid w:val="009C0A63"/>
    <w:rsid w:val="009D1E1C"/>
    <w:rsid w:val="009D2B0C"/>
    <w:rsid w:val="009E2313"/>
    <w:rsid w:val="009F04D6"/>
    <w:rsid w:val="00A01EE1"/>
    <w:rsid w:val="00A03155"/>
    <w:rsid w:val="00A0460E"/>
    <w:rsid w:val="00A128B9"/>
    <w:rsid w:val="00A13579"/>
    <w:rsid w:val="00A26095"/>
    <w:rsid w:val="00A36FA0"/>
    <w:rsid w:val="00A37691"/>
    <w:rsid w:val="00A5277E"/>
    <w:rsid w:val="00A54558"/>
    <w:rsid w:val="00A57CAB"/>
    <w:rsid w:val="00A63EE0"/>
    <w:rsid w:val="00A65E97"/>
    <w:rsid w:val="00A71FBC"/>
    <w:rsid w:val="00A82D27"/>
    <w:rsid w:val="00A83962"/>
    <w:rsid w:val="00A84104"/>
    <w:rsid w:val="00A856E6"/>
    <w:rsid w:val="00A95432"/>
    <w:rsid w:val="00AA0399"/>
    <w:rsid w:val="00AA6F20"/>
    <w:rsid w:val="00AB304D"/>
    <w:rsid w:val="00AC3152"/>
    <w:rsid w:val="00AD42BB"/>
    <w:rsid w:val="00AD5A76"/>
    <w:rsid w:val="00AE483E"/>
    <w:rsid w:val="00AF3BAA"/>
    <w:rsid w:val="00AF563E"/>
    <w:rsid w:val="00B10C3E"/>
    <w:rsid w:val="00B13074"/>
    <w:rsid w:val="00B15D97"/>
    <w:rsid w:val="00B200A7"/>
    <w:rsid w:val="00B20840"/>
    <w:rsid w:val="00B30E77"/>
    <w:rsid w:val="00B31AF2"/>
    <w:rsid w:val="00B31EFC"/>
    <w:rsid w:val="00B43238"/>
    <w:rsid w:val="00B44DE1"/>
    <w:rsid w:val="00B529FF"/>
    <w:rsid w:val="00B5390A"/>
    <w:rsid w:val="00B54AB5"/>
    <w:rsid w:val="00B61080"/>
    <w:rsid w:val="00B65AEA"/>
    <w:rsid w:val="00B72FE7"/>
    <w:rsid w:val="00B7453A"/>
    <w:rsid w:val="00B96C06"/>
    <w:rsid w:val="00BB15B2"/>
    <w:rsid w:val="00BD0118"/>
    <w:rsid w:val="00BD7648"/>
    <w:rsid w:val="00BE46A7"/>
    <w:rsid w:val="00BF73BB"/>
    <w:rsid w:val="00C0073C"/>
    <w:rsid w:val="00C009F8"/>
    <w:rsid w:val="00C03DAA"/>
    <w:rsid w:val="00C040C7"/>
    <w:rsid w:val="00C11D30"/>
    <w:rsid w:val="00C208B7"/>
    <w:rsid w:val="00C21F71"/>
    <w:rsid w:val="00C24050"/>
    <w:rsid w:val="00C25B35"/>
    <w:rsid w:val="00C35B94"/>
    <w:rsid w:val="00C4587F"/>
    <w:rsid w:val="00C54D38"/>
    <w:rsid w:val="00C578AB"/>
    <w:rsid w:val="00C62A5E"/>
    <w:rsid w:val="00C656AF"/>
    <w:rsid w:val="00C76762"/>
    <w:rsid w:val="00C82355"/>
    <w:rsid w:val="00C91D13"/>
    <w:rsid w:val="00C97787"/>
    <w:rsid w:val="00CA0313"/>
    <w:rsid w:val="00CA0669"/>
    <w:rsid w:val="00CA1D66"/>
    <w:rsid w:val="00CA4BAC"/>
    <w:rsid w:val="00CA5D04"/>
    <w:rsid w:val="00CA6B6E"/>
    <w:rsid w:val="00CB1524"/>
    <w:rsid w:val="00CC4BC2"/>
    <w:rsid w:val="00CD1B3A"/>
    <w:rsid w:val="00CD7211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28A8"/>
    <w:rsid w:val="00D23238"/>
    <w:rsid w:val="00D245EF"/>
    <w:rsid w:val="00D2695E"/>
    <w:rsid w:val="00D726DF"/>
    <w:rsid w:val="00D757B8"/>
    <w:rsid w:val="00D77884"/>
    <w:rsid w:val="00D821A9"/>
    <w:rsid w:val="00D86DD6"/>
    <w:rsid w:val="00D97D27"/>
    <w:rsid w:val="00DA302D"/>
    <w:rsid w:val="00DA4328"/>
    <w:rsid w:val="00DA7FE7"/>
    <w:rsid w:val="00DB2EE5"/>
    <w:rsid w:val="00DB79AB"/>
    <w:rsid w:val="00DC0E97"/>
    <w:rsid w:val="00DC145C"/>
    <w:rsid w:val="00DC1ACC"/>
    <w:rsid w:val="00DC7F7B"/>
    <w:rsid w:val="00DD0594"/>
    <w:rsid w:val="00DD0D7B"/>
    <w:rsid w:val="00DD2187"/>
    <w:rsid w:val="00DF3E53"/>
    <w:rsid w:val="00DF4E6B"/>
    <w:rsid w:val="00E06D78"/>
    <w:rsid w:val="00E1027A"/>
    <w:rsid w:val="00E20290"/>
    <w:rsid w:val="00E23CEA"/>
    <w:rsid w:val="00E31AED"/>
    <w:rsid w:val="00E31CAE"/>
    <w:rsid w:val="00E35E0F"/>
    <w:rsid w:val="00E370BD"/>
    <w:rsid w:val="00E61DD5"/>
    <w:rsid w:val="00E679DA"/>
    <w:rsid w:val="00E831CE"/>
    <w:rsid w:val="00E90319"/>
    <w:rsid w:val="00E91A46"/>
    <w:rsid w:val="00E9521B"/>
    <w:rsid w:val="00EB0E73"/>
    <w:rsid w:val="00EB28EF"/>
    <w:rsid w:val="00EB37D5"/>
    <w:rsid w:val="00EB5FE2"/>
    <w:rsid w:val="00EC08AC"/>
    <w:rsid w:val="00EE333C"/>
    <w:rsid w:val="00EE46DF"/>
    <w:rsid w:val="00EE67F4"/>
    <w:rsid w:val="00EE74FF"/>
    <w:rsid w:val="00EF76E8"/>
    <w:rsid w:val="00F01FFC"/>
    <w:rsid w:val="00F12DEA"/>
    <w:rsid w:val="00F26706"/>
    <w:rsid w:val="00F30B9F"/>
    <w:rsid w:val="00F42C2D"/>
    <w:rsid w:val="00F51B4F"/>
    <w:rsid w:val="00F53DA0"/>
    <w:rsid w:val="00F53FFB"/>
    <w:rsid w:val="00F636E3"/>
    <w:rsid w:val="00F66EB8"/>
    <w:rsid w:val="00F67537"/>
    <w:rsid w:val="00F67D45"/>
    <w:rsid w:val="00F70AAE"/>
    <w:rsid w:val="00F71CC7"/>
    <w:rsid w:val="00F84F91"/>
    <w:rsid w:val="00F85E0D"/>
    <w:rsid w:val="00F9023B"/>
    <w:rsid w:val="00FA323B"/>
    <w:rsid w:val="00FA5787"/>
    <w:rsid w:val="00FB53EC"/>
    <w:rsid w:val="00FB7719"/>
    <w:rsid w:val="00FD5009"/>
    <w:rsid w:val="00FD5CE5"/>
    <w:rsid w:val="00FE502F"/>
    <w:rsid w:val="00FE7A36"/>
    <w:rsid w:val="00FF17E3"/>
    <w:rsid w:val="00FF1A2E"/>
    <w:rsid w:val="00FF20CF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A639AB3F-615C-4BC2-A93B-AC36203A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dc.gov/acip/vaccine-recommendations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rescribereletter@massmail.state.ma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865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dc:description/>
  <cp:lastModifiedBy>DeLeo, Dan (EHS)</cp:lastModifiedBy>
  <cp:revision>5</cp:revision>
  <cp:lastPrinted>2024-10-16T15:48:00Z</cp:lastPrinted>
  <dcterms:created xsi:type="dcterms:W3CDTF">2026-01-06T18:58:00Z</dcterms:created>
  <dcterms:modified xsi:type="dcterms:W3CDTF">2026-01-08T20:25:00Z</dcterms:modified>
</cp:coreProperties>
</file>