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BC543" w14:textId="5DFEA51F" w:rsidR="00AD42BB" w:rsidRPr="00C8455B" w:rsidRDefault="00042FD6" w:rsidP="00C24050">
      <w:pPr>
        <w:pStyle w:val="Heading1"/>
        <w:tabs>
          <w:tab w:val="left" w:pos="900"/>
        </w:tabs>
        <w:spacing w:before="240" w:after="1080"/>
        <w:ind w:left="72"/>
      </w:pPr>
      <w:r>
        <w:rPr>
          <w:noProof/>
          <w:lang w:val="en-US"/>
        </w:rPr>
        <w:drawing>
          <wp:anchor distT="0" distB="0" distL="114300" distR="114300" simplePos="0" relativeHeight="251656192" behindDoc="1" locked="0" layoutInCell="1" allowOverlap="1" wp14:anchorId="3B14BDAC" wp14:editId="7A8014AE">
            <wp:simplePos x="0" y="0"/>
            <wp:positionH relativeFrom="column">
              <wp:posOffset>9322</wp:posOffset>
            </wp:positionH>
            <wp:positionV relativeFrom="paragraph">
              <wp:posOffset>124460</wp:posOffset>
            </wp:positionV>
            <wp:extent cx="6739255" cy="1266190"/>
            <wp:effectExtent l="0" t="0" r="4445" b="381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9255" cy="1266190"/>
                    </a:xfrm>
                    <a:prstGeom prst="rect">
                      <a:avLst/>
                    </a:prstGeom>
                  </pic:spPr>
                </pic:pic>
              </a:graphicData>
            </a:graphic>
            <wp14:sizeRelH relativeFrom="page">
              <wp14:pctWidth>0</wp14:pctWidth>
            </wp14:sizeRelH>
            <wp14:sizeRelV relativeFrom="page">
              <wp14:pctHeight>0</wp14:pctHeight>
            </wp14:sizeRelV>
          </wp:anchor>
        </w:drawing>
      </w:r>
      <w:r w:rsidR="00CD7211" w:rsidRPr="00CD7211">
        <w:rPr>
          <w:color w:val="FFFFFF" w:themeColor="background1"/>
        </w:rPr>
        <w:t xml:space="preserve">The Prescriber e-Letter, </w:t>
      </w:r>
      <w:r w:rsidR="00CD7211">
        <w:br w:type="textWrapping" w:clear="all"/>
      </w:r>
      <w:r w:rsidR="00AD42BB" w:rsidRPr="00AD42BB">
        <w:t>M</w:t>
      </w:r>
      <w:r w:rsidR="002A3B2F">
        <w:t>arch</w:t>
      </w:r>
      <w:r w:rsidR="00AD42BB" w:rsidRPr="002A3B2F">
        <w:t xml:space="preserve"> </w:t>
      </w:r>
      <w:r w:rsidR="002A3B2F" w:rsidRPr="002A3B2F">
        <w:t>2022</w:t>
      </w:r>
      <w:r w:rsidR="00AD42BB" w:rsidRPr="00AD42BB">
        <w:t>, Volume</w:t>
      </w:r>
      <w:r w:rsidR="00AD42BB" w:rsidRPr="00807E9F">
        <w:rPr>
          <w:color w:val="FF0000"/>
        </w:rPr>
        <w:t xml:space="preserve"> </w:t>
      </w:r>
      <w:r w:rsidR="00C8455B" w:rsidRPr="00C8455B">
        <w:t>12</w:t>
      </w:r>
      <w:r w:rsidR="00AD42BB" w:rsidRPr="00C8455B">
        <w:t xml:space="preserve">, Issue </w:t>
      </w:r>
      <w:r w:rsidR="00C8455B" w:rsidRPr="00C8455B">
        <w:t>1</w:t>
      </w:r>
    </w:p>
    <w:p w14:paraId="597B9300" w14:textId="77777777" w:rsidR="00C656AF" w:rsidRDefault="00C656AF" w:rsidP="00477057">
      <w:pPr>
        <w:tabs>
          <w:tab w:val="left" w:pos="5841"/>
        </w:tabs>
        <w:rPr>
          <w:w w:val="96"/>
        </w:rPr>
        <w:sectPr w:rsidR="00C656AF" w:rsidSect="00DA302D">
          <w:headerReference w:type="even" r:id="rId9"/>
          <w:headerReference w:type="default" r:id="rId10"/>
          <w:footerReference w:type="even" r:id="rId11"/>
          <w:footerReference w:type="default" r:id="rId12"/>
          <w:pgSz w:w="12240" w:h="15840" w:code="1"/>
          <w:pgMar w:top="180" w:right="720" w:bottom="259" w:left="907" w:header="187" w:footer="540" w:gutter="0"/>
          <w:cols w:space="720"/>
          <w:docGrid w:linePitch="360"/>
        </w:sectPr>
      </w:pP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p w14:paraId="54F79017" w14:textId="6ADDB9C6" w:rsidR="00C656AF" w:rsidRPr="00CF2078" w:rsidRDefault="00DA302D" w:rsidP="00C656AF">
      <w:pPr>
        <w:pStyle w:val="Heading2"/>
        <w:framePr w:hSpace="0" w:wrap="auto" w:vAnchor="margin" w:yAlign="inline"/>
      </w:pPr>
      <w:r>
        <w:rPr>
          <w:noProof/>
        </w:rPr>
        <mc:AlternateContent>
          <mc:Choice Requires="wps">
            <w:drawing>
              <wp:anchor distT="0" distB="0" distL="114300" distR="114300" simplePos="0" relativeHeight="251658240" behindDoc="0" locked="0" layoutInCell="1" allowOverlap="1" wp14:anchorId="6B67B32A" wp14:editId="0451456D">
                <wp:simplePos x="0" y="0"/>
                <wp:positionH relativeFrom="column">
                  <wp:posOffset>3363122</wp:posOffset>
                </wp:positionH>
                <wp:positionV relativeFrom="paragraph">
                  <wp:posOffset>149887</wp:posOffset>
                </wp:positionV>
                <wp:extent cx="45719" cy="7684851"/>
                <wp:effectExtent l="0" t="0" r="18415" b="2413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19" cy="7684851"/>
                        </a:xfrm>
                        <a:prstGeom prst="straightConnector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204CB7" id="_x0000_t32" coordsize="21600,21600" o:spt="32" o:oned="t" path="m,l21600,21600e" filled="f">
                <v:path arrowok="t" fillok="f" o:connecttype="none"/>
                <o:lock v:ext="edit" shapetype="t"/>
              </v:shapetype>
              <v:shape id="Straight Arrow Connector 3" o:spid="_x0000_s1026" type="#_x0000_t32" alt="&quot;&quot;" style="position:absolute;margin-left:264.8pt;margin-top:11.8pt;width:3.6pt;height:605.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" strokecolor="black [3213]">
                <v:stroke joinstyle="miter"/>
              </v:shape>
            </w:pict>
          </mc:Fallback>
        </mc:AlternateContent>
      </w:r>
      <w:r w:rsidR="002A3B2F">
        <w:t xml:space="preserve">Overview of Implementation of Point-of-Sale Rules for </w:t>
      </w:r>
      <w:r w:rsidR="002A3B2F" w:rsidRPr="00901FE4">
        <w:t>Hepatitis C Antiviral Agents</w:t>
      </w:r>
      <w:r w:rsidR="00C656AF" w:rsidRPr="00CF2078">
        <w:t xml:space="preserve"> </w:t>
      </w:r>
    </w:p>
    <w:p w14:paraId="385FA052" w14:textId="77777777" w:rsidR="00C656AF" w:rsidRPr="00F9023B" w:rsidRDefault="00C656AF" w:rsidP="00C656AF">
      <w:pPr>
        <w:widowControl w:val="0"/>
        <w:rPr>
          <w:lang w:val="en"/>
        </w:rPr>
      </w:pPr>
    </w:p>
    <w:p w14:paraId="4C4A4141" w14:textId="14F2AA72" w:rsidR="002A3B2F" w:rsidRPr="002A3B2F" w:rsidRDefault="002A3B2F" w:rsidP="002A3B2F">
      <w:pPr>
        <w:spacing w:after="120"/>
        <w:ind w:right="-94"/>
        <w:rPr>
          <w:bCs/>
          <w:color w:val="auto"/>
          <w:sz w:val="22"/>
          <w:szCs w:val="22"/>
        </w:rPr>
      </w:pPr>
      <w:r w:rsidRPr="002A3B2F">
        <w:rPr>
          <w:bCs/>
          <w:color w:val="auto"/>
          <w:sz w:val="22"/>
          <w:szCs w:val="22"/>
        </w:rPr>
        <w:t>Chronic hepatitis C virus (HCV) infection is the most common chronic bloodborne infection in the United States, with an estimated prevalence of 2.4 million.</w:t>
      </w:r>
      <w:r w:rsidRPr="002A3B2F">
        <w:rPr>
          <w:bCs/>
          <w:color w:val="auto"/>
          <w:sz w:val="22"/>
          <w:szCs w:val="22"/>
          <w:vertAlign w:val="superscript"/>
        </w:rPr>
        <w:t>1</w:t>
      </w:r>
      <w:r w:rsidRPr="002A3B2F">
        <w:rPr>
          <w:bCs/>
          <w:color w:val="auto"/>
          <w:sz w:val="22"/>
          <w:szCs w:val="22"/>
        </w:rPr>
        <w:t xml:space="preserve"> The American Association for the Study of Liver Disease (AASLD) and the Infectious Disease Society of America (IDSA) recommend combination regimens that include oral direct-acting antivirals (DAAs) due to the high cure rate, favorable side effects profile, and reduced pill burden. Treatment is primarily determined by HCV genotype, treatment history, stage of liver disease, and treatment tolerance and adherence.</w:t>
      </w:r>
      <w:r w:rsidRPr="002A3B2F">
        <w:rPr>
          <w:bCs/>
          <w:color w:val="auto"/>
          <w:sz w:val="22"/>
          <w:szCs w:val="22"/>
          <w:vertAlign w:val="superscript"/>
        </w:rPr>
        <w:t>2</w:t>
      </w:r>
      <w:r w:rsidRPr="002A3B2F">
        <w:rPr>
          <w:bCs/>
          <w:color w:val="auto"/>
          <w:sz w:val="22"/>
          <w:szCs w:val="22"/>
        </w:rPr>
        <w:t xml:space="preserve"> Available DAA offer high cure rates of ≥</w:t>
      </w:r>
      <w:r w:rsidR="004133BE">
        <w:rPr>
          <w:bCs/>
          <w:color w:val="auto"/>
          <w:sz w:val="22"/>
          <w:szCs w:val="22"/>
        </w:rPr>
        <w:t xml:space="preserve"> </w:t>
      </w:r>
      <w:r w:rsidRPr="002A3B2F">
        <w:rPr>
          <w:bCs/>
          <w:color w:val="auto"/>
          <w:sz w:val="22"/>
          <w:szCs w:val="22"/>
        </w:rPr>
        <w:t>90% as demonstrated in clinical trials and real-world studies (including MassHealth population), are well tolerated, and offer convenient once-daily administration. Mavyret (glecaprevir/pibrentasvir) or sofosbuvir/velpatasvir are recommended for most patients with HCV infection).</w:t>
      </w:r>
    </w:p>
    <w:p w14:paraId="577B57F2" w14:textId="57B625FD" w:rsidR="00807E9F" w:rsidRDefault="00807E9F" w:rsidP="001B2DED">
      <w:pPr>
        <w:spacing w:after="120"/>
        <w:ind w:right="-94"/>
        <w:rPr>
          <w:bCs/>
          <w:color w:val="auto"/>
          <w:sz w:val="22"/>
          <w:szCs w:val="22"/>
        </w:rPr>
      </w:pPr>
      <w:r w:rsidRPr="00807E9F">
        <w:rPr>
          <w:bCs/>
          <w:color w:val="auto"/>
          <w:sz w:val="22"/>
          <w:szCs w:val="22"/>
        </w:rPr>
        <w:t xml:space="preserve"> </w:t>
      </w:r>
    </w:p>
    <w:p w14:paraId="62B9B303" w14:textId="2128BE37" w:rsidR="002A3B2F" w:rsidRPr="002A3B2F" w:rsidRDefault="002A3B2F" w:rsidP="002A3B2F">
      <w:pPr>
        <w:spacing w:after="120"/>
        <w:ind w:right="-94"/>
        <w:rPr>
          <w:bCs/>
          <w:color w:val="auto"/>
          <w:sz w:val="22"/>
          <w:szCs w:val="22"/>
        </w:rPr>
      </w:pPr>
      <w:r w:rsidRPr="002A3B2F">
        <w:rPr>
          <w:bCs/>
          <w:color w:val="auto"/>
          <w:sz w:val="22"/>
          <w:szCs w:val="22"/>
        </w:rPr>
        <w:t>MassHealth has developed point of sale rules for preferred DAA agents. Point-of-sale processing provides online adjudication of pharmacy claims through coding algorithms that utilize member data to determine if a member meets criteria for drug approval. This system of processing minimizes the need for a prior authorization while promoting appropriate and cost-effective clinical care.</w:t>
      </w:r>
    </w:p>
    <w:p w14:paraId="4112F1EA" w14:textId="09156AA3" w:rsidR="001B2DED" w:rsidRDefault="00807E9F" w:rsidP="001B2DED">
      <w:pPr>
        <w:spacing w:after="120"/>
        <w:ind w:right="-94"/>
        <w:rPr>
          <w:bCs/>
          <w:color w:val="auto"/>
          <w:sz w:val="22"/>
          <w:szCs w:val="22"/>
        </w:rPr>
      </w:pPr>
      <w:r w:rsidRPr="00807E9F">
        <w:rPr>
          <w:bCs/>
          <w:color w:val="auto"/>
          <w:sz w:val="22"/>
          <w:szCs w:val="22"/>
        </w:rPr>
        <w:t xml:space="preserve"> </w:t>
      </w:r>
    </w:p>
    <w:p w14:paraId="2CF8654C" w14:textId="3316077E" w:rsidR="003A531B" w:rsidRPr="003A531B" w:rsidRDefault="003A531B" w:rsidP="003A531B">
      <w:pPr>
        <w:widowControl w:val="0"/>
        <w:spacing w:after="120"/>
        <w:rPr>
          <w:bCs/>
          <w:color w:val="auto"/>
          <w:sz w:val="22"/>
          <w:szCs w:val="22"/>
        </w:rPr>
      </w:pPr>
      <w:r w:rsidRPr="003A531B">
        <w:rPr>
          <w:bCs/>
          <w:color w:val="auto"/>
          <w:sz w:val="22"/>
          <w:szCs w:val="22"/>
        </w:rPr>
        <w:t xml:space="preserve">For medically complex members for whom HCV regimen selection is more nuanced (e.g., those with decompensated cirrhosis, previously treated for HCV infection, or whose regimens may be impacted by drug-drug interactions) a prior authorization will generally still be required. </w:t>
      </w:r>
    </w:p>
    <w:p w14:paraId="7BBAA5C6" w14:textId="63508BB6" w:rsidR="00C656AF" w:rsidRPr="00DA302D" w:rsidRDefault="00C656AF" w:rsidP="001B2DED">
      <w:pPr>
        <w:widowControl w:val="0"/>
        <w:spacing w:after="120"/>
        <w:rPr>
          <w:bCs/>
          <w:color w:val="auto"/>
          <w:sz w:val="22"/>
          <w:szCs w:val="22"/>
        </w:rPr>
      </w:pPr>
    </w:p>
    <w:p w14:paraId="2B6B5581" w14:textId="77777777" w:rsidR="002A3B2F" w:rsidRDefault="002A3B2F" w:rsidP="00A13579">
      <w:pPr>
        <w:widowControl w:val="0"/>
        <w:spacing w:before="120" w:after="120"/>
        <w:rPr>
          <w:bCs/>
          <w:color w:val="auto"/>
          <w:sz w:val="22"/>
          <w:szCs w:val="22"/>
        </w:rPr>
      </w:pPr>
    </w:p>
    <w:p w14:paraId="0E04C57C" w14:textId="1718DC16" w:rsidR="003A531B" w:rsidRDefault="003A531B" w:rsidP="00807E9F">
      <w:pPr>
        <w:pStyle w:val="Heading2"/>
        <w:framePr w:hSpace="0" w:wrap="auto" w:vAnchor="margin" w:yAlign="inline"/>
      </w:pPr>
      <w:bookmarkStart w:id="0" w:name="_Hlk56006764"/>
    </w:p>
    <w:p w14:paraId="2FC00698" w14:textId="74C9BD72" w:rsidR="003A531B" w:rsidRDefault="003A531B" w:rsidP="003A531B"/>
    <w:p w14:paraId="7A75C282" w14:textId="12B3FE6C" w:rsidR="003A531B" w:rsidRDefault="003A531B" w:rsidP="003A531B"/>
    <w:p w14:paraId="1E343F31" w14:textId="5568F8FE" w:rsidR="003A531B" w:rsidRDefault="003A531B" w:rsidP="003A531B"/>
    <w:p w14:paraId="3724F8F9" w14:textId="207033FD" w:rsidR="003A531B" w:rsidRDefault="003A531B" w:rsidP="003A531B"/>
    <w:p w14:paraId="44FD50AE" w14:textId="39A7E42B" w:rsidR="00DA7FE7" w:rsidRDefault="003A531B" w:rsidP="003A531B">
      <w:pPr>
        <w:pStyle w:val="Heading2"/>
        <w:framePr w:hSpace="0" w:wrap="auto" w:vAnchor="margin" w:yAlign="inline"/>
        <w:spacing w:before="360"/>
      </w:pPr>
      <w:r w:rsidRPr="003A531B">
        <w:t>Description of Point-of-Sale Rules for Hepatitis C Antiviral Agents</w:t>
      </w:r>
    </w:p>
    <w:p w14:paraId="4C35C2EA" w14:textId="458364D9" w:rsidR="00242A52" w:rsidRDefault="00242A52" w:rsidP="00242A52">
      <w:pPr>
        <w:widowControl w:val="0"/>
        <w:ind w:right="-94"/>
        <w:rPr>
          <w:sz w:val="22"/>
          <w:szCs w:val="22"/>
        </w:rPr>
      </w:pPr>
    </w:p>
    <w:p w14:paraId="2FBCE736" w14:textId="6F2A397F" w:rsidR="003A531B" w:rsidRDefault="003A531B" w:rsidP="00242A52">
      <w:pPr>
        <w:widowControl w:val="0"/>
        <w:ind w:right="-94"/>
        <w:rPr>
          <w:bCs/>
          <w:sz w:val="22"/>
          <w:szCs w:val="22"/>
        </w:rPr>
      </w:pPr>
      <w:r w:rsidRPr="003A531B">
        <w:rPr>
          <w:bCs/>
          <w:sz w:val="22"/>
          <w:szCs w:val="22"/>
        </w:rPr>
        <w:t xml:space="preserve">To promote access to treatment, effective February 7, 2022, point-of-sale rules were implemented to allow most claims for sofosbuvir/velpatasvir or Mavyret (glecaprevir/pibrentasvir) to pay at the pharmacy without PA for treatment-naïve members without decompensated cirrhosis who do not have drug-interactions with the requested regimen within age and quantity limit. </w:t>
      </w:r>
    </w:p>
    <w:p w14:paraId="562BBF65" w14:textId="77777777" w:rsidR="003A531B" w:rsidRDefault="003A531B" w:rsidP="00242A52">
      <w:pPr>
        <w:widowControl w:val="0"/>
        <w:ind w:right="-94"/>
        <w:rPr>
          <w:bCs/>
          <w:sz w:val="22"/>
          <w:szCs w:val="22"/>
        </w:rPr>
      </w:pPr>
    </w:p>
    <w:p w14:paraId="10B3BA38" w14:textId="77777777" w:rsidR="003A531B" w:rsidRDefault="003A531B" w:rsidP="00242A52">
      <w:pPr>
        <w:widowControl w:val="0"/>
        <w:ind w:right="-94"/>
        <w:rPr>
          <w:bCs/>
          <w:sz w:val="22"/>
          <w:szCs w:val="22"/>
        </w:rPr>
      </w:pPr>
    </w:p>
    <w:p w14:paraId="59FBBA27" w14:textId="297F8B12" w:rsidR="003A531B" w:rsidRDefault="003A531B" w:rsidP="003A531B">
      <w:pPr>
        <w:widowControl w:val="0"/>
        <w:ind w:right="-94"/>
        <w:rPr>
          <w:bCs/>
          <w:sz w:val="22"/>
          <w:szCs w:val="22"/>
        </w:rPr>
      </w:pPr>
      <w:r w:rsidRPr="003A531B">
        <w:rPr>
          <w:bCs/>
          <w:sz w:val="22"/>
          <w:szCs w:val="22"/>
        </w:rPr>
        <w:t>Specifically, claims for sofosbuvir/velpatasvir or Mavyret will usually pay at the pharmacy without PA unless one or more of the following exceptions apply:</w:t>
      </w:r>
    </w:p>
    <w:p w14:paraId="5CC61962" w14:textId="77777777" w:rsidR="00F43E38" w:rsidRPr="00F43E38" w:rsidRDefault="00F43E38" w:rsidP="00F43E38">
      <w:pPr>
        <w:widowControl w:val="0"/>
        <w:ind w:right="-94"/>
        <w:rPr>
          <w:color w:val="auto"/>
          <w:sz w:val="22"/>
          <w:szCs w:val="22"/>
        </w:rPr>
      </w:pPr>
    </w:p>
    <w:p w14:paraId="2BA8A84E" w14:textId="77777777" w:rsidR="00F43E38" w:rsidRPr="00F43E38" w:rsidRDefault="00F43E38" w:rsidP="00F43E38">
      <w:pPr>
        <w:widowControl w:val="0"/>
        <w:numPr>
          <w:ilvl w:val="0"/>
          <w:numId w:val="4"/>
        </w:numPr>
        <w:ind w:right="-94"/>
        <w:rPr>
          <w:color w:val="auto"/>
          <w:sz w:val="22"/>
          <w:szCs w:val="22"/>
        </w:rPr>
      </w:pPr>
      <w:r w:rsidRPr="00F43E38">
        <w:rPr>
          <w:color w:val="auto"/>
          <w:sz w:val="22"/>
          <w:szCs w:val="22"/>
        </w:rPr>
        <w:t>Quantity exceeds one unit/day (sofosbuvir/velpatasvir) or three units/day (Mavyret)</w:t>
      </w:r>
    </w:p>
    <w:p w14:paraId="004D9553" w14:textId="77777777" w:rsidR="00F43E38" w:rsidRPr="00F43E38" w:rsidRDefault="00F43E38" w:rsidP="00F43E38">
      <w:pPr>
        <w:widowControl w:val="0"/>
        <w:numPr>
          <w:ilvl w:val="0"/>
          <w:numId w:val="4"/>
        </w:numPr>
        <w:ind w:right="-94"/>
        <w:rPr>
          <w:color w:val="auto"/>
          <w:sz w:val="22"/>
          <w:szCs w:val="22"/>
        </w:rPr>
      </w:pPr>
      <w:r w:rsidRPr="00F43E38">
        <w:rPr>
          <w:color w:val="auto"/>
          <w:sz w:val="22"/>
          <w:szCs w:val="22"/>
        </w:rPr>
        <w:t>Member is &lt; three years old</w:t>
      </w:r>
    </w:p>
    <w:p w14:paraId="3B665497" w14:textId="77777777" w:rsidR="00F43E38" w:rsidRPr="00F43E38" w:rsidRDefault="00F43E38" w:rsidP="00F43E38">
      <w:pPr>
        <w:widowControl w:val="0"/>
        <w:numPr>
          <w:ilvl w:val="0"/>
          <w:numId w:val="4"/>
        </w:numPr>
        <w:ind w:right="-94"/>
        <w:rPr>
          <w:color w:val="auto"/>
          <w:sz w:val="22"/>
          <w:szCs w:val="22"/>
        </w:rPr>
      </w:pPr>
      <w:r w:rsidRPr="00F43E38">
        <w:rPr>
          <w:color w:val="auto"/>
          <w:sz w:val="22"/>
          <w:szCs w:val="22"/>
        </w:rPr>
        <w:t>History of paid pharmacy claims for a hepatitis C drug</w:t>
      </w:r>
    </w:p>
    <w:p w14:paraId="5FC7EA9D" w14:textId="77777777" w:rsidR="00F43E38" w:rsidRPr="00F43E38" w:rsidRDefault="00F43E38" w:rsidP="00F43E38">
      <w:pPr>
        <w:widowControl w:val="0"/>
        <w:numPr>
          <w:ilvl w:val="0"/>
          <w:numId w:val="4"/>
        </w:numPr>
        <w:ind w:right="-94"/>
        <w:rPr>
          <w:color w:val="auto"/>
          <w:sz w:val="22"/>
          <w:szCs w:val="22"/>
        </w:rPr>
      </w:pPr>
      <w:r w:rsidRPr="00F43E38">
        <w:rPr>
          <w:color w:val="auto"/>
          <w:sz w:val="22"/>
          <w:szCs w:val="22"/>
        </w:rPr>
        <w:t>History of paid pharmacy claims for drugs suggestive of decompensated cirrhosis</w:t>
      </w:r>
    </w:p>
    <w:p w14:paraId="13807562" w14:textId="77777777" w:rsidR="00F43E38" w:rsidRPr="00F43E38" w:rsidRDefault="00F43E38" w:rsidP="00F43E38">
      <w:pPr>
        <w:widowControl w:val="0"/>
        <w:numPr>
          <w:ilvl w:val="0"/>
          <w:numId w:val="4"/>
        </w:numPr>
        <w:ind w:right="-94"/>
        <w:rPr>
          <w:color w:val="auto"/>
          <w:sz w:val="22"/>
          <w:szCs w:val="22"/>
        </w:rPr>
      </w:pPr>
      <w:r w:rsidRPr="00F43E38">
        <w:rPr>
          <w:color w:val="auto"/>
          <w:sz w:val="22"/>
          <w:szCs w:val="22"/>
        </w:rPr>
        <w:t>Recent history of pharmacy claims (in the last 90 days) for a drug that may lower DAA efficacy</w:t>
      </w:r>
    </w:p>
    <w:p w14:paraId="4BC2F427" w14:textId="0960EB4F" w:rsidR="00F43E38" w:rsidRDefault="00F43E38" w:rsidP="003A531B">
      <w:pPr>
        <w:widowControl w:val="0"/>
        <w:ind w:right="-94"/>
        <w:rPr>
          <w:bCs/>
          <w:sz w:val="22"/>
          <w:szCs w:val="22"/>
        </w:rPr>
      </w:pPr>
    </w:p>
    <w:p w14:paraId="662FFD54" w14:textId="504D6E55" w:rsidR="00F43E38" w:rsidRPr="00F43E38" w:rsidRDefault="00F43E38" w:rsidP="003A531B">
      <w:pPr>
        <w:widowControl w:val="0"/>
        <w:ind w:right="-94"/>
        <w:rPr>
          <w:b/>
          <w:bCs/>
          <w:sz w:val="22"/>
          <w:szCs w:val="22"/>
        </w:rPr>
      </w:pPr>
      <w:r>
        <w:rPr>
          <w:rFonts w:ascii="Georgia" w:hAnsi="Georgia"/>
          <w:b/>
          <w:bCs/>
          <w:color w:val="auto"/>
          <w:kern w:val="0"/>
          <w:sz w:val="22"/>
          <w:szCs w:val="22"/>
        </w:rPr>
        <w:t>Footnotes</w:t>
      </w:r>
    </w:p>
    <w:p w14:paraId="132F414F" w14:textId="2A95870B" w:rsidR="003A531B" w:rsidRPr="004133BE" w:rsidRDefault="003A531B" w:rsidP="003A531B">
      <w:pPr>
        <w:widowControl w:val="0"/>
        <w:ind w:right="-94"/>
        <w:rPr>
          <w:bCs/>
          <w:sz w:val="18"/>
          <w:szCs w:val="18"/>
        </w:rPr>
      </w:pPr>
    </w:p>
    <w:p w14:paraId="20F92029" w14:textId="77AD9AC2" w:rsidR="003A531B" w:rsidRPr="004133BE" w:rsidRDefault="003A531B" w:rsidP="003A531B">
      <w:pPr>
        <w:widowControl w:val="0"/>
        <w:numPr>
          <w:ilvl w:val="0"/>
          <w:numId w:val="5"/>
        </w:numPr>
        <w:ind w:right="-94"/>
        <w:rPr>
          <w:bCs/>
          <w:sz w:val="18"/>
          <w:szCs w:val="18"/>
        </w:rPr>
      </w:pPr>
      <w:r w:rsidRPr="004133BE">
        <w:rPr>
          <w:bCs/>
          <w:sz w:val="18"/>
          <w:szCs w:val="18"/>
        </w:rPr>
        <w:t>Viral Hepatitis - Hepatitis C Information - Hepatitis C FAQs for Health Professionals. Centers for Disease Control and Prevention [webpage on the Internet]. Atlanta (GA): Centers for Disease Control and Prevention; Aug 7</w:t>
      </w:r>
      <w:r w:rsidR="004133BE">
        <w:rPr>
          <w:bCs/>
          <w:sz w:val="18"/>
          <w:szCs w:val="18"/>
        </w:rPr>
        <w:t>,</w:t>
      </w:r>
      <w:r w:rsidRPr="004133BE">
        <w:rPr>
          <w:bCs/>
          <w:sz w:val="18"/>
          <w:szCs w:val="18"/>
        </w:rPr>
        <w:t xml:space="preserve"> 2020 [cited 2022 Feb 14]. Available from: </w:t>
      </w:r>
      <w:hyperlink r:id="rId13" w:history="1">
        <w:r w:rsidRPr="004133BE">
          <w:rPr>
            <w:rStyle w:val="Hyperlink"/>
            <w:bCs/>
            <w:sz w:val="18"/>
            <w:szCs w:val="18"/>
          </w:rPr>
          <w:t>http://www.cdc.gov/hepatitis/hcv/hcvfaq.htm</w:t>
        </w:r>
      </w:hyperlink>
      <w:r w:rsidRPr="004133BE">
        <w:rPr>
          <w:bCs/>
          <w:sz w:val="18"/>
          <w:szCs w:val="18"/>
        </w:rPr>
        <w:t>.</w:t>
      </w:r>
    </w:p>
    <w:p w14:paraId="105395AC" w14:textId="77777777" w:rsidR="003A531B" w:rsidRPr="004133BE" w:rsidRDefault="003A531B" w:rsidP="003A531B">
      <w:pPr>
        <w:widowControl w:val="0"/>
        <w:numPr>
          <w:ilvl w:val="0"/>
          <w:numId w:val="5"/>
        </w:numPr>
        <w:ind w:right="-94"/>
        <w:rPr>
          <w:bCs/>
          <w:sz w:val="18"/>
          <w:szCs w:val="18"/>
        </w:rPr>
      </w:pPr>
      <w:r w:rsidRPr="004133BE">
        <w:rPr>
          <w:bCs/>
          <w:sz w:val="18"/>
          <w:szCs w:val="18"/>
        </w:rPr>
        <w:t xml:space="preserve">American Association for the Study of Liver Diseases (AASLD) and Infectious Diseases Society of America (IDSA). HCV Guidance: Recommendations for Testing, Managing, and Treating Hepatitis C [guideline on the Internet]. Alexandria (VA) and Arlington (VA): AASLD/IDSA 2021 Sep [cited 2022 Feb 14]. Available at: </w:t>
      </w:r>
      <w:hyperlink r:id="rId14" w:history="1">
        <w:r w:rsidRPr="004133BE">
          <w:rPr>
            <w:rStyle w:val="Hyperlink"/>
            <w:bCs/>
            <w:sz w:val="18"/>
            <w:szCs w:val="18"/>
          </w:rPr>
          <w:t>http://www.hcvguidelines.org</w:t>
        </w:r>
      </w:hyperlink>
      <w:r w:rsidRPr="004133BE">
        <w:rPr>
          <w:bCs/>
          <w:sz w:val="18"/>
          <w:szCs w:val="18"/>
        </w:rPr>
        <w:t>.</w:t>
      </w:r>
    </w:p>
    <w:p w14:paraId="35C4B51C" w14:textId="675A5D21" w:rsidR="00242A52" w:rsidRPr="003A531B" w:rsidRDefault="00807E9F" w:rsidP="00242A52">
      <w:pPr>
        <w:widowControl w:val="0"/>
        <w:ind w:right="-94"/>
        <w:rPr>
          <w:bCs/>
          <w:sz w:val="22"/>
          <w:szCs w:val="22"/>
        </w:rPr>
      </w:pPr>
      <w:r w:rsidRPr="00807E9F">
        <w:rPr>
          <w:bCs/>
          <w:sz w:val="22"/>
          <w:szCs w:val="22"/>
        </w:rPr>
        <w:t xml:space="preserve"> </w:t>
      </w:r>
    </w:p>
    <w:bookmarkEnd w:id="0"/>
    <w:p w14:paraId="229DC154" w14:textId="54438953" w:rsidR="00242A52" w:rsidRDefault="00242A52" w:rsidP="00242A52">
      <w:pPr>
        <w:widowControl w:val="0"/>
        <w:ind w:right="-94"/>
        <w:rPr>
          <w:b/>
          <w:bCs/>
          <w:color w:val="auto"/>
          <w:sz w:val="22"/>
          <w:szCs w:val="22"/>
        </w:rPr>
      </w:pPr>
    </w:p>
    <w:p w14:paraId="3DF80A92" w14:textId="6FBA5F93" w:rsidR="00F43E38" w:rsidRDefault="00F43E38" w:rsidP="00242A52">
      <w:pPr>
        <w:widowControl w:val="0"/>
        <w:ind w:right="-94"/>
        <w:rPr>
          <w:b/>
          <w:bCs/>
          <w:color w:val="auto"/>
          <w:sz w:val="22"/>
          <w:szCs w:val="22"/>
        </w:rPr>
      </w:pPr>
    </w:p>
    <w:p w14:paraId="4950A6AD" w14:textId="77777777" w:rsidR="00F43E38" w:rsidRPr="00F43E38" w:rsidRDefault="00F43E38" w:rsidP="00F43E38">
      <w:pPr>
        <w:widowControl w:val="0"/>
        <w:ind w:right="-94"/>
        <w:rPr>
          <w:b/>
          <w:bCs/>
          <w:color w:val="auto"/>
          <w:sz w:val="22"/>
          <w:szCs w:val="22"/>
        </w:rPr>
      </w:pPr>
    </w:p>
    <w:p w14:paraId="57882834" w14:textId="77777777" w:rsidR="00F43E38" w:rsidRPr="00F43E38" w:rsidRDefault="00F43E38" w:rsidP="00F43E38">
      <w:pPr>
        <w:widowControl w:val="0"/>
        <w:ind w:right="-94"/>
        <w:rPr>
          <w:b/>
          <w:bCs/>
          <w:color w:val="auto"/>
          <w:sz w:val="22"/>
          <w:szCs w:val="22"/>
        </w:rPr>
      </w:pPr>
    </w:p>
    <w:p w14:paraId="5BF170C1" w14:textId="77777777" w:rsidR="00F43E38" w:rsidRPr="001B2DED" w:rsidRDefault="00F43E38" w:rsidP="00242A52">
      <w:pPr>
        <w:widowControl w:val="0"/>
        <w:ind w:right="-94"/>
        <w:rPr>
          <w:b/>
          <w:bCs/>
          <w:color w:val="auto"/>
          <w:sz w:val="22"/>
          <w:szCs w:val="22"/>
        </w:rPr>
      </w:pPr>
    </w:p>
    <w:sectPr w:rsidR="00F43E38" w:rsidRPr="001B2DED" w:rsidSect="00092431">
      <w:headerReference w:type="default" r:id="rId15"/>
      <w:type w:val="continuous"/>
      <w:pgSz w:w="12240" w:h="15840" w:code="1"/>
      <w:pgMar w:top="765" w:right="720" w:bottom="135" w:left="907" w:header="187" w:footer="5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31DDB" w14:textId="77777777" w:rsidR="00366BAA" w:rsidRDefault="00366BAA">
      <w:r>
        <w:separator/>
      </w:r>
    </w:p>
  </w:endnote>
  <w:endnote w:type="continuationSeparator" w:id="0">
    <w:p w14:paraId="49EC9813" w14:textId="77777777" w:rsidR="00366BAA" w:rsidRDefault="0036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537F4" w14:textId="77777777"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77509" w14:textId="77777777" w:rsidR="002F4A95" w:rsidRDefault="002F4A95" w:rsidP="002F4A95">
    <w:pPr>
      <w:pStyle w:val="Footer"/>
      <w:jc w:val="center"/>
    </w:pPr>
    <w:r>
      <w:fldChar w:fldCharType="begin"/>
    </w:r>
    <w:r>
      <w:instrText xml:space="preserve"> PAGE   \* MERGEFORMAT </w:instrText>
    </w:r>
    <w:r>
      <w:fldChar w:fldCharType="separate"/>
    </w:r>
    <w:r w:rsidR="00A1357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3BC6A" w14:textId="77777777" w:rsidR="00366BAA" w:rsidRDefault="00366BAA">
      <w:r>
        <w:separator/>
      </w:r>
    </w:p>
  </w:footnote>
  <w:footnote w:type="continuationSeparator" w:id="0">
    <w:p w14:paraId="1D6642B4" w14:textId="77777777" w:rsidR="00366BAA" w:rsidRDefault="0036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FE392" w14:textId="77777777" w:rsidR="001A4C38"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January</w:t>
    </w:r>
    <w:r w:rsidR="001A4C38" w:rsidRPr="00AA6F20">
      <w:rPr>
        <w:rFonts w:ascii="Trebuchet MS" w:hAnsi="Trebuchet MS"/>
        <w:b/>
        <w:sz w:val="18"/>
        <w:szCs w:val="18"/>
        <w:lang w:val="en"/>
      </w:rPr>
      <w:t xml:space="preserve"> 202</w:t>
    </w:r>
    <w:r>
      <w:rPr>
        <w:rFonts w:ascii="Trebuchet MS" w:hAnsi="Trebuchet MS"/>
        <w:b/>
        <w:sz w:val="18"/>
        <w:szCs w:val="18"/>
        <w:lang w:val="en"/>
      </w:rPr>
      <w:t>1</w:t>
    </w:r>
    <w:r w:rsidR="001A4C38" w:rsidRPr="00AA6F20">
      <w:rPr>
        <w:rFonts w:ascii="Trebuchet MS" w:hAnsi="Trebuchet MS"/>
        <w:b/>
        <w:sz w:val="18"/>
        <w:szCs w:val="18"/>
        <w:lang w:val="en"/>
      </w:rPr>
      <w:t>, Volume 1</w:t>
    </w:r>
    <w:r>
      <w:rPr>
        <w:rFonts w:ascii="Trebuchet MS" w:hAnsi="Trebuchet MS"/>
        <w:b/>
        <w:sz w:val="18"/>
        <w:szCs w:val="18"/>
        <w:lang w:val="en"/>
      </w:rPr>
      <w:t>1</w:t>
    </w:r>
    <w:r w:rsidR="001A4C38" w:rsidRPr="00AA6F20">
      <w:rPr>
        <w:rFonts w:ascii="Trebuchet MS" w:hAnsi="Trebuchet MS"/>
        <w:b/>
        <w:sz w:val="18"/>
        <w:szCs w:val="18"/>
        <w:lang w:val="en"/>
      </w:rPr>
      <w:t xml:space="preserve">, Issue </w:t>
    </w:r>
    <w:r>
      <w:rPr>
        <w:rFonts w:ascii="Trebuchet MS" w:hAnsi="Trebuchet MS"/>
        <w:b/>
        <w:sz w:val="18"/>
        <w:szCs w:val="18"/>
        <w:lang w:val="en"/>
      </w:rPr>
      <w:t>1</w:t>
    </w:r>
    <w:r w:rsidR="001A4C38" w:rsidRPr="00AA6F20">
      <w:rPr>
        <w:rFonts w:ascii="Trebuchet MS" w:hAnsi="Trebuchet MS"/>
        <w:b/>
        <w:sz w:val="18"/>
        <w:szCs w:val="18"/>
        <w:lang w:val="e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0EB68" w14:textId="77777777"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January</w:t>
    </w:r>
    <w:r w:rsidRPr="00AA6F20">
      <w:rPr>
        <w:rFonts w:ascii="Trebuchet MS" w:hAnsi="Trebuchet MS"/>
        <w:b/>
        <w:sz w:val="18"/>
        <w:szCs w:val="18"/>
        <w:lang w:val="en"/>
      </w:rPr>
      <w:t xml:space="preserve"> 202</w:t>
    </w:r>
    <w:r>
      <w:rPr>
        <w:rFonts w:ascii="Trebuchet MS" w:hAnsi="Trebuchet MS"/>
        <w:b/>
        <w:sz w:val="18"/>
        <w:szCs w:val="18"/>
        <w:lang w:val="en"/>
      </w:rPr>
      <w:t>1</w:t>
    </w:r>
    <w:r w:rsidRPr="00AA6F20">
      <w:rPr>
        <w:rFonts w:ascii="Trebuchet MS" w:hAnsi="Trebuchet MS"/>
        <w:b/>
        <w:sz w:val="18"/>
        <w:szCs w:val="18"/>
        <w:lang w:val="en"/>
      </w:rPr>
      <w:t>, Volume 1</w:t>
    </w:r>
    <w:r>
      <w:rPr>
        <w:rFonts w:ascii="Trebuchet MS" w:hAnsi="Trebuchet MS"/>
        <w:b/>
        <w:sz w:val="18"/>
        <w:szCs w:val="18"/>
        <w:lang w:val="en"/>
      </w:rPr>
      <w:t>1</w:t>
    </w:r>
    <w:r w:rsidRPr="00AA6F20">
      <w:rPr>
        <w:rFonts w:ascii="Trebuchet MS" w:hAnsi="Trebuchet MS"/>
        <w:b/>
        <w:sz w:val="18"/>
        <w:szCs w:val="18"/>
        <w:lang w:val="en"/>
      </w:rPr>
      <w:t xml:space="preserve">, Issue </w:t>
    </w:r>
    <w:r>
      <w:rPr>
        <w:rFonts w:ascii="Trebuchet MS" w:hAnsi="Trebuchet MS"/>
        <w:b/>
        <w:sz w:val="18"/>
        <w:szCs w:val="18"/>
        <w:lang w:val="en"/>
      </w:rPr>
      <w:t>1</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92C82"/>
    <w:multiLevelType w:val="hybridMultilevel"/>
    <w:tmpl w:val="88A6C87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3BB561AD"/>
    <w:multiLevelType w:val="hybridMultilevel"/>
    <w:tmpl w:val="DA68553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014"/>
    <w:rsid w:val="000006DF"/>
    <w:rsid w:val="0001242D"/>
    <w:rsid w:val="000172B8"/>
    <w:rsid w:val="00034CE8"/>
    <w:rsid w:val="00042FD6"/>
    <w:rsid w:val="0004346A"/>
    <w:rsid w:val="00045863"/>
    <w:rsid w:val="00074014"/>
    <w:rsid w:val="00076A4D"/>
    <w:rsid w:val="00092431"/>
    <w:rsid w:val="000C15E5"/>
    <w:rsid w:val="000C2AEE"/>
    <w:rsid w:val="000F19D2"/>
    <w:rsid w:val="001003DC"/>
    <w:rsid w:val="001049C6"/>
    <w:rsid w:val="00112E05"/>
    <w:rsid w:val="00137002"/>
    <w:rsid w:val="0016598C"/>
    <w:rsid w:val="0017504B"/>
    <w:rsid w:val="00175C12"/>
    <w:rsid w:val="00180CAA"/>
    <w:rsid w:val="00182385"/>
    <w:rsid w:val="001A4C38"/>
    <w:rsid w:val="001B2DED"/>
    <w:rsid w:val="001C2E84"/>
    <w:rsid w:val="001E762D"/>
    <w:rsid w:val="00215FB5"/>
    <w:rsid w:val="0022143C"/>
    <w:rsid w:val="002400F6"/>
    <w:rsid w:val="00242A52"/>
    <w:rsid w:val="00272F9F"/>
    <w:rsid w:val="00283746"/>
    <w:rsid w:val="002A3B2F"/>
    <w:rsid w:val="002A566F"/>
    <w:rsid w:val="002C261E"/>
    <w:rsid w:val="002C326C"/>
    <w:rsid w:val="002D1C5C"/>
    <w:rsid w:val="002E55F8"/>
    <w:rsid w:val="002E75D3"/>
    <w:rsid w:val="002F4A95"/>
    <w:rsid w:val="003064EC"/>
    <w:rsid w:val="0031009A"/>
    <w:rsid w:val="0031549E"/>
    <w:rsid w:val="0031728E"/>
    <w:rsid w:val="00330FB0"/>
    <w:rsid w:val="00344037"/>
    <w:rsid w:val="0034440C"/>
    <w:rsid w:val="00353AD3"/>
    <w:rsid w:val="00366BAA"/>
    <w:rsid w:val="00367696"/>
    <w:rsid w:val="00371601"/>
    <w:rsid w:val="00373275"/>
    <w:rsid w:val="00377A75"/>
    <w:rsid w:val="003971CE"/>
    <w:rsid w:val="00397377"/>
    <w:rsid w:val="003A17FB"/>
    <w:rsid w:val="003A531B"/>
    <w:rsid w:val="003C0161"/>
    <w:rsid w:val="003D177D"/>
    <w:rsid w:val="003D313D"/>
    <w:rsid w:val="003E7380"/>
    <w:rsid w:val="003F7F93"/>
    <w:rsid w:val="00401354"/>
    <w:rsid w:val="00410458"/>
    <w:rsid w:val="004133BE"/>
    <w:rsid w:val="0041665A"/>
    <w:rsid w:val="00427D00"/>
    <w:rsid w:val="00433649"/>
    <w:rsid w:val="004564C8"/>
    <w:rsid w:val="00463AE8"/>
    <w:rsid w:val="0046520A"/>
    <w:rsid w:val="0047213A"/>
    <w:rsid w:val="004733F0"/>
    <w:rsid w:val="00477057"/>
    <w:rsid w:val="00485E86"/>
    <w:rsid w:val="004E42DD"/>
    <w:rsid w:val="004E6787"/>
    <w:rsid w:val="00532641"/>
    <w:rsid w:val="00536EBB"/>
    <w:rsid w:val="00567B9D"/>
    <w:rsid w:val="00577FEC"/>
    <w:rsid w:val="00581E50"/>
    <w:rsid w:val="00583A96"/>
    <w:rsid w:val="005842A0"/>
    <w:rsid w:val="00592C98"/>
    <w:rsid w:val="0059487B"/>
    <w:rsid w:val="005A21DB"/>
    <w:rsid w:val="005D3CAF"/>
    <w:rsid w:val="005D506B"/>
    <w:rsid w:val="005E0ED5"/>
    <w:rsid w:val="005E52FC"/>
    <w:rsid w:val="00610115"/>
    <w:rsid w:val="00616576"/>
    <w:rsid w:val="00622404"/>
    <w:rsid w:val="0062336E"/>
    <w:rsid w:val="0067107B"/>
    <w:rsid w:val="00690023"/>
    <w:rsid w:val="006B207B"/>
    <w:rsid w:val="006B7613"/>
    <w:rsid w:val="006E0362"/>
    <w:rsid w:val="00721778"/>
    <w:rsid w:val="007243D7"/>
    <w:rsid w:val="007311C3"/>
    <w:rsid w:val="007459B2"/>
    <w:rsid w:val="00752617"/>
    <w:rsid w:val="00785C9F"/>
    <w:rsid w:val="00795A7C"/>
    <w:rsid w:val="00807E9F"/>
    <w:rsid w:val="008403CA"/>
    <w:rsid w:val="00844307"/>
    <w:rsid w:val="00844A19"/>
    <w:rsid w:val="0084544F"/>
    <w:rsid w:val="0085378A"/>
    <w:rsid w:val="00860511"/>
    <w:rsid w:val="00865AEA"/>
    <w:rsid w:val="008722AE"/>
    <w:rsid w:val="00872E7F"/>
    <w:rsid w:val="00873BEF"/>
    <w:rsid w:val="008819EB"/>
    <w:rsid w:val="008911F3"/>
    <w:rsid w:val="008946E9"/>
    <w:rsid w:val="008B221F"/>
    <w:rsid w:val="008E79B3"/>
    <w:rsid w:val="008F25B4"/>
    <w:rsid w:val="00922C53"/>
    <w:rsid w:val="00923341"/>
    <w:rsid w:val="00927CAB"/>
    <w:rsid w:val="00956812"/>
    <w:rsid w:val="00980B18"/>
    <w:rsid w:val="00986AF3"/>
    <w:rsid w:val="009A4123"/>
    <w:rsid w:val="009B1AAF"/>
    <w:rsid w:val="009D1E1C"/>
    <w:rsid w:val="009D2B0C"/>
    <w:rsid w:val="00A128B9"/>
    <w:rsid w:val="00A13579"/>
    <w:rsid w:val="00A26095"/>
    <w:rsid w:val="00A63EE0"/>
    <w:rsid w:val="00A856E6"/>
    <w:rsid w:val="00AA6F20"/>
    <w:rsid w:val="00AD42BB"/>
    <w:rsid w:val="00AE483E"/>
    <w:rsid w:val="00AF3BAA"/>
    <w:rsid w:val="00B10C3E"/>
    <w:rsid w:val="00B30E77"/>
    <w:rsid w:val="00B44DE1"/>
    <w:rsid w:val="00B529FF"/>
    <w:rsid w:val="00B54AB5"/>
    <w:rsid w:val="00B7453A"/>
    <w:rsid w:val="00BF73BB"/>
    <w:rsid w:val="00C009F8"/>
    <w:rsid w:val="00C03DAA"/>
    <w:rsid w:val="00C208B7"/>
    <w:rsid w:val="00C21F71"/>
    <w:rsid w:val="00C24050"/>
    <w:rsid w:val="00C25B35"/>
    <w:rsid w:val="00C35B94"/>
    <w:rsid w:val="00C4587F"/>
    <w:rsid w:val="00C54D38"/>
    <w:rsid w:val="00C656AF"/>
    <w:rsid w:val="00C8455B"/>
    <w:rsid w:val="00C97787"/>
    <w:rsid w:val="00CA0313"/>
    <w:rsid w:val="00CA0669"/>
    <w:rsid w:val="00CA1D66"/>
    <w:rsid w:val="00CD7211"/>
    <w:rsid w:val="00CD7C0E"/>
    <w:rsid w:val="00CE27E7"/>
    <w:rsid w:val="00CF2078"/>
    <w:rsid w:val="00CF48E3"/>
    <w:rsid w:val="00D05D9C"/>
    <w:rsid w:val="00D115B8"/>
    <w:rsid w:val="00D14BBD"/>
    <w:rsid w:val="00D15F4A"/>
    <w:rsid w:val="00D21FA6"/>
    <w:rsid w:val="00D245EF"/>
    <w:rsid w:val="00D2695E"/>
    <w:rsid w:val="00D726DF"/>
    <w:rsid w:val="00D77884"/>
    <w:rsid w:val="00DA302D"/>
    <w:rsid w:val="00DA7FE7"/>
    <w:rsid w:val="00DB2EE5"/>
    <w:rsid w:val="00DC0E97"/>
    <w:rsid w:val="00E06D78"/>
    <w:rsid w:val="00E1027A"/>
    <w:rsid w:val="00E31CAE"/>
    <w:rsid w:val="00E35E0F"/>
    <w:rsid w:val="00E61DD5"/>
    <w:rsid w:val="00EB5FE2"/>
    <w:rsid w:val="00EC08AC"/>
    <w:rsid w:val="00EE333C"/>
    <w:rsid w:val="00EE46DF"/>
    <w:rsid w:val="00EF76E8"/>
    <w:rsid w:val="00F43E38"/>
    <w:rsid w:val="00F51B4F"/>
    <w:rsid w:val="00F53DA0"/>
    <w:rsid w:val="00F67D45"/>
    <w:rsid w:val="00F9023B"/>
    <w:rsid w:val="00FA5787"/>
    <w:rsid w:val="00FB7719"/>
    <w:rsid w:val="00FD5009"/>
    <w:rsid w:val="00FD5CE5"/>
    <w:rsid w:val="00FF1A2E"/>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B5F482"/>
  <w15:docId w15:val="{F6CC43AD-9BBE-4BAE-BA60-24763DE0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99"/>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3A5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dc.gov/hepatitis/hcv/hcvfaq.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cvguidelin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Office of Health and Human Services</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Comeau, Ross (EHS)</cp:lastModifiedBy>
  <cp:revision>5</cp:revision>
  <cp:lastPrinted>2007-12-18T16:52:00Z</cp:lastPrinted>
  <dcterms:created xsi:type="dcterms:W3CDTF">2022-03-09T14:33:00Z</dcterms:created>
  <dcterms:modified xsi:type="dcterms:W3CDTF">2022-03-09T20:23:00Z</dcterms:modified>
</cp:coreProperties>
</file>