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5F99FC5D" w:rsidR="00AD42BB" w:rsidRPr="00043912" w:rsidRDefault="005851F1" w:rsidP="6D6E69F4">
      <w:pPr>
        <w:pStyle w:val="Heading1"/>
        <w:tabs>
          <w:tab w:val="left" w:pos="900"/>
        </w:tabs>
        <w:spacing w:before="240" w:after="1080"/>
        <w:ind w:firstLine="252"/>
        <w:rPr>
          <w:color w:val="FF000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52C0C1A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6D6E69F4">
        <w:rPr>
          <w:color w:val="FFFFFF" w:themeColor="background1"/>
          <w:lang w:val="en-US"/>
        </w:rPr>
        <w:t xml:space="preserve">The Prescriber e-Letter, </w:t>
      </w:r>
      <w:r w:rsidR="00CD7211">
        <w:br w:type="textWrapping" w:clear="all"/>
      </w:r>
      <w:r w:rsidR="00E90319" w:rsidRPr="00B52556">
        <w:rPr>
          <w:lang w:val="en-US"/>
        </w:rPr>
        <w:t>V</w:t>
      </w:r>
      <w:r w:rsidRPr="00B52556">
        <w:rPr>
          <w:lang w:val="en-US"/>
        </w:rPr>
        <w:t xml:space="preserve">olume </w:t>
      </w:r>
      <w:r w:rsidR="00B52556" w:rsidRPr="00B52556">
        <w:rPr>
          <w:lang w:val="en-US"/>
        </w:rPr>
        <w:t>15</w:t>
      </w:r>
      <w:r w:rsidRPr="00B52556">
        <w:rPr>
          <w:lang w:val="en-US"/>
        </w:rPr>
        <w:t xml:space="preserve">, Issue </w:t>
      </w:r>
      <w:r w:rsidR="00B52556" w:rsidRPr="00B52556">
        <w:rPr>
          <w:lang w:val="en-US"/>
        </w:rPr>
        <w:t>10</w:t>
      </w:r>
      <w:r w:rsidR="00C76762" w:rsidRPr="00B52556">
        <w:rPr>
          <w:lang w:val="en-US"/>
        </w:rPr>
        <w:t xml:space="preserve">, </w:t>
      </w:r>
      <w:r w:rsidR="00B52556" w:rsidRPr="00B52556">
        <w:rPr>
          <w:lang w:val="en-US"/>
        </w:rPr>
        <w:t>July</w:t>
      </w:r>
      <w:r w:rsidR="002559B8" w:rsidRPr="00B52556">
        <w:rPr>
          <w:lang w:val="en-US"/>
        </w:rPr>
        <w:t xml:space="preserve"> 202</w:t>
      </w:r>
      <w:r w:rsidR="00B52556" w:rsidRPr="00B52556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4D4BDAB0" w14:textId="26A7ACAB" w:rsidR="006B20D5" w:rsidRDefault="00BA69EB" w:rsidP="005704FB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BA69EB">
        <w:rPr>
          <w:rFonts w:ascii="Arial" w:hAnsi="Arial" w:cs="Arial"/>
          <w:sz w:val="26"/>
          <w:szCs w:val="26"/>
        </w:rPr>
        <w:t>Overview of More Restrictive Coverage Changes</w:t>
      </w:r>
      <w:r w:rsidR="00E2339F">
        <w:rPr>
          <w:rFonts w:ascii="Arial" w:hAnsi="Arial" w:cs="Arial"/>
          <w:sz w:val="26"/>
          <w:szCs w:val="26"/>
        </w:rPr>
        <w:t xml:space="preserve"> Effective </w:t>
      </w:r>
      <w:r w:rsidR="002B5AA3">
        <w:rPr>
          <w:rFonts w:ascii="Arial" w:hAnsi="Arial" w:cs="Arial"/>
          <w:sz w:val="26"/>
          <w:szCs w:val="26"/>
        </w:rPr>
        <w:t>October</w:t>
      </w:r>
      <w:r w:rsidR="002D087E" w:rsidRPr="002D087E">
        <w:rPr>
          <w:rFonts w:ascii="Arial" w:hAnsi="Arial" w:cs="Arial"/>
          <w:sz w:val="26"/>
          <w:szCs w:val="26"/>
        </w:rPr>
        <w:t xml:space="preserve"> </w:t>
      </w:r>
      <w:r w:rsidR="00EA596F">
        <w:rPr>
          <w:rFonts w:ascii="Arial" w:hAnsi="Arial" w:cs="Arial"/>
          <w:sz w:val="26"/>
          <w:szCs w:val="26"/>
        </w:rPr>
        <w:t>1</w:t>
      </w:r>
      <w:r w:rsidR="002D087E" w:rsidRPr="002D087E">
        <w:rPr>
          <w:rFonts w:ascii="Arial" w:hAnsi="Arial" w:cs="Arial"/>
          <w:sz w:val="26"/>
          <w:szCs w:val="26"/>
        </w:rPr>
        <w:t>, 2025</w:t>
      </w:r>
    </w:p>
    <w:p w14:paraId="5AC0D1ED" w14:textId="77777777" w:rsidR="005704FB" w:rsidRPr="005704FB" w:rsidRDefault="005704FB" w:rsidP="005704FB"/>
    <w:p w14:paraId="161129A6" w14:textId="6359C852" w:rsidR="00C26785" w:rsidRPr="00C26785" w:rsidRDefault="00C26785" w:rsidP="00C2678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1" w:name="_Hlk178665884"/>
      <w:r w:rsidRPr="00C26785">
        <w:rPr>
          <w:rFonts w:ascii="Arial" w:hAnsi="Arial" w:cs="Arial"/>
          <w:bCs/>
          <w:color w:val="auto"/>
          <w:sz w:val="22"/>
          <w:szCs w:val="22"/>
        </w:rPr>
        <w:t>MassHealth evaluates the prior authorization (PA) status for drugs on an ongoing basis and updates the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MassHealth Drug List accordingly. The list below outlines changes to the MassHealth Drug List for the rollout effective </w:t>
      </w:r>
      <w:r w:rsidR="002B5AA3">
        <w:rPr>
          <w:rFonts w:ascii="Arial" w:eastAsiaTheme="minorHAnsi" w:hAnsi="Arial" w:cs="Arial"/>
          <w:color w:val="auto"/>
          <w:kern w:val="0"/>
          <w:sz w:val="22"/>
          <w:szCs w:val="22"/>
        </w:rPr>
        <w:t>October</w:t>
      </w:r>
      <w:r w:rsidR="002D087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="00EA596F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2D087E"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C26785">
        <w:rPr>
          <w:rFonts w:ascii="Arial" w:hAnsi="Arial" w:cs="Arial"/>
          <w:bCs/>
          <w:color w:val="auto"/>
          <w:sz w:val="22"/>
          <w:szCs w:val="22"/>
        </w:rPr>
        <w:t>, that have been identified as more restrictive in nature.</w:t>
      </w:r>
    </w:p>
    <w:p w14:paraId="0B22B391" w14:textId="77777777" w:rsidR="006B20D5" w:rsidRPr="00FF20CF" w:rsidRDefault="006B20D5" w:rsidP="006B20D5">
      <w:pPr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bookmarkEnd w:id="1"/>
    <w:p w14:paraId="35E5EE17" w14:textId="77777777" w:rsidR="00DC6943" w:rsidRPr="0055653E" w:rsidRDefault="00DC6943" w:rsidP="00DC694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Change in Prior Authorization Status</w:t>
      </w:r>
    </w:p>
    <w:p w14:paraId="44616FAC" w14:textId="22866CA4" w:rsidR="00AF5E76" w:rsidRPr="00AF5E76" w:rsidRDefault="001D6F5E" w:rsidP="00AF5E76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bookmarkStart w:id="2" w:name="_Hlk98931753"/>
      <w:bookmarkStart w:id="3" w:name="_Hlk30086979"/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AF5E76">
        <w:rPr>
          <w:rFonts w:ascii="Arial" w:eastAsiaTheme="minorHAnsi" w:hAnsi="Arial" w:cs="Arial"/>
          <w:color w:val="auto"/>
          <w:kern w:val="0"/>
          <w:sz w:val="22"/>
          <w:szCs w:val="22"/>
        </w:rPr>
        <w:t>October</w:t>
      </w:r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1, 2025, </w:t>
      </w:r>
      <w:r w:rsidR="00AF5E76" w:rsidRPr="00AF5E76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the following antiretroviral agent will require PA. </w:t>
      </w:r>
    </w:p>
    <w:p w14:paraId="6905F3CF" w14:textId="77777777" w:rsidR="00AF5E76" w:rsidRPr="00AF5E76" w:rsidRDefault="00AF5E76" w:rsidP="00AF5E76">
      <w:pPr>
        <w:pStyle w:val="ListParagraph"/>
        <w:numPr>
          <w:ilvl w:val="0"/>
          <w:numId w:val="33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AF5E76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Norvir (ritonavir packet) – </w:t>
      </w:r>
      <w:r w:rsidRPr="00AF5E76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71C42B80" w14:textId="77777777" w:rsidR="00D51563" w:rsidRPr="00D51563" w:rsidRDefault="000E186A" w:rsidP="00D51563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AF5E76">
        <w:rPr>
          <w:rFonts w:ascii="Arial" w:eastAsiaTheme="minorHAnsi" w:hAnsi="Arial" w:cs="Arial"/>
          <w:color w:val="auto"/>
          <w:kern w:val="0"/>
          <w:sz w:val="22"/>
          <w:szCs w:val="22"/>
        </w:rPr>
        <w:t>October</w:t>
      </w:r>
      <w:r w:rsidR="00AF5E76"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1, 2025</w:t>
      </w: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</w:t>
      </w:r>
      <w:r w:rsidR="00D51563" w:rsidRPr="00D5156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the following anti-allergy ophthalmic agent will require PA. </w:t>
      </w:r>
    </w:p>
    <w:p w14:paraId="2AB53399" w14:textId="77777777" w:rsidR="00D51563" w:rsidRDefault="00D51563" w:rsidP="00D51563">
      <w:pPr>
        <w:pStyle w:val="ListParagraph"/>
        <w:numPr>
          <w:ilvl w:val="0"/>
          <w:numId w:val="33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D5156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epinastine – </w:t>
      </w:r>
      <w:r w:rsidRPr="00D51563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D51563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bookmarkEnd w:id="2"/>
    <w:bookmarkEnd w:id="3"/>
    <w:p w14:paraId="35F4F14D" w14:textId="4FEE9D7F" w:rsidR="0065410E" w:rsidRPr="00E63EA2" w:rsidRDefault="0065410E" w:rsidP="00E63EA2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AF5E76">
        <w:rPr>
          <w:rFonts w:ascii="Arial" w:eastAsiaTheme="minorHAnsi" w:hAnsi="Arial" w:cs="Arial"/>
          <w:color w:val="auto"/>
          <w:kern w:val="0"/>
          <w:sz w:val="22"/>
          <w:szCs w:val="22"/>
        </w:rPr>
        <w:t>October</w:t>
      </w:r>
      <w:r w:rsidR="00AF5E76"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1, 2025</w:t>
      </w: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</w:t>
      </w:r>
      <w:r w:rsidR="000255AE" w:rsidRPr="000255AE">
        <w:rPr>
          <w:rFonts w:ascii="Arial" w:eastAsiaTheme="minorHAnsi" w:hAnsi="Arial" w:cs="Arial"/>
          <w:color w:val="auto"/>
          <w:kern w:val="0"/>
          <w:sz w:val="22"/>
          <w:szCs w:val="22"/>
        </w:rPr>
        <w:t>the following topical corticosteroid agent will require PA.</w:t>
      </w:r>
    </w:p>
    <w:p w14:paraId="10D9F4DC" w14:textId="6E5BCE7D" w:rsidR="0065410E" w:rsidRDefault="00DA02F1" w:rsidP="00DA02F1">
      <w:pPr>
        <w:pStyle w:val="ListParagraph"/>
        <w:numPr>
          <w:ilvl w:val="0"/>
          <w:numId w:val="29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DA02F1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Olux-E (clobetasol propionate foam/ emollient) – </w:t>
      </w:r>
      <w:r w:rsidRPr="00DA02F1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DA02F1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573FD810" w14:textId="7E5D5671" w:rsidR="00BD2075" w:rsidRPr="00BD2075" w:rsidRDefault="000C1A86" w:rsidP="00BD2075">
      <w:pPr>
        <w:pStyle w:val="ListParagraph"/>
        <w:numPr>
          <w:ilvl w:val="0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>
        <w:rPr>
          <w:rFonts w:ascii="Arial" w:eastAsiaTheme="minorHAnsi" w:hAnsi="Arial" w:cs="Arial"/>
          <w:color w:val="auto"/>
          <w:kern w:val="0"/>
          <w:sz w:val="22"/>
          <w:szCs w:val="22"/>
        </w:rPr>
        <w:t>October</w:t>
      </w:r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1, 2025</w:t>
      </w: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>,</w:t>
      </w:r>
      <w:r w:rsidR="00BD2075" w:rsidRPr="00BD2075">
        <w:t xml:space="preserve"> </w:t>
      </w:r>
      <w:r w:rsidR="00BD2075" w:rsidRPr="00BD2075">
        <w:rPr>
          <w:rFonts w:ascii="Arial" w:eastAsiaTheme="minorHAnsi" w:hAnsi="Arial" w:cs="Arial"/>
          <w:color w:val="auto"/>
          <w:kern w:val="0"/>
          <w:sz w:val="22"/>
          <w:szCs w:val="22"/>
        </w:rPr>
        <w:t>the following dermatological agent will require PA.</w:t>
      </w:r>
    </w:p>
    <w:p w14:paraId="48C9B4E8" w14:textId="72EB4585" w:rsidR="00DA02F1" w:rsidRPr="00F27B41" w:rsidRDefault="00BD2075" w:rsidP="00BD2075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BD2075">
        <w:rPr>
          <w:rFonts w:ascii="Arial" w:eastAsiaTheme="minorHAnsi" w:hAnsi="Arial" w:cs="Arial"/>
          <w:color w:val="auto"/>
          <w:kern w:val="0"/>
          <w:sz w:val="22"/>
          <w:szCs w:val="22"/>
        </w:rPr>
        <w:t>Carac (fluorouracil 0.5% cream) –</w:t>
      </w:r>
      <w:r w:rsidRPr="00BD2075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Pr="00DA02F1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0888922B" w14:textId="17C590B5" w:rsidR="00F27B41" w:rsidRDefault="00404DF1" w:rsidP="00F27B41">
      <w:pPr>
        <w:pStyle w:val="ListParagraph"/>
        <w:numPr>
          <w:ilvl w:val="0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>
        <w:rPr>
          <w:rFonts w:ascii="Arial" w:eastAsiaTheme="minorHAnsi" w:hAnsi="Arial" w:cs="Arial"/>
          <w:color w:val="auto"/>
          <w:kern w:val="0"/>
          <w:sz w:val="22"/>
          <w:szCs w:val="22"/>
        </w:rPr>
        <w:t>October</w:t>
      </w:r>
      <w:r w:rsidRPr="001D6F5E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1, 2025</w:t>
      </w: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>,</w:t>
      </w:r>
      <w:r w:rsidRPr="00BD2075">
        <w:t xml:space="preserve"> </w:t>
      </w:r>
      <w:r w:rsidRPr="00BD2075">
        <w:rPr>
          <w:rFonts w:ascii="Arial" w:eastAsiaTheme="minorHAnsi" w:hAnsi="Arial" w:cs="Arial"/>
          <w:color w:val="auto"/>
          <w:kern w:val="0"/>
          <w:sz w:val="22"/>
          <w:szCs w:val="22"/>
        </w:rPr>
        <w:t>the following</w:t>
      </w:r>
      <w:r w:rsidR="00E04583" w:rsidRPr="00E04583">
        <w:t xml:space="preserve"> </w:t>
      </w:r>
      <w:r w:rsidR="00E04583" w:rsidRPr="00E04583">
        <w:rPr>
          <w:rFonts w:ascii="Arial" w:eastAsiaTheme="minorHAnsi" w:hAnsi="Arial" w:cs="Arial"/>
          <w:color w:val="auto"/>
          <w:kern w:val="0"/>
          <w:sz w:val="22"/>
          <w:szCs w:val="22"/>
        </w:rPr>
        <w:t>antidiabetic agents will require</w:t>
      </w:r>
      <w:r w:rsidR="00E0458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PA.</w:t>
      </w:r>
    </w:p>
    <w:p w14:paraId="1FD30CCE" w14:textId="77777777" w:rsidR="00995C44" w:rsidRPr="00995C44" w:rsidRDefault="00995C44" w:rsidP="00995C44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995C4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glipizide 2.5 mg – </w:t>
      </w:r>
      <w:r w:rsidRPr="00995C44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995C44">
        <w:rPr>
          <w:rFonts w:ascii="Arial" w:eastAsiaTheme="minorHAnsi" w:hAnsi="Arial" w:cs="Arial"/>
          <w:color w:val="auto"/>
          <w:kern w:val="0"/>
          <w:sz w:val="22"/>
          <w:szCs w:val="22"/>
        </w:rPr>
        <w:t>; M90</w:t>
      </w:r>
    </w:p>
    <w:p w14:paraId="7E9F0E27" w14:textId="77777777" w:rsidR="00995C44" w:rsidRPr="00995C44" w:rsidRDefault="00995C44" w:rsidP="00995C44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995C4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Janumet (sitagliptin/metformin) – </w:t>
      </w:r>
      <w:r w:rsidRPr="00995C44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36EEEDC6" w14:textId="77777777" w:rsidR="00995C44" w:rsidRPr="00995C44" w:rsidRDefault="00995C44" w:rsidP="00995C44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995C4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Janumet (sitagliptin/metformin extended-release) – </w:t>
      </w:r>
      <w:r w:rsidRPr="00995C44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0724854C" w14:textId="77777777" w:rsidR="00995C44" w:rsidRPr="00995C44" w:rsidRDefault="00995C44" w:rsidP="00995C44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995C4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Januvia (sitagliptin tablet) – </w:t>
      </w:r>
      <w:r w:rsidRPr="00995C44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5B413295" w14:textId="58ADC006" w:rsidR="00E04583" w:rsidRPr="00995C44" w:rsidRDefault="00995C44" w:rsidP="00995C44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995C4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sitagliptin/metformin – </w:t>
      </w:r>
      <w:r w:rsidRPr="00995C44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5C785601" w14:textId="77777777" w:rsidR="00E943C9" w:rsidRDefault="00E943C9" w:rsidP="0031122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</w:p>
    <w:p w14:paraId="18A3C2C8" w14:textId="3866D7FA" w:rsidR="00311223" w:rsidRPr="00311223" w:rsidRDefault="00311223" w:rsidP="007463DF">
      <w:pPr>
        <w:pStyle w:val="Heading2"/>
        <w:framePr w:hSpace="0" w:wrap="auto" w:vAnchor="margin" w:yAlign="inline"/>
        <w:spacing w:before="0" w:line="276" w:lineRule="auto"/>
        <w:ind w:right="-90"/>
        <w:rPr>
          <w:rFonts w:ascii="Arial" w:hAnsi="Arial" w:cs="Arial"/>
          <w:sz w:val="26"/>
          <w:szCs w:val="26"/>
        </w:rPr>
      </w:pPr>
      <w:r w:rsidRPr="00311223">
        <w:rPr>
          <w:rFonts w:ascii="Arial" w:hAnsi="Arial" w:cs="Arial"/>
          <w:sz w:val="26"/>
          <w:szCs w:val="26"/>
        </w:rPr>
        <w:t>Change in MassHealth Brand Name Preferred Over Generic Drug List Status</w:t>
      </w:r>
    </w:p>
    <w:p w14:paraId="5C438D35" w14:textId="77777777" w:rsidR="00A06966" w:rsidRPr="00D76131" w:rsidRDefault="00A06966" w:rsidP="00A06966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1"/>
        </w:rPr>
      </w:pPr>
      <w:r w:rsidRPr="00D76131">
        <w:rPr>
          <w:rFonts w:ascii="Arial" w:hAnsi="Arial" w:cs="Arial"/>
          <w:sz w:val="22"/>
          <w:szCs w:val="21"/>
        </w:rPr>
        <w:t xml:space="preserve">Effective </w:t>
      </w:r>
      <w:r w:rsidRPr="00C56AB1">
        <w:rPr>
          <w:rFonts w:ascii="Arial" w:hAnsi="Arial" w:cs="Arial"/>
          <w:sz w:val="22"/>
          <w:szCs w:val="22"/>
        </w:rPr>
        <w:t xml:space="preserve">October 1, 2025, </w:t>
      </w:r>
      <w:r w:rsidRPr="00D76131">
        <w:rPr>
          <w:rFonts w:ascii="Arial" w:hAnsi="Arial" w:cs="Arial"/>
          <w:sz w:val="22"/>
          <w:szCs w:val="21"/>
        </w:rPr>
        <w:t xml:space="preserve">the following agents will be added to the MassHealth Brand Name Preferred Over Generic Drug List. </w:t>
      </w:r>
    </w:p>
    <w:p w14:paraId="268D0D76" w14:textId="77777777" w:rsidR="00A06966" w:rsidRPr="004E664B" w:rsidRDefault="00A06966" w:rsidP="00A06966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bookmarkStart w:id="4" w:name="_Hlk11399419"/>
      <w:bookmarkStart w:id="5" w:name="_Hlk527542710"/>
      <w:r w:rsidRPr="007B1A54">
        <w:rPr>
          <w:rFonts w:ascii="Arial" w:hAnsi="Arial" w:cs="Arial"/>
          <w:sz w:val="22"/>
          <w:szCs w:val="22"/>
        </w:rPr>
        <w:t xml:space="preserve">Aplenzin (bupropion hydrobromide extended-release) </w:t>
      </w:r>
      <w:r>
        <w:rPr>
          <w:rFonts w:ascii="Arial" w:hAnsi="Arial" w:cs="Arial"/>
          <w:sz w:val="22"/>
          <w:szCs w:val="22"/>
        </w:rPr>
        <w:t xml:space="preserve">– </w:t>
      </w:r>
      <w:r w:rsidRPr="004E664B">
        <w:rPr>
          <w:rFonts w:ascii="Arial" w:hAnsi="Arial" w:cs="Arial"/>
          <w:b/>
          <w:bCs/>
          <w:sz w:val="22"/>
          <w:szCs w:val="22"/>
        </w:rPr>
        <w:t>PA</w:t>
      </w:r>
      <w:r w:rsidRPr="004E664B">
        <w:rPr>
          <w:rFonts w:ascii="Arial" w:hAnsi="Arial" w:cs="Arial"/>
          <w:sz w:val="22"/>
          <w:szCs w:val="22"/>
        </w:rPr>
        <w:t>; BP</w:t>
      </w:r>
    </w:p>
    <w:p w14:paraId="0C4A2E3A" w14:textId="77777777" w:rsidR="00A06966" w:rsidRPr="006E2899" w:rsidRDefault="00A06966" w:rsidP="00A06966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6E2899">
        <w:rPr>
          <w:rFonts w:ascii="Arial" w:hAnsi="Arial" w:cs="Arial"/>
          <w:sz w:val="22"/>
          <w:szCs w:val="22"/>
        </w:rPr>
        <w:t xml:space="preserve">Bosulif (bosutinib) </w:t>
      </w:r>
      <w:r>
        <w:rPr>
          <w:rFonts w:ascii="Arial" w:hAnsi="Arial" w:cs="Arial"/>
          <w:sz w:val="22"/>
          <w:szCs w:val="22"/>
        </w:rPr>
        <w:t xml:space="preserve">– </w:t>
      </w:r>
      <w:r w:rsidRPr="006E2899">
        <w:rPr>
          <w:rFonts w:ascii="Arial" w:hAnsi="Arial" w:cs="Arial"/>
          <w:b/>
          <w:bCs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 xml:space="preserve">; </w:t>
      </w:r>
      <w:r w:rsidRPr="006E2899">
        <w:rPr>
          <w:rFonts w:ascii="Arial" w:hAnsi="Arial" w:cs="Arial"/>
          <w:sz w:val="22"/>
          <w:szCs w:val="22"/>
        </w:rPr>
        <w:t>BP</w:t>
      </w:r>
    </w:p>
    <w:p w14:paraId="14DC300E" w14:textId="77777777" w:rsidR="00A06966" w:rsidRDefault="00A06966" w:rsidP="00A06966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bookmarkStart w:id="6" w:name="_Hlk14249184"/>
      <w:bookmarkStart w:id="7" w:name="_Hlk536624120"/>
      <w:bookmarkEnd w:id="4"/>
      <w:bookmarkEnd w:id="5"/>
      <w:r w:rsidRPr="00C85BD8">
        <w:rPr>
          <w:rFonts w:ascii="Arial" w:hAnsi="Arial" w:cs="Arial"/>
          <w:sz w:val="22"/>
          <w:szCs w:val="22"/>
        </w:rPr>
        <w:t>Edarbi (azilsartan); BP</w:t>
      </w:r>
    </w:p>
    <w:p w14:paraId="5E2C396A" w14:textId="77777777" w:rsidR="00A06966" w:rsidRPr="00C85BD8" w:rsidRDefault="00A06966" w:rsidP="00A06966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8A1C9B">
        <w:rPr>
          <w:rFonts w:ascii="Arial" w:hAnsi="Arial" w:cs="Arial"/>
          <w:sz w:val="22"/>
          <w:szCs w:val="22"/>
        </w:rPr>
        <w:t>FML (fluorometholone 0.1%); BP, A90</w:t>
      </w:r>
    </w:p>
    <w:p w14:paraId="61A3776A" w14:textId="77777777" w:rsidR="00A06966" w:rsidRDefault="00A06966" w:rsidP="00A06966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402428">
        <w:rPr>
          <w:rFonts w:ascii="Arial" w:hAnsi="Arial" w:cs="Arial"/>
          <w:sz w:val="22"/>
          <w:szCs w:val="22"/>
        </w:rPr>
        <w:t xml:space="preserve">Halog (halcinonide 0.1% cream) </w:t>
      </w:r>
      <w:r w:rsidRPr="00402428">
        <w:rPr>
          <w:rFonts w:cs="Arial"/>
        </w:rPr>
        <w:t xml:space="preserve">– </w:t>
      </w:r>
      <w:r w:rsidRPr="00402428">
        <w:rPr>
          <w:rFonts w:ascii="Arial" w:hAnsi="Arial" w:cs="Arial"/>
          <w:b/>
          <w:bCs/>
          <w:sz w:val="22"/>
          <w:szCs w:val="22"/>
        </w:rPr>
        <w:t>PA</w:t>
      </w:r>
      <w:r w:rsidRPr="00402428">
        <w:rPr>
          <w:rFonts w:ascii="Arial" w:hAnsi="Arial" w:cs="Arial"/>
          <w:sz w:val="22"/>
          <w:szCs w:val="22"/>
        </w:rPr>
        <w:t xml:space="preserve">; BP, A90 </w:t>
      </w:r>
    </w:p>
    <w:p w14:paraId="126C5AC4" w14:textId="55A1965E" w:rsidR="00A06966" w:rsidRPr="002A4C08" w:rsidRDefault="00A06966" w:rsidP="002A4C08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814DD5">
        <w:rPr>
          <w:rFonts w:ascii="Arial" w:hAnsi="Arial" w:cs="Arial"/>
          <w:sz w:val="22"/>
          <w:szCs w:val="22"/>
        </w:rPr>
        <w:t>Simbrinza (brinzolamide/brimonidine)</w:t>
      </w:r>
      <w:r>
        <w:rPr>
          <w:rFonts w:ascii="Arial" w:hAnsi="Arial" w:cs="Arial"/>
          <w:sz w:val="22"/>
          <w:szCs w:val="22"/>
        </w:rPr>
        <w:t xml:space="preserve">; </w:t>
      </w:r>
      <w:r w:rsidRPr="00C85BD8">
        <w:rPr>
          <w:rFonts w:ascii="Arial" w:hAnsi="Arial" w:cs="Arial"/>
          <w:sz w:val="22"/>
          <w:szCs w:val="22"/>
        </w:rPr>
        <w:t>BP</w:t>
      </w:r>
      <w:r w:rsidRPr="002A4C08">
        <w:rPr>
          <w:rFonts w:ascii="Arial" w:hAnsi="Arial" w:cs="Arial"/>
          <w:sz w:val="22"/>
          <w:szCs w:val="22"/>
        </w:rPr>
        <w:br/>
      </w:r>
    </w:p>
    <w:p w14:paraId="61E2CC3F" w14:textId="77777777" w:rsidR="00A06966" w:rsidRPr="00F324F0" w:rsidRDefault="00A06966" w:rsidP="00A06966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1"/>
        </w:rPr>
      </w:pPr>
      <w:r w:rsidRPr="00F324F0">
        <w:rPr>
          <w:rFonts w:ascii="Arial" w:hAnsi="Arial" w:cs="Arial"/>
          <w:sz w:val="22"/>
          <w:szCs w:val="21"/>
        </w:rPr>
        <w:t xml:space="preserve">Effective </w:t>
      </w:r>
      <w:r w:rsidRPr="00C56AB1">
        <w:rPr>
          <w:rFonts w:ascii="Arial" w:hAnsi="Arial" w:cs="Arial"/>
          <w:sz w:val="22"/>
          <w:szCs w:val="22"/>
        </w:rPr>
        <w:t>October 1, 2025,</w:t>
      </w:r>
      <w:r w:rsidRPr="00F324F0">
        <w:rPr>
          <w:rFonts w:ascii="Arial" w:hAnsi="Arial" w:cs="Arial"/>
          <w:sz w:val="22"/>
          <w:szCs w:val="22"/>
        </w:rPr>
        <w:t xml:space="preserve"> </w:t>
      </w:r>
      <w:r w:rsidRPr="00F324F0">
        <w:rPr>
          <w:rFonts w:ascii="Arial" w:hAnsi="Arial" w:cs="Arial"/>
          <w:sz w:val="22"/>
          <w:szCs w:val="21"/>
        </w:rPr>
        <w:t xml:space="preserve">the following agents will be removed from the MassHealth Brand Name Preferred Over Generic Drug List. </w:t>
      </w:r>
    </w:p>
    <w:bookmarkEnd w:id="6"/>
    <w:p w14:paraId="54C26BD2" w14:textId="77777777" w:rsidR="00A06966" w:rsidRPr="00A06966" w:rsidRDefault="00A06966" w:rsidP="00A06966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2"/>
          <w:szCs w:val="22"/>
        </w:rPr>
      </w:pPr>
      <w:r w:rsidRPr="00A06966">
        <w:rPr>
          <w:rFonts w:ascii="Arial" w:hAnsi="Arial" w:cs="Arial"/>
          <w:sz w:val="22"/>
          <w:szCs w:val="22"/>
        </w:rPr>
        <w:t xml:space="preserve">Carac (fluorouracil 0.5% cream) </w:t>
      </w:r>
      <w:r w:rsidRPr="00A06966">
        <w:rPr>
          <w:rFonts w:ascii="Arial" w:eastAsia="Calibri" w:hAnsi="Arial" w:cs="Arial"/>
          <w:sz w:val="22"/>
          <w:szCs w:val="22"/>
        </w:rPr>
        <w:t xml:space="preserve">– </w:t>
      </w:r>
      <w:r w:rsidRPr="00A06966">
        <w:rPr>
          <w:rFonts w:ascii="Arial" w:eastAsia="Calibri" w:hAnsi="Arial" w:cs="Arial"/>
          <w:b/>
          <w:bCs/>
          <w:sz w:val="22"/>
          <w:szCs w:val="22"/>
        </w:rPr>
        <w:t>PA</w:t>
      </w:r>
    </w:p>
    <w:bookmarkEnd w:id="7"/>
    <w:p w14:paraId="41AF3673" w14:textId="77777777" w:rsidR="00A06966" w:rsidRPr="00A06966" w:rsidRDefault="00A06966" w:rsidP="00A06966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2"/>
          <w:szCs w:val="22"/>
        </w:rPr>
      </w:pPr>
      <w:r w:rsidRPr="00A06966">
        <w:rPr>
          <w:rFonts w:ascii="Arial" w:hAnsi="Arial" w:cs="Arial"/>
          <w:sz w:val="22"/>
          <w:szCs w:val="22"/>
        </w:rPr>
        <w:t>Lotemax (loteprednol 0.5%); #, A90</w:t>
      </w:r>
    </w:p>
    <w:p w14:paraId="79C8A77A" w14:textId="77777777" w:rsidR="00A06966" w:rsidRPr="00A06966" w:rsidRDefault="00A06966" w:rsidP="00A06966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2"/>
          <w:szCs w:val="22"/>
        </w:rPr>
      </w:pPr>
      <w:r w:rsidRPr="00A06966">
        <w:rPr>
          <w:rFonts w:ascii="Arial" w:hAnsi="Arial" w:cs="Arial"/>
          <w:sz w:val="22"/>
          <w:szCs w:val="22"/>
        </w:rPr>
        <w:t xml:space="preserve">Noxafil (posaconazole injection) – </w:t>
      </w:r>
      <w:r w:rsidRPr="00A06966">
        <w:rPr>
          <w:rFonts w:ascii="Arial" w:hAnsi="Arial" w:cs="Arial"/>
          <w:b/>
          <w:bCs/>
          <w:sz w:val="22"/>
          <w:szCs w:val="22"/>
        </w:rPr>
        <w:t>PA</w:t>
      </w:r>
    </w:p>
    <w:p w14:paraId="551FD40E" w14:textId="77777777" w:rsidR="00DF7EB3" w:rsidRDefault="00A06966" w:rsidP="00A06966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2"/>
          <w:szCs w:val="22"/>
        </w:rPr>
      </w:pPr>
      <w:r w:rsidRPr="00A06966">
        <w:rPr>
          <w:rFonts w:ascii="Arial" w:hAnsi="Arial" w:cs="Arial"/>
          <w:sz w:val="22"/>
          <w:szCs w:val="22"/>
        </w:rPr>
        <w:t>Olux-E (clobetasol propionate foam/emollient)</w:t>
      </w:r>
      <w:r w:rsidRPr="00A06966">
        <w:rPr>
          <w:rFonts w:ascii="Arial" w:eastAsia="Calibri" w:hAnsi="Arial" w:cs="Arial"/>
          <w:sz w:val="22"/>
          <w:szCs w:val="22"/>
        </w:rPr>
        <w:t xml:space="preserve"> – </w:t>
      </w:r>
      <w:r w:rsidRPr="00A06966">
        <w:rPr>
          <w:rFonts w:ascii="Arial" w:eastAsia="Calibri" w:hAnsi="Arial" w:cs="Arial"/>
          <w:b/>
          <w:bCs/>
          <w:sz w:val="22"/>
          <w:szCs w:val="22"/>
        </w:rPr>
        <w:t>PA</w:t>
      </w:r>
      <w:r w:rsidRPr="00A06966">
        <w:rPr>
          <w:rFonts w:ascii="Arial" w:eastAsia="Calibri" w:hAnsi="Arial" w:cs="Arial"/>
          <w:sz w:val="22"/>
          <w:szCs w:val="22"/>
        </w:rPr>
        <w:t>;</w:t>
      </w:r>
      <w:r w:rsidRPr="00A06966">
        <w:rPr>
          <w:rFonts w:ascii="Arial" w:hAnsi="Arial" w:cs="Arial"/>
          <w:sz w:val="22"/>
          <w:szCs w:val="22"/>
        </w:rPr>
        <w:t xml:space="preserve"> A90</w:t>
      </w:r>
    </w:p>
    <w:p w14:paraId="21CDDB06" w14:textId="1D586E4F" w:rsidR="00A06966" w:rsidRPr="00DF7EB3" w:rsidRDefault="006141F1" w:rsidP="00DF7EB3">
      <w:pPr>
        <w:rPr>
          <w:rFonts w:ascii="Arial" w:hAnsi="Arial" w:cs="Arial"/>
          <w:sz w:val="22"/>
          <w:szCs w:val="22"/>
        </w:rPr>
      </w:pPr>
      <w:r w:rsidRPr="00DF7EB3">
        <w:rPr>
          <w:rFonts w:ascii="Arial" w:hAnsi="Arial" w:cs="Arial"/>
          <w:sz w:val="22"/>
          <w:szCs w:val="22"/>
        </w:rPr>
        <w:br/>
      </w:r>
    </w:p>
    <w:p w14:paraId="67ACA792" w14:textId="638CEBB2" w:rsidR="006141F1" w:rsidRPr="006141F1" w:rsidRDefault="006141F1" w:rsidP="006141F1">
      <w:pPr>
        <w:pStyle w:val="Heading1"/>
        <w:spacing w:line="276" w:lineRule="auto"/>
        <w:rPr>
          <w:rFonts w:ascii="Arial" w:hAnsi="Arial" w:cs="Arial"/>
          <w:sz w:val="26"/>
          <w:szCs w:val="26"/>
        </w:rPr>
      </w:pPr>
      <w:r w:rsidRPr="006141F1">
        <w:rPr>
          <w:rFonts w:ascii="Arial" w:hAnsi="Arial" w:cs="Arial"/>
          <w:sz w:val="26"/>
          <w:szCs w:val="26"/>
        </w:rPr>
        <w:lastRenderedPageBreak/>
        <w:t xml:space="preserve">Deletions </w:t>
      </w:r>
    </w:p>
    <w:p w14:paraId="65A5839F" w14:textId="77777777" w:rsidR="006141F1" w:rsidRPr="00BC12B1" w:rsidRDefault="006141F1" w:rsidP="006141F1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BC12B1">
        <w:rPr>
          <w:rFonts w:ascii="Arial" w:hAnsi="Arial" w:cs="Arial"/>
          <w:sz w:val="22"/>
          <w:szCs w:val="22"/>
        </w:rPr>
        <w:t xml:space="preserve">The following drugs have been removed from the MassHealth Drug List because they have been discontinued by the manufacturer. </w:t>
      </w:r>
    </w:p>
    <w:p w14:paraId="19B76712" w14:textId="77777777" w:rsidR="006141F1" w:rsidRPr="003F6CE1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8" w:name="_Hlk11056502"/>
      <w:r w:rsidRPr="003F6CE1">
        <w:rPr>
          <w:rFonts w:ascii="Arial" w:hAnsi="Arial" w:cs="Arial"/>
          <w:color w:val="auto"/>
          <w:sz w:val="22"/>
          <w:szCs w:val="22"/>
        </w:rPr>
        <w:t>Combivir (lamivudine/zidovudine); #, A90</w:t>
      </w:r>
    </w:p>
    <w:p w14:paraId="2BF9DE21" w14:textId="77777777" w:rsidR="006141F1" w:rsidRPr="002C2C49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C2C49">
        <w:rPr>
          <w:rFonts w:ascii="Arial" w:hAnsi="Arial" w:cs="Arial"/>
          <w:color w:val="auto"/>
          <w:sz w:val="22"/>
          <w:szCs w:val="22"/>
        </w:rPr>
        <w:t xml:space="preserve">didanosine; A90 </w:t>
      </w:r>
    </w:p>
    <w:p w14:paraId="2BCB617F" w14:textId="77777777" w:rsidR="006141F1" w:rsidRPr="00A2752D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9" w:name="_Hlk81159473"/>
      <w:bookmarkEnd w:id="8"/>
      <w:r w:rsidRPr="00A2752D">
        <w:rPr>
          <w:rFonts w:ascii="Arial" w:hAnsi="Arial" w:cs="Arial"/>
          <w:color w:val="auto"/>
          <w:sz w:val="22"/>
          <w:szCs w:val="22"/>
        </w:rPr>
        <w:t xml:space="preserve">Epzicom (abacavir/lamivudine); </w:t>
      </w:r>
      <w:r>
        <w:rPr>
          <w:rFonts w:ascii="Arial" w:hAnsi="Arial" w:cs="Arial"/>
          <w:color w:val="auto"/>
          <w:sz w:val="22"/>
          <w:szCs w:val="22"/>
        </w:rPr>
        <w:t>#, A</w:t>
      </w:r>
      <w:r w:rsidRPr="00A2752D">
        <w:rPr>
          <w:rFonts w:ascii="Arial" w:hAnsi="Arial" w:cs="Arial"/>
          <w:color w:val="auto"/>
          <w:sz w:val="22"/>
          <w:szCs w:val="22"/>
        </w:rPr>
        <w:t>90</w:t>
      </w:r>
    </w:p>
    <w:bookmarkEnd w:id="9"/>
    <w:p w14:paraId="3467FFE2" w14:textId="77777777" w:rsidR="006141F1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DF38CC">
        <w:rPr>
          <w:rFonts w:ascii="Arial" w:hAnsi="Arial" w:cs="Arial"/>
          <w:sz w:val="22"/>
          <w:szCs w:val="22"/>
        </w:rPr>
        <w:t>Lacrisert (hydroxypropyl cellulose ophthalmic insert)</w:t>
      </w:r>
    </w:p>
    <w:p w14:paraId="14D0442A" w14:textId="77777777" w:rsidR="006141F1" w:rsidRPr="00C96F26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C96F26">
        <w:rPr>
          <w:rFonts w:ascii="Arial" w:hAnsi="Arial" w:cs="Arial"/>
          <w:sz w:val="22"/>
          <w:szCs w:val="22"/>
        </w:rPr>
        <w:t xml:space="preserve">Lexiva (fosamprenavir) – </w:t>
      </w:r>
      <w:r w:rsidRPr="00C96F26">
        <w:rPr>
          <w:rFonts w:ascii="Arial" w:hAnsi="Arial" w:cs="Arial"/>
          <w:b/>
          <w:bCs/>
          <w:sz w:val="22"/>
          <w:szCs w:val="22"/>
        </w:rPr>
        <w:t>PA</w:t>
      </w:r>
      <w:r w:rsidRPr="00C96F26">
        <w:rPr>
          <w:rFonts w:ascii="Arial" w:hAnsi="Arial" w:cs="Arial"/>
          <w:sz w:val="22"/>
          <w:szCs w:val="22"/>
        </w:rPr>
        <w:t xml:space="preserve">; A90  </w:t>
      </w:r>
    </w:p>
    <w:p w14:paraId="14D3C88A" w14:textId="77777777" w:rsidR="006141F1" w:rsidRPr="00804333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804333">
        <w:rPr>
          <w:rFonts w:ascii="Arial" w:hAnsi="Arial" w:cs="Arial"/>
          <w:sz w:val="22"/>
          <w:szCs w:val="22"/>
        </w:rPr>
        <w:t>stavudine; A90</w:t>
      </w:r>
    </w:p>
    <w:p w14:paraId="1BC12256" w14:textId="77777777" w:rsidR="006141F1" w:rsidRPr="00672E8A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672E8A">
        <w:rPr>
          <w:rFonts w:ascii="Arial" w:hAnsi="Arial" w:cs="Arial"/>
          <w:sz w:val="22"/>
          <w:szCs w:val="22"/>
        </w:rPr>
        <w:t>Temovate (clobetasol propionate ointment); #, A90</w:t>
      </w:r>
    </w:p>
    <w:p w14:paraId="5B4F0CAA" w14:textId="77777777" w:rsidR="006141F1" w:rsidRPr="0009385D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09385D">
        <w:rPr>
          <w:rFonts w:ascii="Arial" w:hAnsi="Arial" w:cs="Arial"/>
          <w:sz w:val="22"/>
          <w:szCs w:val="22"/>
        </w:rPr>
        <w:t>Trizivir (abacavir/lamivudine/zidovudine); #, A90</w:t>
      </w:r>
    </w:p>
    <w:p w14:paraId="02A5C448" w14:textId="77777777" w:rsidR="006141F1" w:rsidRPr="00245A0B" w:rsidRDefault="006141F1" w:rsidP="006141F1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782308">
        <w:rPr>
          <w:rFonts w:ascii="Arial" w:hAnsi="Arial" w:cs="Arial"/>
          <w:sz w:val="22"/>
          <w:szCs w:val="22"/>
        </w:rPr>
        <w:t>Urso (ursodiol 250 mg tablet); #, A90</w:t>
      </w:r>
    </w:p>
    <w:p w14:paraId="2C67AE90" w14:textId="77777777" w:rsidR="006141F1" w:rsidRDefault="006141F1" w:rsidP="006141F1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AA101B">
        <w:rPr>
          <w:rFonts w:ascii="Arial" w:hAnsi="Arial" w:cs="Arial"/>
          <w:sz w:val="22"/>
          <w:szCs w:val="22"/>
        </w:rPr>
        <w:t>The following non-drug products have been removed from the MassHealth Drug List because they have been discontinued by the manufacturer.</w:t>
      </w:r>
    </w:p>
    <w:p w14:paraId="20A08AD5" w14:textId="77777777" w:rsidR="006141F1" w:rsidRPr="00647366" w:rsidRDefault="006141F1" w:rsidP="006141F1">
      <w:pPr>
        <w:pStyle w:val="Default"/>
        <w:numPr>
          <w:ilvl w:val="1"/>
          <w:numId w:val="35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647366">
        <w:rPr>
          <w:rFonts w:ascii="Arial" w:hAnsi="Arial" w:cs="Arial"/>
          <w:sz w:val="22"/>
          <w:szCs w:val="22"/>
        </w:rPr>
        <w:t>Omnipod Classic (insulin continuous subcutaneous infusion pump)</w:t>
      </w:r>
      <w:r>
        <w:rPr>
          <w:rFonts w:ascii="Arial" w:hAnsi="Arial" w:cs="Arial"/>
          <w:sz w:val="22"/>
          <w:szCs w:val="22"/>
        </w:rPr>
        <w:t xml:space="preserve"> </w:t>
      </w:r>
      <w:r w:rsidRPr="00647366">
        <w:rPr>
          <w:rFonts w:ascii="Arial" w:hAnsi="Arial" w:cs="Arial"/>
          <w:sz w:val="22"/>
          <w:szCs w:val="22"/>
          <w:vertAlign w:val="superscript"/>
        </w:rPr>
        <w:t>PND</w:t>
      </w:r>
      <w:r>
        <w:rPr>
          <w:rFonts w:ascii="Arial" w:hAnsi="Arial" w:cs="Arial"/>
          <w:sz w:val="22"/>
          <w:szCs w:val="22"/>
        </w:rPr>
        <w:t xml:space="preserve"> – </w:t>
      </w:r>
      <w:r w:rsidRPr="00647366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49FAC08E" w14:textId="77777777" w:rsidR="006141F1" w:rsidRPr="00AA101B" w:rsidRDefault="006141F1" w:rsidP="006141F1">
      <w:pPr>
        <w:pStyle w:val="Default"/>
        <w:numPr>
          <w:ilvl w:val="1"/>
          <w:numId w:val="35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2E6B72">
        <w:rPr>
          <w:rFonts w:ascii="Arial" w:hAnsi="Arial" w:cs="Arial"/>
          <w:sz w:val="22"/>
          <w:szCs w:val="22"/>
        </w:rPr>
        <w:t>Omnipod Go (insulin continuous subcutaneous infusion pump)</w:t>
      </w:r>
      <w:r w:rsidRPr="002E6B7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47366">
        <w:rPr>
          <w:rFonts w:ascii="Arial" w:hAnsi="Arial" w:cs="Arial"/>
          <w:sz w:val="22"/>
          <w:szCs w:val="22"/>
          <w:vertAlign w:val="superscript"/>
        </w:rPr>
        <w:t>PND</w:t>
      </w:r>
      <w:r>
        <w:rPr>
          <w:rFonts w:ascii="Arial" w:hAnsi="Arial" w:cs="Arial"/>
          <w:sz w:val="22"/>
          <w:szCs w:val="22"/>
        </w:rPr>
        <w:t xml:space="preserve"> – </w:t>
      </w:r>
      <w:r w:rsidRPr="00647366">
        <w:rPr>
          <w:rFonts w:ascii="Arial" w:hAnsi="Arial" w:cs="Arial"/>
          <w:b/>
          <w:bCs/>
          <w:sz w:val="22"/>
          <w:szCs w:val="22"/>
        </w:rPr>
        <w:t>PA</w:t>
      </w:r>
    </w:p>
    <w:p w14:paraId="5EA51CBD" w14:textId="77777777" w:rsidR="00E11E52" w:rsidRPr="00A06966" w:rsidRDefault="00E11E52" w:rsidP="00AB3CE8">
      <w:pPr>
        <w:rPr>
          <w:rFonts w:ascii="Arial" w:eastAsiaTheme="minorHAnsi" w:hAnsi="Arial" w:cs="Arial"/>
          <w:color w:val="auto"/>
          <w:kern w:val="0"/>
          <w:sz w:val="24"/>
          <w:szCs w:val="24"/>
        </w:rPr>
      </w:pPr>
    </w:p>
    <w:p w14:paraId="75522537" w14:textId="66443747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hyperlink r:id="rId16" w:history="1">
        <w:r w:rsidRPr="00A12B49">
          <w:rPr>
            <w:rStyle w:val="Hyperlink"/>
            <w:rFonts w:ascii="Arial" w:hAnsi="Arial" w:cs="Arial"/>
            <w:bCs/>
            <w:sz w:val="22"/>
            <w:szCs w:val="22"/>
          </w:rPr>
          <w:t>MassHealth Drug List's Upcoming and Recent Updates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page summarizes changes that will become effective on </w:t>
      </w:r>
      <w:r w:rsidR="002B5AA3">
        <w:rPr>
          <w:rFonts w:ascii="Arial" w:eastAsiaTheme="minorHAnsi" w:hAnsi="Arial" w:cs="Arial"/>
          <w:color w:val="auto"/>
          <w:kern w:val="0"/>
          <w:sz w:val="22"/>
          <w:szCs w:val="22"/>
        </w:rPr>
        <w:t>October</w:t>
      </w:r>
      <w:r w:rsidR="005B621C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="00E943C9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5B621C"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. Please refer to the updated summary for more information (including other important upcoming changes). Additional information about coverage status and Prior Authorization requirements can be found on the </w:t>
      </w:r>
      <w:hyperlink r:id="rId17" w:history="1">
        <w:r w:rsidRPr="003125A4">
          <w:rPr>
            <w:rStyle w:val="Hyperlink"/>
            <w:rFonts w:ascii="Arial" w:hAnsi="Arial" w:cs="Arial"/>
            <w:bCs/>
            <w:sz w:val="22"/>
            <w:szCs w:val="22"/>
          </w:rPr>
          <w:t>MassHealth Drug List website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7EBFF2E0" w14:textId="189F2B5D" w:rsidR="006141F1" w:rsidRDefault="006141F1" w:rsidP="00157BE7">
      <w:pPr>
        <w:spacing w:after="2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870CBF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EE97" w14:textId="77777777" w:rsidR="00AA51A4" w:rsidRDefault="00AA51A4">
      <w:r>
        <w:separator/>
      </w:r>
    </w:p>
  </w:endnote>
  <w:endnote w:type="continuationSeparator" w:id="0">
    <w:p w14:paraId="29E6AE56" w14:textId="77777777" w:rsidR="00AA51A4" w:rsidRDefault="00AA51A4">
      <w:r>
        <w:continuationSeparator/>
      </w:r>
    </w:p>
  </w:endnote>
  <w:endnote w:type="continuationNotice" w:id="1">
    <w:p w14:paraId="4BFAFF14" w14:textId="77777777" w:rsidR="00AA51A4" w:rsidRDefault="00AA5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E811" w14:textId="77777777" w:rsidR="00AA51A4" w:rsidRDefault="00AA51A4">
      <w:r>
        <w:separator/>
      </w:r>
    </w:p>
  </w:footnote>
  <w:footnote w:type="continuationSeparator" w:id="0">
    <w:p w14:paraId="67D27179" w14:textId="77777777" w:rsidR="00AA51A4" w:rsidRDefault="00AA51A4">
      <w:r>
        <w:continuationSeparator/>
      </w:r>
    </w:p>
  </w:footnote>
  <w:footnote w:type="continuationNotice" w:id="1">
    <w:p w14:paraId="450A8A15" w14:textId="77777777" w:rsidR="00AA51A4" w:rsidRDefault="00AA5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E67D" w14:textId="358310CA" w:rsidR="002E6264" w:rsidRPr="0046520A" w:rsidRDefault="002E6264" w:rsidP="002E626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02099">
      <w:rPr>
        <w:rFonts w:ascii="Trebuchet MS" w:hAnsi="Trebuchet MS"/>
        <w:b/>
        <w:bCs/>
        <w:sz w:val="18"/>
        <w:szCs w:val="18"/>
        <w:lang w:val="en"/>
      </w:rPr>
      <w:t xml:space="preserve">Volume 15, Issue </w:t>
    </w:r>
    <w:r>
      <w:rPr>
        <w:rFonts w:ascii="Trebuchet MS" w:hAnsi="Trebuchet MS"/>
        <w:b/>
        <w:bCs/>
        <w:sz w:val="18"/>
        <w:szCs w:val="18"/>
        <w:lang w:val="en"/>
      </w:rPr>
      <w:t>10</w:t>
    </w:r>
    <w:r w:rsidRPr="00802099">
      <w:rPr>
        <w:rFonts w:ascii="Trebuchet MS" w:hAnsi="Trebuchet MS"/>
        <w:b/>
        <w:bCs/>
        <w:sz w:val="18"/>
        <w:szCs w:val="18"/>
        <w:lang w:val="en"/>
      </w:rPr>
      <w:t>, Ju</w:t>
    </w:r>
    <w:r>
      <w:rPr>
        <w:rFonts w:ascii="Trebuchet MS" w:hAnsi="Trebuchet MS"/>
        <w:b/>
        <w:bCs/>
        <w:sz w:val="18"/>
        <w:szCs w:val="18"/>
        <w:lang w:val="en"/>
      </w:rPr>
      <w:t>ly</w:t>
    </w:r>
    <w:r w:rsidRPr="00802099">
      <w:rPr>
        <w:rFonts w:ascii="Trebuchet MS" w:hAnsi="Trebuchet MS"/>
        <w:b/>
        <w:bCs/>
        <w:sz w:val="18"/>
        <w:szCs w:val="18"/>
        <w:lang w:val="en"/>
      </w:rPr>
      <w:t xml:space="preserve"> 2025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429"/>
    <w:multiLevelType w:val="hybridMultilevel"/>
    <w:tmpl w:val="3990A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77FD1"/>
    <w:multiLevelType w:val="hybridMultilevel"/>
    <w:tmpl w:val="15E2D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2F4C"/>
    <w:multiLevelType w:val="hybridMultilevel"/>
    <w:tmpl w:val="3B302AA8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336827"/>
    <w:multiLevelType w:val="hybridMultilevel"/>
    <w:tmpl w:val="1A0A3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A363A"/>
    <w:multiLevelType w:val="hybridMultilevel"/>
    <w:tmpl w:val="9D7AE4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76C09"/>
    <w:multiLevelType w:val="hybridMultilevel"/>
    <w:tmpl w:val="D672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AE0771"/>
    <w:multiLevelType w:val="hybridMultilevel"/>
    <w:tmpl w:val="4C7463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055241"/>
    <w:multiLevelType w:val="hybridMultilevel"/>
    <w:tmpl w:val="85CA3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711A3"/>
    <w:multiLevelType w:val="hybridMultilevel"/>
    <w:tmpl w:val="0D3E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D2200"/>
    <w:multiLevelType w:val="hybridMultilevel"/>
    <w:tmpl w:val="DA129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A74CD"/>
    <w:multiLevelType w:val="hybridMultilevel"/>
    <w:tmpl w:val="3C167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965391">
    <w:abstractNumId w:val="3"/>
  </w:num>
  <w:num w:numId="2" w16cid:durableId="900097909">
    <w:abstractNumId w:val="31"/>
  </w:num>
  <w:num w:numId="3" w16cid:durableId="1055355579">
    <w:abstractNumId w:val="14"/>
  </w:num>
  <w:num w:numId="4" w16cid:durableId="199826978">
    <w:abstractNumId w:val="13"/>
  </w:num>
  <w:num w:numId="5" w16cid:durableId="1782339195">
    <w:abstractNumId w:val="32"/>
  </w:num>
  <w:num w:numId="6" w16cid:durableId="321617534">
    <w:abstractNumId w:val="33"/>
  </w:num>
  <w:num w:numId="7" w16cid:durableId="514729983">
    <w:abstractNumId w:val="4"/>
  </w:num>
  <w:num w:numId="8" w16cid:durableId="1932081016">
    <w:abstractNumId w:val="18"/>
  </w:num>
  <w:num w:numId="9" w16cid:durableId="2079358099">
    <w:abstractNumId w:val="6"/>
  </w:num>
  <w:num w:numId="10" w16cid:durableId="329336526">
    <w:abstractNumId w:val="1"/>
  </w:num>
  <w:num w:numId="11" w16cid:durableId="747574778">
    <w:abstractNumId w:val="8"/>
  </w:num>
  <w:num w:numId="12" w16cid:durableId="864055193">
    <w:abstractNumId w:val="5"/>
  </w:num>
  <w:num w:numId="13" w16cid:durableId="990477161">
    <w:abstractNumId w:val="17"/>
  </w:num>
  <w:num w:numId="14" w16cid:durableId="1299412918">
    <w:abstractNumId w:val="21"/>
  </w:num>
  <w:num w:numId="15" w16cid:durableId="47382837">
    <w:abstractNumId w:val="29"/>
  </w:num>
  <w:num w:numId="16" w16cid:durableId="223032385">
    <w:abstractNumId w:val="20"/>
  </w:num>
  <w:num w:numId="17" w16cid:durableId="957570114">
    <w:abstractNumId w:val="12"/>
  </w:num>
  <w:num w:numId="18" w16cid:durableId="923419402">
    <w:abstractNumId w:val="11"/>
  </w:num>
  <w:num w:numId="19" w16cid:durableId="1414740414">
    <w:abstractNumId w:val="23"/>
  </w:num>
  <w:num w:numId="20" w16cid:durableId="573467208">
    <w:abstractNumId w:val="26"/>
  </w:num>
  <w:num w:numId="21" w16cid:durableId="265770662">
    <w:abstractNumId w:val="28"/>
  </w:num>
  <w:num w:numId="22" w16cid:durableId="848445145">
    <w:abstractNumId w:val="16"/>
  </w:num>
  <w:num w:numId="23" w16cid:durableId="554703532">
    <w:abstractNumId w:val="25"/>
  </w:num>
  <w:num w:numId="24" w16cid:durableId="179124052">
    <w:abstractNumId w:val="22"/>
  </w:num>
  <w:num w:numId="25" w16cid:durableId="1269119146">
    <w:abstractNumId w:val="2"/>
  </w:num>
  <w:num w:numId="26" w16cid:durableId="394090683">
    <w:abstractNumId w:val="7"/>
  </w:num>
  <w:num w:numId="27" w16cid:durableId="132255841">
    <w:abstractNumId w:val="10"/>
  </w:num>
  <w:num w:numId="28" w16cid:durableId="20132519">
    <w:abstractNumId w:val="9"/>
  </w:num>
  <w:num w:numId="29" w16cid:durableId="850922848">
    <w:abstractNumId w:val="19"/>
  </w:num>
  <w:num w:numId="30" w16cid:durableId="1230992658">
    <w:abstractNumId w:val="30"/>
  </w:num>
  <w:num w:numId="31" w16cid:durableId="984744281">
    <w:abstractNumId w:val="24"/>
  </w:num>
  <w:num w:numId="32" w16cid:durableId="2022926220">
    <w:abstractNumId w:val="15"/>
  </w:num>
  <w:num w:numId="33" w16cid:durableId="1283610649">
    <w:abstractNumId w:val="34"/>
  </w:num>
  <w:num w:numId="34" w16cid:durableId="552739578">
    <w:abstractNumId w:val="0"/>
  </w:num>
  <w:num w:numId="35" w16cid:durableId="16068417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255AE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94194"/>
    <w:rsid w:val="000A26B3"/>
    <w:rsid w:val="000A6C99"/>
    <w:rsid w:val="000B4487"/>
    <w:rsid w:val="000C08F0"/>
    <w:rsid w:val="000C15E5"/>
    <w:rsid w:val="000C1A86"/>
    <w:rsid w:val="000C1D5B"/>
    <w:rsid w:val="000C2AEE"/>
    <w:rsid w:val="000C6AB9"/>
    <w:rsid w:val="000D4664"/>
    <w:rsid w:val="000D4CBD"/>
    <w:rsid w:val="000E186A"/>
    <w:rsid w:val="000E19BE"/>
    <w:rsid w:val="000E5134"/>
    <w:rsid w:val="000E515F"/>
    <w:rsid w:val="000E698F"/>
    <w:rsid w:val="000F145D"/>
    <w:rsid w:val="000F19D2"/>
    <w:rsid w:val="001003DC"/>
    <w:rsid w:val="00101872"/>
    <w:rsid w:val="001038B4"/>
    <w:rsid w:val="001049C6"/>
    <w:rsid w:val="00107CA4"/>
    <w:rsid w:val="00111830"/>
    <w:rsid w:val="00112E05"/>
    <w:rsid w:val="00113A33"/>
    <w:rsid w:val="00137002"/>
    <w:rsid w:val="00143EFF"/>
    <w:rsid w:val="0014508B"/>
    <w:rsid w:val="00146A25"/>
    <w:rsid w:val="00146E96"/>
    <w:rsid w:val="0015261C"/>
    <w:rsid w:val="00157BE7"/>
    <w:rsid w:val="00161B6A"/>
    <w:rsid w:val="0016598C"/>
    <w:rsid w:val="00165FB0"/>
    <w:rsid w:val="0017504B"/>
    <w:rsid w:val="00175C12"/>
    <w:rsid w:val="00180CAA"/>
    <w:rsid w:val="00182385"/>
    <w:rsid w:val="0018747E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6F5E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5AD3"/>
    <w:rsid w:val="00227174"/>
    <w:rsid w:val="002400F6"/>
    <w:rsid w:val="00241BBC"/>
    <w:rsid w:val="00242480"/>
    <w:rsid w:val="00242A52"/>
    <w:rsid w:val="00246894"/>
    <w:rsid w:val="002520E7"/>
    <w:rsid w:val="002559B8"/>
    <w:rsid w:val="00266C9D"/>
    <w:rsid w:val="002712BE"/>
    <w:rsid w:val="00272F9F"/>
    <w:rsid w:val="002734E3"/>
    <w:rsid w:val="00273E75"/>
    <w:rsid w:val="0027618E"/>
    <w:rsid w:val="00283746"/>
    <w:rsid w:val="00283CFD"/>
    <w:rsid w:val="00287F60"/>
    <w:rsid w:val="002959F0"/>
    <w:rsid w:val="002A35C4"/>
    <w:rsid w:val="002A4C08"/>
    <w:rsid w:val="002A566F"/>
    <w:rsid w:val="002B16E1"/>
    <w:rsid w:val="002B3AFD"/>
    <w:rsid w:val="002B4B60"/>
    <w:rsid w:val="002B5AA3"/>
    <w:rsid w:val="002C14BD"/>
    <w:rsid w:val="002C261E"/>
    <w:rsid w:val="002C326C"/>
    <w:rsid w:val="002D087E"/>
    <w:rsid w:val="002D1920"/>
    <w:rsid w:val="002D1C5C"/>
    <w:rsid w:val="002D6F34"/>
    <w:rsid w:val="002E55F8"/>
    <w:rsid w:val="002E6264"/>
    <w:rsid w:val="002E6DD1"/>
    <w:rsid w:val="002E75D3"/>
    <w:rsid w:val="002F154A"/>
    <w:rsid w:val="002F1A78"/>
    <w:rsid w:val="002F3AAD"/>
    <w:rsid w:val="002F4A95"/>
    <w:rsid w:val="00302A39"/>
    <w:rsid w:val="003064EC"/>
    <w:rsid w:val="0031009A"/>
    <w:rsid w:val="00311223"/>
    <w:rsid w:val="003125A4"/>
    <w:rsid w:val="003128F3"/>
    <w:rsid w:val="0031549E"/>
    <w:rsid w:val="003159D1"/>
    <w:rsid w:val="00316A86"/>
    <w:rsid w:val="0031728E"/>
    <w:rsid w:val="00325D8F"/>
    <w:rsid w:val="00330FB0"/>
    <w:rsid w:val="00337677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1D58"/>
    <w:rsid w:val="00394194"/>
    <w:rsid w:val="00396D1E"/>
    <w:rsid w:val="003971CE"/>
    <w:rsid w:val="00397377"/>
    <w:rsid w:val="003A17FB"/>
    <w:rsid w:val="003A670A"/>
    <w:rsid w:val="003A76A8"/>
    <w:rsid w:val="003B251D"/>
    <w:rsid w:val="003C0161"/>
    <w:rsid w:val="003C15F6"/>
    <w:rsid w:val="003D177D"/>
    <w:rsid w:val="003E7380"/>
    <w:rsid w:val="003F7F93"/>
    <w:rsid w:val="0040022A"/>
    <w:rsid w:val="00401354"/>
    <w:rsid w:val="00404DF1"/>
    <w:rsid w:val="00410458"/>
    <w:rsid w:val="00411059"/>
    <w:rsid w:val="00411C19"/>
    <w:rsid w:val="0041665A"/>
    <w:rsid w:val="00424615"/>
    <w:rsid w:val="00425560"/>
    <w:rsid w:val="00427D00"/>
    <w:rsid w:val="00431ACF"/>
    <w:rsid w:val="00433649"/>
    <w:rsid w:val="0044614E"/>
    <w:rsid w:val="00446350"/>
    <w:rsid w:val="004504B6"/>
    <w:rsid w:val="004564C8"/>
    <w:rsid w:val="00456BB4"/>
    <w:rsid w:val="004607BC"/>
    <w:rsid w:val="00463AE8"/>
    <w:rsid w:val="004650A7"/>
    <w:rsid w:val="0046520A"/>
    <w:rsid w:val="00467BD4"/>
    <w:rsid w:val="00470265"/>
    <w:rsid w:val="00470FE2"/>
    <w:rsid w:val="0047213A"/>
    <w:rsid w:val="004733F0"/>
    <w:rsid w:val="0047627E"/>
    <w:rsid w:val="00477057"/>
    <w:rsid w:val="00485E86"/>
    <w:rsid w:val="0049555F"/>
    <w:rsid w:val="0049734F"/>
    <w:rsid w:val="004A049E"/>
    <w:rsid w:val="004A58A3"/>
    <w:rsid w:val="004A5933"/>
    <w:rsid w:val="004B0A9F"/>
    <w:rsid w:val="004B24F7"/>
    <w:rsid w:val="004B4369"/>
    <w:rsid w:val="004B77A9"/>
    <w:rsid w:val="004C0C22"/>
    <w:rsid w:val="004C2C2B"/>
    <w:rsid w:val="004D493F"/>
    <w:rsid w:val="004D7846"/>
    <w:rsid w:val="004E42DD"/>
    <w:rsid w:val="004E58D0"/>
    <w:rsid w:val="004E6787"/>
    <w:rsid w:val="004E7484"/>
    <w:rsid w:val="004F36E7"/>
    <w:rsid w:val="004F3FB4"/>
    <w:rsid w:val="004F5803"/>
    <w:rsid w:val="004F635C"/>
    <w:rsid w:val="00502B92"/>
    <w:rsid w:val="00502D19"/>
    <w:rsid w:val="00505053"/>
    <w:rsid w:val="00505B4B"/>
    <w:rsid w:val="0050687D"/>
    <w:rsid w:val="005175F7"/>
    <w:rsid w:val="00523813"/>
    <w:rsid w:val="00532641"/>
    <w:rsid w:val="00533C5E"/>
    <w:rsid w:val="005345EF"/>
    <w:rsid w:val="00536EBB"/>
    <w:rsid w:val="0055653E"/>
    <w:rsid w:val="005566B0"/>
    <w:rsid w:val="005639B0"/>
    <w:rsid w:val="00567B9D"/>
    <w:rsid w:val="005704FB"/>
    <w:rsid w:val="00571C6C"/>
    <w:rsid w:val="0057278E"/>
    <w:rsid w:val="00573D27"/>
    <w:rsid w:val="00576DC3"/>
    <w:rsid w:val="00577FEC"/>
    <w:rsid w:val="00580E97"/>
    <w:rsid w:val="00581E50"/>
    <w:rsid w:val="00583A96"/>
    <w:rsid w:val="005842A0"/>
    <w:rsid w:val="005851F1"/>
    <w:rsid w:val="005870E6"/>
    <w:rsid w:val="00591187"/>
    <w:rsid w:val="0059122F"/>
    <w:rsid w:val="00592C98"/>
    <w:rsid w:val="0059487B"/>
    <w:rsid w:val="005A21DB"/>
    <w:rsid w:val="005A74DA"/>
    <w:rsid w:val="005B3507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2397"/>
    <w:rsid w:val="005F35CD"/>
    <w:rsid w:val="00610115"/>
    <w:rsid w:val="00612B60"/>
    <w:rsid w:val="006141F1"/>
    <w:rsid w:val="0061720E"/>
    <w:rsid w:val="00622404"/>
    <w:rsid w:val="0062336E"/>
    <w:rsid w:val="0062529B"/>
    <w:rsid w:val="00626A67"/>
    <w:rsid w:val="0064259B"/>
    <w:rsid w:val="0064266F"/>
    <w:rsid w:val="00643122"/>
    <w:rsid w:val="0064500C"/>
    <w:rsid w:val="00650CB2"/>
    <w:rsid w:val="00653EAC"/>
    <w:rsid w:val="0065410E"/>
    <w:rsid w:val="006558AB"/>
    <w:rsid w:val="0067107B"/>
    <w:rsid w:val="00680C86"/>
    <w:rsid w:val="00690023"/>
    <w:rsid w:val="0069031E"/>
    <w:rsid w:val="00694015"/>
    <w:rsid w:val="006A28CD"/>
    <w:rsid w:val="006A3DAD"/>
    <w:rsid w:val="006A573E"/>
    <w:rsid w:val="006A777A"/>
    <w:rsid w:val="006B207B"/>
    <w:rsid w:val="006B20D5"/>
    <w:rsid w:val="006B7613"/>
    <w:rsid w:val="006C3B50"/>
    <w:rsid w:val="006C7755"/>
    <w:rsid w:val="006D70E0"/>
    <w:rsid w:val="006E0362"/>
    <w:rsid w:val="006E144D"/>
    <w:rsid w:val="006E6074"/>
    <w:rsid w:val="006F33E8"/>
    <w:rsid w:val="00702546"/>
    <w:rsid w:val="00711113"/>
    <w:rsid w:val="0071680C"/>
    <w:rsid w:val="00717A1C"/>
    <w:rsid w:val="00720DE3"/>
    <w:rsid w:val="0072128C"/>
    <w:rsid w:val="00721778"/>
    <w:rsid w:val="007231A6"/>
    <w:rsid w:val="007243D7"/>
    <w:rsid w:val="007311C3"/>
    <w:rsid w:val="007350B6"/>
    <w:rsid w:val="007459B2"/>
    <w:rsid w:val="007463DF"/>
    <w:rsid w:val="00752617"/>
    <w:rsid w:val="00756C2F"/>
    <w:rsid w:val="00762B83"/>
    <w:rsid w:val="00767D6F"/>
    <w:rsid w:val="00770CB5"/>
    <w:rsid w:val="007730A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D738D"/>
    <w:rsid w:val="007E4CAE"/>
    <w:rsid w:val="007E63E3"/>
    <w:rsid w:val="007E77D7"/>
    <w:rsid w:val="007F2D62"/>
    <w:rsid w:val="00800DFB"/>
    <w:rsid w:val="0080735F"/>
    <w:rsid w:val="00807E9F"/>
    <w:rsid w:val="00810E56"/>
    <w:rsid w:val="0081517C"/>
    <w:rsid w:val="00816B7A"/>
    <w:rsid w:val="00817A3C"/>
    <w:rsid w:val="00821F5B"/>
    <w:rsid w:val="00822B62"/>
    <w:rsid w:val="00823288"/>
    <w:rsid w:val="0083751C"/>
    <w:rsid w:val="008403CA"/>
    <w:rsid w:val="00840D1F"/>
    <w:rsid w:val="0084212C"/>
    <w:rsid w:val="00844307"/>
    <w:rsid w:val="00844A19"/>
    <w:rsid w:val="0084544F"/>
    <w:rsid w:val="00852ADF"/>
    <w:rsid w:val="0085378A"/>
    <w:rsid w:val="00860511"/>
    <w:rsid w:val="00860BA1"/>
    <w:rsid w:val="00861741"/>
    <w:rsid w:val="00862590"/>
    <w:rsid w:val="00865AEA"/>
    <w:rsid w:val="00870CBF"/>
    <w:rsid w:val="008722AE"/>
    <w:rsid w:val="00872E7F"/>
    <w:rsid w:val="0087314D"/>
    <w:rsid w:val="00873BEF"/>
    <w:rsid w:val="00875B78"/>
    <w:rsid w:val="008762B2"/>
    <w:rsid w:val="00876A71"/>
    <w:rsid w:val="008819EB"/>
    <w:rsid w:val="0088325C"/>
    <w:rsid w:val="008911F3"/>
    <w:rsid w:val="00892205"/>
    <w:rsid w:val="00893E85"/>
    <w:rsid w:val="00894622"/>
    <w:rsid w:val="008946E9"/>
    <w:rsid w:val="008967CE"/>
    <w:rsid w:val="008A18E7"/>
    <w:rsid w:val="008A1B35"/>
    <w:rsid w:val="008A4DFB"/>
    <w:rsid w:val="008A642A"/>
    <w:rsid w:val="008B0999"/>
    <w:rsid w:val="008B221F"/>
    <w:rsid w:val="008B56EF"/>
    <w:rsid w:val="008C4642"/>
    <w:rsid w:val="008C7B12"/>
    <w:rsid w:val="008E5183"/>
    <w:rsid w:val="008E79B3"/>
    <w:rsid w:val="008F25B4"/>
    <w:rsid w:val="008F4078"/>
    <w:rsid w:val="00900FBC"/>
    <w:rsid w:val="00901DC2"/>
    <w:rsid w:val="00915088"/>
    <w:rsid w:val="00917BB8"/>
    <w:rsid w:val="00922C53"/>
    <w:rsid w:val="00923341"/>
    <w:rsid w:val="00927CAB"/>
    <w:rsid w:val="00934467"/>
    <w:rsid w:val="00947F70"/>
    <w:rsid w:val="00950233"/>
    <w:rsid w:val="00954AA3"/>
    <w:rsid w:val="009555A8"/>
    <w:rsid w:val="00956812"/>
    <w:rsid w:val="00971869"/>
    <w:rsid w:val="00980B18"/>
    <w:rsid w:val="00982128"/>
    <w:rsid w:val="00986130"/>
    <w:rsid w:val="00986205"/>
    <w:rsid w:val="00986AF3"/>
    <w:rsid w:val="009913AF"/>
    <w:rsid w:val="00992143"/>
    <w:rsid w:val="00995C44"/>
    <w:rsid w:val="00996DE6"/>
    <w:rsid w:val="009A2A6E"/>
    <w:rsid w:val="009A3763"/>
    <w:rsid w:val="009A4123"/>
    <w:rsid w:val="009B1AAF"/>
    <w:rsid w:val="009B2ABA"/>
    <w:rsid w:val="009D1E1C"/>
    <w:rsid w:val="009D2B0C"/>
    <w:rsid w:val="009D453B"/>
    <w:rsid w:val="009E00CE"/>
    <w:rsid w:val="009E2313"/>
    <w:rsid w:val="009E302E"/>
    <w:rsid w:val="009F04D6"/>
    <w:rsid w:val="00A06966"/>
    <w:rsid w:val="00A128B9"/>
    <w:rsid w:val="00A12B49"/>
    <w:rsid w:val="00A13579"/>
    <w:rsid w:val="00A17E67"/>
    <w:rsid w:val="00A26095"/>
    <w:rsid w:val="00A2758A"/>
    <w:rsid w:val="00A36FA0"/>
    <w:rsid w:val="00A37691"/>
    <w:rsid w:val="00A54558"/>
    <w:rsid w:val="00A63EE0"/>
    <w:rsid w:val="00A65E97"/>
    <w:rsid w:val="00A82D27"/>
    <w:rsid w:val="00A83962"/>
    <w:rsid w:val="00A84104"/>
    <w:rsid w:val="00A856E6"/>
    <w:rsid w:val="00A91AD9"/>
    <w:rsid w:val="00A95432"/>
    <w:rsid w:val="00A954E1"/>
    <w:rsid w:val="00AA0399"/>
    <w:rsid w:val="00AA3EC0"/>
    <w:rsid w:val="00AA51A4"/>
    <w:rsid w:val="00AA6F20"/>
    <w:rsid w:val="00AB304D"/>
    <w:rsid w:val="00AB3CE8"/>
    <w:rsid w:val="00AC546E"/>
    <w:rsid w:val="00AD42BB"/>
    <w:rsid w:val="00AD454A"/>
    <w:rsid w:val="00AD5A76"/>
    <w:rsid w:val="00AD74BA"/>
    <w:rsid w:val="00AE32DC"/>
    <w:rsid w:val="00AE483E"/>
    <w:rsid w:val="00AF3BAA"/>
    <w:rsid w:val="00AF5E76"/>
    <w:rsid w:val="00B10C3E"/>
    <w:rsid w:val="00B13074"/>
    <w:rsid w:val="00B16C6C"/>
    <w:rsid w:val="00B20840"/>
    <w:rsid w:val="00B30E77"/>
    <w:rsid w:val="00B31AF2"/>
    <w:rsid w:val="00B44DE1"/>
    <w:rsid w:val="00B52556"/>
    <w:rsid w:val="00B529FF"/>
    <w:rsid w:val="00B5390A"/>
    <w:rsid w:val="00B54AB5"/>
    <w:rsid w:val="00B56A5E"/>
    <w:rsid w:val="00B65AEA"/>
    <w:rsid w:val="00B6651C"/>
    <w:rsid w:val="00B7453A"/>
    <w:rsid w:val="00B96C06"/>
    <w:rsid w:val="00BA5ADD"/>
    <w:rsid w:val="00BA69EB"/>
    <w:rsid w:val="00BB0102"/>
    <w:rsid w:val="00BB15B2"/>
    <w:rsid w:val="00BB2829"/>
    <w:rsid w:val="00BD0118"/>
    <w:rsid w:val="00BD2075"/>
    <w:rsid w:val="00BD36A1"/>
    <w:rsid w:val="00BD6EA2"/>
    <w:rsid w:val="00BD7648"/>
    <w:rsid w:val="00BE46A7"/>
    <w:rsid w:val="00BF173A"/>
    <w:rsid w:val="00BF4A81"/>
    <w:rsid w:val="00BF73BB"/>
    <w:rsid w:val="00C0073C"/>
    <w:rsid w:val="00C009F8"/>
    <w:rsid w:val="00C03DAA"/>
    <w:rsid w:val="00C07931"/>
    <w:rsid w:val="00C1705A"/>
    <w:rsid w:val="00C208B7"/>
    <w:rsid w:val="00C21F71"/>
    <w:rsid w:val="00C24050"/>
    <w:rsid w:val="00C25B35"/>
    <w:rsid w:val="00C26270"/>
    <w:rsid w:val="00C26785"/>
    <w:rsid w:val="00C27D9C"/>
    <w:rsid w:val="00C35B94"/>
    <w:rsid w:val="00C4079D"/>
    <w:rsid w:val="00C409B3"/>
    <w:rsid w:val="00C4587F"/>
    <w:rsid w:val="00C50054"/>
    <w:rsid w:val="00C54D38"/>
    <w:rsid w:val="00C556DB"/>
    <w:rsid w:val="00C578AB"/>
    <w:rsid w:val="00C578C7"/>
    <w:rsid w:val="00C62A5E"/>
    <w:rsid w:val="00C656AF"/>
    <w:rsid w:val="00C76762"/>
    <w:rsid w:val="00C82355"/>
    <w:rsid w:val="00C833EF"/>
    <w:rsid w:val="00C8396F"/>
    <w:rsid w:val="00C863E7"/>
    <w:rsid w:val="00C92FCC"/>
    <w:rsid w:val="00C930FF"/>
    <w:rsid w:val="00C97787"/>
    <w:rsid w:val="00CA0313"/>
    <w:rsid w:val="00CA0669"/>
    <w:rsid w:val="00CA1D66"/>
    <w:rsid w:val="00CA4BAC"/>
    <w:rsid w:val="00CA4C28"/>
    <w:rsid w:val="00CA561F"/>
    <w:rsid w:val="00CA6B6E"/>
    <w:rsid w:val="00CB1524"/>
    <w:rsid w:val="00CC1FED"/>
    <w:rsid w:val="00CC539D"/>
    <w:rsid w:val="00CD1B3A"/>
    <w:rsid w:val="00CD7211"/>
    <w:rsid w:val="00CD751D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4AF"/>
    <w:rsid w:val="00D21FA6"/>
    <w:rsid w:val="00D245EF"/>
    <w:rsid w:val="00D2695E"/>
    <w:rsid w:val="00D34F19"/>
    <w:rsid w:val="00D446DF"/>
    <w:rsid w:val="00D51563"/>
    <w:rsid w:val="00D6775A"/>
    <w:rsid w:val="00D726DF"/>
    <w:rsid w:val="00D757B8"/>
    <w:rsid w:val="00D77884"/>
    <w:rsid w:val="00D779C3"/>
    <w:rsid w:val="00D77C8E"/>
    <w:rsid w:val="00D81915"/>
    <w:rsid w:val="00D821A9"/>
    <w:rsid w:val="00D86896"/>
    <w:rsid w:val="00D97D27"/>
    <w:rsid w:val="00DA02F1"/>
    <w:rsid w:val="00DA302D"/>
    <w:rsid w:val="00DA4328"/>
    <w:rsid w:val="00DA4388"/>
    <w:rsid w:val="00DA6D62"/>
    <w:rsid w:val="00DA7FE7"/>
    <w:rsid w:val="00DB0521"/>
    <w:rsid w:val="00DB2EE5"/>
    <w:rsid w:val="00DB3BB6"/>
    <w:rsid w:val="00DB79AB"/>
    <w:rsid w:val="00DC0E97"/>
    <w:rsid w:val="00DC1ACC"/>
    <w:rsid w:val="00DC6943"/>
    <w:rsid w:val="00DC7F7B"/>
    <w:rsid w:val="00DD2187"/>
    <w:rsid w:val="00DE5C94"/>
    <w:rsid w:val="00DE638B"/>
    <w:rsid w:val="00DF2CCE"/>
    <w:rsid w:val="00DF3E53"/>
    <w:rsid w:val="00DF7EB3"/>
    <w:rsid w:val="00E009F7"/>
    <w:rsid w:val="00E03980"/>
    <w:rsid w:val="00E04583"/>
    <w:rsid w:val="00E06D78"/>
    <w:rsid w:val="00E1027A"/>
    <w:rsid w:val="00E11E52"/>
    <w:rsid w:val="00E2339F"/>
    <w:rsid w:val="00E2385E"/>
    <w:rsid w:val="00E23CEA"/>
    <w:rsid w:val="00E30DE3"/>
    <w:rsid w:val="00E31AED"/>
    <w:rsid w:val="00E31CAE"/>
    <w:rsid w:val="00E31CC7"/>
    <w:rsid w:val="00E32112"/>
    <w:rsid w:val="00E322A5"/>
    <w:rsid w:val="00E33769"/>
    <w:rsid w:val="00E35E0F"/>
    <w:rsid w:val="00E370BD"/>
    <w:rsid w:val="00E61DD5"/>
    <w:rsid w:val="00E63EA2"/>
    <w:rsid w:val="00E64DE9"/>
    <w:rsid w:val="00E679DA"/>
    <w:rsid w:val="00E831CE"/>
    <w:rsid w:val="00E8660B"/>
    <w:rsid w:val="00E90319"/>
    <w:rsid w:val="00E943C9"/>
    <w:rsid w:val="00E9521B"/>
    <w:rsid w:val="00EA0466"/>
    <w:rsid w:val="00EA3B9F"/>
    <w:rsid w:val="00EA596F"/>
    <w:rsid w:val="00EB0E73"/>
    <w:rsid w:val="00EB5FE2"/>
    <w:rsid w:val="00EC08AC"/>
    <w:rsid w:val="00EC4A48"/>
    <w:rsid w:val="00EE1090"/>
    <w:rsid w:val="00EE333C"/>
    <w:rsid w:val="00EE46DF"/>
    <w:rsid w:val="00EE67F4"/>
    <w:rsid w:val="00EE74FF"/>
    <w:rsid w:val="00EF0013"/>
    <w:rsid w:val="00EF3241"/>
    <w:rsid w:val="00EF76E8"/>
    <w:rsid w:val="00F01FFC"/>
    <w:rsid w:val="00F05489"/>
    <w:rsid w:val="00F264CE"/>
    <w:rsid w:val="00F27B41"/>
    <w:rsid w:val="00F42C2D"/>
    <w:rsid w:val="00F51B4F"/>
    <w:rsid w:val="00F53DA0"/>
    <w:rsid w:val="00F53FFB"/>
    <w:rsid w:val="00F54536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5E0D"/>
    <w:rsid w:val="00F9023B"/>
    <w:rsid w:val="00F9792D"/>
    <w:rsid w:val="00FA5787"/>
    <w:rsid w:val="00FA5B7B"/>
    <w:rsid w:val="00FA657B"/>
    <w:rsid w:val="00FB53EC"/>
    <w:rsid w:val="00FB7719"/>
    <w:rsid w:val="00FC575E"/>
    <w:rsid w:val="00FC626B"/>
    <w:rsid w:val="00FC76DE"/>
    <w:rsid w:val="00FD3FEC"/>
    <w:rsid w:val="00FD5009"/>
    <w:rsid w:val="00FD5CE5"/>
    <w:rsid w:val="00FE5EA4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4E32B342-AF5C-4254-81E5-05BE9068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hdl.pharmacy.services.conduent.com/MHDL/welcome.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pubmhdlupdates.do?category=Upcoming+and+Recent+Update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1" ma:contentTypeDescription="Create a new document." ma:contentTypeScope="" ma:versionID="30c5e4fde97e5550b5ef1a92d670a016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de99682dbc6e28115e0efca5fe65aa19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5B194-CB16-467C-9A99-F890E3ACB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5c0ed19a-6442-486d-a068-86457d131ec5"/>
    <ds:schemaRef ds:uri="a2ac5cde-4468-402a-ac20-5b556603971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10</cp:revision>
  <cp:lastPrinted>2024-10-16T21:48:00Z</cp:lastPrinted>
  <dcterms:created xsi:type="dcterms:W3CDTF">2025-07-18T16:45:00Z</dcterms:created>
  <dcterms:modified xsi:type="dcterms:W3CDTF">2025-07-22T13:19:00Z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