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517F9869" w:rsidR="00AD42BB" w:rsidRPr="00043912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color w:val="FF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51BC0291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821601">
        <w:rPr>
          <w:lang w:val="en-US"/>
        </w:rPr>
        <w:t>V</w:t>
      </w:r>
      <w:r w:rsidRPr="00821601">
        <w:rPr>
          <w:lang w:val="en-US"/>
        </w:rPr>
        <w:t xml:space="preserve">olume </w:t>
      </w:r>
      <w:r w:rsidR="00672AF3" w:rsidRPr="00821601">
        <w:rPr>
          <w:lang w:val="en-US"/>
        </w:rPr>
        <w:t>15</w:t>
      </w:r>
      <w:r w:rsidRPr="00821601">
        <w:rPr>
          <w:lang w:val="en-US"/>
        </w:rPr>
        <w:t xml:space="preserve">, Issue </w:t>
      </w:r>
      <w:r w:rsidR="00672AF3" w:rsidRPr="00821601">
        <w:rPr>
          <w:lang w:val="en-US"/>
        </w:rPr>
        <w:t>16</w:t>
      </w:r>
      <w:r w:rsidR="00C76762" w:rsidRPr="00821601">
        <w:rPr>
          <w:lang w:val="en-US"/>
        </w:rPr>
        <w:t xml:space="preserve">, </w:t>
      </w:r>
      <w:r w:rsidR="00821601" w:rsidRPr="00821601">
        <w:rPr>
          <w:lang w:val="en-US"/>
        </w:rPr>
        <w:t>October</w:t>
      </w:r>
      <w:r w:rsidR="002559B8" w:rsidRPr="00821601">
        <w:rPr>
          <w:lang w:val="en-US"/>
        </w:rPr>
        <w:t xml:space="preserve"> 202</w:t>
      </w:r>
      <w:r w:rsidR="00821601" w:rsidRPr="00821601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7E7FD461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D4709E">
        <w:rPr>
          <w:rFonts w:ascii="Arial" w:hAnsi="Arial" w:cs="Arial"/>
          <w:sz w:val="26"/>
          <w:szCs w:val="26"/>
        </w:rPr>
        <w:t>January 5, 2026</w:t>
      </w:r>
    </w:p>
    <w:p w14:paraId="5AC0D1ED" w14:textId="77777777" w:rsidR="005704FB" w:rsidRPr="005704FB" w:rsidRDefault="005704FB" w:rsidP="005704FB"/>
    <w:p w14:paraId="161129A6" w14:textId="5A754A73" w:rsidR="00C26785" w:rsidRPr="00C26785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to the MassHealth Drug List for the rollout effective </w:t>
      </w:r>
      <w:r w:rsidR="004767E7">
        <w:rPr>
          <w:rFonts w:ascii="Arial" w:eastAsiaTheme="minorHAnsi" w:hAnsi="Arial" w:cs="Arial"/>
          <w:color w:val="auto"/>
          <w:kern w:val="0"/>
          <w:sz w:val="22"/>
          <w:szCs w:val="22"/>
        </w:rPr>
        <w:t>January 5, 2026</w:t>
      </w:r>
      <w:r w:rsidRPr="00C26785">
        <w:rPr>
          <w:rFonts w:ascii="Arial" w:hAnsi="Arial" w:cs="Arial"/>
          <w:bCs/>
          <w:color w:val="auto"/>
          <w:sz w:val="22"/>
          <w:szCs w:val="22"/>
        </w:rPr>
        <w:t>, that have been identified as more restrictive in nature.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DC694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50EBAD24" w14:textId="77777777" w:rsidR="00DC6943" w:rsidRDefault="00DC6943" w:rsidP="00DC6943">
      <w:pPr>
        <w:tabs>
          <w:tab w:val="left" w:pos="1080"/>
        </w:tabs>
        <w:rPr>
          <w:rFonts w:ascii="Arial" w:hAnsi="Arial" w:cs="Arial"/>
        </w:rPr>
      </w:pPr>
    </w:p>
    <w:p w14:paraId="21D1DF85" w14:textId="77777777" w:rsidR="00340098" w:rsidRPr="00340098" w:rsidRDefault="00340098" w:rsidP="00340098">
      <w:pPr>
        <w:numPr>
          <w:ilvl w:val="0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bookmarkStart w:id="2" w:name="_Hlk98931753"/>
      <w:bookmarkStart w:id="3" w:name="_Hlk30086979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Effective January 5, 2026, the following anticonvulsant will require PA. </w:t>
      </w:r>
    </w:p>
    <w:p w14:paraId="0B78A9BE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topiramate extended-release sprinkle capsule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A90</w:t>
      </w:r>
    </w:p>
    <w:p w14:paraId="2F1488E2" w14:textId="77777777" w:rsidR="00340098" w:rsidRPr="00340098" w:rsidRDefault="00340098" w:rsidP="00340098">
      <w:pPr>
        <w:numPr>
          <w:ilvl w:val="0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Effective January 5, 2026, the following lipid lowering agents will require PA. </w:t>
      </w:r>
    </w:p>
    <w:p w14:paraId="41D41C0B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fenofibrate 130 mg capsule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M90</w:t>
      </w:r>
    </w:p>
    <w:p w14:paraId="0144B8F4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fenofibric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acid tablet – </w:t>
      </w:r>
      <w:r w:rsidRPr="00340098">
        <w:rPr>
          <w:rFonts w:ascii="Arial" w:eastAsia="Calibri" w:hAnsi="Arial" w:cs="Arial"/>
          <w:b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M90</w:t>
      </w:r>
    </w:p>
    <w:p w14:paraId="44780BC8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Lipofen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(fenofibrate 50 mg, 150 mg capsule)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M90</w:t>
      </w:r>
    </w:p>
    <w:p w14:paraId="4C68D8C4" w14:textId="77777777" w:rsidR="00340098" w:rsidRPr="00340098" w:rsidRDefault="00340098" w:rsidP="00340098">
      <w:pPr>
        <w:numPr>
          <w:ilvl w:val="0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Effective January 5, 2026, the following proton pump inhibitor agents will require PA when exceeding quantity limits. </w:t>
      </w:r>
    </w:p>
    <w:p w14:paraId="6D50A5BA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omeprazole/sodium bicarbonate capsule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 &gt; 1 unit/day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M90</w:t>
      </w:r>
    </w:p>
    <w:p w14:paraId="49F2B832" w14:textId="77777777" w:rsidR="00340098" w:rsidRPr="00340098" w:rsidRDefault="00340098" w:rsidP="00340098">
      <w:pPr>
        <w:numPr>
          <w:ilvl w:val="1"/>
          <w:numId w:val="22"/>
        </w:numPr>
        <w:spacing w:after="160" w:line="259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Prevacid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</w:t>
      </w: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Solutab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(lansoprazole orally disintegrating tablet)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 &gt; 1 unit/day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BP, M90</w:t>
      </w:r>
    </w:p>
    <w:bookmarkEnd w:id="2"/>
    <w:bookmarkEnd w:id="3"/>
    <w:p w14:paraId="0AB7A701" w14:textId="77777777" w:rsidR="00340098" w:rsidRPr="00340098" w:rsidRDefault="00340098" w:rsidP="00340098">
      <w:pPr>
        <w:numPr>
          <w:ilvl w:val="0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Effective January 5, 2026, the following chemotherapy agent will require PA.</w:t>
      </w:r>
    </w:p>
    <w:p w14:paraId="428E8943" w14:textId="77777777" w:rsidR="00340098" w:rsidRPr="00340098" w:rsidRDefault="00340098" w:rsidP="00340098">
      <w:pPr>
        <w:numPr>
          <w:ilvl w:val="1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Velcade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(bortezomib)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, MB</w:t>
      </w:r>
    </w:p>
    <w:p w14:paraId="45CA02F7" w14:textId="77777777" w:rsidR="00340098" w:rsidRPr="00340098" w:rsidRDefault="00340098" w:rsidP="00340098">
      <w:pPr>
        <w:numPr>
          <w:ilvl w:val="0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Effective January 5, 2026, the following antiretroviral agents will require PA.</w:t>
      </w:r>
    </w:p>
    <w:p w14:paraId="71E09AA4" w14:textId="77777777" w:rsidR="00340098" w:rsidRPr="00340098" w:rsidRDefault="00340098" w:rsidP="00340098">
      <w:pPr>
        <w:numPr>
          <w:ilvl w:val="1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Complera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(emtricitabine/</w:t>
      </w: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rilpivirine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/ tenofovir disoproxil fumarate)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>PA</w:t>
      </w: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; BP</w:t>
      </w:r>
    </w:p>
    <w:p w14:paraId="50996868" w14:textId="77777777" w:rsidR="00340098" w:rsidRPr="00340098" w:rsidRDefault="00340098" w:rsidP="00340098">
      <w:pPr>
        <w:numPr>
          <w:ilvl w:val="1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Genvoya (elvitegravir/ cobicistat/emtricitabine/ tenofovir alafenamide) –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 xml:space="preserve"> PA</w:t>
      </w:r>
    </w:p>
    <w:p w14:paraId="28474E1A" w14:textId="77777777" w:rsidR="00340098" w:rsidRPr="00340098" w:rsidRDefault="00340098" w:rsidP="00340098">
      <w:pPr>
        <w:numPr>
          <w:ilvl w:val="1"/>
          <w:numId w:val="22"/>
        </w:numPr>
        <w:spacing w:after="160"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Odefsey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(emtricitabine/</w:t>
      </w: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rilpivirine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/ tenofovir alafenamide) – 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 xml:space="preserve">PA </w:t>
      </w:r>
    </w:p>
    <w:p w14:paraId="195803A7" w14:textId="0F6DF568" w:rsidR="00027C6B" w:rsidRPr="004B3C35" w:rsidRDefault="00340098" w:rsidP="004B3C35">
      <w:pPr>
        <w:numPr>
          <w:ilvl w:val="1"/>
          <w:numId w:val="22"/>
        </w:numPr>
        <w:spacing w:line="276" w:lineRule="auto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  <w:proofErr w:type="spellStart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>Stribild</w:t>
      </w:r>
      <w:proofErr w:type="spellEnd"/>
      <w:r w:rsidRPr="00340098">
        <w:rPr>
          <w:rFonts w:ascii="Arial" w:eastAsia="Calibri" w:hAnsi="Arial" w:cs="Arial"/>
          <w:color w:val="auto"/>
          <w:kern w:val="0"/>
          <w:sz w:val="22"/>
          <w:szCs w:val="22"/>
        </w:rPr>
        <w:t xml:space="preserve"> (elvitegravir/cobicistat/ emtricitabine/tenofovir disoproxil fumarate) –</w:t>
      </w:r>
      <w:r w:rsidRPr="00340098">
        <w:rPr>
          <w:rFonts w:ascii="Arial" w:eastAsia="Calibri" w:hAnsi="Arial" w:cs="Arial"/>
          <w:b/>
          <w:bCs/>
          <w:color w:val="auto"/>
          <w:kern w:val="0"/>
          <w:sz w:val="22"/>
          <w:szCs w:val="22"/>
        </w:rPr>
        <w:t xml:space="preserve"> PA</w:t>
      </w:r>
    </w:p>
    <w:p w14:paraId="2C8635D3" w14:textId="77777777" w:rsidR="004B3C35" w:rsidRPr="00027C6B" w:rsidRDefault="004B3C35" w:rsidP="004B3C35">
      <w:pPr>
        <w:spacing w:line="276" w:lineRule="auto"/>
        <w:ind w:left="1080"/>
        <w:contextualSpacing/>
        <w:rPr>
          <w:rFonts w:ascii="Arial" w:eastAsia="Calibri" w:hAnsi="Arial" w:cs="Arial"/>
          <w:color w:val="auto"/>
          <w:kern w:val="0"/>
          <w:sz w:val="22"/>
          <w:szCs w:val="22"/>
        </w:rPr>
      </w:pPr>
    </w:p>
    <w:p w14:paraId="18A3C2C8" w14:textId="57E578CC" w:rsidR="00311223" w:rsidRPr="00311223" w:rsidRDefault="00311223" w:rsidP="007463DF">
      <w:pPr>
        <w:pStyle w:val="Heading2"/>
        <w:framePr w:hSpace="0" w:wrap="auto" w:vAnchor="margin" w:yAlign="inline"/>
        <w:spacing w:before="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0714937D" w14:textId="77777777" w:rsidR="00062FC6" w:rsidRDefault="00062FC6" w:rsidP="006B20D5">
      <w:pPr>
        <w:spacing w:line="276" w:lineRule="auto"/>
      </w:pPr>
    </w:p>
    <w:p w14:paraId="20BB1FED" w14:textId="77777777" w:rsidR="00093259" w:rsidRPr="00093259" w:rsidRDefault="00093259" w:rsidP="00093259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 xml:space="preserve">Effective </w:t>
      </w:r>
      <w:r w:rsidRPr="00093259">
        <w:rPr>
          <w:rFonts w:ascii="Arial" w:hAnsi="Arial" w:cs="Arial"/>
          <w:color w:val="auto"/>
          <w:sz w:val="22"/>
          <w:szCs w:val="22"/>
        </w:rPr>
        <w:t>January 5, 2026</w:t>
      </w:r>
      <w:r w:rsidRPr="00093259">
        <w:rPr>
          <w:rFonts w:ascii="Arial" w:hAnsi="Arial" w:cs="Arial"/>
          <w:sz w:val="22"/>
          <w:szCs w:val="22"/>
        </w:rPr>
        <w:t xml:space="preserve">, the following agents will be added to the MassHealth Brand Name Preferred Over Generic Drug List. </w:t>
      </w:r>
    </w:p>
    <w:p w14:paraId="45C487FC" w14:textId="77777777" w:rsidR="00093259" w:rsidRPr="00093259" w:rsidRDefault="00093259" w:rsidP="00093259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1399419"/>
      <w:bookmarkStart w:id="5" w:name="_Hlk527542710"/>
      <w:proofErr w:type="spellStart"/>
      <w:r w:rsidRPr="00093259">
        <w:rPr>
          <w:rFonts w:ascii="Arial" w:hAnsi="Arial" w:cs="Arial"/>
          <w:sz w:val="22"/>
          <w:szCs w:val="22"/>
        </w:rPr>
        <w:t>Colestid</w:t>
      </w:r>
      <w:proofErr w:type="spellEnd"/>
      <w:r w:rsidRPr="00093259">
        <w:rPr>
          <w:rFonts w:ascii="Arial" w:hAnsi="Arial" w:cs="Arial"/>
          <w:sz w:val="22"/>
          <w:szCs w:val="22"/>
        </w:rPr>
        <w:t xml:space="preserve"> (colestipol tablet); BP, M90</w:t>
      </w:r>
    </w:p>
    <w:p w14:paraId="1FA1B3ED" w14:textId="77777777" w:rsidR="00093259" w:rsidRPr="00093259" w:rsidRDefault="00093259" w:rsidP="00093259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bookmarkStart w:id="6" w:name="_Hlk14249184"/>
      <w:bookmarkEnd w:id="4"/>
      <w:bookmarkEnd w:id="5"/>
      <w:r w:rsidRPr="00093259">
        <w:rPr>
          <w:rFonts w:ascii="Arial" w:hAnsi="Arial" w:cs="Arial"/>
          <w:sz w:val="22"/>
          <w:szCs w:val="22"/>
        </w:rPr>
        <w:t>Eliquis (apixaban tablet); BP</w:t>
      </w:r>
    </w:p>
    <w:p w14:paraId="19805BB9" w14:textId="77777777" w:rsidR="00093259" w:rsidRPr="00093259" w:rsidRDefault="00093259" w:rsidP="00093259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2"/>
          <w:szCs w:val="22"/>
        </w:rPr>
      </w:pPr>
      <w:proofErr w:type="spellStart"/>
      <w:r w:rsidRPr="00093259">
        <w:rPr>
          <w:rFonts w:ascii="Arial" w:hAnsi="Arial" w:cs="Arial"/>
          <w:sz w:val="22"/>
          <w:szCs w:val="22"/>
        </w:rPr>
        <w:t>Korlym</w:t>
      </w:r>
      <w:proofErr w:type="spellEnd"/>
      <w:r w:rsidRPr="00093259">
        <w:rPr>
          <w:rFonts w:ascii="Arial" w:hAnsi="Arial" w:cs="Arial"/>
          <w:sz w:val="22"/>
          <w:szCs w:val="22"/>
        </w:rPr>
        <w:t xml:space="preserve"> (mifepristone 300 mg) – </w:t>
      </w:r>
      <w:r w:rsidRPr="00093259">
        <w:rPr>
          <w:rFonts w:ascii="Arial" w:hAnsi="Arial" w:cs="Arial"/>
          <w:b/>
          <w:bCs/>
          <w:sz w:val="22"/>
          <w:szCs w:val="22"/>
        </w:rPr>
        <w:t>PA</w:t>
      </w:r>
      <w:r w:rsidRPr="00093259">
        <w:rPr>
          <w:rFonts w:ascii="Arial" w:hAnsi="Arial" w:cs="Arial"/>
          <w:sz w:val="22"/>
          <w:szCs w:val="22"/>
        </w:rPr>
        <w:t>; BP, A90</w:t>
      </w:r>
    </w:p>
    <w:p w14:paraId="6C4B8CC4" w14:textId="77777777" w:rsidR="00093259" w:rsidRDefault="00093259" w:rsidP="00093259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>Savella (milnacipran); BP</w:t>
      </w:r>
    </w:p>
    <w:p w14:paraId="29641CC3" w14:textId="77777777" w:rsidR="00093259" w:rsidRPr="00093259" w:rsidRDefault="00093259" w:rsidP="00093259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 xml:space="preserve">Effective </w:t>
      </w:r>
      <w:r w:rsidRPr="00093259">
        <w:rPr>
          <w:rFonts w:ascii="Arial" w:hAnsi="Arial" w:cs="Arial"/>
          <w:color w:val="auto"/>
          <w:sz w:val="22"/>
          <w:szCs w:val="22"/>
        </w:rPr>
        <w:t>January 5, 2026</w:t>
      </w:r>
      <w:r w:rsidRPr="00093259">
        <w:rPr>
          <w:rFonts w:ascii="Arial" w:hAnsi="Arial" w:cs="Arial"/>
          <w:sz w:val="22"/>
          <w:szCs w:val="22"/>
        </w:rPr>
        <w:t xml:space="preserve">, the following agents will be removed from the MassHealth Brand Name Preferred Over Generic Drug List. </w:t>
      </w:r>
    </w:p>
    <w:bookmarkEnd w:id="6"/>
    <w:p w14:paraId="00B02B80" w14:textId="77777777" w:rsidR="00093259" w:rsidRDefault="00093259" w:rsidP="00093259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>Copaxone (glatiramer 40 mg); #</w:t>
      </w:r>
    </w:p>
    <w:p w14:paraId="3EB2DC4A" w14:textId="07F9DCE6" w:rsidR="00093259" w:rsidRPr="00B90BD8" w:rsidRDefault="00093259" w:rsidP="00B90BD8">
      <w:pPr>
        <w:pStyle w:val="ListParagraph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093259">
        <w:rPr>
          <w:rFonts w:ascii="Arial" w:hAnsi="Arial" w:cs="Arial"/>
          <w:sz w:val="22"/>
          <w:szCs w:val="22"/>
        </w:rPr>
        <w:t>Humira (adalimumab)</w:t>
      </w:r>
      <w:r w:rsidRPr="00093259">
        <w:rPr>
          <w:rFonts w:ascii="Arial" w:hAnsi="Arial" w:cs="Arial"/>
          <w:sz w:val="22"/>
          <w:szCs w:val="22"/>
          <w:vertAlign w:val="superscript"/>
        </w:rPr>
        <w:t xml:space="preserve"> PD</w:t>
      </w:r>
      <w:r w:rsidRPr="00093259">
        <w:rPr>
          <w:rFonts w:ascii="Arial" w:hAnsi="Arial" w:cs="Arial"/>
          <w:sz w:val="22"/>
          <w:szCs w:val="22"/>
        </w:rPr>
        <w:t xml:space="preserve"> – </w:t>
      </w:r>
      <w:r w:rsidRPr="00093259">
        <w:rPr>
          <w:rFonts w:ascii="Arial" w:hAnsi="Arial" w:cs="Arial"/>
          <w:b/>
          <w:bCs/>
          <w:sz w:val="22"/>
          <w:szCs w:val="22"/>
        </w:rPr>
        <w:t>PA</w:t>
      </w:r>
      <w:r w:rsidR="00B90BD8">
        <w:rPr>
          <w:rFonts w:ascii="Arial" w:hAnsi="Arial" w:cs="Arial"/>
          <w:b/>
          <w:bCs/>
          <w:sz w:val="22"/>
          <w:szCs w:val="22"/>
        </w:rPr>
        <w:br w:type="page"/>
      </w:r>
    </w:p>
    <w:p w14:paraId="4ED2FBD7" w14:textId="109F0322" w:rsidR="002D002C" w:rsidRDefault="002D002C" w:rsidP="005F2350">
      <w:pPr>
        <w:pStyle w:val="Heading1"/>
        <w:spacing w:line="276" w:lineRule="auto"/>
        <w:rPr>
          <w:rFonts w:ascii="Arial" w:hAnsi="Arial" w:cs="Arial"/>
          <w:sz w:val="26"/>
          <w:szCs w:val="26"/>
        </w:rPr>
      </w:pPr>
      <w:r w:rsidRPr="006141F1">
        <w:rPr>
          <w:rFonts w:ascii="Arial" w:hAnsi="Arial" w:cs="Arial"/>
          <w:sz w:val="26"/>
          <w:szCs w:val="26"/>
        </w:rPr>
        <w:lastRenderedPageBreak/>
        <w:t xml:space="preserve">Deletions </w:t>
      </w:r>
    </w:p>
    <w:p w14:paraId="7638A8B3" w14:textId="77777777" w:rsidR="005F2350" w:rsidRPr="005F2350" w:rsidRDefault="005F2350" w:rsidP="005F2350">
      <w:pPr>
        <w:rPr>
          <w:lang w:val="en"/>
        </w:rPr>
      </w:pPr>
    </w:p>
    <w:p w14:paraId="1484139A" w14:textId="77777777" w:rsidR="00ED162E" w:rsidRPr="00AC23F7" w:rsidRDefault="00ED162E" w:rsidP="005F235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AC23F7">
        <w:rPr>
          <w:rFonts w:ascii="Arial" w:hAnsi="Arial" w:cs="Arial"/>
          <w:sz w:val="22"/>
          <w:szCs w:val="22"/>
        </w:rPr>
        <w:t xml:space="preserve">The following drugs have been removed from the MassHealth Drug List because they have been discontinued by the manufacturer. </w:t>
      </w:r>
    </w:p>
    <w:p w14:paraId="29F0AE0C" w14:textId="77777777" w:rsidR="00ED162E" w:rsidRPr="00AC23F7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7" w:name="_Hlk11056502"/>
      <w:r w:rsidRPr="00AC23F7">
        <w:rPr>
          <w:rFonts w:ascii="Arial" w:hAnsi="Arial" w:cs="Arial"/>
          <w:sz w:val="22"/>
          <w:szCs w:val="22"/>
        </w:rPr>
        <w:t xml:space="preserve">Aciphex (rabeprazole delayed-release tablet) – </w:t>
      </w:r>
      <w:r w:rsidRPr="00AC23F7">
        <w:rPr>
          <w:rFonts w:ascii="Arial" w:hAnsi="Arial" w:cs="Arial"/>
          <w:b/>
          <w:bCs/>
          <w:sz w:val="22"/>
          <w:szCs w:val="22"/>
        </w:rPr>
        <w:t>PA &gt; 1 unit/day</w:t>
      </w:r>
      <w:r w:rsidRPr="00AC23F7">
        <w:rPr>
          <w:rFonts w:ascii="Arial" w:hAnsi="Arial" w:cs="Arial"/>
          <w:sz w:val="22"/>
          <w:szCs w:val="22"/>
        </w:rPr>
        <w:t>; #, M90</w:t>
      </w:r>
      <w:r w:rsidRPr="00AC23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51D78E" w14:textId="77777777" w:rsidR="00ED162E" w:rsidRPr="00434B66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Blenrep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belantamab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mafodotin-blmf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434B66">
        <w:rPr>
          <w:rFonts w:ascii="Arial" w:hAnsi="Arial" w:cs="Arial"/>
          <w:b/>
          <w:bCs/>
          <w:color w:val="auto"/>
          <w:sz w:val="22"/>
          <w:szCs w:val="22"/>
        </w:rPr>
        <w:t xml:space="preserve">PA </w:t>
      </w:r>
    </w:p>
    <w:p w14:paraId="0BC72A39" w14:textId="77777777" w:rsidR="00ED162E" w:rsidRPr="00434B66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8" w:name="_Hlk81159473"/>
      <w:bookmarkEnd w:id="7"/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Fusilev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levoleucovorin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 powder for injection) – </w:t>
      </w:r>
      <w:r w:rsidRPr="00434B66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72AB72B1" w14:textId="77777777" w:rsidR="00ED162E" w:rsidRPr="001E6209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1E6209">
        <w:rPr>
          <w:rFonts w:ascii="Arial" w:hAnsi="Arial" w:cs="Arial"/>
          <w:color w:val="auto"/>
          <w:sz w:val="22"/>
          <w:szCs w:val="22"/>
        </w:rPr>
        <w:t>Glumetza</w:t>
      </w:r>
      <w:proofErr w:type="spellEnd"/>
      <w:r w:rsidRPr="001E6209">
        <w:rPr>
          <w:rFonts w:ascii="Arial" w:hAnsi="Arial" w:cs="Arial"/>
          <w:color w:val="auto"/>
          <w:sz w:val="22"/>
          <w:szCs w:val="22"/>
        </w:rPr>
        <w:t xml:space="preserve"> (metformin extended-release, gastric tablet) – </w:t>
      </w:r>
      <w:r w:rsidRPr="001E6209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1E6209">
        <w:rPr>
          <w:rFonts w:ascii="Arial" w:hAnsi="Arial" w:cs="Arial"/>
          <w:color w:val="auto"/>
          <w:sz w:val="22"/>
          <w:szCs w:val="22"/>
        </w:rPr>
        <w:t>; M90</w:t>
      </w:r>
    </w:p>
    <w:p w14:paraId="365BF407" w14:textId="77777777" w:rsidR="00ED162E" w:rsidRPr="004C7512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Kisqali-Femara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 xml:space="preserve"> Co-Pack (</w:t>
      </w:r>
      <w:proofErr w:type="spellStart"/>
      <w:r w:rsidRPr="00434B66">
        <w:rPr>
          <w:rFonts w:ascii="Arial" w:hAnsi="Arial" w:cs="Arial"/>
          <w:color w:val="auto"/>
          <w:sz w:val="22"/>
          <w:szCs w:val="22"/>
        </w:rPr>
        <w:t>ribociclib</w:t>
      </w:r>
      <w:proofErr w:type="spellEnd"/>
      <w:r w:rsidRPr="00434B66">
        <w:rPr>
          <w:rFonts w:ascii="Arial" w:hAnsi="Arial" w:cs="Arial"/>
          <w:color w:val="auto"/>
          <w:sz w:val="22"/>
          <w:szCs w:val="22"/>
        </w:rPr>
        <w:t>/letrozole)</w:t>
      </w:r>
      <w:r w:rsidRPr="004C7512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4C7512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4C7512">
        <w:rPr>
          <w:rFonts w:ascii="Arial" w:hAnsi="Arial" w:cs="Arial"/>
          <w:color w:val="auto"/>
          <w:sz w:val="22"/>
          <w:szCs w:val="22"/>
        </w:rPr>
        <w:t xml:space="preserve"> </w:t>
      </w:r>
    </w:p>
    <w:bookmarkEnd w:id="8"/>
    <w:p w14:paraId="00AD709C" w14:textId="77777777" w:rsidR="00ED162E" w:rsidRPr="00EE09B5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E09B5">
        <w:rPr>
          <w:rFonts w:ascii="Arial" w:hAnsi="Arial" w:cs="Arial"/>
          <w:sz w:val="22"/>
          <w:szCs w:val="22"/>
        </w:rPr>
        <w:t xml:space="preserve">Nexium IV (esomeprazole sodium IV) – </w:t>
      </w:r>
      <w:r w:rsidRPr="00EE09B5">
        <w:rPr>
          <w:rFonts w:ascii="Arial" w:hAnsi="Arial" w:cs="Arial"/>
          <w:b/>
          <w:bCs/>
          <w:sz w:val="22"/>
          <w:szCs w:val="22"/>
        </w:rPr>
        <w:t>PA</w:t>
      </w:r>
    </w:p>
    <w:p w14:paraId="18C5CFC4" w14:textId="77777777" w:rsidR="00ED162E" w:rsidRPr="00ED514C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D514C">
        <w:rPr>
          <w:rFonts w:ascii="Arial" w:hAnsi="Arial" w:cs="Arial"/>
          <w:sz w:val="22"/>
          <w:szCs w:val="22"/>
        </w:rPr>
        <w:t>Prehevbrio</w:t>
      </w:r>
      <w:proofErr w:type="spellEnd"/>
      <w:r w:rsidRPr="00ED514C">
        <w:rPr>
          <w:rFonts w:ascii="Arial" w:hAnsi="Arial" w:cs="Arial"/>
          <w:sz w:val="22"/>
          <w:szCs w:val="22"/>
        </w:rPr>
        <w:t xml:space="preserve"> (hepatitis B recombinant vaccine); 1</w:t>
      </w:r>
    </w:p>
    <w:p w14:paraId="77C0436E" w14:textId="77777777" w:rsidR="00ED162E" w:rsidRPr="00ED514C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ED514C">
        <w:rPr>
          <w:rFonts w:ascii="Arial" w:hAnsi="Arial" w:cs="Arial"/>
          <w:sz w:val="22"/>
          <w:szCs w:val="22"/>
        </w:rPr>
        <w:t>Prevnar 13 (pneumococcal 13-valent conjugate</w:t>
      </w:r>
      <w:r>
        <w:rPr>
          <w:rFonts w:ascii="Arial" w:hAnsi="Arial" w:cs="Arial"/>
          <w:sz w:val="22"/>
          <w:szCs w:val="22"/>
        </w:rPr>
        <w:t xml:space="preserve"> </w:t>
      </w:r>
      <w:r w:rsidRPr="00ED514C">
        <w:rPr>
          <w:rFonts w:ascii="Arial" w:hAnsi="Arial" w:cs="Arial"/>
          <w:sz w:val="22"/>
          <w:szCs w:val="22"/>
        </w:rPr>
        <w:t>vaccine); 1</w:t>
      </w:r>
    </w:p>
    <w:p w14:paraId="25E7C544" w14:textId="77777777" w:rsidR="00ED162E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Qudexy</w:t>
      </w:r>
      <w:proofErr w:type="spellEnd"/>
      <w:r>
        <w:rPr>
          <w:rFonts w:ascii="Arial" w:hAnsi="Arial" w:cs="Arial"/>
          <w:sz w:val="22"/>
          <w:szCs w:val="22"/>
        </w:rPr>
        <w:t xml:space="preserve"> XR (topiramate extended-release sprinkle capsule) – </w:t>
      </w:r>
      <w:r w:rsidRPr="006C6AF7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>; A90</w:t>
      </w:r>
    </w:p>
    <w:p w14:paraId="47878BF5" w14:textId="77777777" w:rsidR="00ED162E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0A4D8A">
        <w:rPr>
          <w:rFonts w:ascii="Arial" w:hAnsi="Arial" w:cs="Arial"/>
          <w:sz w:val="22"/>
          <w:szCs w:val="22"/>
        </w:rPr>
        <w:t>Sandimmune</w:t>
      </w:r>
      <w:proofErr w:type="spellEnd"/>
      <w:r w:rsidRPr="000A4D8A">
        <w:rPr>
          <w:rFonts w:ascii="Arial" w:hAnsi="Arial" w:cs="Arial"/>
          <w:sz w:val="22"/>
          <w:szCs w:val="22"/>
        </w:rPr>
        <w:t xml:space="preserve"> (cyclosporine solution)</w:t>
      </w:r>
      <w:r>
        <w:rPr>
          <w:rFonts w:ascii="Arial" w:hAnsi="Arial" w:cs="Arial"/>
          <w:sz w:val="22"/>
          <w:szCs w:val="22"/>
        </w:rPr>
        <w:t xml:space="preserve"> – </w:t>
      </w:r>
      <w:r w:rsidRPr="000A4D8A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111012" w14:textId="77777777" w:rsidR="00ED162E" w:rsidRPr="005A5970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A5970">
        <w:rPr>
          <w:rFonts w:ascii="Arial" w:hAnsi="Arial" w:cs="Arial"/>
          <w:sz w:val="22"/>
          <w:szCs w:val="22"/>
        </w:rPr>
        <w:t>Trilipix</w:t>
      </w:r>
      <w:proofErr w:type="spellEnd"/>
      <w:r w:rsidRPr="005A597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A5970">
        <w:rPr>
          <w:rFonts w:ascii="Arial" w:hAnsi="Arial" w:cs="Arial"/>
          <w:sz w:val="22"/>
          <w:szCs w:val="22"/>
        </w:rPr>
        <w:t>fenofibric</w:t>
      </w:r>
      <w:proofErr w:type="spellEnd"/>
      <w:r w:rsidRPr="005A5970">
        <w:rPr>
          <w:rFonts w:ascii="Arial" w:hAnsi="Arial" w:cs="Arial"/>
          <w:sz w:val="22"/>
          <w:szCs w:val="22"/>
        </w:rPr>
        <w:t xml:space="preserve"> acid)</w:t>
      </w:r>
      <w:r>
        <w:rPr>
          <w:rFonts w:ascii="Arial" w:hAnsi="Arial" w:cs="Arial"/>
          <w:sz w:val="22"/>
          <w:szCs w:val="22"/>
        </w:rPr>
        <w:t>; #, M90</w:t>
      </w:r>
    </w:p>
    <w:p w14:paraId="47A242C1" w14:textId="77777777" w:rsidR="00ED162E" w:rsidRPr="00944A89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944A89">
        <w:rPr>
          <w:rFonts w:ascii="Arial" w:hAnsi="Arial" w:cs="Arial"/>
          <w:sz w:val="22"/>
          <w:szCs w:val="22"/>
        </w:rPr>
        <w:t xml:space="preserve">Zegerid (omeprazole/sodium bicarbonate powder for oral suspension) – </w:t>
      </w:r>
      <w:r w:rsidRPr="00944A89">
        <w:rPr>
          <w:rFonts w:ascii="Arial" w:hAnsi="Arial" w:cs="Arial"/>
          <w:b/>
          <w:bCs/>
          <w:sz w:val="22"/>
          <w:szCs w:val="22"/>
        </w:rPr>
        <w:t>PA</w:t>
      </w:r>
      <w:r w:rsidRPr="00944A89">
        <w:rPr>
          <w:rFonts w:ascii="Arial" w:hAnsi="Arial" w:cs="Arial"/>
          <w:sz w:val="22"/>
          <w:szCs w:val="22"/>
        </w:rPr>
        <w:t>; M90</w:t>
      </w:r>
    </w:p>
    <w:p w14:paraId="36E7B324" w14:textId="77777777" w:rsidR="00ED162E" w:rsidRPr="00944A89" w:rsidRDefault="00ED162E" w:rsidP="00ED162E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944A89">
        <w:rPr>
          <w:rFonts w:ascii="Arial" w:hAnsi="Arial" w:cs="Arial"/>
          <w:sz w:val="22"/>
          <w:szCs w:val="22"/>
        </w:rPr>
        <w:t>Zegerid (omeprazole/sodium bicarbonate capsule); #, M90</w:t>
      </w:r>
    </w:p>
    <w:p w14:paraId="06B33DF6" w14:textId="77777777" w:rsidR="0087314D" w:rsidRDefault="0087314D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75522537" w14:textId="34757804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792D52">
        <w:rPr>
          <w:rFonts w:ascii="Arial" w:eastAsiaTheme="minorHAnsi" w:hAnsi="Arial" w:cs="Arial"/>
          <w:color w:val="auto"/>
          <w:kern w:val="0"/>
          <w:sz w:val="22"/>
          <w:szCs w:val="22"/>
        </w:rPr>
        <w:t>January 5, 2026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Default="00571C6C" w:rsidP="00EF37A2">
      <w:pPr>
        <w:spacing w:after="4560"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200ACB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FA43" w14:textId="77777777" w:rsidR="00403B22" w:rsidRDefault="00403B22">
      <w:r>
        <w:separator/>
      </w:r>
    </w:p>
  </w:endnote>
  <w:endnote w:type="continuationSeparator" w:id="0">
    <w:p w14:paraId="352AC2BD" w14:textId="77777777" w:rsidR="00403B22" w:rsidRDefault="00403B22">
      <w:r>
        <w:continuationSeparator/>
      </w:r>
    </w:p>
  </w:endnote>
  <w:endnote w:type="continuationNotice" w:id="1">
    <w:p w14:paraId="22E7F3FE" w14:textId="77777777" w:rsidR="00403B22" w:rsidRDefault="00403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6B88" w14:textId="77777777" w:rsidR="00403B22" w:rsidRDefault="00403B22">
      <w:r>
        <w:separator/>
      </w:r>
    </w:p>
  </w:footnote>
  <w:footnote w:type="continuationSeparator" w:id="0">
    <w:p w14:paraId="504832F3" w14:textId="77777777" w:rsidR="00403B22" w:rsidRDefault="00403B22">
      <w:r>
        <w:continuationSeparator/>
      </w:r>
    </w:p>
  </w:footnote>
  <w:footnote w:type="continuationNotice" w:id="1">
    <w:p w14:paraId="70FE572E" w14:textId="77777777" w:rsidR="00403B22" w:rsidRDefault="00403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2839" w14:textId="019C9155" w:rsidR="00672AF3" w:rsidRPr="0046520A" w:rsidRDefault="00672AF3" w:rsidP="00672AF3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>
      <w:rPr>
        <w:rFonts w:ascii="Trebuchet MS" w:hAnsi="Trebuchet MS"/>
        <w:b/>
        <w:sz w:val="18"/>
        <w:szCs w:val="18"/>
        <w:lang w:val="en"/>
      </w:rPr>
      <w:t>15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16, October 2025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F2"/>
    <w:multiLevelType w:val="hybridMultilevel"/>
    <w:tmpl w:val="49165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77FD1"/>
    <w:multiLevelType w:val="hybridMultilevel"/>
    <w:tmpl w:val="15E2D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A363A"/>
    <w:multiLevelType w:val="hybridMultilevel"/>
    <w:tmpl w:val="9D7AE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76C09"/>
    <w:multiLevelType w:val="hybridMultilevel"/>
    <w:tmpl w:val="D672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E0771"/>
    <w:multiLevelType w:val="hybridMultilevel"/>
    <w:tmpl w:val="4C7463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055241"/>
    <w:multiLevelType w:val="hybridMultilevel"/>
    <w:tmpl w:val="85CA3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D2200"/>
    <w:multiLevelType w:val="hybridMultilevel"/>
    <w:tmpl w:val="DA12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4"/>
  </w:num>
  <w:num w:numId="2" w16cid:durableId="900097909">
    <w:abstractNumId w:val="32"/>
  </w:num>
  <w:num w:numId="3" w16cid:durableId="1055355579">
    <w:abstractNumId w:val="15"/>
  </w:num>
  <w:num w:numId="4" w16cid:durableId="199826978">
    <w:abstractNumId w:val="14"/>
  </w:num>
  <w:num w:numId="5" w16cid:durableId="1782339195">
    <w:abstractNumId w:val="33"/>
  </w:num>
  <w:num w:numId="6" w16cid:durableId="321617534">
    <w:abstractNumId w:val="34"/>
  </w:num>
  <w:num w:numId="7" w16cid:durableId="514729983">
    <w:abstractNumId w:val="5"/>
  </w:num>
  <w:num w:numId="8" w16cid:durableId="1932081016">
    <w:abstractNumId w:val="19"/>
  </w:num>
  <w:num w:numId="9" w16cid:durableId="2079358099">
    <w:abstractNumId w:val="7"/>
  </w:num>
  <w:num w:numId="10" w16cid:durableId="329336526">
    <w:abstractNumId w:val="2"/>
  </w:num>
  <w:num w:numId="11" w16cid:durableId="747574778">
    <w:abstractNumId w:val="9"/>
  </w:num>
  <w:num w:numId="12" w16cid:durableId="864055193">
    <w:abstractNumId w:val="6"/>
  </w:num>
  <w:num w:numId="13" w16cid:durableId="990477161">
    <w:abstractNumId w:val="18"/>
  </w:num>
  <w:num w:numId="14" w16cid:durableId="1299412918">
    <w:abstractNumId w:val="22"/>
  </w:num>
  <w:num w:numId="15" w16cid:durableId="47382837">
    <w:abstractNumId w:val="30"/>
  </w:num>
  <w:num w:numId="16" w16cid:durableId="223032385">
    <w:abstractNumId w:val="21"/>
  </w:num>
  <w:num w:numId="17" w16cid:durableId="957570114">
    <w:abstractNumId w:val="13"/>
  </w:num>
  <w:num w:numId="18" w16cid:durableId="923419402">
    <w:abstractNumId w:val="12"/>
  </w:num>
  <w:num w:numId="19" w16cid:durableId="1414740414">
    <w:abstractNumId w:val="24"/>
  </w:num>
  <w:num w:numId="20" w16cid:durableId="573467208">
    <w:abstractNumId w:val="27"/>
  </w:num>
  <w:num w:numId="21" w16cid:durableId="265770662">
    <w:abstractNumId w:val="29"/>
  </w:num>
  <w:num w:numId="22" w16cid:durableId="848445145">
    <w:abstractNumId w:val="17"/>
  </w:num>
  <w:num w:numId="23" w16cid:durableId="554703532">
    <w:abstractNumId w:val="26"/>
  </w:num>
  <w:num w:numId="24" w16cid:durableId="179124052">
    <w:abstractNumId w:val="23"/>
  </w:num>
  <w:num w:numId="25" w16cid:durableId="1269119146">
    <w:abstractNumId w:val="3"/>
  </w:num>
  <w:num w:numId="26" w16cid:durableId="394090683">
    <w:abstractNumId w:val="8"/>
  </w:num>
  <w:num w:numId="27" w16cid:durableId="132255841">
    <w:abstractNumId w:val="11"/>
  </w:num>
  <w:num w:numId="28" w16cid:durableId="20132519">
    <w:abstractNumId w:val="10"/>
  </w:num>
  <w:num w:numId="29" w16cid:durableId="850922848">
    <w:abstractNumId w:val="20"/>
  </w:num>
  <w:num w:numId="30" w16cid:durableId="1230992658">
    <w:abstractNumId w:val="31"/>
  </w:num>
  <w:num w:numId="31" w16cid:durableId="984744281">
    <w:abstractNumId w:val="25"/>
  </w:num>
  <w:num w:numId="32" w16cid:durableId="2022926220">
    <w:abstractNumId w:val="16"/>
  </w:num>
  <w:num w:numId="33" w16cid:durableId="218830361">
    <w:abstractNumId w:val="0"/>
  </w:num>
  <w:num w:numId="34" w16cid:durableId="552739578">
    <w:abstractNumId w:val="1"/>
  </w:num>
  <w:num w:numId="35" w16cid:durableId="16068417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27C6B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302A"/>
    <w:rsid w:val="00074014"/>
    <w:rsid w:val="00076469"/>
    <w:rsid w:val="00076A4D"/>
    <w:rsid w:val="00080A76"/>
    <w:rsid w:val="000814C3"/>
    <w:rsid w:val="000814F4"/>
    <w:rsid w:val="00093259"/>
    <w:rsid w:val="00094194"/>
    <w:rsid w:val="000A26B3"/>
    <w:rsid w:val="000A6C99"/>
    <w:rsid w:val="000B4487"/>
    <w:rsid w:val="000C15E5"/>
    <w:rsid w:val="000C1D5B"/>
    <w:rsid w:val="000C2AEE"/>
    <w:rsid w:val="000C69BD"/>
    <w:rsid w:val="000E186A"/>
    <w:rsid w:val="000E19BE"/>
    <w:rsid w:val="000E5134"/>
    <w:rsid w:val="000E515F"/>
    <w:rsid w:val="000E698F"/>
    <w:rsid w:val="000F145D"/>
    <w:rsid w:val="000F19D2"/>
    <w:rsid w:val="001003DC"/>
    <w:rsid w:val="00101872"/>
    <w:rsid w:val="001038B4"/>
    <w:rsid w:val="001049C6"/>
    <w:rsid w:val="00107CA4"/>
    <w:rsid w:val="00111830"/>
    <w:rsid w:val="00112E05"/>
    <w:rsid w:val="00113A33"/>
    <w:rsid w:val="00116520"/>
    <w:rsid w:val="00137002"/>
    <w:rsid w:val="00142590"/>
    <w:rsid w:val="00143EFF"/>
    <w:rsid w:val="001444A2"/>
    <w:rsid w:val="0014508B"/>
    <w:rsid w:val="00146A25"/>
    <w:rsid w:val="00146E96"/>
    <w:rsid w:val="0015261C"/>
    <w:rsid w:val="00157BE7"/>
    <w:rsid w:val="00161B6A"/>
    <w:rsid w:val="0016598C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59CE"/>
    <w:rsid w:val="001D6F5E"/>
    <w:rsid w:val="001D7759"/>
    <w:rsid w:val="001E3620"/>
    <w:rsid w:val="001E762D"/>
    <w:rsid w:val="001E7935"/>
    <w:rsid w:val="00200ACB"/>
    <w:rsid w:val="00205E56"/>
    <w:rsid w:val="00215FB5"/>
    <w:rsid w:val="002172A7"/>
    <w:rsid w:val="0021775D"/>
    <w:rsid w:val="0022143C"/>
    <w:rsid w:val="002216AC"/>
    <w:rsid w:val="00225AD3"/>
    <w:rsid w:val="00227174"/>
    <w:rsid w:val="002400F6"/>
    <w:rsid w:val="00241BBC"/>
    <w:rsid w:val="00242480"/>
    <w:rsid w:val="00242A52"/>
    <w:rsid w:val="00246894"/>
    <w:rsid w:val="002520E7"/>
    <w:rsid w:val="002559B8"/>
    <w:rsid w:val="00266C9D"/>
    <w:rsid w:val="002712BE"/>
    <w:rsid w:val="00271308"/>
    <w:rsid w:val="00272F9F"/>
    <w:rsid w:val="002734E3"/>
    <w:rsid w:val="00273E75"/>
    <w:rsid w:val="0027618E"/>
    <w:rsid w:val="0027780E"/>
    <w:rsid w:val="00283746"/>
    <w:rsid w:val="00283CFD"/>
    <w:rsid w:val="00287F60"/>
    <w:rsid w:val="002959F0"/>
    <w:rsid w:val="002A35C4"/>
    <w:rsid w:val="002A566F"/>
    <w:rsid w:val="002B16E1"/>
    <w:rsid w:val="002B3ACB"/>
    <w:rsid w:val="002B3AFD"/>
    <w:rsid w:val="002B4B60"/>
    <w:rsid w:val="002C14BD"/>
    <w:rsid w:val="002C261E"/>
    <w:rsid w:val="002C326C"/>
    <w:rsid w:val="002D002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2A39"/>
    <w:rsid w:val="003064EC"/>
    <w:rsid w:val="0030705F"/>
    <w:rsid w:val="0031009A"/>
    <w:rsid w:val="003111A5"/>
    <w:rsid w:val="00311223"/>
    <w:rsid w:val="003125A4"/>
    <w:rsid w:val="003128F3"/>
    <w:rsid w:val="0031549E"/>
    <w:rsid w:val="003159D1"/>
    <w:rsid w:val="00316A86"/>
    <w:rsid w:val="0031728E"/>
    <w:rsid w:val="00325D8F"/>
    <w:rsid w:val="00330FB0"/>
    <w:rsid w:val="00337677"/>
    <w:rsid w:val="00340098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6D1E"/>
    <w:rsid w:val="003971CE"/>
    <w:rsid w:val="00397377"/>
    <w:rsid w:val="003A17FB"/>
    <w:rsid w:val="003A670A"/>
    <w:rsid w:val="003A76A8"/>
    <w:rsid w:val="003B0EE0"/>
    <w:rsid w:val="003B251D"/>
    <w:rsid w:val="003C0161"/>
    <w:rsid w:val="003C15F6"/>
    <w:rsid w:val="003D177D"/>
    <w:rsid w:val="003E7380"/>
    <w:rsid w:val="003F092A"/>
    <w:rsid w:val="003F7F93"/>
    <w:rsid w:val="0040022A"/>
    <w:rsid w:val="00400EA4"/>
    <w:rsid w:val="00401354"/>
    <w:rsid w:val="00403B22"/>
    <w:rsid w:val="00410117"/>
    <w:rsid w:val="00410458"/>
    <w:rsid w:val="004109EB"/>
    <w:rsid w:val="00411059"/>
    <w:rsid w:val="00411C19"/>
    <w:rsid w:val="0041665A"/>
    <w:rsid w:val="00424615"/>
    <w:rsid w:val="00425560"/>
    <w:rsid w:val="00427D00"/>
    <w:rsid w:val="00431ACF"/>
    <w:rsid w:val="00433649"/>
    <w:rsid w:val="0044614E"/>
    <w:rsid w:val="00446350"/>
    <w:rsid w:val="004504B6"/>
    <w:rsid w:val="004564C8"/>
    <w:rsid w:val="00456BB4"/>
    <w:rsid w:val="004607BC"/>
    <w:rsid w:val="00461087"/>
    <w:rsid w:val="00463AE8"/>
    <w:rsid w:val="004650A7"/>
    <w:rsid w:val="0046520A"/>
    <w:rsid w:val="004671BF"/>
    <w:rsid w:val="00467BD4"/>
    <w:rsid w:val="00470265"/>
    <w:rsid w:val="00470FE2"/>
    <w:rsid w:val="0047213A"/>
    <w:rsid w:val="004733F0"/>
    <w:rsid w:val="0047627E"/>
    <w:rsid w:val="004767E7"/>
    <w:rsid w:val="00477057"/>
    <w:rsid w:val="00485E86"/>
    <w:rsid w:val="0049555F"/>
    <w:rsid w:val="0049734F"/>
    <w:rsid w:val="004A049E"/>
    <w:rsid w:val="004A58A3"/>
    <w:rsid w:val="004A5933"/>
    <w:rsid w:val="004B0A9F"/>
    <w:rsid w:val="004B24F7"/>
    <w:rsid w:val="004B3C35"/>
    <w:rsid w:val="004B4369"/>
    <w:rsid w:val="004B77A9"/>
    <w:rsid w:val="004C0C22"/>
    <w:rsid w:val="004C2C2B"/>
    <w:rsid w:val="004D493F"/>
    <w:rsid w:val="004D7846"/>
    <w:rsid w:val="004E42DD"/>
    <w:rsid w:val="004E58D0"/>
    <w:rsid w:val="004E6787"/>
    <w:rsid w:val="004E7484"/>
    <w:rsid w:val="004F36E7"/>
    <w:rsid w:val="004F3FB4"/>
    <w:rsid w:val="004F5803"/>
    <w:rsid w:val="004F5C69"/>
    <w:rsid w:val="004F635C"/>
    <w:rsid w:val="00502B92"/>
    <w:rsid w:val="00502D19"/>
    <w:rsid w:val="00505053"/>
    <w:rsid w:val="00505B4B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639B0"/>
    <w:rsid w:val="00567B9D"/>
    <w:rsid w:val="005704FB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85AD7"/>
    <w:rsid w:val="005870E6"/>
    <w:rsid w:val="00591187"/>
    <w:rsid w:val="0059122F"/>
    <w:rsid w:val="00592C98"/>
    <w:rsid w:val="0059487B"/>
    <w:rsid w:val="005A21DB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2350"/>
    <w:rsid w:val="005F35CD"/>
    <w:rsid w:val="005F77CB"/>
    <w:rsid w:val="006033D1"/>
    <w:rsid w:val="00610115"/>
    <w:rsid w:val="00612B60"/>
    <w:rsid w:val="0061720E"/>
    <w:rsid w:val="00622404"/>
    <w:rsid w:val="0062336E"/>
    <w:rsid w:val="0062529B"/>
    <w:rsid w:val="0062548F"/>
    <w:rsid w:val="00626A67"/>
    <w:rsid w:val="0064236A"/>
    <w:rsid w:val="0064259B"/>
    <w:rsid w:val="0064266F"/>
    <w:rsid w:val="006429E9"/>
    <w:rsid w:val="0064500C"/>
    <w:rsid w:val="00650CB2"/>
    <w:rsid w:val="00653EAC"/>
    <w:rsid w:val="0065410E"/>
    <w:rsid w:val="006558AB"/>
    <w:rsid w:val="0067107B"/>
    <w:rsid w:val="00672AF3"/>
    <w:rsid w:val="00680C86"/>
    <w:rsid w:val="00690023"/>
    <w:rsid w:val="0069031E"/>
    <w:rsid w:val="00694015"/>
    <w:rsid w:val="006A28CD"/>
    <w:rsid w:val="006A3DAD"/>
    <w:rsid w:val="006A573E"/>
    <w:rsid w:val="006A777A"/>
    <w:rsid w:val="006B207B"/>
    <w:rsid w:val="006B20D5"/>
    <w:rsid w:val="006B7613"/>
    <w:rsid w:val="006C3B50"/>
    <w:rsid w:val="006C7755"/>
    <w:rsid w:val="006D19C3"/>
    <w:rsid w:val="006D5D0D"/>
    <w:rsid w:val="006D70E0"/>
    <w:rsid w:val="006E0362"/>
    <w:rsid w:val="006E144D"/>
    <w:rsid w:val="006E6074"/>
    <w:rsid w:val="006F33E8"/>
    <w:rsid w:val="00702546"/>
    <w:rsid w:val="00711113"/>
    <w:rsid w:val="0071680C"/>
    <w:rsid w:val="00717A1C"/>
    <w:rsid w:val="0072128C"/>
    <w:rsid w:val="00721778"/>
    <w:rsid w:val="007231A6"/>
    <w:rsid w:val="007243D7"/>
    <w:rsid w:val="007311C3"/>
    <w:rsid w:val="007350B6"/>
    <w:rsid w:val="007459B2"/>
    <w:rsid w:val="007463DF"/>
    <w:rsid w:val="00752617"/>
    <w:rsid w:val="00754FF2"/>
    <w:rsid w:val="00756C2F"/>
    <w:rsid w:val="00762B83"/>
    <w:rsid w:val="00767D6F"/>
    <w:rsid w:val="00770CB5"/>
    <w:rsid w:val="007730A5"/>
    <w:rsid w:val="007736F7"/>
    <w:rsid w:val="00775CAA"/>
    <w:rsid w:val="00776346"/>
    <w:rsid w:val="007817A5"/>
    <w:rsid w:val="00781F1C"/>
    <w:rsid w:val="00785C9F"/>
    <w:rsid w:val="0078683C"/>
    <w:rsid w:val="00792D52"/>
    <w:rsid w:val="0079312B"/>
    <w:rsid w:val="007947FB"/>
    <w:rsid w:val="00795A7C"/>
    <w:rsid w:val="00796800"/>
    <w:rsid w:val="007A18C0"/>
    <w:rsid w:val="007A2C73"/>
    <w:rsid w:val="007A3DAF"/>
    <w:rsid w:val="007A715F"/>
    <w:rsid w:val="007C2B8E"/>
    <w:rsid w:val="007D42A3"/>
    <w:rsid w:val="007D738D"/>
    <w:rsid w:val="007E4CAE"/>
    <w:rsid w:val="007E77D7"/>
    <w:rsid w:val="007F2D62"/>
    <w:rsid w:val="00800DFB"/>
    <w:rsid w:val="0080735F"/>
    <w:rsid w:val="00807E9F"/>
    <w:rsid w:val="0081517C"/>
    <w:rsid w:val="00816B7A"/>
    <w:rsid w:val="00817A3C"/>
    <w:rsid w:val="00821601"/>
    <w:rsid w:val="00821F5B"/>
    <w:rsid w:val="00822B62"/>
    <w:rsid w:val="00823288"/>
    <w:rsid w:val="00827782"/>
    <w:rsid w:val="00834958"/>
    <w:rsid w:val="0083751C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97BBC"/>
    <w:rsid w:val="008A18E7"/>
    <w:rsid w:val="008A1B35"/>
    <w:rsid w:val="008A4DFB"/>
    <w:rsid w:val="008A642A"/>
    <w:rsid w:val="008B0999"/>
    <w:rsid w:val="008B221F"/>
    <w:rsid w:val="008B56EF"/>
    <w:rsid w:val="008C0C53"/>
    <w:rsid w:val="008C4642"/>
    <w:rsid w:val="008C7B12"/>
    <w:rsid w:val="008D2A68"/>
    <w:rsid w:val="008E5183"/>
    <w:rsid w:val="008E79B3"/>
    <w:rsid w:val="008F25B4"/>
    <w:rsid w:val="008F4078"/>
    <w:rsid w:val="00901DC2"/>
    <w:rsid w:val="00915088"/>
    <w:rsid w:val="0091768B"/>
    <w:rsid w:val="00917BB8"/>
    <w:rsid w:val="00922C53"/>
    <w:rsid w:val="00923341"/>
    <w:rsid w:val="00927CAB"/>
    <w:rsid w:val="00934467"/>
    <w:rsid w:val="00942584"/>
    <w:rsid w:val="00947177"/>
    <w:rsid w:val="00947F70"/>
    <w:rsid w:val="00950233"/>
    <w:rsid w:val="00954AA3"/>
    <w:rsid w:val="009555A8"/>
    <w:rsid w:val="00956812"/>
    <w:rsid w:val="009679DD"/>
    <w:rsid w:val="00980B18"/>
    <w:rsid w:val="00982128"/>
    <w:rsid w:val="00986130"/>
    <w:rsid w:val="00986205"/>
    <w:rsid w:val="00986AF3"/>
    <w:rsid w:val="009913AF"/>
    <w:rsid w:val="00992143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E6036"/>
    <w:rsid w:val="009E604B"/>
    <w:rsid w:val="009F04D6"/>
    <w:rsid w:val="00A128B9"/>
    <w:rsid w:val="00A12B49"/>
    <w:rsid w:val="00A13579"/>
    <w:rsid w:val="00A17E67"/>
    <w:rsid w:val="00A26095"/>
    <w:rsid w:val="00A2758A"/>
    <w:rsid w:val="00A36FA0"/>
    <w:rsid w:val="00A37691"/>
    <w:rsid w:val="00A54558"/>
    <w:rsid w:val="00A63EE0"/>
    <w:rsid w:val="00A65529"/>
    <w:rsid w:val="00A65E97"/>
    <w:rsid w:val="00A82D27"/>
    <w:rsid w:val="00A83962"/>
    <w:rsid w:val="00A84104"/>
    <w:rsid w:val="00A856E6"/>
    <w:rsid w:val="00A91AD9"/>
    <w:rsid w:val="00A95432"/>
    <w:rsid w:val="00A954E1"/>
    <w:rsid w:val="00AA0399"/>
    <w:rsid w:val="00AA6F20"/>
    <w:rsid w:val="00AB304D"/>
    <w:rsid w:val="00AB3CE8"/>
    <w:rsid w:val="00AC546E"/>
    <w:rsid w:val="00AD42BB"/>
    <w:rsid w:val="00AD454A"/>
    <w:rsid w:val="00AD5236"/>
    <w:rsid w:val="00AD5A76"/>
    <w:rsid w:val="00AD74BA"/>
    <w:rsid w:val="00AE32DC"/>
    <w:rsid w:val="00AE483E"/>
    <w:rsid w:val="00AF3BAA"/>
    <w:rsid w:val="00B10C3E"/>
    <w:rsid w:val="00B13074"/>
    <w:rsid w:val="00B16C6C"/>
    <w:rsid w:val="00B20840"/>
    <w:rsid w:val="00B221F8"/>
    <w:rsid w:val="00B25C2F"/>
    <w:rsid w:val="00B30E77"/>
    <w:rsid w:val="00B31AF2"/>
    <w:rsid w:val="00B44DE1"/>
    <w:rsid w:val="00B529FF"/>
    <w:rsid w:val="00B5390A"/>
    <w:rsid w:val="00B54AB5"/>
    <w:rsid w:val="00B56A5E"/>
    <w:rsid w:val="00B65AEA"/>
    <w:rsid w:val="00B6651C"/>
    <w:rsid w:val="00B7453A"/>
    <w:rsid w:val="00B74A76"/>
    <w:rsid w:val="00B90BD8"/>
    <w:rsid w:val="00B96C06"/>
    <w:rsid w:val="00B97EF5"/>
    <w:rsid w:val="00BA5ADD"/>
    <w:rsid w:val="00BA69EB"/>
    <w:rsid w:val="00BB0102"/>
    <w:rsid w:val="00BB15B2"/>
    <w:rsid w:val="00BB2829"/>
    <w:rsid w:val="00BC23F4"/>
    <w:rsid w:val="00BD0118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1705A"/>
    <w:rsid w:val="00C208B7"/>
    <w:rsid w:val="00C21F71"/>
    <w:rsid w:val="00C24050"/>
    <w:rsid w:val="00C25B35"/>
    <w:rsid w:val="00C26270"/>
    <w:rsid w:val="00C26785"/>
    <w:rsid w:val="00C27D9C"/>
    <w:rsid w:val="00C35B94"/>
    <w:rsid w:val="00C40691"/>
    <w:rsid w:val="00C4079D"/>
    <w:rsid w:val="00C409B3"/>
    <w:rsid w:val="00C4587F"/>
    <w:rsid w:val="00C50054"/>
    <w:rsid w:val="00C54D38"/>
    <w:rsid w:val="00C556DB"/>
    <w:rsid w:val="00C578AB"/>
    <w:rsid w:val="00C578C7"/>
    <w:rsid w:val="00C62979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1FED"/>
    <w:rsid w:val="00CC539D"/>
    <w:rsid w:val="00CD1B3A"/>
    <w:rsid w:val="00CD7211"/>
    <w:rsid w:val="00CD751D"/>
    <w:rsid w:val="00CD7C0E"/>
    <w:rsid w:val="00CE27E7"/>
    <w:rsid w:val="00CE284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4F19"/>
    <w:rsid w:val="00D446DF"/>
    <w:rsid w:val="00D4709E"/>
    <w:rsid w:val="00D51540"/>
    <w:rsid w:val="00D6775A"/>
    <w:rsid w:val="00D726DF"/>
    <w:rsid w:val="00D757B8"/>
    <w:rsid w:val="00D77884"/>
    <w:rsid w:val="00D779C3"/>
    <w:rsid w:val="00D77C8E"/>
    <w:rsid w:val="00D81915"/>
    <w:rsid w:val="00D821A9"/>
    <w:rsid w:val="00D86896"/>
    <w:rsid w:val="00D97D27"/>
    <w:rsid w:val="00DA302D"/>
    <w:rsid w:val="00DA4328"/>
    <w:rsid w:val="00DA4388"/>
    <w:rsid w:val="00DA6BB0"/>
    <w:rsid w:val="00DA6D62"/>
    <w:rsid w:val="00DA7FE7"/>
    <w:rsid w:val="00DB0521"/>
    <w:rsid w:val="00DB2EE5"/>
    <w:rsid w:val="00DB3BB6"/>
    <w:rsid w:val="00DB79AB"/>
    <w:rsid w:val="00DC0E97"/>
    <w:rsid w:val="00DC1ACC"/>
    <w:rsid w:val="00DC6943"/>
    <w:rsid w:val="00DC7F7B"/>
    <w:rsid w:val="00DD2187"/>
    <w:rsid w:val="00DE5C94"/>
    <w:rsid w:val="00DE638B"/>
    <w:rsid w:val="00DF2CCE"/>
    <w:rsid w:val="00DF3E53"/>
    <w:rsid w:val="00DF4084"/>
    <w:rsid w:val="00E009F7"/>
    <w:rsid w:val="00E06D78"/>
    <w:rsid w:val="00E1027A"/>
    <w:rsid w:val="00E11E52"/>
    <w:rsid w:val="00E12F4A"/>
    <w:rsid w:val="00E2339F"/>
    <w:rsid w:val="00E2385E"/>
    <w:rsid w:val="00E23CEA"/>
    <w:rsid w:val="00E30DE3"/>
    <w:rsid w:val="00E31AED"/>
    <w:rsid w:val="00E31CAE"/>
    <w:rsid w:val="00E31CC7"/>
    <w:rsid w:val="00E32112"/>
    <w:rsid w:val="00E33769"/>
    <w:rsid w:val="00E35E0F"/>
    <w:rsid w:val="00E370BD"/>
    <w:rsid w:val="00E37A4B"/>
    <w:rsid w:val="00E51CB2"/>
    <w:rsid w:val="00E61DD5"/>
    <w:rsid w:val="00E63EA2"/>
    <w:rsid w:val="00E64DE9"/>
    <w:rsid w:val="00E679DA"/>
    <w:rsid w:val="00E831CE"/>
    <w:rsid w:val="00E8660B"/>
    <w:rsid w:val="00E90319"/>
    <w:rsid w:val="00E943C9"/>
    <w:rsid w:val="00E9521B"/>
    <w:rsid w:val="00E95C40"/>
    <w:rsid w:val="00EA0466"/>
    <w:rsid w:val="00EA3B9F"/>
    <w:rsid w:val="00EA596F"/>
    <w:rsid w:val="00EB0E73"/>
    <w:rsid w:val="00EB5FE2"/>
    <w:rsid w:val="00EC08AC"/>
    <w:rsid w:val="00EC4A48"/>
    <w:rsid w:val="00EC7B86"/>
    <w:rsid w:val="00ED162E"/>
    <w:rsid w:val="00EE1090"/>
    <w:rsid w:val="00EE333C"/>
    <w:rsid w:val="00EE46DF"/>
    <w:rsid w:val="00EE67F4"/>
    <w:rsid w:val="00EE74FF"/>
    <w:rsid w:val="00EF0013"/>
    <w:rsid w:val="00EF3241"/>
    <w:rsid w:val="00EF37A2"/>
    <w:rsid w:val="00EF76E8"/>
    <w:rsid w:val="00F01FFC"/>
    <w:rsid w:val="00F05489"/>
    <w:rsid w:val="00F264CE"/>
    <w:rsid w:val="00F42C2D"/>
    <w:rsid w:val="00F51B4F"/>
    <w:rsid w:val="00F53DA0"/>
    <w:rsid w:val="00F53FFB"/>
    <w:rsid w:val="00F54536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10DA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01CA"/>
    <w:rsid w:val="00FD3FEC"/>
    <w:rsid w:val="00FD5009"/>
    <w:rsid w:val="00FD5CE5"/>
    <w:rsid w:val="00FE2CC9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1DED9DF3-4FEC-4043-9368-1D88FE0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1" ma:contentTypeDescription="Create a new document." ma:contentTypeScope="" ma:versionID="30c5e4fde97e5550b5ef1a92d670a016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de99682dbc6e28115e0efca5fe65aa19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A52CD-E4A9-4C0B-B1A0-E3EA65365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499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3871</CharactersWithSpaces>
  <SharedDoc>false</SharedDoc>
  <HLinks>
    <vt:vector size="24" baseType="variant"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https://mhdl.pharmacy.services.conduent.com/MHDL/welcome.do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https://mhdl.pharmacy.services.conduent.com/MHDL/pubmhdlupdates.do?category=Upcoming+and+Recent+Updates</vt:lpwstr>
      </vt:variant>
      <vt:variant>
        <vt:lpwstr/>
      </vt:variant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10</cp:revision>
  <cp:lastPrinted>2024-10-17T00:48:00Z</cp:lastPrinted>
  <dcterms:created xsi:type="dcterms:W3CDTF">2025-10-22T15:19:00Z</dcterms:created>
  <dcterms:modified xsi:type="dcterms:W3CDTF">2025-10-23T12:35:00Z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