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805B" w14:textId="1B3C2650" w:rsidR="00AB0C8E" w:rsidRPr="00AD42BB" w:rsidRDefault="005851F1" w:rsidP="00AB0C8E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AB0C8E">
        <w:t>November 2025</w:t>
      </w:r>
      <w:r w:rsidR="00AB0C8E" w:rsidRPr="00AD42BB">
        <w:t xml:space="preserve">, </w:t>
      </w:r>
      <w:r w:rsidR="00AB0C8E" w:rsidRPr="0000136E">
        <w:t xml:space="preserve">Volume </w:t>
      </w:r>
      <w:r w:rsidR="0000136E" w:rsidRPr="0000136E">
        <w:t>15</w:t>
      </w:r>
      <w:r w:rsidR="00AB0C8E" w:rsidRPr="0000136E">
        <w:t xml:space="preserve">, Issue </w:t>
      </w:r>
      <w:r w:rsidR="0000136E" w:rsidRPr="0000136E">
        <w:t>19</w:t>
      </w:r>
    </w:p>
    <w:p w14:paraId="597B9300" w14:textId="5BA0194B" w:rsidR="00C656AF" w:rsidRDefault="00C656AF" w:rsidP="00AB0C8E">
      <w:pPr>
        <w:pStyle w:val="Heading1"/>
        <w:tabs>
          <w:tab w:val="left" w:pos="900"/>
        </w:tabs>
        <w:spacing w:before="240" w:after="1080"/>
        <w:ind w:firstLine="252"/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Pr="000F4B55" w:rsidRDefault="006B20D5" w:rsidP="00AB0C8E">
      <w:pPr>
        <w:pStyle w:val="Heading2"/>
      </w:pPr>
      <w:bookmarkStart w:id="0" w:name="_Hlk56006764"/>
    </w:p>
    <w:bookmarkEnd w:id="0"/>
    <w:p w14:paraId="3C52B480" w14:textId="1CEFB7AF" w:rsidR="009D5900" w:rsidRDefault="0694ABCD" w:rsidP="00AB0C8E">
      <w:pPr>
        <w:pStyle w:val="Heading2"/>
      </w:pPr>
      <w:r w:rsidRPr="00AB0C8E">
        <w:t xml:space="preserve">Upcoming Changes to MassHealth Management of Adalimumab </w:t>
      </w:r>
      <w:r w:rsidR="4812245B" w:rsidRPr="00AB0C8E">
        <w:t>and</w:t>
      </w:r>
      <w:r w:rsidR="4812245B" w:rsidRPr="4AE8D356">
        <w:t xml:space="preserve"> Ustekinumab </w:t>
      </w:r>
      <w:r w:rsidRPr="4AE8D356">
        <w:t xml:space="preserve">Biosimilars  </w:t>
      </w:r>
    </w:p>
    <w:p w14:paraId="30CAFE06" w14:textId="51287E4E" w:rsidR="707997A2" w:rsidRDefault="707997A2" w:rsidP="4AE8D35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Effective January 5, 2026, MassHealth will prefer several adalimumab and </w:t>
      </w:r>
      <w:proofErr w:type="spellStart"/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>ustekinumab</w:t>
      </w:r>
      <w:proofErr w:type="spellEnd"/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 biosimilars. A biosimilar is a biologic medication that is </w:t>
      </w:r>
      <w:proofErr w:type="gramStart"/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>similar to</w:t>
      </w:r>
      <w:proofErr w:type="gramEnd"/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 the original biologic medication approved by the FDA, sometimes called the </w:t>
      </w:r>
      <w:r w:rsidR="006568EB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>reference product.</w:t>
      </w:r>
      <w:r w:rsidR="006568EB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 Biosimilars have no clinically meaningful differences and are</w:t>
      </w:r>
      <w:r w:rsidR="00991351"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 as</w:t>
      </w:r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 equally safe and </w:t>
      </w:r>
      <w:r w:rsidR="00991351" w:rsidRPr="4AE8D356">
        <w:rPr>
          <w:rFonts w:ascii="Arial" w:eastAsia="Arial" w:hAnsi="Arial" w:cs="Arial"/>
          <w:color w:val="000000" w:themeColor="text1"/>
          <w:sz w:val="22"/>
          <w:szCs w:val="22"/>
        </w:rPr>
        <w:t>effective</w:t>
      </w:r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991351"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as the </w:t>
      </w:r>
      <w:r w:rsidRPr="4AE8D356">
        <w:rPr>
          <w:rFonts w:ascii="Arial" w:eastAsia="Arial" w:hAnsi="Arial" w:cs="Arial"/>
          <w:color w:val="000000" w:themeColor="text1"/>
          <w:sz w:val="22"/>
          <w:szCs w:val="22"/>
        </w:rPr>
        <w:t xml:space="preserve">reference product.  </w:t>
      </w:r>
    </w:p>
    <w:p w14:paraId="2362D4F0" w14:textId="243B5605" w:rsidR="009D5900" w:rsidRDefault="009D5900" w:rsidP="4AE8D356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BA0618" w14:textId="180F4488" w:rsidR="009D5900" w:rsidRDefault="386BD637" w:rsidP="00AB0C8E">
      <w:pPr>
        <w:pStyle w:val="Heading2"/>
      </w:pPr>
      <w:r w:rsidRPr="4AE8D356">
        <w:t xml:space="preserve">Effective January 5, 2026, </w:t>
      </w:r>
      <w:proofErr w:type="spellStart"/>
      <w:r w:rsidRPr="4AE8D356">
        <w:t>Hadlima</w:t>
      </w:r>
      <w:proofErr w:type="spellEnd"/>
      <w:r w:rsidRPr="00AB0C8E">
        <w:t>®</w:t>
      </w:r>
      <w:r w:rsidRPr="4AE8D356">
        <w:t xml:space="preserve"> (adalimumab-</w:t>
      </w:r>
      <w:proofErr w:type="spellStart"/>
      <w:r w:rsidRPr="4AE8D356">
        <w:t>bwwd</w:t>
      </w:r>
      <w:proofErr w:type="spellEnd"/>
      <w:r w:rsidRPr="4AE8D356">
        <w:t>)</w:t>
      </w:r>
      <w:r w:rsidR="4716AE2C" w:rsidRPr="4AE8D356">
        <w:t>,</w:t>
      </w:r>
      <w:r w:rsidRPr="4AE8D356">
        <w:t xml:space="preserve"> adalimumab-</w:t>
      </w:r>
      <w:proofErr w:type="spellStart"/>
      <w:r w:rsidRPr="4AE8D356">
        <w:t>adaz</w:t>
      </w:r>
      <w:proofErr w:type="spellEnd"/>
      <w:r w:rsidR="5D2731B4" w:rsidRPr="4AE8D356">
        <w:t xml:space="preserve">, </w:t>
      </w:r>
      <w:proofErr w:type="spellStart"/>
      <w:r w:rsidR="5D2731B4" w:rsidRPr="4AE8D356">
        <w:t>Pyzchiva</w:t>
      </w:r>
      <w:proofErr w:type="spellEnd"/>
      <w:r w:rsidR="2D27229F" w:rsidRPr="00AB0C8E">
        <w:t>®</w:t>
      </w:r>
      <w:r w:rsidR="5D2731B4" w:rsidRPr="4AE8D356">
        <w:t xml:space="preserve"> (</w:t>
      </w:r>
      <w:proofErr w:type="spellStart"/>
      <w:r w:rsidR="5D2731B4" w:rsidRPr="4AE8D356">
        <w:t>ustekinumab-ttwe</w:t>
      </w:r>
      <w:proofErr w:type="spellEnd"/>
      <w:r w:rsidR="5D2731B4" w:rsidRPr="4AE8D356">
        <w:t xml:space="preserve">) and </w:t>
      </w:r>
      <w:proofErr w:type="spellStart"/>
      <w:r w:rsidR="5D2731B4" w:rsidRPr="4AE8D356">
        <w:t>Imuldosa</w:t>
      </w:r>
      <w:proofErr w:type="spellEnd"/>
      <w:r w:rsidR="7E4719F3" w:rsidRPr="00AB0C8E">
        <w:t>®</w:t>
      </w:r>
      <w:r w:rsidR="5D2731B4" w:rsidRPr="4AE8D356">
        <w:t xml:space="preserve"> (</w:t>
      </w:r>
      <w:proofErr w:type="spellStart"/>
      <w:r w:rsidR="5D2731B4" w:rsidRPr="4AE8D356">
        <w:t>ustekinumab-srlf</w:t>
      </w:r>
      <w:proofErr w:type="spellEnd"/>
      <w:r w:rsidR="5D2731B4" w:rsidRPr="4AE8D356">
        <w:t>)</w:t>
      </w:r>
      <w:r w:rsidR="2DAA3240" w:rsidRPr="4AE8D356">
        <w:t xml:space="preserve"> </w:t>
      </w:r>
      <w:r w:rsidRPr="4AE8D356">
        <w:t xml:space="preserve">are Preferred Drugs  </w:t>
      </w:r>
    </w:p>
    <w:p w14:paraId="6ED6E355" w14:textId="0A79F492" w:rsidR="009D5900" w:rsidRPr="000B3F09" w:rsidRDefault="6DED83FE" w:rsidP="4AE8D356">
      <w:pPr>
        <w:rPr>
          <w:rFonts w:ascii="Arial" w:eastAsia="Arial" w:hAnsi="Arial" w:cs="Arial"/>
          <w:sz w:val="22"/>
          <w:szCs w:val="22"/>
        </w:rPr>
      </w:pPr>
      <w:r w:rsidRPr="4AE8D356">
        <w:rPr>
          <w:rFonts w:ascii="Arial" w:eastAsia="Arial" w:hAnsi="Arial" w:cs="Arial"/>
          <w:sz w:val="22"/>
          <w:szCs w:val="22"/>
        </w:rPr>
        <w:t xml:space="preserve">Preferred adalimumab biosimilars will include 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Hadlima</w:t>
      </w:r>
      <w:proofErr w:type="spellEnd"/>
      <w:r w:rsidRPr="4AE8D356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Pr="4AE8D356">
        <w:rPr>
          <w:rFonts w:ascii="Arial" w:eastAsia="Arial" w:hAnsi="Arial" w:cs="Arial"/>
          <w:sz w:val="22"/>
          <w:szCs w:val="22"/>
        </w:rPr>
        <w:t xml:space="preserve"> (adalimumab-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bwwd</w:t>
      </w:r>
      <w:proofErr w:type="spellEnd"/>
      <w:r w:rsidRPr="4AE8D356">
        <w:rPr>
          <w:rFonts w:ascii="Arial" w:eastAsia="Arial" w:hAnsi="Arial" w:cs="Arial"/>
          <w:sz w:val="22"/>
          <w:szCs w:val="22"/>
        </w:rPr>
        <w:t>) and adalimumab-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adaz</w:t>
      </w:r>
      <w:proofErr w:type="spellEnd"/>
      <w:r w:rsidRPr="4AE8D356">
        <w:rPr>
          <w:rFonts w:ascii="Arial" w:eastAsia="Arial" w:hAnsi="Arial" w:cs="Arial"/>
          <w:sz w:val="22"/>
          <w:szCs w:val="22"/>
        </w:rPr>
        <w:t xml:space="preserve">. Preferred 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ustekinumab</w:t>
      </w:r>
      <w:proofErr w:type="spellEnd"/>
      <w:r w:rsidRPr="4AE8D356">
        <w:rPr>
          <w:rFonts w:ascii="Arial" w:eastAsia="Arial" w:hAnsi="Arial" w:cs="Arial"/>
          <w:sz w:val="22"/>
          <w:szCs w:val="22"/>
        </w:rPr>
        <w:t xml:space="preserve"> biosimilars will include 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Pyzchiva</w:t>
      </w:r>
      <w:proofErr w:type="spellEnd"/>
      <w:r w:rsidRPr="4AE8D356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Pr="4AE8D356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ustekinumab-ttwe</w:t>
      </w:r>
      <w:proofErr w:type="spellEnd"/>
      <w:r w:rsidRPr="4AE8D356">
        <w:rPr>
          <w:rFonts w:ascii="Arial" w:eastAsia="Arial" w:hAnsi="Arial" w:cs="Arial"/>
          <w:sz w:val="22"/>
          <w:szCs w:val="22"/>
        </w:rPr>
        <w:t xml:space="preserve">) and 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Imuldosa</w:t>
      </w:r>
      <w:proofErr w:type="spellEnd"/>
      <w:r w:rsidRPr="4AE8D356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Pr="4AE8D356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4AE8D356">
        <w:rPr>
          <w:rFonts w:ascii="Arial" w:eastAsia="Arial" w:hAnsi="Arial" w:cs="Arial"/>
          <w:sz w:val="22"/>
          <w:szCs w:val="22"/>
        </w:rPr>
        <w:t>ustekinumab-srlf</w:t>
      </w:r>
      <w:proofErr w:type="spellEnd"/>
      <w:r w:rsidRPr="4AE8D356">
        <w:rPr>
          <w:rFonts w:ascii="Arial" w:eastAsia="Arial" w:hAnsi="Arial" w:cs="Arial"/>
          <w:sz w:val="22"/>
          <w:szCs w:val="22"/>
        </w:rPr>
        <w:t>).</w:t>
      </w:r>
      <w:r w:rsidRPr="4AE8D356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63194E85" w:rsidRPr="4AE8D356">
        <w:rPr>
          <w:rFonts w:ascii="Arial" w:eastAsia="Arial" w:hAnsi="Arial" w:cs="Arial"/>
          <w:color w:val="auto"/>
          <w:sz w:val="22"/>
          <w:szCs w:val="22"/>
        </w:rPr>
        <w:t xml:space="preserve">In addition, </w:t>
      </w:r>
      <w:proofErr w:type="spellStart"/>
      <w:r w:rsidR="63194E85" w:rsidRPr="4AE8D356">
        <w:rPr>
          <w:rFonts w:ascii="Arial" w:eastAsia="Arial" w:hAnsi="Arial" w:cs="Arial"/>
          <w:color w:val="auto"/>
          <w:sz w:val="22"/>
          <w:szCs w:val="22"/>
        </w:rPr>
        <w:t>Steqeyma</w:t>
      </w:r>
      <w:proofErr w:type="spellEnd"/>
      <w:r w:rsidR="63194E85" w:rsidRPr="4AE8D356">
        <w:rPr>
          <w:rFonts w:ascii="Arial" w:eastAsia="Arial" w:hAnsi="Arial" w:cs="Arial"/>
          <w:color w:val="auto"/>
          <w:sz w:val="22"/>
          <w:szCs w:val="22"/>
          <w:vertAlign w:val="superscript"/>
        </w:rPr>
        <w:t>®</w:t>
      </w:r>
      <w:r w:rsidR="63194E85" w:rsidRPr="4AE8D356">
        <w:rPr>
          <w:rFonts w:ascii="Arial" w:eastAsia="Arial" w:hAnsi="Arial" w:cs="Arial"/>
          <w:color w:val="auto"/>
          <w:sz w:val="22"/>
          <w:szCs w:val="22"/>
        </w:rPr>
        <w:t xml:space="preserve"> (</w:t>
      </w:r>
      <w:proofErr w:type="spellStart"/>
      <w:r w:rsidR="63194E85" w:rsidRPr="4AE8D356">
        <w:rPr>
          <w:rFonts w:ascii="Arial" w:eastAsia="Arial" w:hAnsi="Arial" w:cs="Arial"/>
          <w:color w:val="auto"/>
          <w:sz w:val="22"/>
          <w:szCs w:val="22"/>
        </w:rPr>
        <w:t>ustekinumab-stba</w:t>
      </w:r>
      <w:proofErr w:type="spellEnd"/>
      <w:r w:rsidR="63194E85" w:rsidRPr="4AE8D356">
        <w:rPr>
          <w:rFonts w:ascii="Arial" w:eastAsia="Arial" w:hAnsi="Arial" w:cs="Arial"/>
          <w:color w:val="auto"/>
          <w:sz w:val="22"/>
          <w:szCs w:val="22"/>
        </w:rPr>
        <w:t xml:space="preserve">) will be accessible at parity with preferred </w:t>
      </w:r>
      <w:proofErr w:type="spellStart"/>
      <w:r w:rsidR="63194E85" w:rsidRPr="4AE8D356">
        <w:rPr>
          <w:rFonts w:ascii="Arial" w:eastAsia="Arial" w:hAnsi="Arial" w:cs="Arial"/>
          <w:color w:val="auto"/>
          <w:sz w:val="22"/>
          <w:szCs w:val="22"/>
        </w:rPr>
        <w:t>ustekinumab</w:t>
      </w:r>
      <w:proofErr w:type="spellEnd"/>
      <w:r w:rsidR="63194E85" w:rsidRPr="4AE8D356">
        <w:rPr>
          <w:rFonts w:ascii="Arial" w:eastAsia="Arial" w:hAnsi="Arial" w:cs="Arial"/>
          <w:color w:val="auto"/>
          <w:sz w:val="22"/>
          <w:szCs w:val="22"/>
        </w:rPr>
        <w:t xml:space="preserve"> biosimilars.</w:t>
      </w:r>
      <w:r w:rsidRPr="4AE8D356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681AF26C" w14:textId="65C61D98" w:rsidR="009D5900" w:rsidRPr="000B3F09" w:rsidRDefault="0093EF3E" w:rsidP="4AE8D356">
      <w:r w:rsidRPr="4AE8D356">
        <w:rPr>
          <w:rFonts w:ascii="Arial" w:eastAsia="Arial" w:hAnsi="Arial" w:cs="Arial"/>
          <w:sz w:val="22"/>
          <w:szCs w:val="22"/>
        </w:rPr>
        <w:t xml:space="preserve"> </w:t>
      </w:r>
    </w:p>
    <w:p w14:paraId="421B8086" w14:textId="7583385E" w:rsidR="009D5900" w:rsidRPr="000B3F09" w:rsidRDefault="6DED83FE" w:rsidP="4AE8D356">
      <w:pPr>
        <w:rPr>
          <w:rFonts w:ascii="Arial" w:eastAsia="Arial" w:hAnsi="Arial" w:cs="Arial"/>
          <w:sz w:val="22"/>
          <w:szCs w:val="22"/>
        </w:rPr>
      </w:pPr>
      <w:r w:rsidRPr="22A1C9BC">
        <w:rPr>
          <w:rFonts w:ascii="Arial" w:eastAsia="Arial" w:hAnsi="Arial" w:cs="Arial"/>
          <w:sz w:val="22"/>
          <w:szCs w:val="22"/>
        </w:rPr>
        <w:t xml:space="preserve">Biosimilars, including 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Hadlima</w:t>
      </w:r>
      <w:proofErr w:type="spellEnd"/>
      <w:r w:rsidRPr="22A1C9BC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Pr="22A1C9BC">
        <w:rPr>
          <w:rFonts w:ascii="Arial" w:eastAsia="Arial" w:hAnsi="Arial" w:cs="Arial"/>
          <w:sz w:val="22"/>
          <w:szCs w:val="22"/>
        </w:rPr>
        <w:t xml:space="preserve"> (adalimumab-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bwwd</w:t>
      </w:r>
      <w:proofErr w:type="spellEnd"/>
      <w:r w:rsidRPr="22A1C9BC">
        <w:rPr>
          <w:rFonts w:ascii="Arial" w:eastAsia="Arial" w:hAnsi="Arial" w:cs="Arial"/>
          <w:sz w:val="22"/>
          <w:szCs w:val="22"/>
        </w:rPr>
        <w:t>), adalimumab-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adaz</w:t>
      </w:r>
      <w:proofErr w:type="spellEnd"/>
      <w:r w:rsidRPr="22A1C9BC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6D87CAB5" w:rsidRPr="22A1C9BC">
        <w:rPr>
          <w:rFonts w:ascii="Arial" w:eastAsia="Arial" w:hAnsi="Arial" w:cs="Arial"/>
          <w:color w:val="000000" w:themeColor="text1"/>
          <w:sz w:val="22"/>
          <w:szCs w:val="22"/>
        </w:rPr>
        <w:t>Steqeyma</w:t>
      </w:r>
      <w:proofErr w:type="spellEnd"/>
      <w:r w:rsidR="6D87CAB5" w:rsidRPr="22A1C9BC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6D87CAB5" w:rsidRPr="22A1C9BC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6D87CAB5" w:rsidRPr="22A1C9BC">
        <w:rPr>
          <w:rFonts w:ascii="Arial" w:eastAsia="Arial" w:hAnsi="Arial" w:cs="Arial"/>
          <w:color w:val="000000" w:themeColor="text1"/>
          <w:sz w:val="22"/>
          <w:szCs w:val="22"/>
        </w:rPr>
        <w:t>ustekinumab-stba</w:t>
      </w:r>
      <w:proofErr w:type="spellEnd"/>
      <w:r w:rsidR="6D87CAB5" w:rsidRPr="22A1C9BC">
        <w:rPr>
          <w:rFonts w:ascii="Arial" w:eastAsia="Arial" w:hAnsi="Arial" w:cs="Arial"/>
          <w:color w:val="000000" w:themeColor="text1"/>
          <w:sz w:val="22"/>
          <w:szCs w:val="22"/>
        </w:rPr>
        <w:t xml:space="preserve">), </w:t>
      </w:r>
      <w:r w:rsidRPr="22A1C9BC">
        <w:rPr>
          <w:rFonts w:ascii="Arial" w:eastAsia="Arial" w:hAnsi="Arial" w:cs="Arial"/>
          <w:sz w:val="22"/>
          <w:szCs w:val="22"/>
        </w:rPr>
        <w:t xml:space="preserve">and 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Pyzchiva</w:t>
      </w:r>
      <w:proofErr w:type="spellEnd"/>
      <w:r w:rsidRPr="22A1C9BC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Pr="22A1C9BC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ustekinumab-ttwe</w:t>
      </w:r>
      <w:proofErr w:type="spellEnd"/>
      <w:r w:rsidRPr="22A1C9BC">
        <w:rPr>
          <w:rFonts w:ascii="Arial" w:eastAsia="Arial" w:hAnsi="Arial" w:cs="Arial"/>
          <w:sz w:val="22"/>
          <w:szCs w:val="22"/>
        </w:rPr>
        <w:t>), approved by the Food and Drug Administration (FDA) as interchangeable to the reference product can be substituted at the pharmacy</w:t>
      </w:r>
      <w:r w:rsidR="7932E39D" w:rsidRPr="22A1C9BC">
        <w:rPr>
          <w:rFonts w:ascii="Arial" w:eastAsia="Arial" w:hAnsi="Arial" w:cs="Arial"/>
          <w:sz w:val="22"/>
          <w:szCs w:val="22"/>
        </w:rPr>
        <w:t xml:space="preserve"> without requiring a new </w:t>
      </w:r>
      <w:r w:rsidR="7932E39D" w:rsidRPr="00AB0C8E">
        <w:rPr>
          <w:rFonts w:ascii="Arial" w:eastAsia="Arial" w:hAnsi="Arial" w:cs="Arial"/>
          <w:sz w:val="22"/>
          <w:szCs w:val="22"/>
        </w:rPr>
        <w:t>prescription.</w:t>
      </w:r>
      <w:r w:rsidR="00AB0E08">
        <w:rPr>
          <w:rFonts w:ascii="Arial" w:eastAsia="Arial" w:hAnsi="Arial" w:cs="Arial"/>
          <w:sz w:val="22"/>
          <w:szCs w:val="22"/>
        </w:rPr>
        <w:t xml:space="preserve"> See</w:t>
      </w:r>
      <w:r w:rsidR="7932E39D" w:rsidRPr="00AB0C8E">
        <w:rPr>
          <w:rFonts w:ascii="Arial" w:eastAsia="Arial" w:hAnsi="Arial" w:cs="Arial"/>
          <w:sz w:val="22"/>
          <w:szCs w:val="22"/>
        </w:rPr>
        <w:t xml:space="preserve"> </w:t>
      </w:r>
      <w:hyperlink r:id="rId16" w:history="1">
        <w:r w:rsidR="00AB0C8E" w:rsidRPr="00AB0C8E">
          <w:rPr>
            <w:rStyle w:val="Hyperlink"/>
            <w:rFonts w:ascii="Arial" w:eastAsia="Georgia" w:hAnsi="Arial" w:cs="Arial"/>
            <w:sz w:val="22"/>
            <w:szCs w:val="22"/>
          </w:rPr>
          <w:t>M.G.L. c. 112, s</w:t>
        </w:r>
        <w:r w:rsidR="00460979">
          <w:rPr>
            <w:rStyle w:val="Hyperlink"/>
            <w:rFonts w:ascii="Arial" w:eastAsia="Georgia" w:hAnsi="Arial" w:cs="Arial"/>
            <w:sz w:val="22"/>
            <w:szCs w:val="22"/>
          </w:rPr>
          <w:t>.</w:t>
        </w:r>
        <w:r w:rsidR="00AB0C8E" w:rsidRPr="00AB0C8E">
          <w:rPr>
            <w:rStyle w:val="Hyperlink"/>
            <w:rFonts w:ascii="Arial" w:eastAsia="Georgia" w:hAnsi="Arial" w:cs="Arial"/>
            <w:sz w:val="22"/>
            <w:szCs w:val="22"/>
          </w:rPr>
          <w:t xml:space="preserve"> 12EE</w:t>
        </w:r>
      </w:hyperlink>
      <w:r w:rsidR="0DF5C2A1" w:rsidRPr="00AB0C8E">
        <w:rPr>
          <w:rFonts w:ascii="Arial" w:eastAsia="Arial" w:hAnsi="Arial" w:cs="Arial"/>
          <w:sz w:val="22"/>
          <w:szCs w:val="22"/>
        </w:rPr>
        <w:t>.</w:t>
      </w:r>
      <w:r w:rsidR="0DF5C2A1" w:rsidRPr="22A1C9BC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Imuldosa</w:t>
      </w:r>
      <w:proofErr w:type="spellEnd"/>
      <w:r w:rsidRPr="22A1C9BC">
        <w:rPr>
          <w:rFonts w:ascii="Arial" w:eastAsia="Arial" w:hAnsi="Arial" w:cs="Arial"/>
          <w:sz w:val="22"/>
          <w:szCs w:val="22"/>
          <w:vertAlign w:val="superscript"/>
        </w:rPr>
        <w:t>®</w:t>
      </w:r>
      <w:r w:rsidRPr="22A1C9BC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22A1C9BC">
        <w:rPr>
          <w:rFonts w:ascii="Arial" w:eastAsia="Arial" w:hAnsi="Arial" w:cs="Arial"/>
          <w:sz w:val="22"/>
          <w:szCs w:val="22"/>
        </w:rPr>
        <w:t>ustekinumab-srlf</w:t>
      </w:r>
      <w:proofErr w:type="spellEnd"/>
      <w:r w:rsidRPr="22A1C9BC">
        <w:rPr>
          <w:rFonts w:ascii="Arial" w:eastAsia="Arial" w:hAnsi="Arial" w:cs="Arial"/>
          <w:sz w:val="22"/>
          <w:szCs w:val="22"/>
        </w:rPr>
        <w:t xml:space="preserve">) </w:t>
      </w:r>
      <w:r w:rsidR="74573DAD" w:rsidRPr="22A1C9BC">
        <w:rPr>
          <w:rFonts w:ascii="Arial" w:eastAsia="Arial" w:hAnsi="Arial" w:cs="Arial"/>
          <w:sz w:val="22"/>
          <w:szCs w:val="22"/>
        </w:rPr>
        <w:t>was</w:t>
      </w:r>
      <w:r w:rsidRPr="22A1C9BC">
        <w:rPr>
          <w:rFonts w:ascii="Arial" w:eastAsia="Arial" w:hAnsi="Arial" w:cs="Arial"/>
          <w:sz w:val="22"/>
          <w:szCs w:val="22"/>
        </w:rPr>
        <w:t xml:space="preserve"> not approved as interchangeable by the FDA and would require a new prescription. For more information on biosimilars, please visit </w:t>
      </w:r>
      <w:hyperlink r:id="rId17" w:history="1">
        <w:r w:rsidRPr="22A1C9BC">
          <w:rPr>
            <w:rStyle w:val="Hyperlink"/>
            <w:rFonts w:ascii="Arial" w:eastAsia="Arial" w:hAnsi="Arial" w:cs="Arial"/>
            <w:sz w:val="22"/>
            <w:szCs w:val="22"/>
          </w:rPr>
          <w:t>www.FDA.gov/biosimilars</w:t>
        </w:r>
      </w:hyperlink>
      <w:r w:rsidRPr="22A1C9BC">
        <w:rPr>
          <w:rFonts w:ascii="Arial" w:eastAsia="Arial" w:hAnsi="Arial" w:cs="Arial"/>
          <w:sz w:val="22"/>
          <w:szCs w:val="22"/>
        </w:rPr>
        <w:t xml:space="preserve">.   </w:t>
      </w:r>
    </w:p>
    <w:p w14:paraId="27F3CB42" w14:textId="057BED47" w:rsidR="009D5900" w:rsidRPr="000B3F09" w:rsidRDefault="009D5900" w:rsidP="4AE8D356">
      <w:pPr>
        <w:rPr>
          <w:rFonts w:ascii="Arial" w:eastAsia="Arial" w:hAnsi="Arial" w:cs="Arial"/>
          <w:sz w:val="22"/>
          <w:szCs w:val="22"/>
        </w:rPr>
      </w:pPr>
    </w:p>
    <w:p w14:paraId="144BC0BC" w14:textId="6C68AA93" w:rsidR="009D5900" w:rsidRPr="00AB0C8E" w:rsidRDefault="6B84E39A" w:rsidP="00AB0C8E">
      <w:pPr>
        <w:pStyle w:val="Heading2"/>
      </w:pPr>
      <w:r w:rsidRPr="00AB0C8E">
        <w:t xml:space="preserve">Effective April 1, 2026, Humira® (adalimumab) </w:t>
      </w:r>
      <w:r w:rsidR="102BA2A5" w:rsidRPr="00AB0C8E">
        <w:t>and Stelara® (</w:t>
      </w:r>
      <w:proofErr w:type="spellStart"/>
      <w:r w:rsidR="102BA2A5" w:rsidRPr="00AB0C8E">
        <w:t>ustekinumab</w:t>
      </w:r>
      <w:proofErr w:type="spellEnd"/>
      <w:r w:rsidR="102BA2A5" w:rsidRPr="00AB0C8E">
        <w:t xml:space="preserve">) </w:t>
      </w:r>
      <w:r w:rsidRPr="00AB0C8E">
        <w:t>Will No Longer be Preferred Drug</w:t>
      </w:r>
      <w:r w:rsidR="1E4D7139" w:rsidRPr="00AB0C8E">
        <w:t>s</w:t>
      </w:r>
      <w:r w:rsidRPr="00AB0C8E">
        <w:t xml:space="preserve">  </w:t>
      </w:r>
    </w:p>
    <w:p w14:paraId="1BDCB9CE" w14:textId="6075D764" w:rsidR="29FB0038" w:rsidRDefault="29FB0038" w:rsidP="4AE8D356">
      <w:pPr>
        <w:pStyle w:val="BodyText1"/>
        <w:spacing w:line="240" w:lineRule="auto"/>
      </w:pPr>
      <w:r w:rsidRPr="4AE8D356">
        <w:rPr>
          <w:rFonts w:eastAsia="Arial"/>
          <w:color w:val="000000" w:themeColor="text1"/>
          <w:sz w:val="22"/>
          <w:szCs w:val="22"/>
        </w:rPr>
        <w:t>Humira and Stelara will continue to be covered through March 31, 2026, to allow patients to transition to biosimilar products.  Effective April 1, 2026, Humira</w:t>
      </w:r>
      <w:r w:rsidRPr="4AE8D356">
        <w:rPr>
          <w:rFonts w:eastAsia="Arial"/>
          <w:color w:val="000000" w:themeColor="text1"/>
          <w:sz w:val="22"/>
          <w:szCs w:val="22"/>
          <w:vertAlign w:val="superscript"/>
        </w:rPr>
        <w:t xml:space="preserve">® </w:t>
      </w:r>
      <w:r w:rsidRPr="4AE8D356">
        <w:rPr>
          <w:rFonts w:eastAsia="Arial"/>
          <w:color w:val="000000" w:themeColor="text1"/>
          <w:sz w:val="22"/>
          <w:szCs w:val="22"/>
        </w:rPr>
        <w:t>(adalimumab) and Stelara</w:t>
      </w:r>
      <w:r w:rsidRPr="4AE8D356">
        <w:rPr>
          <w:rFonts w:eastAsia="Arial"/>
          <w:color w:val="000000" w:themeColor="text1"/>
          <w:sz w:val="22"/>
          <w:szCs w:val="22"/>
          <w:vertAlign w:val="superscript"/>
        </w:rPr>
        <w:t>®</w:t>
      </w:r>
      <w:r w:rsidRPr="4AE8D356">
        <w:rPr>
          <w:rFonts w:eastAsia="Arial"/>
          <w:color w:val="000000" w:themeColor="text1"/>
          <w:sz w:val="22"/>
          <w:szCs w:val="22"/>
        </w:rPr>
        <w:t xml:space="preserve"> (</w:t>
      </w:r>
      <w:proofErr w:type="spellStart"/>
      <w:r w:rsidRPr="4AE8D356">
        <w:rPr>
          <w:rFonts w:eastAsia="Arial"/>
          <w:color w:val="000000" w:themeColor="text1"/>
          <w:sz w:val="22"/>
          <w:szCs w:val="22"/>
        </w:rPr>
        <w:t>ustekinumab</w:t>
      </w:r>
      <w:proofErr w:type="spellEnd"/>
      <w:r w:rsidRPr="4AE8D356">
        <w:rPr>
          <w:rFonts w:eastAsia="Arial"/>
          <w:color w:val="000000" w:themeColor="text1"/>
          <w:sz w:val="22"/>
          <w:szCs w:val="22"/>
        </w:rPr>
        <w:t xml:space="preserve">) will be non-preferred and will require a trial of all preferred biosimilars or rationale for use of reference </w:t>
      </w:r>
      <w:proofErr w:type="gramStart"/>
      <w:r w:rsidRPr="4AE8D356">
        <w:rPr>
          <w:rFonts w:eastAsia="Arial"/>
          <w:color w:val="000000" w:themeColor="text1"/>
          <w:sz w:val="22"/>
          <w:szCs w:val="22"/>
        </w:rPr>
        <w:t>product</w:t>
      </w:r>
      <w:proofErr w:type="gramEnd"/>
      <w:r w:rsidRPr="4AE8D356">
        <w:rPr>
          <w:rFonts w:eastAsia="Arial"/>
          <w:color w:val="000000" w:themeColor="text1"/>
          <w:sz w:val="22"/>
          <w:szCs w:val="22"/>
        </w:rPr>
        <w:t>.</w:t>
      </w:r>
    </w:p>
    <w:p w14:paraId="04D240C9" w14:textId="6CDDDA77" w:rsidR="6E1C19AE" w:rsidRDefault="6E1C19AE" w:rsidP="4AE8D356">
      <w:pPr>
        <w:pStyle w:val="BodyText1"/>
        <w:spacing w:line="240" w:lineRule="auto"/>
      </w:pPr>
      <w:r w:rsidRPr="4AE8D356">
        <w:rPr>
          <w:rFonts w:eastAsia="Arial"/>
          <w:color w:val="000000" w:themeColor="text1"/>
          <w:sz w:val="22"/>
          <w:szCs w:val="22"/>
        </w:rPr>
        <w:t>To aid in transitioning, all MassHealth members approved for Humira</w:t>
      </w:r>
      <w:r w:rsidRPr="4AE8D356">
        <w:rPr>
          <w:rFonts w:eastAsia="Arial"/>
          <w:color w:val="000000" w:themeColor="text1"/>
          <w:sz w:val="22"/>
          <w:szCs w:val="22"/>
          <w:vertAlign w:val="superscript"/>
        </w:rPr>
        <w:t xml:space="preserve">® </w:t>
      </w:r>
      <w:r w:rsidRPr="4AE8D356">
        <w:rPr>
          <w:rFonts w:eastAsia="Arial"/>
          <w:color w:val="000000" w:themeColor="text1"/>
          <w:sz w:val="22"/>
          <w:szCs w:val="22"/>
        </w:rPr>
        <w:t>(adalimumab) or Stelara</w:t>
      </w:r>
      <w:r w:rsidRPr="4AE8D356">
        <w:rPr>
          <w:rFonts w:eastAsia="Arial"/>
          <w:color w:val="000000" w:themeColor="text1"/>
          <w:sz w:val="22"/>
          <w:szCs w:val="22"/>
          <w:vertAlign w:val="superscript"/>
        </w:rPr>
        <w:t>®</w:t>
      </w:r>
      <w:r w:rsidRPr="4AE8D356">
        <w:rPr>
          <w:rFonts w:eastAsia="Arial"/>
          <w:color w:val="000000" w:themeColor="text1"/>
          <w:sz w:val="22"/>
          <w:szCs w:val="22"/>
        </w:rPr>
        <w:t xml:space="preserve"> (</w:t>
      </w:r>
      <w:proofErr w:type="spellStart"/>
      <w:r w:rsidRPr="4AE8D356">
        <w:rPr>
          <w:rFonts w:eastAsia="Arial"/>
          <w:color w:val="000000" w:themeColor="text1"/>
          <w:sz w:val="22"/>
          <w:szCs w:val="22"/>
        </w:rPr>
        <w:t>ustekinumab</w:t>
      </w:r>
      <w:proofErr w:type="spellEnd"/>
      <w:r w:rsidRPr="4AE8D356">
        <w:rPr>
          <w:rFonts w:eastAsia="Arial"/>
          <w:color w:val="000000" w:themeColor="text1"/>
          <w:sz w:val="22"/>
          <w:szCs w:val="22"/>
        </w:rPr>
        <w:t xml:space="preserve">) that would have had an approval duration beyond April 1, 2026, will automatically have an approval put in place to allow </w:t>
      </w:r>
      <w:r w:rsidRPr="4AE8D356">
        <w:rPr>
          <w:rFonts w:eastAsia="Arial"/>
          <w:color w:val="auto"/>
          <w:sz w:val="22"/>
          <w:szCs w:val="22"/>
        </w:rPr>
        <w:t>a covered</w:t>
      </w:r>
      <w:r w:rsidRPr="4AE8D356">
        <w:rPr>
          <w:rFonts w:eastAsia="Arial"/>
          <w:color w:val="0078D4"/>
          <w:sz w:val="22"/>
          <w:szCs w:val="22"/>
          <w:u w:val="single"/>
        </w:rPr>
        <w:t xml:space="preserve"> </w:t>
      </w:r>
      <w:r w:rsidRPr="4AE8D356">
        <w:rPr>
          <w:rFonts w:eastAsia="Arial"/>
          <w:color w:val="000000" w:themeColor="text1"/>
          <w:sz w:val="22"/>
          <w:szCs w:val="22"/>
        </w:rPr>
        <w:t>biosimilar to pay beginning January 5, 2026. The end date for the biosimilar PA will match the end date on file for the reference product</w:t>
      </w:r>
      <w:r w:rsidR="6F3A6568" w:rsidRPr="4AE8D356">
        <w:rPr>
          <w:rFonts w:eastAsia="Arial"/>
          <w:color w:val="000000" w:themeColor="text1"/>
          <w:sz w:val="22"/>
          <w:szCs w:val="22"/>
        </w:rPr>
        <w:t>.</w:t>
      </w:r>
    </w:p>
    <w:p w14:paraId="78CF6A6F" w14:textId="37A87308" w:rsidR="009D5900" w:rsidRPr="009D5900" w:rsidRDefault="009D5900" w:rsidP="009D5900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580"/>
      </w:tblGrid>
      <w:tr w:rsidR="4AE8D356" w14:paraId="4BBF5988" w14:textId="77777777" w:rsidTr="00CA231C">
        <w:trPr>
          <w:trHeight w:val="300"/>
          <w:tblHeader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4DCFBBD3" w14:textId="129BAE50" w:rsidR="4AE8D356" w:rsidRDefault="4AE8D356" w:rsidP="4AE8D356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Reference Product </w:t>
            </w:r>
          </w:p>
        </w:tc>
        <w:tc>
          <w:tcPr>
            <w:tcW w:w="558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14:paraId="02FE4AA7" w14:textId="13471AEF" w:rsidR="4AE8D356" w:rsidRDefault="4AE8D356" w:rsidP="4AE8D356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Covered Biosimilars </w:t>
            </w:r>
          </w:p>
        </w:tc>
      </w:tr>
      <w:tr w:rsidR="4AE8D356" w14:paraId="2BD2E7A3" w14:textId="77777777" w:rsidTr="4AE8D356">
        <w:trPr>
          <w:trHeight w:val="300"/>
        </w:trPr>
        <w:tc>
          <w:tcPr>
            <w:tcW w:w="1039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1C1CBE90" w14:textId="62086EE0" w:rsidR="4AE8D356" w:rsidRDefault="4AE8D356" w:rsidP="4AE8D356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Humira</w:t>
            </w: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®</w:t>
            </w: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(adalimumab) Biosimilars </w:t>
            </w:r>
          </w:p>
        </w:tc>
      </w:tr>
      <w:tr w:rsidR="4AE8D356" w:rsidRPr="00AB0E08" w14:paraId="09BE68D4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36805A" w14:textId="39BEFD93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Humira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(adalimumab)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10 mg/0.1 mL 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BEED5D" w14:textId="12675792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adalimumab-adaz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10 mg/0.1 mL </w:t>
            </w:r>
          </w:p>
        </w:tc>
      </w:tr>
      <w:tr w:rsidR="4AE8D356" w:rsidRPr="00AB0E08" w14:paraId="3094E226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7D2C052" w14:textId="7B6F79FA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Humira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(adalimumab)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20 mg/0.2 mL 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5B977" w14:textId="53337539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adalimumab-adaz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20 mg/0.2 mL </w:t>
            </w:r>
          </w:p>
        </w:tc>
      </w:tr>
      <w:tr w:rsidR="4AE8D356" w:rsidRPr="00AB0E08" w14:paraId="19382B40" w14:textId="77777777" w:rsidTr="4AE8D356">
        <w:trPr>
          <w:trHeight w:val="315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5299874" w14:textId="384B4E98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Humira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(adalimumab)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40 mg/0.4 mL 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9514DA" w14:textId="6D745F54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adalimumab-adaz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40 mg/0.4 mL </w:t>
            </w:r>
          </w:p>
          <w:p w14:paraId="6F3AE29F" w14:textId="29EA99DF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Hadlima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(adalimumab-bwwd)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40 mg/0.4 mL</w:t>
            </w:r>
          </w:p>
        </w:tc>
      </w:tr>
      <w:tr w:rsidR="4AE8D356" w:rsidRPr="00AB0E08" w14:paraId="5ECA74EF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FDF81E2" w14:textId="4CC13D1D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Humira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 xml:space="preserve">® 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(adalimumab)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40 mg/0.8 mL 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9D753A" w14:textId="6143A65B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Hadlima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(adalimumab-bwwd)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40 mg/0.8 mL </w:t>
            </w:r>
          </w:p>
        </w:tc>
      </w:tr>
      <w:tr w:rsidR="4AE8D356" w:rsidRPr="00AB0E08" w14:paraId="1FAC76B1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773CD2" w14:textId="465D346B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Humira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(adalimumab)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80 mg/0.8 mL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371586" w14:textId="4E1719B9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adalimumab-adaz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(CF) 80 mg/0.8 mL</w:t>
            </w:r>
          </w:p>
        </w:tc>
      </w:tr>
      <w:tr w:rsidR="4AE8D356" w14:paraId="5BBDD536" w14:textId="77777777" w:rsidTr="4AE8D356">
        <w:trPr>
          <w:trHeight w:val="165"/>
        </w:trPr>
        <w:tc>
          <w:tcPr>
            <w:tcW w:w="1039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</w:tcPr>
          <w:p w14:paraId="4DB2474E" w14:textId="44E107A7" w:rsidR="4AE8D356" w:rsidRDefault="4AE8D356" w:rsidP="4AE8D356">
            <w:pPr>
              <w:spacing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Stelara</w:t>
            </w: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®</w:t>
            </w:r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ustekinumab</w:t>
            </w:r>
            <w:proofErr w:type="spellEnd"/>
            <w:r w:rsidRPr="4AE8D35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Biosimilars </w:t>
            </w:r>
          </w:p>
        </w:tc>
      </w:tr>
      <w:tr w:rsidR="4AE8D356" w14:paraId="29A2A0DC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CBE8B6" w14:textId="67F5DE5A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Stelara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45 mg/0.5 mL syringe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55298B" w14:textId="54E2B2BA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Imuldosa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(ustekinumab-srlf)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45 mg/0.5 mL syringe </w:t>
            </w:r>
          </w:p>
          <w:p w14:paraId="1D4A9274" w14:textId="5D6B8266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Pyzchiva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(ustekinumab-ttwe)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45 mg/0.5 mL syringe</w:t>
            </w:r>
          </w:p>
          <w:p w14:paraId="72C093EE" w14:textId="0CF39749" w:rsidR="4AE8D356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AE8D356">
              <w:rPr>
                <w:rFonts w:ascii="Arial" w:eastAsia="Arial" w:hAnsi="Arial" w:cs="Arial"/>
                <w:color w:val="000000" w:themeColor="text1"/>
              </w:rPr>
              <w:t>Steqeyma</w:t>
            </w:r>
            <w:proofErr w:type="spellEnd"/>
            <w:r w:rsidRPr="4AE8D356">
              <w:rPr>
                <w:rFonts w:ascii="Arial" w:eastAsia="Arial" w:hAnsi="Arial" w:cs="Arial"/>
                <w:color w:val="000000" w:themeColor="text1"/>
                <w:vertAlign w:val="superscript"/>
              </w:rPr>
              <w:t>®</w:t>
            </w:r>
            <w:r w:rsidRPr="4AE8D356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Pr="4AE8D356">
              <w:rPr>
                <w:rFonts w:ascii="Arial" w:eastAsia="Arial" w:hAnsi="Arial" w:cs="Arial"/>
                <w:color w:val="000000" w:themeColor="text1"/>
              </w:rPr>
              <w:t>ustekinumab-stba</w:t>
            </w:r>
            <w:proofErr w:type="spellEnd"/>
            <w:r w:rsidRPr="4AE8D356">
              <w:rPr>
                <w:rFonts w:ascii="Arial" w:eastAsia="Arial" w:hAnsi="Arial" w:cs="Arial"/>
                <w:color w:val="000000" w:themeColor="text1"/>
              </w:rPr>
              <w:t>) 45 mg/0.5 mL syringe</w:t>
            </w:r>
          </w:p>
        </w:tc>
      </w:tr>
      <w:tr w:rsidR="4AE8D356" w14:paraId="2677F4A9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3665A4" w14:textId="5CF3C5CC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Stelara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90 mg/1 mL syringe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EEA2F4" w14:textId="1A50D128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Imuldosa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(ustekinumab-srlf)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90 mg/1 mL syringe</w:t>
            </w:r>
          </w:p>
          <w:p w14:paraId="18C39944" w14:textId="306C61DD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Pyzchiva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(ustekinumab-ttwe)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90 mg/1 mL syringe</w:t>
            </w:r>
          </w:p>
          <w:p w14:paraId="12A5E45B" w14:textId="04A27C64" w:rsidR="4AE8D356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4AE8D356">
              <w:rPr>
                <w:rFonts w:ascii="Arial" w:eastAsia="Arial" w:hAnsi="Arial" w:cs="Arial"/>
                <w:color w:val="000000" w:themeColor="text1"/>
              </w:rPr>
              <w:t>Steqeyma</w:t>
            </w:r>
            <w:proofErr w:type="spellEnd"/>
            <w:r w:rsidRPr="4AE8D356">
              <w:rPr>
                <w:rFonts w:ascii="Arial" w:eastAsia="Arial" w:hAnsi="Arial" w:cs="Arial"/>
                <w:color w:val="000000" w:themeColor="text1"/>
                <w:vertAlign w:val="superscript"/>
              </w:rPr>
              <w:t>®</w:t>
            </w:r>
            <w:r w:rsidRPr="4AE8D356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spellStart"/>
            <w:r w:rsidRPr="4AE8D356">
              <w:rPr>
                <w:rFonts w:ascii="Arial" w:eastAsia="Arial" w:hAnsi="Arial" w:cs="Arial"/>
                <w:color w:val="000000" w:themeColor="text1"/>
              </w:rPr>
              <w:t>ustekinumab-stba</w:t>
            </w:r>
            <w:proofErr w:type="spellEnd"/>
            <w:r w:rsidRPr="4AE8D356">
              <w:rPr>
                <w:rFonts w:ascii="Arial" w:eastAsia="Arial" w:hAnsi="Arial" w:cs="Arial"/>
                <w:color w:val="000000" w:themeColor="text1"/>
              </w:rPr>
              <w:t>) 90 mg/1 mL syringe</w:t>
            </w:r>
          </w:p>
        </w:tc>
      </w:tr>
      <w:tr w:rsidR="4AE8D356" w:rsidRPr="00AB0E08" w14:paraId="1CBF3027" w14:textId="77777777" w:rsidTr="4AE8D356">
        <w:trPr>
          <w:trHeight w:val="60"/>
        </w:trPr>
        <w:tc>
          <w:tcPr>
            <w:tcW w:w="481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E0785C" w14:textId="2B6600CA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Stelara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45 mg/0.5 mL vial</w:t>
            </w:r>
          </w:p>
        </w:tc>
        <w:tc>
          <w:tcPr>
            <w:tcW w:w="558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541996" w14:textId="36E8F517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Pyzchiva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(ustekinumab-ttwe)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45 mg/0.5 mL vial</w:t>
            </w:r>
          </w:p>
        </w:tc>
      </w:tr>
      <w:tr w:rsidR="4AE8D356" w:rsidRPr="00AB0E08" w14:paraId="1C1B9F4E" w14:textId="77777777" w:rsidTr="4AE8D356">
        <w:trPr>
          <w:trHeight w:val="300"/>
        </w:trPr>
        <w:tc>
          <w:tcPr>
            <w:tcW w:w="48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E81C9C" w14:textId="0CFD4A33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Stelara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130 mg/26 mL vial </w:t>
            </w:r>
          </w:p>
        </w:tc>
        <w:tc>
          <w:tcPr>
            <w:tcW w:w="558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C83C25" w14:textId="0844F35F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Imuldosa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(ustekinumab-srlf)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 xml:space="preserve"> 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130 mg/26 mL vial</w:t>
            </w:r>
          </w:p>
          <w:p w14:paraId="21B256DC" w14:textId="04F1E3BE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Pyzchiva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(ustekinumab-ttwe)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PD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130 mg/26 mL vial</w:t>
            </w:r>
          </w:p>
          <w:p w14:paraId="074C5FC6" w14:textId="14B3F35B" w:rsidR="4AE8D356" w:rsidRPr="00AB0C8E" w:rsidRDefault="4AE8D356" w:rsidP="4AE8D356">
            <w:pPr>
              <w:spacing w:line="276" w:lineRule="auto"/>
              <w:rPr>
                <w:rFonts w:ascii="Arial" w:eastAsia="Arial" w:hAnsi="Arial" w:cs="Arial"/>
                <w:color w:val="000000" w:themeColor="text1"/>
                <w:lang w:val="pt-BR"/>
              </w:rPr>
            </w:pP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>Steqeyma</w:t>
            </w:r>
            <w:r w:rsidRPr="00AB0C8E">
              <w:rPr>
                <w:rFonts w:ascii="Arial" w:eastAsia="Arial" w:hAnsi="Arial" w:cs="Arial"/>
                <w:color w:val="000000" w:themeColor="text1"/>
                <w:vertAlign w:val="superscript"/>
                <w:lang w:val="pt-BR"/>
              </w:rPr>
              <w:t>®</w:t>
            </w:r>
            <w:r w:rsidRPr="00AB0C8E">
              <w:rPr>
                <w:rFonts w:ascii="Arial" w:eastAsia="Arial" w:hAnsi="Arial" w:cs="Arial"/>
                <w:color w:val="000000" w:themeColor="text1"/>
                <w:lang w:val="pt-BR"/>
              </w:rPr>
              <w:t xml:space="preserve"> (ustekinumab-stba) 130 mg/26 mL vial</w:t>
            </w:r>
          </w:p>
        </w:tc>
      </w:tr>
    </w:tbl>
    <w:p w14:paraId="5C199070" w14:textId="68DBD25C" w:rsidR="4F8760F0" w:rsidRDefault="4F8760F0" w:rsidP="4AE8D356">
      <w:pPr>
        <w:spacing w:line="276" w:lineRule="auto"/>
        <w:rPr>
          <w:rFonts w:ascii="Arial" w:eastAsia="Arial" w:hAnsi="Arial" w:cs="Arial"/>
          <w:color w:val="D13438"/>
          <w:u w:val="single"/>
        </w:rPr>
      </w:pPr>
      <w:r w:rsidRPr="4AE8D356">
        <w:rPr>
          <w:rFonts w:ascii="Arial" w:eastAsia="Arial" w:hAnsi="Arial" w:cs="Arial"/>
          <w:color w:val="000000" w:themeColor="text1"/>
        </w:rPr>
        <w:t>CF=citrate free</w:t>
      </w:r>
      <w:r w:rsidR="3CF9A693" w:rsidRPr="4AE8D356">
        <w:rPr>
          <w:rFonts w:ascii="Arial" w:eastAsia="Arial" w:hAnsi="Arial" w:cs="Arial"/>
          <w:color w:val="000000" w:themeColor="text1"/>
        </w:rPr>
        <w:t>, PD=Preferred Drug</w:t>
      </w:r>
      <w:r w:rsidRPr="4AE8D356">
        <w:rPr>
          <w:rFonts w:ascii="Arial" w:eastAsia="Arial" w:hAnsi="Arial" w:cs="Arial"/>
          <w:color w:val="000000" w:themeColor="text1"/>
        </w:rPr>
        <w:t xml:space="preserve"> </w:t>
      </w:r>
    </w:p>
    <w:p w14:paraId="32E740C6" w14:textId="48D227D6" w:rsidR="4AE8D356" w:rsidRDefault="4AE8D356" w:rsidP="4AE8D356">
      <w:pPr>
        <w:spacing w:line="276" w:lineRule="auto"/>
        <w:rPr>
          <w:rFonts w:ascii="Arial" w:eastAsia="Arial" w:hAnsi="Arial" w:cs="Arial"/>
          <w:sz w:val="22"/>
          <w:szCs w:val="22"/>
        </w:rPr>
        <w:sectPr w:rsidR="4AE8D356" w:rsidSect="009D5900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</w:p>
    <w:p w14:paraId="4833170A" w14:textId="77777777" w:rsidR="009D5900" w:rsidRDefault="009D5900" w:rsidP="009D5900">
      <w:pPr>
        <w:shd w:val="clear" w:color="auto" w:fill="FFFFFF"/>
        <w:rPr>
          <w:bCs/>
          <w:sz w:val="18"/>
          <w:szCs w:val="18"/>
        </w:rPr>
      </w:pPr>
    </w:p>
    <w:p w14:paraId="5A1CEC94" w14:textId="307B58DC" w:rsidR="002C4ECF" w:rsidRPr="002C4ECF" w:rsidRDefault="3B77933D" w:rsidP="009D5900">
      <w:pPr>
        <w:spacing w:before="360" w:line="276" w:lineRule="auto"/>
        <w:jc w:val="center"/>
        <w:rPr>
          <w:rFonts w:ascii="Arial" w:hAnsi="Arial" w:cs="Arial"/>
        </w:rPr>
      </w:pPr>
      <w:r w:rsidRPr="7AFA3CF7">
        <w:rPr>
          <w:rFonts w:ascii="Arial" w:hAnsi="Arial" w:cs="Arial"/>
        </w:rPr>
        <w:t>Th</w:t>
      </w:r>
      <w:r w:rsidR="3E3DB436" w:rsidRPr="7AFA3CF7">
        <w:rPr>
          <w:rFonts w:ascii="Arial" w:hAnsi="Arial" w:cs="Arial"/>
        </w:rPr>
        <w:t>e</w:t>
      </w:r>
      <w:r w:rsidRPr="7AFA3CF7">
        <w:rPr>
          <w:rFonts w:ascii="Arial" w:hAnsi="Arial" w:cs="Arial"/>
        </w:rPr>
        <w:t xml:space="preserve"> Prescriber e-Letter is an update designed to enhance the transparency and efficiency of the MassHealth</w:t>
      </w:r>
      <w:r w:rsidR="2FD98171" w:rsidRPr="7AFA3CF7">
        <w:rPr>
          <w:rFonts w:ascii="Arial" w:hAnsi="Arial" w:cs="Arial"/>
        </w:rPr>
        <w:t xml:space="preserve"> </w:t>
      </w:r>
      <w:r w:rsidRPr="7AFA3CF7">
        <w:rPr>
          <w:rFonts w:ascii="Arial" w:hAnsi="Arial" w:cs="Arial"/>
        </w:rPr>
        <w:t>drug prior-authorization (PA) process and the MassHealth Drug List. Each issue highlights key clinical</w:t>
      </w:r>
      <w:r w:rsidR="2FD98171" w:rsidRPr="7AFA3CF7">
        <w:rPr>
          <w:rFonts w:ascii="Arial" w:hAnsi="Arial" w:cs="Arial"/>
        </w:rPr>
        <w:t xml:space="preserve"> </w:t>
      </w:r>
      <w:r w:rsidRPr="7AFA3CF7">
        <w:rPr>
          <w:rFonts w:ascii="Arial" w:hAnsi="Arial" w:cs="Arial"/>
        </w:rPr>
        <w:t>information and updates to the MassHealth Drug List. The Prescriber E-Letter was prepared by the</w:t>
      </w:r>
      <w:r w:rsidR="2FD98171" w:rsidRPr="7AFA3CF7">
        <w:rPr>
          <w:rFonts w:ascii="Arial" w:hAnsi="Arial" w:cs="Arial"/>
        </w:rPr>
        <w:t xml:space="preserve"> </w:t>
      </w:r>
      <w:r w:rsidRPr="7AFA3CF7">
        <w:rPr>
          <w:rFonts w:ascii="Arial" w:hAnsi="Arial" w:cs="Arial"/>
        </w:rPr>
        <w:t>MassHealth Drug Utilization Review Program and the MassHealth Pharmacy Program.</w:t>
      </w:r>
    </w:p>
    <w:p w14:paraId="16935B22" w14:textId="75BC8FEE" w:rsidR="002C4ECF" w:rsidRDefault="002C4ECF" w:rsidP="009D5900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63307A5F" w14:textId="55D3869F" w:rsidR="002C4ECF" w:rsidRPr="002C4ECF" w:rsidRDefault="002C4ECF" w:rsidP="002C4ECF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8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2C4ECF" w:rsidRPr="002C4ECF" w:rsidSect="002C4ECF">
      <w:headerReference w:type="default" r:id="rId19"/>
      <w:footerReference w:type="even" r:id="rId20"/>
      <w:footerReference w:type="default" r:id="rId21"/>
      <w:type w:val="continuous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1D83" w14:textId="77777777" w:rsidR="00FF6192" w:rsidRDefault="00FF6192">
      <w:r>
        <w:separator/>
      </w:r>
    </w:p>
  </w:endnote>
  <w:endnote w:type="continuationSeparator" w:id="0">
    <w:p w14:paraId="0422DDAF" w14:textId="77777777" w:rsidR="00FF6192" w:rsidRDefault="00FF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D7667" w14:textId="77777777" w:rsidR="00FF6192" w:rsidRDefault="00FF6192">
      <w:r>
        <w:separator/>
      </w:r>
    </w:p>
  </w:footnote>
  <w:footnote w:type="continuationSeparator" w:id="0">
    <w:p w14:paraId="26B5E608" w14:textId="77777777" w:rsidR="00FF6192" w:rsidRDefault="00FF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3D82DC15" w:rsidR="001A4C38" w:rsidRDefault="00AB0C8E" w:rsidP="00AB0C8E">
    <w:pPr>
      <w:rPr>
        <w:b/>
        <w:bCs/>
      </w:rPr>
    </w:pPr>
    <w:r>
      <w:rPr>
        <w:b/>
        <w:bCs/>
      </w:rPr>
      <w:t>November 2025</w:t>
    </w:r>
    <w:r w:rsidRPr="00AB0C8E">
      <w:rPr>
        <w:b/>
        <w:bCs/>
      </w:rPr>
      <w:t xml:space="preserve">, Volume </w:t>
    </w:r>
    <w:r w:rsidR="0000136E">
      <w:rPr>
        <w:b/>
        <w:bCs/>
      </w:rPr>
      <w:t>15</w:t>
    </w:r>
    <w:r w:rsidRPr="00AB0C8E">
      <w:rPr>
        <w:b/>
        <w:bCs/>
      </w:rPr>
      <w:t xml:space="preserve">, Issue </w:t>
    </w:r>
    <w:r w:rsidR="0000136E">
      <w:rPr>
        <w:b/>
        <w:bCs/>
      </w:rPr>
      <w:t>19</w:t>
    </w:r>
  </w:p>
  <w:p w14:paraId="0E85B434" w14:textId="77777777" w:rsidR="00AB0C8E" w:rsidRPr="00AB0C8E" w:rsidRDefault="00AB0C8E" w:rsidP="00AB0C8E">
    <w:pPr>
      <w:rPr>
        <w:lang w:val="e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C89C53"/>
    <w:multiLevelType w:val="hybridMultilevel"/>
    <w:tmpl w:val="21A0666C"/>
    <w:lvl w:ilvl="0" w:tplc="BC3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8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CA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D1E52"/>
    <w:multiLevelType w:val="hybridMultilevel"/>
    <w:tmpl w:val="116494CA"/>
    <w:lvl w:ilvl="0" w:tplc="E6E2F10C">
      <w:numFmt w:val="bullet"/>
      <w:lvlText w:val=""/>
      <w:lvlJc w:val="left"/>
      <w:pPr>
        <w:ind w:left="9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2C32"/>
    <w:multiLevelType w:val="hybridMultilevel"/>
    <w:tmpl w:val="6EA2B8C6"/>
    <w:lvl w:ilvl="0" w:tplc="78F6EFAE">
      <w:start w:val="1"/>
      <w:numFmt w:val="bullet"/>
      <w:lvlText w:val=""/>
      <w:lvlJc w:val="left"/>
      <w:pPr>
        <w:ind w:left="360" w:hanging="360"/>
      </w:pPr>
      <w:rPr>
        <w:rFonts w:ascii="Courier New" w:hAnsi="Courier New" w:hint="default"/>
      </w:rPr>
    </w:lvl>
    <w:lvl w:ilvl="1" w:tplc="920C5CF4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538EC6D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D8F60844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51C8C1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6324CC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BC812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EDEC7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6DFA85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2119">
    <w:abstractNumId w:val="11"/>
  </w:num>
  <w:num w:numId="2" w16cid:durableId="659965391">
    <w:abstractNumId w:val="1"/>
  </w:num>
  <w:num w:numId="3" w16cid:durableId="900097909">
    <w:abstractNumId w:val="20"/>
  </w:num>
  <w:num w:numId="4" w16cid:durableId="1055355579">
    <w:abstractNumId w:val="9"/>
  </w:num>
  <w:num w:numId="5" w16cid:durableId="199826978">
    <w:abstractNumId w:val="8"/>
  </w:num>
  <w:num w:numId="6" w16cid:durableId="1782339195">
    <w:abstractNumId w:val="21"/>
  </w:num>
  <w:num w:numId="7" w16cid:durableId="321617534">
    <w:abstractNumId w:val="22"/>
  </w:num>
  <w:num w:numId="8" w16cid:durableId="514729983">
    <w:abstractNumId w:val="2"/>
  </w:num>
  <w:num w:numId="9" w16cid:durableId="1932081016">
    <w:abstractNumId w:val="13"/>
  </w:num>
  <w:num w:numId="10" w16cid:durableId="2079358099">
    <w:abstractNumId w:val="4"/>
  </w:num>
  <w:num w:numId="11" w16cid:durableId="329336526">
    <w:abstractNumId w:val="0"/>
  </w:num>
  <w:num w:numId="12" w16cid:durableId="747574778">
    <w:abstractNumId w:val="5"/>
  </w:num>
  <w:num w:numId="13" w16cid:durableId="864055193">
    <w:abstractNumId w:val="3"/>
  </w:num>
  <w:num w:numId="14" w16cid:durableId="990477161">
    <w:abstractNumId w:val="12"/>
  </w:num>
  <w:num w:numId="15" w16cid:durableId="1299412918">
    <w:abstractNumId w:val="16"/>
  </w:num>
  <w:num w:numId="16" w16cid:durableId="47382837">
    <w:abstractNumId w:val="18"/>
  </w:num>
  <w:num w:numId="17" w16cid:durableId="223032385">
    <w:abstractNumId w:val="14"/>
  </w:num>
  <w:num w:numId="18" w16cid:durableId="957570114">
    <w:abstractNumId w:val="7"/>
  </w:num>
  <w:num w:numId="19" w16cid:durableId="1183595301">
    <w:abstractNumId w:val="10"/>
  </w:num>
  <w:num w:numId="20" w16cid:durableId="929855715">
    <w:abstractNumId w:val="19"/>
  </w:num>
  <w:num w:numId="21" w16cid:durableId="591281527">
    <w:abstractNumId w:val="15"/>
  </w:num>
  <w:num w:numId="22" w16cid:durableId="1839615411">
    <w:abstractNumId w:val="6"/>
  </w:num>
  <w:num w:numId="23" w16cid:durableId="941961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136E"/>
    <w:rsid w:val="0000582A"/>
    <w:rsid w:val="0000622F"/>
    <w:rsid w:val="0001242D"/>
    <w:rsid w:val="00016FA9"/>
    <w:rsid w:val="000172B8"/>
    <w:rsid w:val="00022CA5"/>
    <w:rsid w:val="00032571"/>
    <w:rsid w:val="00034CE8"/>
    <w:rsid w:val="00040DB1"/>
    <w:rsid w:val="00041A1A"/>
    <w:rsid w:val="00041AC3"/>
    <w:rsid w:val="00041F7C"/>
    <w:rsid w:val="00042FD6"/>
    <w:rsid w:val="0004346A"/>
    <w:rsid w:val="00043DB1"/>
    <w:rsid w:val="00045863"/>
    <w:rsid w:val="0004685E"/>
    <w:rsid w:val="00051E6C"/>
    <w:rsid w:val="00055E2A"/>
    <w:rsid w:val="00057562"/>
    <w:rsid w:val="000604CC"/>
    <w:rsid w:val="00062FC6"/>
    <w:rsid w:val="00074014"/>
    <w:rsid w:val="00076A4D"/>
    <w:rsid w:val="000800EF"/>
    <w:rsid w:val="00080A76"/>
    <w:rsid w:val="000814C3"/>
    <w:rsid w:val="00085F5E"/>
    <w:rsid w:val="000911D8"/>
    <w:rsid w:val="00097FD5"/>
    <w:rsid w:val="000A26B3"/>
    <w:rsid w:val="000A6C99"/>
    <w:rsid w:val="000B4487"/>
    <w:rsid w:val="000C15E5"/>
    <w:rsid w:val="000C2AEE"/>
    <w:rsid w:val="000C461D"/>
    <w:rsid w:val="000E515F"/>
    <w:rsid w:val="000F145D"/>
    <w:rsid w:val="000F19D2"/>
    <w:rsid w:val="000F4B55"/>
    <w:rsid w:val="001003DC"/>
    <w:rsid w:val="001038B4"/>
    <w:rsid w:val="001049C6"/>
    <w:rsid w:val="00107CA4"/>
    <w:rsid w:val="00112E05"/>
    <w:rsid w:val="00113A33"/>
    <w:rsid w:val="001178EB"/>
    <w:rsid w:val="00134AF9"/>
    <w:rsid w:val="00137002"/>
    <w:rsid w:val="00143EFF"/>
    <w:rsid w:val="00146E96"/>
    <w:rsid w:val="0016598C"/>
    <w:rsid w:val="00166B50"/>
    <w:rsid w:val="0017504B"/>
    <w:rsid w:val="00175150"/>
    <w:rsid w:val="00175C12"/>
    <w:rsid w:val="00180CAA"/>
    <w:rsid w:val="00182385"/>
    <w:rsid w:val="00182DEA"/>
    <w:rsid w:val="00186648"/>
    <w:rsid w:val="001A4C38"/>
    <w:rsid w:val="001A6565"/>
    <w:rsid w:val="001B2DED"/>
    <w:rsid w:val="001B4E72"/>
    <w:rsid w:val="001B5865"/>
    <w:rsid w:val="001B58F6"/>
    <w:rsid w:val="001B712E"/>
    <w:rsid w:val="001C1FAD"/>
    <w:rsid w:val="001C2E84"/>
    <w:rsid w:val="001D2A7B"/>
    <w:rsid w:val="001D7759"/>
    <w:rsid w:val="001E3620"/>
    <w:rsid w:val="001E762D"/>
    <w:rsid w:val="001E7935"/>
    <w:rsid w:val="00205E56"/>
    <w:rsid w:val="00212936"/>
    <w:rsid w:val="00215FB5"/>
    <w:rsid w:val="002172A7"/>
    <w:rsid w:val="0021775D"/>
    <w:rsid w:val="0022143C"/>
    <w:rsid w:val="00227174"/>
    <w:rsid w:val="002400F6"/>
    <w:rsid w:val="002408E9"/>
    <w:rsid w:val="00242A52"/>
    <w:rsid w:val="00246894"/>
    <w:rsid w:val="002559B8"/>
    <w:rsid w:val="002712BE"/>
    <w:rsid w:val="00272F9F"/>
    <w:rsid w:val="00273E75"/>
    <w:rsid w:val="002753DF"/>
    <w:rsid w:val="0027618E"/>
    <w:rsid w:val="00283746"/>
    <w:rsid w:val="00287F60"/>
    <w:rsid w:val="002A566F"/>
    <w:rsid w:val="002B16E1"/>
    <w:rsid w:val="002B4B60"/>
    <w:rsid w:val="002C14BD"/>
    <w:rsid w:val="002C261E"/>
    <w:rsid w:val="002C326C"/>
    <w:rsid w:val="002C4ECF"/>
    <w:rsid w:val="002D1C5C"/>
    <w:rsid w:val="002D1E14"/>
    <w:rsid w:val="002D6F34"/>
    <w:rsid w:val="002E55F8"/>
    <w:rsid w:val="002E6DD1"/>
    <w:rsid w:val="002E75D3"/>
    <w:rsid w:val="002F1A78"/>
    <w:rsid w:val="002F4A95"/>
    <w:rsid w:val="003064EC"/>
    <w:rsid w:val="0031009A"/>
    <w:rsid w:val="003128F3"/>
    <w:rsid w:val="0031549E"/>
    <w:rsid w:val="003159D1"/>
    <w:rsid w:val="00316A86"/>
    <w:rsid w:val="0031728E"/>
    <w:rsid w:val="00325D8F"/>
    <w:rsid w:val="00330FB0"/>
    <w:rsid w:val="00344037"/>
    <w:rsid w:val="0034440C"/>
    <w:rsid w:val="00353AD3"/>
    <w:rsid w:val="003642CC"/>
    <w:rsid w:val="00365B4B"/>
    <w:rsid w:val="00366132"/>
    <w:rsid w:val="00366BAA"/>
    <w:rsid w:val="00367696"/>
    <w:rsid w:val="00371601"/>
    <w:rsid w:val="00373275"/>
    <w:rsid w:val="00377A75"/>
    <w:rsid w:val="003971CE"/>
    <w:rsid w:val="00397377"/>
    <w:rsid w:val="003A17FB"/>
    <w:rsid w:val="003A670A"/>
    <w:rsid w:val="003B251D"/>
    <w:rsid w:val="003B7B9B"/>
    <w:rsid w:val="003C0161"/>
    <w:rsid w:val="003C15F6"/>
    <w:rsid w:val="003D177D"/>
    <w:rsid w:val="003E7380"/>
    <w:rsid w:val="003F7F93"/>
    <w:rsid w:val="0040022A"/>
    <w:rsid w:val="00401354"/>
    <w:rsid w:val="00410458"/>
    <w:rsid w:val="00411059"/>
    <w:rsid w:val="00411B40"/>
    <w:rsid w:val="00411C19"/>
    <w:rsid w:val="0041665A"/>
    <w:rsid w:val="00424615"/>
    <w:rsid w:val="00425560"/>
    <w:rsid w:val="00427D00"/>
    <w:rsid w:val="00433649"/>
    <w:rsid w:val="00446350"/>
    <w:rsid w:val="004564C8"/>
    <w:rsid w:val="00456BB4"/>
    <w:rsid w:val="004607BC"/>
    <w:rsid w:val="00460979"/>
    <w:rsid w:val="00463AE8"/>
    <w:rsid w:val="004650A7"/>
    <w:rsid w:val="0046520A"/>
    <w:rsid w:val="00467BD4"/>
    <w:rsid w:val="0047213A"/>
    <w:rsid w:val="004733F0"/>
    <w:rsid w:val="00477057"/>
    <w:rsid w:val="00485E86"/>
    <w:rsid w:val="0048776D"/>
    <w:rsid w:val="0049555F"/>
    <w:rsid w:val="0049734F"/>
    <w:rsid w:val="004A58A3"/>
    <w:rsid w:val="004A5933"/>
    <w:rsid w:val="004B24F7"/>
    <w:rsid w:val="004B77A9"/>
    <w:rsid w:val="004C0C22"/>
    <w:rsid w:val="004D4AE0"/>
    <w:rsid w:val="004E42DD"/>
    <w:rsid w:val="004E58D0"/>
    <w:rsid w:val="004E6787"/>
    <w:rsid w:val="004F3FB4"/>
    <w:rsid w:val="004F5803"/>
    <w:rsid w:val="00502B92"/>
    <w:rsid w:val="00516CA6"/>
    <w:rsid w:val="005175F7"/>
    <w:rsid w:val="00523813"/>
    <w:rsid w:val="00525B8F"/>
    <w:rsid w:val="00532641"/>
    <w:rsid w:val="00533C5E"/>
    <w:rsid w:val="005345EF"/>
    <w:rsid w:val="00536EBB"/>
    <w:rsid w:val="0055653E"/>
    <w:rsid w:val="005566B0"/>
    <w:rsid w:val="00565BEA"/>
    <w:rsid w:val="00567B9D"/>
    <w:rsid w:val="00571C6C"/>
    <w:rsid w:val="00576DC3"/>
    <w:rsid w:val="0057789E"/>
    <w:rsid w:val="00577FEC"/>
    <w:rsid w:val="00581E50"/>
    <w:rsid w:val="00583A96"/>
    <w:rsid w:val="005842A0"/>
    <w:rsid w:val="005851F1"/>
    <w:rsid w:val="00591187"/>
    <w:rsid w:val="0059122F"/>
    <w:rsid w:val="005917AE"/>
    <w:rsid w:val="00592C98"/>
    <w:rsid w:val="0059487B"/>
    <w:rsid w:val="005A21DB"/>
    <w:rsid w:val="005A74DA"/>
    <w:rsid w:val="005B3507"/>
    <w:rsid w:val="005B73A3"/>
    <w:rsid w:val="005C05FA"/>
    <w:rsid w:val="005D3CAF"/>
    <w:rsid w:val="005D506B"/>
    <w:rsid w:val="005D56B2"/>
    <w:rsid w:val="005E0ED5"/>
    <w:rsid w:val="005E52FC"/>
    <w:rsid w:val="005E7B03"/>
    <w:rsid w:val="005F35CD"/>
    <w:rsid w:val="00601A7F"/>
    <w:rsid w:val="00610115"/>
    <w:rsid w:val="00612B60"/>
    <w:rsid w:val="006163C9"/>
    <w:rsid w:val="00622404"/>
    <w:rsid w:val="0062336E"/>
    <w:rsid w:val="0062529B"/>
    <w:rsid w:val="00626A67"/>
    <w:rsid w:val="0064259B"/>
    <w:rsid w:val="00650CB2"/>
    <w:rsid w:val="00653EAC"/>
    <w:rsid w:val="006558AB"/>
    <w:rsid w:val="006568EB"/>
    <w:rsid w:val="0067107B"/>
    <w:rsid w:val="00680C86"/>
    <w:rsid w:val="00690023"/>
    <w:rsid w:val="0069031E"/>
    <w:rsid w:val="006A777A"/>
    <w:rsid w:val="006B207B"/>
    <w:rsid w:val="006B20D5"/>
    <w:rsid w:val="006B7613"/>
    <w:rsid w:val="006C3B50"/>
    <w:rsid w:val="006D0300"/>
    <w:rsid w:val="006D70E0"/>
    <w:rsid w:val="006D786E"/>
    <w:rsid w:val="006E0362"/>
    <w:rsid w:val="00702546"/>
    <w:rsid w:val="00711113"/>
    <w:rsid w:val="00716CD9"/>
    <w:rsid w:val="00717A1C"/>
    <w:rsid w:val="00721778"/>
    <w:rsid w:val="007243D7"/>
    <w:rsid w:val="00730CB8"/>
    <w:rsid w:val="007311C3"/>
    <w:rsid w:val="00737AA2"/>
    <w:rsid w:val="007459B2"/>
    <w:rsid w:val="00752617"/>
    <w:rsid w:val="00762B83"/>
    <w:rsid w:val="00767D6F"/>
    <w:rsid w:val="00770CB5"/>
    <w:rsid w:val="007736F7"/>
    <w:rsid w:val="00776346"/>
    <w:rsid w:val="00785C9F"/>
    <w:rsid w:val="0078683C"/>
    <w:rsid w:val="0079312B"/>
    <w:rsid w:val="007947FB"/>
    <w:rsid w:val="00795A7C"/>
    <w:rsid w:val="00796800"/>
    <w:rsid w:val="007A2C73"/>
    <w:rsid w:val="007A3DAF"/>
    <w:rsid w:val="007E4CAE"/>
    <w:rsid w:val="007E4DC3"/>
    <w:rsid w:val="007E77D7"/>
    <w:rsid w:val="007F2D62"/>
    <w:rsid w:val="0080735F"/>
    <w:rsid w:val="00807E9F"/>
    <w:rsid w:val="00816B7A"/>
    <w:rsid w:val="00835549"/>
    <w:rsid w:val="008403CA"/>
    <w:rsid w:val="00840D1F"/>
    <w:rsid w:val="0084212C"/>
    <w:rsid w:val="00844307"/>
    <w:rsid w:val="00844A19"/>
    <w:rsid w:val="0084544F"/>
    <w:rsid w:val="0085378A"/>
    <w:rsid w:val="00860511"/>
    <w:rsid w:val="00860BA1"/>
    <w:rsid w:val="00862590"/>
    <w:rsid w:val="00865AEA"/>
    <w:rsid w:val="008663B5"/>
    <w:rsid w:val="00870CBF"/>
    <w:rsid w:val="008722AE"/>
    <w:rsid w:val="00872E7F"/>
    <w:rsid w:val="00873BEF"/>
    <w:rsid w:val="00875B78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B0999"/>
    <w:rsid w:val="008B221F"/>
    <w:rsid w:val="008B56EF"/>
    <w:rsid w:val="008C7924"/>
    <w:rsid w:val="008E5183"/>
    <w:rsid w:val="008E79B3"/>
    <w:rsid w:val="008F25B4"/>
    <w:rsid w:val="00901DC2"/>
    <w:rsid w:val="00912B28"/>
    <w:rsid w:val="00915088"/>
    <w:rsid w:val="00917BB8"/>
    <w:rsid w:val="00922C53"/>
    <w:rsid w:val="00923341"/>
    <w:rsid w:val="00927CAB"/>
    <w:rsid w:val="00932C77"/>
    <w:rsid w:val="00935861"/>
    <w:rsid w:val="0093EF3E"/>
    <w:rsid w:val="00947F70"/>
    <w:rsid w:val="009555A8"/>
    <w:rsid w:val="00956812"/>
    <w:rsid w:val="00975FB0"/>
    <w:rsid w:val="00980B18"/>
    <w:rsid w:val="00982128"/>
    <w:rsid w:val="00986AF3"/>
    <w:rsid w:val="00991351"/>
    <w:rsid w:val="009913AF"/>
    <w:rsid w:val="009A2A6E"/>
    <w:rsid w:val="009A3763"/>
    <w:rsid w:val="009A4123"/>
    <w:rsid w:val="009B1AAF"/>
    <w:rsid w:val="009B2ABA"/>
    <w:rsid w:val="009D1E1C"/>
    <w:rsid w:val="009D2B0C"/>
    <w:rsid w:val="009D5900"/>
    <w:rsid w:val="009E13CA"/>
    <w:rsid w:val="009E21EE"/>
    <w:rsid w:val="009E2266"/>
    <w:rsid w:val="009E2313"/>
    <w:rsid w:val="009E6499"/>
    <w:rsid w:val="009F04D6"/>
    <w:rsid w:val="009F55D1"/>
    <w:rsid w:val="00A03024"/>
    <w:rsid w:val="00A0313C"/>
    <w:rsid w:val="00A128B9"/>
    <w:rsid w:val="00A13579"/>
    <w:rsid w:val="00A26095"/>
    <w:rsid w:val="00A33243"/>
    <w:rsid w:val="00A36FA0"/>
    <w:rsid w:val="00A37691"/>
    <w:rsid w:val="00A54558"/>
    <w:rsid w:val="00A63EE0"/>
    <w:rsid w:val="00A65E97"/>
    <w:rsid w:val="00A779CA"/>
    <w:rsid w:val="00A82D27"/>
    <w:rsid w:val="00A83962"/>
    <w:rsid w:val="00A84104"/>
    <w:rsid w:val="00A856E6"/>
    <w:rsid w:val="00A95432"/>
    <w:rsid w:val="00AA0399"/>
    <w:rsid w:val="00AA6F20"/>
    <w:rsid w:val="00AB00CC"/>
    <w:rsid w:val="00AB0C8E"/>
    <w:rsid w:val="00AB0E08"/>
    <w:rsid w:val="00AB16A7"/>
    <w:rsid w:val="00AB304D"/>
    <w:rsid w:val="00AB4870"/>
    <w:rsid w:val="00AD42BB"/>
    <w:rsid w:val="00AD5A76"/>
    <w:rsid w:val="00AD5FE7"/>
    <w:rsid w:val="00AE483E"/>
    <w:rsid w:val="00AF3350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7453A"/>
    <w:rsid w:val="00B96C06"/>
    <w:rsid w:val="00BB15B2"/>
    <w:rsid w:val="00BB8347"/>
    <w:rsid w:val="00BD0118"/>
    <w:rsid w:val="00BD73DC"/>
    <w:rsid w:val="00BD7648"/>
    <w:rsid w:val="00BE3669"/>
    <w:rsid w:val="00BE46A7"/>
    <w:rsid w:val="00BF73BB"/>
    <w:rsid w:val="00C0073C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8AB"/>
    <w:rsid w:val="00C62A5E"/>
    <w:rsid w:val="00C656AF"/>
    <w:rsid w:val="00C65738"/>
    <w:rsid w:val="00C76762"/>
    <w:rsid w:val="00C82355"/>
    <w:rsid w:val="00C97787"/>
    <w:rsid w:val="00CA0313"/>
    <w:rsid w:val="00CA0669"/>
    <w:rsid w:val="00CA1D66"/>
    <w:rsid w:val="00CA231C"/>
    <w:rsid w:val="00CA4BAC"/>
    <w:rsid w:val="00CA6B6E"/>
    <w:rsid w:val="00CB1524"/>
    <w:rsid w:val="00CD1B3A"/>
    <w:rsid w:val="00CD7211"/>
    <w:rsid w:val="00CD7C0E"/>
    <w:rsid w:val="00CE27E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673E"/>
    <w:rsid w:val="00D55269"/>
    <w:rsid w:val="00D56162"/>
    <w:rsid w:val="00D7173F"/>
    <w:rsid w:val="00D726DF"/>
    <w:rsid w:val="00D757B8"/>
    <w:rsid w:val="00D77884"/>
    <w:rsid w:val="00D80E94"/>
    <w:rsid w:val="00D821A9"/>
    <w:rsid w:val="00D97D27"/>
    <w:rsid w:val="00DA302D"/>
    <w:rsid w:val="00DA4328"/>
    <w:rsid w:val="00DA7FE7"/>
    <w:rsid w:val="00DB173C"/>
    <w:rsid w:val="00DB2EE5"/>
    <w:rsid w:val="00DB79AB"/>
    <w:rsid w:val="00DC0E97"/>
    <w:rsid w:val="00DC1ACC"/>
    <w:rsid w:val="00DC263A"/>
    <w:rsid w:val="00DC7F7B"/>
    <w:rsid w:val="00DD2187"/>
    <w:rsid w:val="00DE2DC0"/>
    <w:rsid w:val="00DF3E53"/>
    <w:rsid w:val="00E00D77"/>
    <w:rsid w:val="00E06D78"/>
    <w:rsid w:val="00E1027A"/>
    <w:rsid w:val="00E1147D"/>
    <w:rsid w:val="00E1225F"/>
    <w:rsid w:val="00E23CEA"/>
    <w:rsid w:val="00E31AED"/>
    <w:rsid w:val="00E31CAE"/>
    <w:rsid w:val="00E34A39"/>
    <w:rsid w:val="00E35E0F"/>
    <w:rsid w:val="00E370BD"/>
    <w:rsid w:val="00E46324"/>
    <w:rsid w:val="00E61DD5"/>
    <w:rsid w:val="00E679DA"/>
    <w:rsid w:val="00E831CE"/>
    <w:rsid w:val="00E90319"/>
    <w:rsid w:val="00E9521B"/>
    <w:rsid w:val="00EB0E73"/>
    <w:rsid w:val="00EB5FE2"/>
    <w:rsid w:val="00EC08AC"/>
    <w:rsid w:val="00EE333C"/>
    <w:rsid w:val="00EE46DF"/>
    <w:rsid w:val="00EE67F4"/>
    <w:rsid w:val="00EE74FF"/>
    <w:rsid w:val="00EF76E8"/>
    <w:rsid w:val="00F01FFC"/>
    <w:rsid w:val="00F42C2D"/>
    <w:rsid w:val="00F47FEA"/>
    <w:rsid w:val="00F51B4F"/>
    <w:rsid w:val="00F53DA0"/>
    <w:rsid w:val="00F53FFB"/>
    <w:rsid w:val="00F636E3"/>
    <w:rsid w:val="00F66EB8"/>
    <w:rsid w:val="00F67537"/>
    <w:rsid w:val="00F67D45"/>
    <w:rsid w:val="00F71CC7"/>
    <w:rsid w:val="00F85E0D"/>
    <w:rsid w:val="00F9023B"/>
    <w:rsid w:val="00FA5787"/>
    <w:rsid w:val="00FB53EC"/>
    <w:rsid w:val="00FB7719"/>
    <w:rsid w:val="00FD2EE9"/>
    <w:rsid w:val="00FD5009"/>
    <w:rsid w:val="00FD5CE5"/>
    <w:rsid w:val="00FE2743"/>
    <w:rsid w:val="00FF17E3"/>
    <w:rsid w:val="00FF1A2E"/>
    <w:rsid w:val="00FF20CF"/>
    <w:rsid w:val="00FF3E05"/>
    <w:rsid w:val="00FF6192"/>
    <w:rsid w:val="01865ADB"/>
    <w:rsid w:val="01C97FB7"/>
    <w:rsid w:val="02C982EE"/>
    <w:rsid w:val="02CB0104"/>
    <w:rsid w:val="046638F8"/>
    <w:rsid w:val="04BA1BA6"/>
    <w:rsid w:val="056058B9"/>
    <w:rsid w:val="056723A1"/>
    <w:rsid w:val="064F2D79"/>
    <w:rsid w:val="0694ABCD"/>
    <w:rsid w:val="06A00498"/>
    <w:rsid w:val="06AD27BE"/>
    <w:rsid w:val="070FEAAC"/>
    <w:rsid w:val="07CDAFB5"/>
    <w:rsid w:val="0A2FE880"/>
    <w:rsid w:val="0AAF1449"/>
    <w:rsid w:val="0B049F71"/>
    <w:rsid w:val="0B18A8C6"/>
    <w:rsid w:val="0B41D5B7"/>
    <w:rsid w:val="0BC37237"/>
    <w:rsid w:val="0C08DD09"/>
    <w:rsid w:val="0C28237B"/>
    <w:rsid w:val="0C7ECF80"/>
    <w:rsid w:val="0CC010DA"/>
    <w:rsid w:val="0CED46AF"/>
    <w:rsid w:val="0D5570F5"/>
    <w:rsid w:val="0DF5C2A1"/>
    <w:rsid w:val="0E4D5403"/>
    <w:rsid w:val="0F24C677"/>
    <w:rsid w:val="0F29373A"/>
    <w:rsid w:val="0F5C67B2"/>
    <w:rsid w:val="0FA9498F"/>
    <w:rsid w:val="102BA2A5"/>
    <w:rsid w:val="10320BE0"/>
    <w:rsid w:val="10BDA2C0"/>
    <w:rsid w:val="111E351A"/>
    <w:rsid w:val="1126799C"/>
    <w:rsid w:val="112EFD6D"/>
    <w:rsid w:val="129EBD10"/>
    <w:rsid w:val="12B84A8C"/>
    <w:rsid w:val="12D05945"/>
    <w:rsid w:val="12F70EB5"/>
    <w:rsid w:val="13116822"/>
    <w:rsid w:val="13962740"/>
    <w:rsid w:val="13A0F91E"/>
    <w:rsid w:val="149FDD57"/>
    <w:rsid w:val="14B2BC24"/>
    <w:rsid w:val="15132078"/>
    <w:rsid w:val="1616C9EE"/>
    <w:rsid w:val="163C75C0"/>
    <w:rsid w:val="1668DBF5"/>
    <w:rsid w:val="167438B7"/>
    <w:rsid w:val="16F83727"/>
    <w:rsid w:val="1732ECE6"/>
    <w:rsid w:val="18E456BA"/>
    <w:rsid w:val="18EF4F95"/>
    <w:rsid w:val="18FCFFB5"/>
    <w:rsid w:val="1932CDCF"/>
    <w:rsid w:val="19C652C7"/>
    <w:rsid w:val="19CE509A"/>
    <w:rsid w:val="1A374AF9"/>
    <w:rsid w:val="1B295627"/>
    <w:rsid w:val="1B5E9726"/>
    <w:rsid w:val="1B961393"/>
    <w:rsid w:val="1CDBCFCE"/>
    <w:rsid w:val="1D25C0D2"/>
    <w:rsid w:val="1D30156E"/>
    <w:rsid w:val="1DC89400"/>
    <w:rsid w:val="1E4D7139"/>
    <w:rsid w:val="1EA7EE36"/>
    <w:rsid w:val="1ED46397"/>
    <w:rsid w:val="1EED5D91"/>
    <w:rsid w:val="1F199216"/>
    <w:rsid w:val="1F34E8E0"/>
    <w:rsid w:val="1FDB7C9D"/>
    <w:rsid w:val="2090D4A2"/>
    <w:rsid w:val="2095A27D"/>
    <w:rsid w:val="20E439F7"/>
    <w:rsid w:val="211F0C68"/>
    <w:rsid w:val="21ED1500"/>
    <w:rsid w:val="21FA9228"/>
    <w:rsid w:val="2278D63C"/>
    <w:rsid w:val="22921361"/>
    <w:rsid w:val="22A1C9BC"/>
    <w:rsid w:val="23020679"/>
    <w:rsid w:val="2312B655"/>
    <w:rsid w:val="248B7E7B"/>
    <w:rsid w:val="24BBC7BB"/>
    <w:rsid w:val="2536E01E"/>
    <w:rsid w:val="2580FBFC"/>
    <w:rsid w:val="258EF941"/>
    <w:rsid w:val="26EFDDD8"/>
    <w:rsid w:val="270119A2"/>
    <w:rsid w:val="27ABEEF9"/>
    <w:rsid w:val="2819A4CE"/>
    <w:rsid w:val="29506DDC"/>
    <w:rsid w:val="29EDFD07"/>
    <w:rsid w:val="29F1B7FF"/>
    <w:rsid w:val="29FB0038"/>
    <w:rsid w:val="2A0E042B"/>
    <w:rsid w:val="2A50A852"/>
    <w:rsid w:val="2A512826"/>
    <w:rsid w:val="2A64FF7D"/>
    <w:rsid w:val="2B2F3F9A"/>
    <w:rsid w:val="2B7EAE28"/>
    <w:rsid w:val="2B84A543"/>
    <w:rsid w:val="2B87CD2D"/>
    <w:rsid w:val="2D27229F"/>
    <w:rsid w:val="2D3FBB9C"/>
    <w:rsid w:val="2D4DF4DC"/>
    <w:rsid w:val="2D963F66"/>
    <w:rsid w:val="2DAA3240"/>
    <w:rsid w:val="2DE28AAC"/>
    <w:rsid w:val="2E21BA8B"/>
    <w:rsid w:val="2E4F1CF8"/>
    <w:rsid w:val="2E712BEB"/>
    <w:rsid w:val="2EBD63E2"/>
    <w:rsid w:val="2F508A1E"/>
    <w:rsid w:val="2F7AC2DF"/>
    <w:rsid w:val="2FD53D44"/>
    <w:rsid w:val="2FD98171"/>
    <w:rsid w:val="2FF171EB"/>
    <w:rsid w:val="30F6B56D"/>
    <w:rsid w:val="3192FDCE"/>
    <w:rsid w:val="31962B01"/>
    <w:rsid w:val="31DA979D"/>
    <w:rsid w:val="31F69296"/>
    <w:rsid w:val="32170660"/>
    <w:rsid w:val="32ACC83C"/>
    <w:rsid w:val="3318D032"/>
    <w:rsid w:val="33A43213"/>
    <w:rsid w:val="340EE81A"/>
    <w:rsid w:val="342E71EF"/>
    <w:rsid w:val="34B19215"/>
    <w:rsid w:val="34DE6B95"/>
    <w:rsid w:val="3524DB67"/>
    <w:rsid w:val="354A0FB9"/>
    <w:rsid w:val="3566D595"/>
    <w:rsid w:val="35676FFB"/>
    <w:rsid w:val="358FDC99"/>
    <w:rsid w:val="366C1D9C"/>
    <w:rsid w:val="36DBE96B"/>
    <w:rsid w:val="380AE8A8"/>
    <w:rsid w:val="38169D26"/>
    <w:rsid w:val="3856EE73"/>
    <w:rsid w:val="3860A62B"/>
    <w:rsid w:val="386BD637"/>
    <w:rsid w:val="390335F7"/>
    <w:rsid w:val="396034B1"/>
    <w:rsid w:val="396FA126"/>
    <w:rsid w:val="39E687DD"/>
    <w:rsid w:val="39F502A3"/>
    <w:rsid w:val="3AB998A4"/>
    <w:rsid w:val="3B02FD77"/>
    <w:rsid w:val="3B77933D"/>
    <w:rsid w:val="3BE2CE7B"/>
    <w:rsid w:val="3BED3D78"/>
    <w:rsid w:val="3C3A5C54"/>
    <w:rsid w:val="3C5732DB"/>
    <w:rsid w:val="3CF9A693"/>
    <w:rsid w:val="3D689631"/>
    <w:rsid w:val="3D8D5D62"/>
    <w:rsid w:val="3DA1E0EB"/>
    <w:rsid w:val="3E331EF8"/>
    <w:rsid w:val="3E3DB436"/>
    <w:rsid w:val="3E7069C0"/>
    <w:rsid w:val="3E7214E0"/>
    <w:rsid w:val="3EF5C103"/>
    <w:rsid w:val="3F4B6E45"/>
    <w:rsid w:val="3F987DBC"/>
    <w:rsid w:val="3FF96530"/>
    <w:rsid w:val="40966662"/>
    <w:rsid w:val="40CD68C7"/>
    <w:rsid w:val="40DB9143"/>
    <w:rsid w:val="40DFC929"/>
    <w:rsid w:val="423053C7"/>
    <w:rsid w:val="428312A7"/>
    <w:rsid w:val="42EFDBD4"/>
    <w:rsid w:val="43898DC5"/>
    <w:rsid w:val="43AE9F58"/>
    <w:rsid w:val="4404B797"/>
    <w:rsid w:val="44649481"/>
    <w:rsid w:val="44EB4E4E"/>
    <w:rsid w:val="458DA5DB"/>
    <w:rsid w:val="46246E35"/>
    <w:rsid w:val="46338FED"/>
    <w:rsid w:val="46E5D2F8"/>
    <w:rsid w:val="4716AE2C"/>
    <w:rsid w:val="4812245B"/>
    <w:rsid w:val="48F00442"/>
    <w:rsid w:val="4A0C9CC0"/>
    <w:rsid w:val="4A90E652"/>
    <w:rsid w:val="4AE8D356"/>
    <w:rsid w:val="4AFE1E25"/>
    <w:rsid w:val="4BBEB4FD"/>
    <w:rsid w:val="4C287217"/>
    <w:rsid w:val="4C3095CA"/>
    <w:rsid w:val="4CC9D979"/>
    <w:rsid w:val="4D58ED96"/>
    <w:rsid w:val="4DC68332"/>
    <w:rsid w:val="4F30BB83"/>
    <w:rsid w:val="4F3AD4A4"/>
    <w:rsid w:val="4F8760F0"/>
    <w:rsid w:val="5073AAD6"/>
    <w:rsid w:val="50F2C2ED"/>
    <w:rsid w:val="50F4840B"/>
    <w:rsid w:val="5140006A"/>
    <w:rsid w:val="51558A9E"/>
    <w:rsid w:val="522811FD"/>
    <w:rsid w:val="52AE71A1"/>
    <w:rsid w:val="52F83495"/>
    <w:rsid w:val="5314B1EF"/>
    <w:rsid w:val="53582007"/>
    <w:rsid w:val="538E0FE1"/>
    <w:rsid w:val="53FB75CD"/>
    <w:rsid w:val="552A9876"/>
    <w:rsid w:val="55B10BB4"/>
    <w:rsid w:val="55C5EC8E"/>
    <w:rsid w:val="565EB595"/>
    <w:rsid w:val="569C9142"/>
    <w:rsid w:val="56C0ECC3"/>
    <w:rsid w:val="571894CE"/>
    <w:rsid w:val="58CFDE78"/>
    <w:rsid w:val="5AB0FFD1"/>
    <w:rsid w:val="5ABFE01A"/>
    <w:rsid w:val="5B0A6122"/>
    <w:rsid w:val="5B1F3B05"/>
    <w:rsid w:val="5BC4D814"/>
    <w:rsid w:val="5C81A29F"/>
    <w:rsid w:val="5CDEAFF7"/>
    <w:rsid w:val="5D0FF571"/>
    <w:rsid w:val="5D2731B4"/>
    <w:rsid w:val="5E896D15"/>
    <w:rsid w:val="5EBD2E30"/>
    <w:rsid w:val="5F058892"/>
    <w:rsid w:val="5F21C947"/>
    <w:rsid w:val="5F7AECBC"/>
    <w:rsid w:val="5FB53B70"/>
    <w:rsid w:val="5FF33391"/>
    <w:rsid w:val="6017B541"/>
    <w:rsid w:val="602600BA"/>
    <w:rsid w:val="60350AF4"/>
    <w:rsid w:val="60F74723"/>
    <w:rsid w:val="61575A8B"/>
    <w:rsid w:val="61F1B563"/>
    <w:rsid w:val="62E8F000"/>
    <w:rsid w:val="62ECA428"/>
    <w:rsid w:val="63194E85"/>
    <w:rsid w:val="639D7B8A"/>
    <w:rsid w:val="63D4CE19"/>
    <w:rsid w:val="648E23CC"/>
    <w:rsid w:val="64924E88"/>
    <w:rsid w:val="649D6BEF"/>
    <w:rsid w:val="6533EE13"/>
    <w:rsid w:val="65E480FA"/>
    <w:rsid w:val="65EF79C6"/>
    <w:rsid w:val="6643D7A8"/>
    <w:rsid w:val="66D231DB"/>
    <w:rsid w:val="67000436"/>
    <w:rsid w:val="672BE430"/>
    <w:rsid w:val="679E8EEB"/>
    <w:rsid w:val="67C1E224"/>
    <w:rsid w:val="67EBBE66"/>
    <w:rsid w:val="684F738F"/>
    <w:rsid w:val="68F67488"/>
    <w:rsid w:val="69242A74"/>
    <w:rsid w:val="692A4830"/>
    <w:rsid w:val="69A45FD6"/>
    <w:rsid w:val="69FAF1A4"/>
    <w:rsid w:val="6A05D53B"/>
    <w:rsid w:val="6A23F1A1"/>
    <w:rsid w:val="6A4CDDE6"/>
    <w:rsid w:val="6AA86CB8"/>
    <w:rsid w:val="6ABF2BAB"/>
    <w:rsid w:val="6B655A9F"/>
    <w:rsid w:val="6B84E39A"/>
    <w:rsid w:val="6BCD72AF"/>
    <w:rsid w:val="6BECBDAF"/>
    <w:rsid w:val="6BFB5DC9"/>
    <w:rsid w:val="6D3D5C8A"/>
    <w:rsid w:val="6D742DBB"/>
    <w:rsid w:val="6D7FA34D"/>
    <w:rsid w:val="6D87CAB5"/>
    <w:rsid w:val="6D985AC7"/>
    <w:rsid w:val="6DBB8826"/>
    <w:rsid w:val="6DED83FE"/>
    <w:rsid w:val="6E1C19AE"/>
    <w:rsid w:val="6E2EFD40"/>
    <w:rsid w:val="6EEA489F"/>
    <w:rsid w:val="6F3A6568"/>
    <w:rsid w:val="6FBF818C"/>
    <w:rsid w:val="6FE2EA0D"/>
    <w:rsid w:val="701EB5F2"/>
    <w:rsid w:val="707997A2"/>
    <w:rsid w:val="70F22E2B"/>
    <w:rsid w:val="71655AEE"/>
    <w:rsid w:val="716D911F"/>
    <w:rsid w:val="719A5DDA"/>
    <w:rsid w:val="7277A602"/>
    <w:rsid w:val="72C5C670"/>
    <w:rsid w:val="738D7383"/>
    <w:rsid w:val="742C5B90"/>
    <w:rsid w:val="74573DAD"/>
    <w:rsid w:val="75009AC1"/>
    <w:rsid w:val="750C19B4"/>
    <w:rsid w:val="752DBE29"/>
    <w:rsid w:val="75608F6F"/>
    <w:rsid w:val="76D1F24A"/>
    <w:rsid w:val="773BC068"/>
    <w:rsid w:val="7862CC17"/>
    <w:rsid w:val="78632897"/>
    <w:rsid w:val="78872355"/>
    <w:rsid w:val="7890975A"/>
    <w:rsid w:val="79322D2F"/>
    <w:rsid w:val="7932E39D"/>
    <w:rsid w:val="793ADEA1"/>
    <w:rsid w:val="796A7083"/>
    <w:rsid w:val="79B64C3F"/>
    <w:rsid w:val="7A0D478E"/>
    <w:rsid w:val="7AC921EF"/>
    <w:rsid w:val="7AFA3CF7"/>
    <w:rsid w:val="7B068020"/>
    <w:rsid w:val="7B2B6B45"/>
    <w:rsid w:val="7BAE9858"/>
    <w:rsid w:val="7BC2E26F"/>
    <w:rsid w:val="7C7CF032"/>
    <w:rsid w:val="7D98FE3D"/>
    <w:rsid w:val="7DCB3F55"/>
    <w:rsid w:val="7E02DD48"/>
    <w:rsid w:val="7E1C2CBA"/>
    <w:rsid w:val="7E1EC12B"/>
    <w:rsid w:val="7E4719F3"/>
    <w:rsid w:val="7E8F2628"/>
    <w:rsid w:val="7EDD5C72"/>
    <w:rsid w:val="7F397EBD"/>
    <w:rsid w:val="7F837D02"/>
    <w:rsid w:val="7FCAF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E46E114B-8421-44FB-AE19-930CC470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basedOn w:val="BodyText1"/>
    <w:next w:val="Normal"/>
    <w:link w:val="Heading2Char"/>
    <w:unhideWhenUsed/>
    <w:qFormat/>
    <w:rsid w:val="00AB0C8E"/>
    <w:pPr>
      <w:spacing w:line="240" w:lineRule="auto"/>
      <w:outlineLvl w:val="1"/>
    </w:pPr>
    <w:rPr>
      <w:rFonts w:ascii="Arial Black" w:hAnsi="Arial Black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2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B0C8E"/>
    <w:rPr>
      <w:rFonts w:ascii="Arial Black" w:hAnsi="Arial Black" w:cs="Arial"/>
      <w:b/>
      <w:bCs/>
      <w:color w:val="000000"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4EC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2C4ECF"/>
    <w:rPr>
      <w:rFonts w:ascii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2E21BA8B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rsid w:val="2E21BA8B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prescribereletter@massmail.state.ma.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FDA.gov/biosimila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legislature.gov/Laws/GeneralLaws/PartI/TitleXVI/Chapter112/Section12E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3b5b39e87f1c519dcda6a8cdb7b6ea5c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c2a547286153abf4be74a846625f293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F7F1F3-F642-429F-804D-42E0A594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F8910C-820C-4D13-9BD1-4BEE1BD40B16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3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1E7383-F78F-4A5E-A252-85FC5DE605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Company>Office of Health and Human Services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Gambarini, Jacqueline (EHS)</cp:lastModifiedBy>
  <cp:revision>3</cp:revision>
  <cp:lastPrinted>2024-10-17T00:48:00Z</cp:lastPrinted>
  <dcterms:created xsi:type="dcterms:W3CDTF">2025-11-06T19:43:00Z</dcterms:created>
  <dcterms:modified xsi:type="dcterms:W3CDTF">2025-11-06T19:46:00Z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