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BC543" w14:textId="4DD29E81" w:rsidR="00AD42BB" w:rsidRPr="00AD42BB" w:rsidRDefault="00042FD6" w:rsidP="00C24050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B14BDAC" wp14:editId="5E6F9162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Prescriber e-Letter logo&#10;The Prescriber e-Letter&#10;MassHealth Pharmacy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escriber e-Letter logo&#10;The Prescriber e-Letter&#10;MassHealth Pharmacy Program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90319">
        <w:t>August 2024, Volume 14, Issue 2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4F79017" w14:textId="1DA79826" w:rsidR="00C656AF" w:rsidRPr="00CF2078" w:rsidRDefault="00770CB5" w:rsidP="00DC1ACC">
      <w:pPr>
        <w:pStyle w:val="Heading2"/>
        <w:framePr w:hSpace="0" w:wrap="auto" w:vAnchor="margin" w:yAlign="inline"/>
        <w:spacing w:after="160"/>
      </w:pPr>
      <w:r w:rsidRPr="00770CB5">
        <w:t xml:space="preserve">Prior Authorization Removal for Generic Buprenorphine/Naloxone Tablet for MassHealth Members </w:t>
      </w:r>
      <w:r w:rsidR="00DA30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B32A" wp14:editId="0451456D">
                <wp:simplePos x="0" y="0"/>
                <wp:positionH relativeFrom="column">
                  <wp:posOffset>3363122</wp:posOffset>
                </wp:positionH>
                <wp:positionV relativeFrom="paragraph">
                  <wp:posOffset>149887</wp:posOffset>
                </wp:positionV>
                <wp:extent cx="45719" cy="7684851"/>
                <wp:effectExtent l="0" t="0" r="18415" b="24130"/>
                <wp:wrapNone/>
                <wp:docPr id="3" name="Straight Arrow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68485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22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&quot;&quot;" style="position:absolute;margin-left:264.8pt;margin-top:11.8pt;width:3.6pt;height:605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/s0QEAAPkDAAAOAAAAZHJzL2Uyb0RvYy54bWysU8tu2zAQvBfoPxC815KNOHEEyzk4SHso&#10;2qCPD2CopUWA5BIka9l/3yVly2naS4NcCFHkzM7MLtd3B2vYHkLU6Fo+n9WcgZPYabdr+c8fDx9W&#10;nMUkXCcMOmj5ESK/27x/tx58Awvs0XQQGJG42Ay+5X1KvqmqKHuwIs7Qg6NDhcGKRNuwq7ogBmK3&#10;plrU9XU1YOh8QAkx0t/78ZBvCr9SINNXpSIkZlpO2lJZQ1mf8lpt1qLZBeF7LU8yxCtUWKEdFZ2o&#10;7kUS7FfQf1FZLQNGVGkm0VaolJZQPJCbef3CzfdeeCheKJzop5ji29HKL/utewwUw+BjE/1jyC4O&#10;KlimjPafqKfFFyllhxLbcYoNDolJ+nm1vJnfcibp5OZ6dbVaznOs1UiT6XyI6SOgZfmj5TEFoXd9&#10;2qJz1CAMYwmx/xzTCDwDMtg4NrT8drlYFiERje4etDH5rIwJbE1ge0ENTodz5We3SIdxJOfir3yl&#10;o4GR/hsopjvyMcp4wSmkBJfOvMbR7QxTpGAC1qOyPLMXMX8CT/czFMpY/g94QpTK6NIEttph+Ff1&#10;SxRqvH9OYPSdI3jC7lg6X6Kh+So9O72FPMDP9wV+ebGb3wAAAP//AwBQSwMEFAAGAAgAAAAhAPX5&#10;X8HgAAAACwEAAA8AAABkcnMvZG93bnJldi54bWxMj8FOwzAMhu9IvENkJC4TS9dqZStNpwnBBQlN&#10;FB4ga0xbaJwqybrC02NOcLIsf/r9/eVutoOY0IfekYLVMgGB1DjTU6vg7fXxZgMiRE1GD45QwRcG&#10;2FWXF6UujDvTC051bAWHUCi0gi7GsZAyNB1aHZZuROLbu/NWR159K43XZw63g0yTJJdW98QfOj3i&#10;fYfNZ32yCvbP02F0NN16WuUfi+/FU/2w1UpdX837OxAR5/gHw68+q0PFTkd3IhPEoGCdbnNGFaQZ&#10;TwbWWc5djkymWbYBWZXyf4fqBwAA//8DAFBLAQItABQABgAIAAAAIQC2gziS/gAAAOEBAAATAAAA&#10;AAAAAAAAAAAAAAAAAABbQ29udGVudF9UeXBlc10ueG1sUEsBAi0AFAAGAAgAAAAhADj9If/WAAAA&#10;lAEAAAsAAAAAAAAAAAAAAAAALwEAAF9yZWxzLy5yZWxzUEsBAi0AFAAGAAgAAAAhAEp33+zRAQAA&#10;+QMAAA4AAAAAAAAAAAAAAAAALgIAAGRycy9lMm9Eb2MueG1sUEsBAi0AFAAGAAgAAAAhAPX5X8Hg&#10;AAAACwEAAA8AAAAAAAAAAAAAAAAAKwQAAGRycy9kb3ducmV2LnhtbFBLBQYAAAAABAAEAPMAAAA4&#10;BQAAAAA=&#10;" strokecolor="black [3213]">
                <v:stroke joinstyle="miter"/>
              </v:shape>
            </w:pict>
          </mc:Fallback>
        </mc:AlternateContent>
      </w:r>
      <w:r w:rsidR="00C656AF" w:rsidRPr="00CF2078">
        <w:t xml:space="preserve"> </w:t>
      </w:r>
    </w:p>
    <w:p w14:paraId="52985BE7" w14:textId="7812B227" w:rsidR="001B4E72" w:rsidRPr="001B4E72" w:rsidRDefault="001B4E72" w:rsidP="001B4E72">
      <w:pPr>
        <w:widowControl w:val="0"/>
        <w:spacing w:after="120"/>
        <w:rPr>
          <w:bCs/>
          <w:color w:val="auto"/>
          <w:sz w:val="22"/>
          <w:szCs w:val="22"/>
        </w:rPr>
      </w:pPr>
      <w:bookmarkStart w:id="0" w:name="_Hlk55903712"/>
      <w:r w:rsidRPr="001B4E72">
        <w:rPr>
          <w:bCs/>
          <w:color w:val="auto"/>
          <w:sz w:val="22"/>
          <w:szCs w:val="22"/>
        </w:rPr>
        <w:t>Suboxone</w:t>
      </w:r>
      <w:r w:rsidRPr="00680C86">
        <w:rPr>
          <w:bCs/>
          <w:color w:val="auto"/>
          <w:sz w:val="22"/>
          <w:szCs w:val="22"/>
          <w:vertAlign w:val="superscript"/>
        </w:rPr>
        <w:t>®</w:t>
      </w:r>
      <w:r w:rsidRPr="001B4E72">
        <w:rPr>
          <w:bCs/>
          <w:color w:val="auto"/>
          <w:sz w:val="22"/>
          <w:szCs w:val="22"/>
        </w:rPr>
        <w:t xml:space="preserve"> (buprenorphine/naloxone film) is currently available without prior authorization (PA) for doses up to 24 mg of buprenorphine per day. Effective October 1, 2024, PA will </w:t>
      </w:r>
      <w:r w:rsidR="00860BA1">
        <w:rPr>
          <w:bCs/>
          <w:color w:val="auto"/>
          <w:sz w:val="22"/>
          <w:szCs w:val="22"/>
        </w:rPr>
        <w:t xml:space="preserve">also </w:t>
      </w:r>
      <w:r w:rsidRPr="001B4E72">
        <w:rPr>
          <w:bCs/>
          <w:color w:val="auto"/>
          <w:sz w:val="22"/>
          <w:szCs w:val="22"/>
        </w:rPr>
        <w:t xml:space="preserve">be removed for generic buprenorphine/naloxone tablets for doses up to 24 mg of buprenorphine per day. This change in management applies to pharmacy claims for buprenorphine/naloxone and may not apply to opioid treatment programs. </w:t>
      </w:r>
    </w:p>
    <w:p w14:paraId="44B7A5EB" w14:textId="042A8D7D" w:rsidR="001B4E72" w:rsidRPr="001B4E72" w:rsidRDefault="001B4E72" w:rsidP="001B4E72">
      <w:pPr>
        <w:widowControl w:val="0"/>
        <w:spacing w:after="120"/>
        <w:rPr>
          <w:bCs/>
          <w:color w:val="auto"/>
          <w:sz w:val="22"/>
          <w:szCs w:val="22"/>
        </w:rPr>
      </w:pPr>
      <w:r w:rsidRPr="001B4E72">
        <w:rPr>
          <w:bCs/>
          <w:color w:val="auto"/>
          <w:sz w:val="22"/>
          <w:szCs w:val="22"/>
        </w:rPr>
        <w:t>Buprenorphine/naloxone is approved by the US Food and Drug Administration for</w:t>
      </w:r>
      <w:r w:rsidR="00702546">
        <w:rPr>
          <w:bCs/>
          <w:color w:val="auto"/>
          <w:sz w:val="22"/>
          <w:szCs w:val="22"/>
        </w:rPr>
        <w:t xml:space="preserve"> </w:t>
      </w:r>
      <w:r w:rsidRPr="001B4E72">
        <w:rPr>
          <w:bCs/>
          <w:color w:val="auto"/>
          <w:sz w:val="22"/>
          <w:szCs w:val="22"/>
        </w:rPr>
        <w:t xml:space="preserve">maintenance treatment of </w:t>
      </w:r>
      <w:r w:rsidR="009A3763">
        <w:rPr>
          <w:bCs/>
          <w:color w:val="auto"/>
          <w:sz w:val="22"/>
          <w:szCs w:val="22"/>
        </w:rPr>
        <w:t>opioid use disorder (OUD)</w:t>
      </w:r>
      <w:r w:rsidRPr="001B4E72">
        <w:rPr>
          <w:bCs/>
          <w:color w:val="auto"/>
          <w:sz w:val="22"/>
          <w:szCs w:val="22"/>
        </w:rPr>
        <w:t xml:space="preserve">. The Substance Abuse and Mental Health Services Administration (SAMHSA) promotes the use of buprenorphine and buprenorphine/naloxone agents for the treatment of OUD. </w:t>
      </w:r>
    </w:p>
    <w:p w14:paraId="438292BC" w14:textId="00546406" w:rsidR="001B4E72" w:rsidRPr="001B4E72" w:rsidRDefault="001B4E72" w:rsidP="001B4E72">
      <w:pPr>
        <w:widowControl w:val="0"/>
        <w:spacing w:after="120"/>
        <w:rPr>
          <w:bCs/>
          <w:color w:val="auto"/>
          <w:sz w:val="22"/>
          <w:szCs w:val="22"/>
        </w:rPr>
      </w:pPr>
      <w:r w:rsidRPr="001B4E72">
        <w:rPr>
          <w:bCs/>
          <w:color w:val="auto"/>
          <w:sz w:val="22"/>
          <w:szCs w:val="22"/>
        </w:rPr>
        <w:t>Please refer to</w:t>
      </w:r>
      <w:r w:rsidR="009A3763">
        <w:rPr>
          <w:bCs/>
          <w:color w:val="auto"/>
          <w:sz w:val="22"/>
          <w:szCs w:val="22"/>
        </w:rPr>
        <w:t xml:space="preserve"> the</w:t>
      </w:r>
      <w:r w:rsidRPr="001B4E72">
        <w:rPr>
          <w:bCs/>
          <w:color w:val="auto"/>
          <w:sz w:val="22"/>
          <w:szCs w:val="22"/>
        </w:rPr>
        <w:t xml:space="preserve"> </w:t>
      </w:r>
      <w:hyperlink r:id="rId13" w:history="1">
        <w:r w:rsidRPr="00446350">
          <w:rPr>
            <w:rStyle w:val="Hyperlink"/>
            <w:bCs/>
            <w:sz w:val="22"/>
            <w:szCs w:val="22"/>
          </w:rPr>
          <w:t xml:space="preserve">SAMHSA </w:t>
        </w:r>
        <w:r w:rsidRPr="00446350">
          <w:rPr>
            <w:rStyle w:val="Hyperlink"/>
            <w:bCs/>
            <w:sz w:val="22"/>
            <w:szCs w:val="22"/>
          </w:rPr>
          <w:t>Q</w:t>
        </w:r>
        <w:r w:rsidRPr="00446350">
          <w:rPr>
            <w:rStyle w:val="Hyperlink"/>
            <w:bCs/>
            <w:sz w:val="22"/>
            <w:szCs w:val="22"/>
          </w:rPr>
          <w:t>uick Start Guide</w:t>
        </w:r>
      </w:hyperlink>
      <w:r w:rsidRPr="001B4E72">
        <w:rPr>
          <w:bCs/>
          <w:color w:val="auto"/>
          <w:sz w:val="22"/>
          <w:szCs w:val="22"/>
        </w:rPr>
        <w:t xml:space="preserve"> for best practices when prescribing </w:t>
      </w:r>
      <w:proofErr w:type="spellStart"/>
      <w:r w:rsidRPr="001B4E72">
        <w:rPr>
          <w:bCs/>
          <w:color w:val="auto"/>
          <w:sz w:val="22"/>
          <w:szCs w:val="22"/>
        </w:rPr>
        <w:t>buprenorphine.</w:t>
      </w:r>
      <w:r w:rsidRPr="00446350">
        <w:rPr>
          <w:bCs/>
          <w:color w:val="auto"/>
          <w:sz w:val="22"/>
          <w:szCs w:val="22"/>
          <w:vertAlign w:val="superscript"/>
        </w:rPr>
        <w:t>1</w:t>
      </w:r>
      <w:proofErr w:type="spellEnd"/>
    </w:p>
    <w:p w14:paraId="44FD50AE" w14:textId="04104E63" w:rsidR="00DA7FE7" w:rsidRDefault="00325D8F" w:rsidP="00DC1ACC">
      <w:pPr>
        <w:pStyle w:val="Heading2"/>
        <w:framePr w:hSpace="0" w:wrap="auto" w:vAnchor="margin" w:yAlign="inline"/>
        <w:spacing w:before="0" w:after="160"/>
      </w:pPr>
      <w:bookmarkStart w:id="1" w:name="_Hlk56006764"/>
      <w:bookmarkEnd w:id="0"/>
      <w:r w:rsidRPr="00325D8F">
        <w:t xml:space="preserve">MassHealth Opioid Dependence and Reversal Agents Coverage </w:t>
      </w:r>
      <w:r w:rsidR="008B0999">
        <w:t>E</w:t>
      </w:r>
      <w:r w:rsidRPr="00325D8F">
        <w:t xml:space="preserve">ffective October </w:t>
      </w:r>
      <w:r w:rsidR="00860BA1">
        <w:t>1</w:t>
      </w:r>
      <w:r w:rsidRPr="00325D8F">
        <w:t>, 2024</w:t>
      </w:r>
    </w:p>
    <w:p w14:paraId="666BB3D0" w14:textId="511E5768" w:rsidR="0079312B" w:rsidRPr="002E6DD1" w:rsidRDefault="0079312B" w:rsidP="00DC1ACC">
      <w:pPr>
        <w:pStyle w:val="Heading2"/>
        <w:framePr w:hSpace="0" w:wrap="auto" w:vAnchor="margin" w:yAlign="inline"/>
        <w:spacing w:before="0" w:after="160"/>
        <w:rPr>
          <w:sz w:val="22"/>
          <w:szCs w:val="22"/>
        </w:rPr>
      </w:pPr>
      <w:r w:rsidRPr="002E6DD1">
        <w:rPr>
          <w:sz w:val="22"/>
          <w:szCs w:val="22"/>
        </w:rPr>
        <w:t xml:space="preserve">Drugs </w:t>
      </w:r>
      <w:r w:rsidR="00F42C2D" w:rsidRPr="002E6DD1">
        <w:rPr>
          <w:sz w:val="22"/>
          <w:szCs w:val="22"/>
        </w:rPr>
        <w:t>T</w:t>
      </w:r>
      <w:r w:rsidRPr="002E6DD1">
        <w:rPr>
          <w:sz w:val="22"/>
          <w:szCs w:val="22"/>
        </w:rPr>
        <w:t xml:space="preserve">hat </w:t>
      </w:r>
      <w:r w:rsidR="00F42C2D" w:rsidRPr="002E6DD1">
        <w:rPr>
          <w:sz w:val="22"/>
          <w:szCs w:val="22"/>
        </w:rPr>
        <w:t>D</w:t>
      </w:r>
      <w:r w:rsidRPr="002E6DD1">
        <w:rPr>
          <w:sz w:val="22"/>
          <w:szCs w:val="22"/>
        </w:rPr>
        <w:t>o N</w:t>
      </w:r>
      <w:r w:rsidR="00F42C2D" w:rsidRPr="002E6DD1">
        <w:rPr>
          <w:sz w:val="22"/>
          <w:szCs w:val="22"/>
        </w:rPr>
        <w:t>ot</w:t>
      </w:r>
      <w:r w:rsidRPr="002E6DD1">
        <w:rPr>
          <w:sz w:val="22"/>
          <w:szCs w:val="22"/>
        </w:rPr>
        <w:t xml:space="preserve"> </w:t>
      </w:r>
      <w:r w:rsidR="00F42C2D" w:rsidRPr="002E6DD1">
        <w:rPr>
          <w:sz w:val="22"/>
          <w:szCs w:val="22"/>
        </w:rPr>
        <w:t>R</w:t>
      </w:r>
      <w:r w:rsidRPr="002E6DD1">
        <w:rPr>
          <w:sz w:val="22"/>
          <w:szCs w:val="22"/>
        </w:rPr>
        <w:t>equire PA</w:t>
      </w:r>
    </w:p>
    <w:p w14:paraId="4CDE2308" w14:textId="77777777" w:rsidR="0079312B" w:rsidRPr="00BE46A7" w:rsidRDefault="0079312B" w:rsidP="00DC1ACC">
      <w:pPr>
        <w:widowControl w:val="0"/>
        <w:spacing w:after="160"/>
        <w:ind w:right="-94"/>
        <w:rPr>
          <w:b/>
          <w:bCs/>
          <w:color w:val="auto"/>
          <w:sz w:val="22"/>
          <w:szCs w:val="22"/>
        </w:rPr>
      </w:pPr>
      <w:r w:rsidRPr="00BE46A7">
        <w:rPr>
          <w:b/>
          <w:bCs/>
          <w:color w:val="auto"/>
          <w:sz w:val="22"/>
          <w:szCs w:val="22"/>
        </w:rPr>
        <w:t>Maintenance Medications</w:t>
      </w:r>
    </w:p>
    <w:p w14:paraId="00F2B60A" w14:textId="77777777" w:rsidR="0079312B" w:rsidRPr="00A83962" w:rsidRDefault="0079312B" w:rsidP="00A83962">
      <w:pPr>
        <w:pStyle w:val="ListParagraph"/>
        <w:widowControl w:val="0"/>
        <w:numPr>
          <w:ilvl w:val="0"/>
          <w:numId w:val="5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buprenorphine/naloxone tablet ≤ 24 mg/day</w:t>
      </w:r>
    </w:p>
    <w:p w14:paraId="7A3E3FB9" w14:textId="77777777" w:rsidR="0079312B" w:rsidRPr="00A83962" w:rsidRDefault="0079312B" w:rsidP="00A83962">
      <w:pPr>
        <w:pStyle w:val="ListParagraph"/>
        <w:widowControl w:val="0"/>
        <w:numPr>
          <w:ilvl w:val="0"/>
          <w:numId w:val="5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Suboxone</w:t>
      </w:r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(buprenorphine/naloxone film) ≤ 24 mg/day</w:t>
      </w:r>
    </w:p>
    <w:p w14:paraId="411F8ED9" w14:textId="77777777" w:rsidR="0079312B" w:rsidRPr="00A83962" w:rsidRDefault="0079312B" w:rsidP="00A83962">
      <w:pPr>
        <w:pStyle w:val="ListParagraph"/>
        <w:widowControl w:val="0"/>
        <w:numPr>
          <w:ilvl w:val="0"/>
          <w:numId w:val="5"/>
        </w:numPr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Sublocade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(buprenorphine extended-release injection)</w:t>
      </w:r>
    </w:p>
    <w:p w14:paraId="72B7FCC3" w14:textId="77777777" w:rsidR="0079312B" w:rsidRPr="00A83962" w:rsidRDefault="0079312B" w:rsidP="00A83962">
      <w:pPr>
        <w:pStyle w:val="ListParagraph"/>
        <w:widowControl w:val="0"/>
        <w:numPr>
          <w:ilvl w:val="0"/>
          <w:numId w:val="5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Vivitrol</w:t>
      </w:r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(naltrexone injection)</w:t>
      </w:r>
    </w:p>
    <w:p w14:paraId="0D02CDED" w14:textId="77777777" w:rsidR="0079312B" w:rsidRPr="0079312B" w:rsidRDefault="0079312B" w:rsidP="0079312B">
      <w:pPr>
        <w:widowControl w:val="0"/>
        <w:ind w:right="-94"/>
        <w:rPr>
          <w:color w:val="auto"/>
          <w:sz w:val="22"/>
          <w:szCs w:val="22"/>
        </w:rPr>
      </w:pPr>
    </w:p>
    <w:p w14:paraId="1768AE31" w14:textId="77777777" w:rsidR="0079312B" w:rsidRPr="0079312B" w:rsidRDefault="0079312B" w:rsidP="00DC1ACC">
      <w:pPr>
        <w:widowControl w:val="0"/>
        <w:spacing w:after="160"/>
        <w:ind w:right="-94"/>
        <w:rPr>
          <w:b/>
          <w:bCs/>
          <w:color w:val="auto"/>
          <w:sz w:val="22"/>
          <w:szCs w:val="22"/>
        </w:rPr>
      </w:pPr>
      <w:r w:rsidRPr="0079312B">
        <w:rPr>
          <w:b/>
          <w:bCs/>
          <w:color w:val="auto"/>
          <w:sz w:val="22"/>
          <w:szCs w:val="22"/>
        </w:rPr>
        <w:t>Rescue Medications</w:t>
      </w:r>
    </w:p>
    <w:p w14:paraId="25EF5044" w14:textId="77777777" w:rsidR="0079312B" w:rsidRPr="00A83962" w:rsidRDefault="0079312B" w:rsidP="00A83962">
      <w:pPr>
        <w:pStyle w:val="ListParagraph"/>
        <w:widowControl w:val="0"/>
        <w:numPr>
          <w:ilvl w:val="0"/>
          <w:numId w:val="4"/>
        </w:numPr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Kloxxado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(naloxone 8 mg nasal spray)</w:t>
      </w:r>
    </w:p>
    <w:p w14:paraId="68E6F899" w14:textId="77777777" w:rsidR="0079312B" w:rsidRPr="00A83962" w:rsidRDefault="0079312B" w:rsidP="00A83962">
      <w:pPr>
        <w:pStyle w:val="ListParagraph"/>
        <w:widowControl w:val="0"/>
        <w:numPr>
          <w:ilvl w:val="0"/>
          <w:numId w:val="4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naloxone vial, 0.4 mg/mL syringe, 2 mg/2 mL syringe</w:t>
      </w:r>
    </w:p>
    <w:p w14:paraId="7FDBF2C0" w14:textId="77777777" w:rsidR="0079312B" w:rsidRPr="00A83962" w:rsidRDefault="0079312B" w:rsidP="00A83962">
      <w:pPr>
        <w:pStyle w:val="ListParagraph"/>
        <w:widowControl w:val="0"/>
        <w:numPr>
          <w:ilvl w:val="0"/>
          <w:numId w:val="4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naltrexone tablet</w:t>
      </w:r>
    </w:p>
    <w:p w14:paraId="33FCA28B" w14:textId="77777777" w:rsidR="0079312B" w:rsidRPr="00A83962" w:rsidRDefault="0079312B" w:rsidP="00A83962">
      <w:pPr>
        <w:pStyle w:val="ListParagraph"/>
        <w:widowControl w:val="0"/>
        <w:numPr>
          <w:ilvl w:val="0"/>
          <w:numId w:val="4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Narcan</w:t>
      </w:r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(naloxone 4 mg nasal spray)</w:t>
      </w:r>
    </w:p>
    <w:p w14:paraId="7DF46C75" w14:textId="77777777" w:rsidR="0079312B" w:rsidRPr="00A83962" w:rsidRDefault="0079312B" w:rsidP="00A83962">
      <w:pPr>
        <w:pStyle w:val="ListParagraph"/>
        <w:widowControl w:val="0"/>
        <w:numPr>
          <w:ilvl w:val="0"/>
          <w:numId w:val="4"/>
        </w:numPr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Rivive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(naloxone 3 mg nasal spray)</w:t>
      </w:r>
    </w:p>
    <w:p w14:paraId="35C4B51C" w14:textId="24F1CD06" w:rsidR="00242A52" w:rsidRPr="00A83962" w:rsidRDefault="0079312B" w:rsidP="00A83962">
      <w:pPr>
        <w:pStyle w:val="ListParagraph"/>
        <w:widowControl w:val="0"/>
        <w:numPr>
          <w:ilvl w:val="0"/>
          <w:numId w:val="4"/>
        </w:numPr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Zimhi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(naloxone 5 mg/0.5 mL syringe)</w:t>
      </w:r>
    </w:p>
    <w:p w14:paraId="1B463255" w14:textId="77777777" w:rsidR="0078683C" w:rsidRPr="00BE46A7" w:rsidRDefault="0078683C" w:rsidP="00DC1ACC">
      <w:pPr>
        <w:keepNext/>
      </w:pPr>
    </w:p>
    <w:bookmarkEnd w:id="1"/>
    <w:p w14:paraId="21842E5A" w14:textId="53774317" w:rsidR="00A83962" w:rsidRPr="00A83962" w:rsidRDefault="00A83962" w:rsidP="00DC1ACC">
      <w:pPr>
        <w:pStyle w:val="Heading2"/>
        <w:framePr w:hSpace="0" w:wrap="auto" w:vAnchor="margin" w:yAlign="inline"/>
        <w:spacing w:after="160"/>
        <w:rPr>
          <w:sz w:val="22"/>
          <w:szCs w:val="22"/>
        </w:rPr>
      </w:pPr>
      <w:r w:rsidRPr="00A83962">
        <w:rPr>
          <w:sz w:val="22"/>
          <w:szCs w:val="22"/>
        </w:rPr>
        <w:t xml:space="preserve">Drugs </w:t>
      </w:r>
      <w:r w:rsidR="00F42C2D">
        <w:rPr>
          <w:sz w:val="22"/>
          <w:szCs w:val="22"/>
        </w:rPr>
        <w:t>T</w:t>
      </w:r>
      <w:r w:rsidRPr="00A83962">
        <w:rPr>
          <w:sz w:val="22"/>
          <w:szCs w:val="22"/>
        </w:rPr>
        <w:t xml:space="preserve">hat </w:t>
      </w:r>
      <w:r w:rsidR="00F42C2D">
        <w:rPr>
          <w:sz w:val="22"/>
          <w:szCs w:val="22"/>
        </w:rPr>
        <w:t>R</w:t>
      </w:r>
      <w:r w:rsidRPr="00A83962">
        <w:rPr>
          <w:sz w:val="22"/>
          <w:szCs w:val="22"/>
        </w:rPr>
        <w:t>equire PA</w:t>
      </w:r>
    </w:p>
    <w:p w14:paraId="66F2F228" w14:textId="77777777" w:rsidR="00A83962" w:rsidRPr="00A83962" w:rsidRDefault="00A83962" w:rsidP="00BE46A7">
      <w:pPr>
        <w:widowControl w:val="0"/>
        <w:spacing w:after="180"/>
        <w:ind w:right="-94"/>
        <w:rPr>
          <w:b/>
          <w:bCs/>
          <w:color w:val="auto"/>
          <w:sz w:val="22"/>
          <w:szCs w:val="22"/>
        </w:rPr>
      </w:pPr>
      <w:r w:rsidRPr="00A83962">
        <w:rPr>
          <w:b/>
          <w:bCs/>
          <w:color w:val="auto"/>
          <w:sz w:val="22"/>
          <w:szCs w:val="22"/>
        </w:rPr>
        <w:t>Maintenance Medications</w:t>
      </w:r>
    </w:p>
    <w:p w14:paraId="1140E2F8" w14:textId="77777777" w:rsidR="00A83962" w:rsidRPr="00A83962" w:rsidRDefault="00A83962" w:rsidP="00A83962">
      <w:pPr>
        <w:pStyle w:val="ListParagraph"/>
        <w:widowControl w:val="0"/>
        <w:numPr>
          <w:ilvl w:val="0"/>
          <w:numId w:val="6"/>
        </w:numPr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Brixadi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(buprenorphine extended-release injection)</w:t>
      </w:r>
    </w:p>
    <w:p w14:paraId="014FEFEE" w14:textId="77777777" w:rsidR="00A83962" w:rsidRPr="00A83962" w:rsidRDefault="00A83962" w:rsidP="00A83962">
      <w:pPr>
        <w:pStyle w:val="ListParagraph"/>
        <w:widowControl w:val="0"/>
        <w:numPr>
          <w:ilvl w:val="0"/>
          <w:numId w:val="6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buprenorphine sublingual tablet</w:t>
      </w:r>
    </w:p>
    <w:p w14:paraId="72B43AE6" w14:textId="77777777" w:rsidR="00A83962" w:rsidRPr="00A83962" w:rsidRDefault="00A83962" w:rsidP="00A83962">
      <w:pPr>
        <w:pStyle w:val="ListParagraph"/>
        <w:widowControl w:val="0"/>
        <w:numPr>
          <w:ilvl w:val="0"/>
          <w:numId w:val="6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buprenorphine/naloxone tablet &gt; 24 mg/day</w:t>
      </w:r>
    </w:p>
    <w:p w14:paraId="074487AA" w14:textId="77777777" w:rsidR="00A83962" w:rsidRPr="00A83962" w:rsidRDefault="00A83962" w:rsidP="00A83962">
      <w:pPr>
        <w:pStyle w:val="ListParagraph"/>
        <w:widowControl w:val="0"/>
        <w:numPr>
          <w:ilvl w:val="0"/>
          <w:numId w:val="6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Suboxone</w:t>
      </w:r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(buprenorphine/naloxone film) &gt; 24 and ≤ 32 mg/day, &gt; 90 days</w:t>
      </w:r>
    </w:p>
    <w:p w14:paraId="6B153862" w14:textId="77777777" w:rsidR="00A83962" w:rsidRPr="00A83962" w:rsidRDefault="00A83962" w:rsidP="00A83962">
      <w:pPr>
        <w:pStyle w:val="ListParagraph"/>
        <w:widowControl w:val="0"/>
        <w:numPr>
          <w:ilvl w:val="0"/>
          <w:numId w:val="6"/>
        </w:numPr>
        <w:ind w:right="-94"/>
        <w:rPr>
          <w:color w:val="auto"/>
          <w:sz w:val="22"/>
          <w:szCs w:val="22"/>
        </w:rPr>
      </w:pPr>
      <w:r w:rsidRPr="00A83962">
        <w:rPr>
          <w:color w:val="auto"/>
          <w:sz w:val="22"/>
          <w:szCs w:val="22"/>
        </w:rPr>
        <w:t>Suboxone</w:t>
      </w:r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(buprenorphine/naloxone film) &gt; 32 mg/day</w:t>
      </w:r>
    </w:p>
    <w:p w14:paraId="2820E736" w14:textId="77777777" w:rsidR="00A83962" w:rsidRPr="00A83962" w:rsidRDefault="00A83962" w:rsidP="00DC1ACC">
      <w:pPr>
        <w:pStyle w:val="ListParagraph"/>
        <w:widowControl w:val="0"/>
        <w:numPr>
          <w:ilvl w:val="0"/>
          <w:numId w:val="6"/>
        </w:numPr>
        <w:spacing w:after="220"/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Zubsolv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(buprenorphine/naloxone sublingual tablet)</w:t>
      </w:r>
    </w:p>
    <w:p w14:paraId="1152D3C5" w14:textId="77777777" w:rsidR="00A83962" w:rsidRPr="00A83962" w:rsidRDefault="00A83962" w:rsidP="00BE46A7">
      <w:pPr>
        <w:widowControl w:val="0"/>
        <w:spacing w:after="180"/>
        <w:ind w:right="-94"/>
        <w:rPr>
          <w:b/>
          <w:bCs/>
          <w:color w:val="auto"/>
          <w:sz w:val="22"/>
          <w:szCs w:val="22"/>
        </w:rPr>
      </w:pPr>
      <w:r w:rsidRPr="00A83962">
        <w:rPr>
          <w:b/>
          <w:bCs/>
          <w:color w:val="auto"/>
          <w:sz w:val="22"/>
          <w:szCs w:val="22"/>
        </w:rPr>
        <w:t>Rescue Medications</w:t>
      </w:r>
    </w:p>
    <w:p w14:paraId="3192D52E" w14:textId="77777777" w:rsidR="00A83962" w:rsidRPr="00A83962" w:rsidRDefault="00A83962" w:rsidP="00A83962">
      <w:pPr>
        <w:pStyle w:val="ListParagraph"/>
        <w:widowControl w:val="0"/>
        <w:numPr>
          <w:ilvl w:val="0"/>
          <w:numId w:val="7"/>
        </w:numPr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LifEMS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Naloxone (naloxone syringe kit)</w:t>
      </w:r>
    </w:p>
    <w:p w14:paraId="69090A6B" w14:textId="77777777" w:rsidR="00A83962" w:rsidRPr="00A83962" w:rsidRDefault="00A83962" w:rsidP="00A83962">
      <w:pPr>
        <w:pStyle w:val="ListParagraph"/>
        <w:widowControl w:val="0"/>
        <w:numPr>
          <w:ilvl w:val="0"/>
          <w:numId w:val="7"/>
        </w:numPr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Lucemyra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(lofexidine)</w:t>
      </w:r>
    </w:p>
    <w:p w14:paraId="0375ED42" w14:textId="77777777" w:rsidR="00A83962" w:rsidRPr="00A83962" w:rsidRDefault="00A83962" w:rsidP="00BE46A7">
      <w:pPr>
        <w:pStyle w:val="ListParagraph"/>
        <w:widowControl w:val="0"/>
        <w:numPr>
          <w:ilvl w:val="0"/>
          <w:numId w:val="7"/>
        </w:numPr>
        <w:spacing w:after="220"/>
        <w:ind w:right="-94"/>
        <w:rPr>
          <w:color w:val="auto"/>
          <w:sz w:val="22"/>
          <w:szCs w:val="22"/>
        </w:rPr>
      </w:pPr>
      <w:proofErr w:type="spellStart"/>
      <w:r w:rsidRPr="00A83962">
        <w:rPr>
          <w:color w:val="auto"/>
          <w:sz w:val="22"/>
          <w:szCs w:val="22"/>
        </w:rPr>
        <w:t>Opvee</w:t>
      </w:r>
      <w:proofErr w:type="spellEnd"/>
      <w:r w:rsidRPr="00680C86">
        <w:rPr>
          <w:color w:val="auto"/>
          <w:sz w:val="22"/>
          <w:szCs w:val="22"/>
          <w:vertAlign w:val="superscript"/>
        </w:rPr>
        <w:t>®</w:t>
      </w:r>
      <w:r w:rsidRPr="00A83962">
        <w:rPr>
          <w:color w:val="auto"/>
          <w:sz w:val="22"/>
          <w:szCs w:val="22"/>
        </w:rPr>
        <w:t xml:space="preserve"> (</w:t>
      </w:r>
      <w:proofErr w:type="spellStart"/>
      <w:r w:rsidRPr="00A83962">
        <w:rPr>
          <w:color w:val="auto"/>
          <w:sz w:val="22"/>
          <w:szCs w:val="22"/>
        </w:rPr>
        <w:t>nalmefene</w:t>
      </w:r>
      <w:proofErr w:type="spellEnd"/>
      <w:r w:rsidRPr="00A83962">
        <w:rPr>
          <w:color w:val="auto"/>
          <w:sz w:val="22"/>
          <w:szCs w:val="22"/>
        </w:rPr>
        <w:t xml:space="preserve"> nasal spray)</w:t>
      </w:r>
    </w:p>
    <w:p w14:paraId="4F3F3D30" w14:textId="70D9B348" w:rsidR="0062336E" w:rsidRDefault="0062529B" w:rsidP="0062529B">
      <w:pPr>
        <w:widowControl w:val="0"/>
        <w:spacing w:after="120"/>
        <w:rPr>
          <w:bCs/>
          <w:color w:val="auto"/>
          <w:sz w:val="22"/>
          <w:szCs w:val="22"/>
        </w:rPr>
      </w:pPr>
      <w:r w:rsidRPr="0062529B">
        <w:rPr>
          <w:bCs/>
          <w:color w:val="auto"/>
          <w:sz w:val="22"/>
          <w:szCs w:val="22"/>
        </w:rPr>
        <w:t xml:space="preserve">Additional information can be found on the </w:t>
      </w:r>
      <w:hyperlink r:id="rId14" w:history="1">
        <w:r w:rsidRPr="00F85E0D">
          <w:rPr>
            <w:rStyle w:val="Hyperlink"/>
            <w:bCs/>
            <w:sz w:val="22"/>
            <w:szCs w:val="22"/>
          </w:rPr>
          <w:t>MassHealth</w:t>
        </w:r>
        <w:r w:rsidR="00F85E0D">
          <w:rPr>
            <w:rStyle w:val="Hyperlink"/>
            <w:bCs/>
            <w:sz w:val="22"/>
            <w:szCs w:val="22"/>
          </w:rPr>
          <w:t> </w:t>
        </w:r>
        <w:r w:rsidRPr="00F85E0D">
          <w:rPr>
            <w:rStyle w:val="Hyperlink"/>
            <w:bCs/>
            <w:sz w:val="22"/>
            <w:szCs w:val="22"/>
          </w:rPr>
          <w:t>Dr</w:t>
        </w:r>
        <w:r w:rsidRPr="00F85E0D">
          <w:rPr>
            <w:rStyle w:val="Hyperlink"/>
            <w:bCs/>
            <w:sz w:val="22"/>
            <w:szCs w:val="22"/>
          </w:rPr>
          <w:t>u</w:t>
        </w:r>
        <w:r w:rsidRPr="00F85E0D">
          <w:rPr>
            <w:rStyle w:val="Hyperlink"/>
            <w:bCs/>
            <w:sz w:val="22"/>
            <w:szCs w:val="22"/>
          </w:rPr>
          <w:t>g List</w:t>
        </w:r>
      </w:hyperlink>
      <w:r>
        <w:rPr>
          <w:bCs/>
          <w:color w:val="auto"/>
          <w:sz w:val="22"/>
          <w:szCs w:val="22"/>
        </w:rPr>
        <w:t>.</w:t>
      </w:r>
    </w:p>
    <w:p w14:paraId="06EC3A95" w14:textId="3112DA25" w:rsidR="0049555F" w:rsidRPr="0049555F" w:rsidRDefault="0049555F" w:rsidP="00DC1ACC">
      <w:pPr>
        <w:pStyle w:val="Heading2"/>
        <w:framePr w:hSpace="0" w:wrap="auto" w:vAnchor="margin" w:yAlign="inline"/>
        <w:spacing w:before="0" w:after="160"/>
      </w:pPr>
      <w:r w:rsidRPr="0049555F">
        <w:t>Hepatitis C Direct Acting Antiviral PA Update</w:t>
      </w:r>
    </w:p>
    <w:p w14:paraId="437E6026" w14:textId="066028B6" w:rsidR="0049555F" w:rsidRPr="0049555F" w:rsidRDefault="0049555F" w:rsidP="0049555F">
      <w:pPr>
        <w:widowControl w:val="0"/>
        <w:spacing w:after="120"/>
        <w:rPr>
          <w:bCs/>
          <w:color w:val="auto"/>
          <w:sz w:val="22"/>
          <w:szCs w:val="22"/>
        </w:rPr>
      </w:pPr>
      <w:r w:rsidRPr="0049555F">
        <w:rPr>
          <w:bCs/>
          <w:color w:val="auto"/>
          <w:sz w:val="22"/>
          <w:szCs w:val="22"/>
        </w:rPr>
        <w:t xml:space="preserve">Effective October 1, 2024, the drug-drug interaction PA criteria will be removed for hepatitis C </w:t>
      </w:r>
      <w:r w:rsidR="00F42C2D">
        <w:rPr>
          <w:bCs/>
          <w:color w:val="auto"/>
          <w:sz w:val="22"/>
          <w:szCs w:val="22"/>
        </w:rPr>
        <w:t>d</w:t>
      </w:r>
      <w:r w:rsidR="00860BA1" w:rsidRPr="00860BA1">
        <w:rPr>
          <w:bCs/>
          <w:color w:val="auto"/>
          <w:sz w:val="22"/>
          <w:szCs w:val="22"/>
        </w:rPr>
        <w:t xml:space="preserve">irect </w:t>
      </w:r>
      <w:r w:rsidR="00F42C2D">
        <w:rPr>
          <w:bCs/>
          <w:color w:val="auto"/>
          <w:sz w:val="22"/>
          <w:szCs w:val="22"/>
        </w:rPr>
        <w:t>a</w:t>
      </w:r>
      <w:r w:rsidR="00860BA1" w:rsidRPr="00860BA1">
        <w:rPr>
          <w:bCs/>
          <w:color w:val="auto"/>
          <w:sz w:val="22"/>
          <w:szCs w:val="22"/>
        </w:rPr>
        <w:t xml:space="preserve">cting </w:t>
      </w:r>
      <w:r w:rsidR="00F42C2D">
        <w:rPr>
          <w:bCs/>
          <w:color w:val="auto"/>
          <w:sz w:val="22"/>
          <w:szCs w:val="22"/>
        </w:rPr>
        <w:t>a</w:t>
      </w:r>
      <w:r w:rsidR="00860BA1" w:rsidRPr="00860BA1">
        <w:rPr>
          <w:bCs/>
          <w:color w:val="auto"/>
          <w:sz w:val="22"/>
          <w:szCs w:val="22"/>
        </w:rPr>
        <w:t xml:space="preserve">ntivirals </w:t>
      </w:r>
      <w:r w:rsidR="00860BA1">
        <w:rPr>
          <w:bCs/>
          <w:color w:val="auto"/>
          <w:sz w:val="22"/>
          <w:szCs w:val="22"/>
        </w:rPr>
        <w:t>(DAAs)</w:t>
      </w:r>
      <w:r w:rsidRPr="0049555F">
        <w:rPr>
          <w:bCs/>
          <w:color w:val="auto"/>
          <w:sz w:val="22"/>
          <w:szCs w:val="22"/>
        </w:rPr>
        <w:t>. This change in management align</w:t>
      </w:r>
      <w:r w:rsidR="00F42C2D">
        <w:rPr>
          <w:bCs/>
          <w:color w:val="auto"/>
          <w:sz w:val="22"/>
          <w:szCs w:val="22"/>
        </w:rPr>
        <w:t>s</w:t>
      </w:r>
      <w:r w:rsidRPr="0049555F">
        <w:rPr>
          <w:bCs/>
          <w:color w:val="auto"/>
          <w:sz w:val="22"/>
          <w:szCs w:val="22"/>
        </w:rPr>
        <w:t xml:space="preserve"> with MassHealth’s efforts to reduce barriers to treatment for hepatitis C.</w:t>
      </w:r>
    </w:p>
    <w:p w14:paraId="1BE852C3" w14:textId="2E53E4D3" w:rsidR="0049555F" w:rsidRPr="0049555F" w:rsidRDefault="0088325C" w:rsidP="0049555F">
      <w:pPr>
        <w:widowControl w:val="0"/>
        <w:spacing w:after="12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Guidance from t</w:t>
      </w:r>
      <w:r w:rsidR="0049555F" w:rsidRPr="0049555F">
        <w:rPr>
          <w:bCs/>
          <w:color w:val="auto"/>
          <w:sz w:val="22"/>
          <w:szCs w:val="22"/>
        </w:rPr>
        <w:t xml:space="preserve">he American Association for the Study of Liver Disease and Infectious Disease Society of America for testing, managing, and treating hepatitis C recommends evaluating patients for potential drug-drug interactions </w:t>
      </w:r>
      <w:r w:rsidR="001038B4">
        <w:rPr>
          <w:bCs/>
          <w:color w:val="auto"/>
          <w:sz w:val="22"/>
          <w:szCs w:val="22"/>
        </w:rPr>
        <w:t xml:space="preserve">before </w:t>
      </w:r>
      <w:r w:rsidR="0049555F" w:rsidRPr="0049555F">
        <w:rPr>
          <w:bCs/>
          <w:color w:val="auto"/>
          <w:sz w:val="22"/>
          <w:szCs w:val="22"/>
        </w:rPr>
        <w:t>starting treatment</w:t>
      </w:r>
      <w:r w:rsidR="001038B4">
        <w:rPr>
          <w:bCs/>
          <w:color w:val="auto"/>
          <w:sz w:val="22"/>
          <w:szCs w:val="22"/>
        </w:rPr>
        <w:t xml:space="preserve">. It also recommends that </w:t>
      </w:r>
      <w:r w:rsidR="0049555F" w:rsidRPr="0049555F">
        <w:rPr>
          <w:bCs/>
          <w:color w:val="auto"/>
          <w:sz w:val="22"/>
          <w:szCs w:val="22"/>
        </w:rPr>
        <w:t>interacting co-medications be paused or switched</w:t>
      </w:r>
      <w:r w:rsidR="001038B4" w:rsidRPr="001038B4">
        <w:rPr>
          <w:bCs/>
          <w:color w:val="auto"/>
          <w:sz w:val="22"/>
          <w:szCs w:val="22"/>
        </w:rPr>
        <w:t xml:space="preserve">, when possible, </w:t>
      </w:r>
      <w:r w:rsidR="0049555F" w:rsidRPr="0049555F">
        <w:rPr>
          <w:bCs/>
          <w:color w:val="auto"/>
          <w:sz w:val="22"/>
          <w:szCs w:val="22"/>
        </w:rPr>
        <w:t>to an alternat</w:t>
      </w:r>
      <w:r w:rsidR="001038B4">
        <w:rPr>
          <w:bCs/>
          <w:color w:val="auto"/>
          <w:sz w:val="22"/>
          <w:szCs w:val="22"/>
        </w:rPr>
        <w:t>iv</w:t>
      </w:r>
      <w:r w:rsidR="0049555F" w:rsidRPr="0049555F">
        <w:rPr>
          <w:bCs/>
          <w:color w:val="auto"/>
          <w:sz w:val="22"/>
          <w:szCs w:val="22"/>
        </w:rPr>
        <w:t xml:space="preserve">e medication </w:t>
      </w:r>
      <w:r w:rsidR="001038B4">
        <w:rPr>
          <w:bCs/>
          <w:color w:val="auto"/>
          <w:sz w:val="22"/>
          <w:szCs w:val="22"/>
        </w:rPr>
        <w:t>during</w:t>
      </w:r>
      <w:r w:rsidR="0049555F" w:rsidRPr="0049555F">
        <w:rPr>
          <w:bCs/>
          <w:color w:val="auto"/>
          <w:sz w:val="22"/>
          <w:szCs w:val="22"/>
        </w:rPr>
        <w:t xml:space="preserve"> the DAA </w:t>
      </w:r>
      <w:proofErr w:type="spellStart"/>
      <w:r w:rsidR="0049555F" w:rsidRPr="0049555F">
        <w:rPr>
          <w:bCs/>
          <w:color w:val="auto"/>
          <w:sz w:val="22"/>
          <w:szCs w:val="22"/>
        </w:rPr>
        <w:t>course.</w:t>
      </w:r>
      <w:r w:rsidR="0049555F" w:rsidRPr="00BE46A7">
        <w:rPr>
          <w:bCs/>
          <w:color w:val="auto"/>
          <w:sz w:val="22"/>
          <w:szCs w:val="22"/>
          <w:vertAlign w:val="superscript"/>
        </w:rPr>
        <w:t>2</w:t>
      </w:r>
      <w:proofErr w:type="spellEnd"/>
      <w:r w:rsidR="0049555F" w:rsidRPr="0049555F">
        <w:rPr>
          <w:bCs/>
          <w:color w:val="auto"/>
          <w:sz w:val="22"/>
          <w:szCs w:val="22"/>
        </w:rPr>
        <w:t xml:space="preserve"> Reviews of drug-drug interactions are generally performed by the provider and validated or resolved by the dispensing pharmacist.</w:t>
      </w:r>
    </w:p>
    <w:p w14:paraId="34FCB862" w14:textId="69F1B7F0" w:rsidR="0049555F" w:rsidRDefault="0049555F" w:rsidP="0049555F">
      <w:pPr>
        <w:widowControl w:val="0"/>
        <w:spacing w:after="120"/>
        <w:rPr>
          <w:bCs/>
          <w:color w:val="auto"/>
          <w:sz w:val="22"/>
          <w:szCs w:val="22"/>
        </w:rPr>
      </w:pPr>
      <w:r w:rsidRPr="0049555F">
        <w:rPr>
          <w:bCs/>
          <w:color w:val="auto"/>
          <w:sz w:val="22"/>
          <w:szCs w:val="22"/>
        </w:rPr>
        <w:t>MassHealth currently has point</w:t>
      </w:r>
      <w:r w:rsidR="001038B4">
        <w:rPr>
          <w:bCs/>
          <w:color w:val="auto"/>
          <w:sz w:val="22"/>
          <w:szCs w:val="22"/>
        </w:rPr>
        <w:t>-</w:t>
      </w:r>
      <w:r w:rsidRPr="0049555F">
        <w:rPr>
          <w:bCs/>
          <w:color w:val="auto"/>
          <w:sz w:val="22"/>
          <w:szCs w:val="22"/>
        </w:rPr>
        <w:t>of</w:t>
      </w:r>
      <w:r w:rsidR="001038B4">
        <w:rPr>
          <w:bCs/>
          <w:color w:val="auto"/>
          <w:sz w:val="22"/>
          <w:szCs w:val="22"/>
        </w:rPr>
        <w:t>-</w:t>
      </w:r>
      <w:r w:rsidRPr="0049555F">
        <w:rPr>
          <w:bCs/>
          <w:color w:val="auto"/>
          <w:sz w:val="22"/>
          <w:szCs w:val="22"/>
        </w:rPr>
        <w:t>sale rules for generic sofosbuvir/</w:t>
      </w:r>
      <w:proofErr w:type="spellStart"/>
      <w:r w:rsidRPr="0049555F">
        <w:rPr>
          <w:bCs/>
          <w:color w:val="auto"/>
          <w:sz w:val="22"/>
          <w:szCs w:val="22"/>
        </w:rPr>
        <w:t>velpatasvir</w:t>
      </w:r>
      <w:proofErr w:type="spellEnd"/>
      <w:r w:rsidRPr="0049555F">
        <w:rPr>
          <w:bCs/>
          <w:color w:val="auto"/>
          <w:sz w:val="22"/>
          <w:szCs w:val="22"/>
        </w:rPr>
        <w:t>, Epclusa</w:t>
      </w:r>
      <w:r w:rsidRPr="00680C86">
        <w:rPr>
          <w:bCs/>
          <w:color w:val="auto"/>
          <w:sz w:val="22"/>
          <w:szCs w:val="22"/>
          <w:vertAlign w:val="superscript"/>
        </w:rPr>
        <w:t>®</w:t>
      </w:r>
      <w:r w:rsidRPr="0049555F">
        <w:rPr>
          <w:bCs/>
          <w:color w:val="auto"/>
          <w:sz w:val="22"/>
          <w:szCs w:val="22"/>
        </w:rPr>
        <w:t xml:space="preserve"> (sofosbuvir/</w:t>
      </w:r>
      <w:proofErr w:type="spellStart"/>
      <w:r w:rsidRPr="0049555F">
        <w:rPr>
          <w:bCs/>
          <w:color w:val="auto"/>
          <w:sz w:val="22"/>
          <w:szCs w:val="22"/>
        </w:rPr>
        <w:t>velpatasvir</w:t>
      </w:r>
      <w:proofErr w:type="spellEnd"/>
      <w:r w:rsidRPr="0049555F">
        <w:rPr>
          <w:bCs/>
          <w:color w:val="auto"/>
          <w:sz w:val="22"/>
          <w:szCs w:val="22"/>
        </w:rPr>
        <w:t xml:space="preserve">) pellet pack and </w:t>
      </w:r>
      <w:proofErr w:type="spellStart"/>
      <w:r w:rsidRPr="0049555F">
        <w:rPr>
          <w:bCs/>
          <w:color w:val="auto"/>
          <w:sz w:val="22"/>
          <w:szCs w:val="22"/>
        </w:rPr>
        <w:t>200mg</w:t>
      </w:r>
      <w:proofErr w:type="spellEnd"/>
      <w:r w:rsidRPr="0049555F">
        <w:rPr>
          <w:bCs/>
          <w:color w:val="auto"/>
          <w:sz w:val="22"/>
          <w:szCs w:val="22"/>
        </w:rPr>
        <w:t>/</w:t>
      </w:r>
      <w:proofErr w:type="spellStart"/>
      <w:r w:rsidRPr="0049555F">
        <w:rPr>
          <w:bCs/>
          <w:color w:val="auto"/>
          <w:sz w:val="22"/>
          <w:szCs w:val="22"/>
        </w:rPr>
        <w:t>50mg</w:t>
      </w:r>
      <w:proofErr w:type="spellEnd"/>
      <w:r w:rsidRPr="0049555F">
        <w:rPr>
          <w:bCs/>
          <w:color w:val="auto"/>
          <w:sz w:val="22"/>
          <w:szCs w:val="22"/>
        </w:rPr>
        <w:t xml:space="preserve"> tablet, and </w:t>
      </w:r>
      <w:proofErr w:type="spellStart"/>
      <w:r w:rsidRPr="0049555F">
        <w:rPr>
          <w:bCs/>
          <w:color w:val="auto"/>
          <w:sz w:val="22"/>
          <w:szCs w:val="22"/>
        </w:rPr>
        <w:t>Mavyret</w:t>
      </w:r>
      <w:proofErr w:type="spellEnd"/>
      <w:r w:rsidRPr="00680C86">
        <w:rPr>
          <w:bCs/>
          <w:color w:val="auto"/>
          <w:sz w:val="22"/>
          <w:szCs w:val="22"/>
          <w:vertAlign w:val="superscript"/>
        </w:rPr>
        <w:t>®</w:t>
      </w:r>
      <w:r w:rsidRPr="0049555F">
        <w:rPr>
          <w:bCs/>
          <w:color w:val="auto"/>
          <w:sz w:val="22"/>
          <w:szCs w:val="22"/>
        </w:rPr>
        <w:t xml:space="preserve"> (</w:t>
      </w:r>
      <w:proofErr w:type="spellStart"/>
      <w:r w:rsidRPr="0049555F">
        <w:rPr>
          <w:bCs/>
          <w:color w:val="auto"/>
          <w:sz w:val="22"/>
          <w:szCs w:val="22"/>
        </w:rPr>
        <w:t>glecaprevir</w:t>
      </w:r>
      <w:proofErr w:type="spellEnd"/>
      <w:r w:rsidRPr="0049555F">
        <w:rPr>
          <w:bCs/>
          <w:color w:val="auto"/>
          <w:sz w:val="22"/>
          <w:szCs w:val="22"/>
        </w:rPr>
        <w:t>/</w:t>
      </w:r>
      <w:proofErr w:type="spellStart"/>
      <w:r w:rsidRPr="0049555F">
        <w:rPr>
          <w:bCs/>
          <w:color w:val="auto"/>
          <w:sz w:val="22"/>
          <w:szCs w:val="22"/>
        </w:rPr>
        <w:t>pibrentasvir</w:t>
      </w:r>
      <w:proofErr w:type="spellEnd"/>
      <w:r w:rsidRPr="0049555F">
        <w:rPr>
          <w:bCs/>
          <w:color w:val="auto"/>
          <w:sz w:val="22"/>
          <w:szCs w:val="22"/>
        </w:rPr>
        <w:t xml:space="preserve">). With the removal of the drug-drug interaction criteria, claims for these drugs will usually pay at the pharmacy without PA if a claim meets </w:t>
      </w:r>
      <w:r w:rsidRPr="0049555F">
        <w:rPr>
          <w:bCs/>
          <w:color w:val="auto"/>
          <w:sz w:val="22"/>
          <w:szCs w:val="22"/>
        </w:rPr>
        <w:lastRenderedPageBreak/>
        <w:t>the following criteria</w:t>
      </w:r>
      <w:r w:rsidR="005175F7">
        <w:rPr>
          <w:bCs/>
          <w:color w:val="auto"/>
          <w:sz w:val="22"/>
          <w:szCs w:val="22"/>
        </w:rPr>
        <w:t>.</w:t>
      </w:r>
    </w:p>
    <w:p w14:paraId="110EE238" w14:textId="08C85983" w:rsidR="00533C5E" w:rsidRPr="00533C5E" w:rsidRDefault="00533C5E" w:rsidP="00533C5E">
      <w:pPr>
        <w:pStyle w:val="ListParagraph"/>
        <w:widowControl w:val="0"/>
        <w:numPr>
          <w:ilvl w:val="0"/>
          <w:numId w:val="9"/>
        </w:numPr>
        <w:spacing w:after="120"/>
        <w:rPr>
          <w:bCs/>
          <w:color w:val="auto"/>
          <w:sz w:val="22"/>
          <w:szCs w:val="22"/>
        </w:rPr>
      </w:pPr>
      <w:r w:rsidRPr="00533C5E">
        <w:rPr>
          <w:bCs/>
          <w:color w:val="auto"/>
          <w:sz w:val="22"/>
          <w:szCs w:val="22"/>
        </w:rPr>
        <w:t>Member is ≥ 3 years of age</w:t>
      </w:r>
      <w:r w:rsidR="005175F7">
        <w:rPr>
          <w:bCs/>
          <w:color w:val="auto"/>
          <w:sz w:val="22"/>
          <w:szCs w:val="22"/>
        </w:rPr>
        <w:t>.</w:t>
      </w:r>
    </w:p>
    <w:p w14:paraId="03093066" w14:textId="6EBB11F0" w:rsidR="00533C5E" w:rsidRPr="00533C5E" w:rsidRDefault="00533C5E" w:rsidP="00533C5E">
      <w:pPr>
        <w:pStyle w:val="ListParagraph"/>
        <w:widowControl w:val="0"/>
        <w:numPr>
          <w:ilvl w:val="0"/>
          <w:numId w:val="9"/>
        </w:numPr>
        <w:spacing w:after="120"/>
        <w:rPr>
          <w:bCs/>
          <w:color w:val="auto"/>
          <w:sz w:val="22"/>
          <w:szCs w:val="22"/>
        </w:rPr>
      </w:pPr>
      <w:r w:rsidRPr="00533C5E">
        <w:rPr>
          <w:bCs/>
          <w:color w:val="auto"/>
          <w:sz w:val="22"/>
          <w:szCs w:val="22"/>
        </w:rPr>
        <w:t>Member is treatment naïve (</w:t>
      </w:r>
      <w:r w:rsidR="00892205">
        <w:rPr>
          <w:bCs/>
          <w:color w:val="auto"/>
          <w:sz w:val="22"/>
          <w:szCs w:val="22"/>
        </w:rPr>
        <w:t xml:space="preserve">has </w:t>
      </w:r>
      <w:r w:rsidRPr="00533C5E">
        <w:rPr>
          <w:bCs/>
          <w:color w:val="auto"/>
          <w:sz w:val="22"/>
          <w:szCs w:val="22"/>
        </w:rPr>
        <w:t>no previous pharmacy claims of hepatitis drugs)</w:t>
      </w:r>
      <w:r w:rsidR="005175F7">
        <w:rPr>
          <w:bCs/>
          <w:color w:val="auto"/>
          <w:sz w:val="22"/>
          <w:szCs w:val="22"/>
        </w:rPr>
        <w:t>.</w:t>
      </w:r>
    </w:p>
    <w:p w14:paraId="1292796C" w14:textId="792A63B3" w:rsidR="00533C5E" w:rsidRPr="00533C5E" w:rsidRDefault="00533C5E" w:rsidP="00533C5E">
      <w:pPr>
        <w:pStyle w:val="ListParagraph"/>
        <w:widowControl w:val="0"/>
        <w:numPr>
          <w:ilvl w:val="0"/>
          <w:numId w:val="9"/>
        </w:numPr>
        <w:spacing w:after="120"/>
        <w:rPr>
          <w:bCs/>
          <w:color w:val="auto"/>
          <w:sz w:val="22"/>
          <w:szCs w:val="22"/>
        </w:rPr>
      </w:pPr>
      <w:r w:rsidRPr="00533C5E">
        <w:rPr>
          <w:bCs/>
          <w:color w:val="auto"/>
          <w:sz w:val="22"/>
          <w:szCs w:val="22"/>
        </w:rPr>
        <w:t xml:space="preserve">Member does not have pharmacy claims for drugs </w:t>
      </w:r>
      <w:r w:rsidR="00BD0118">
        <w:rPr>
          <w:bCs/>
          <w:color w:val="auto"/>
          <w:sz w:val="22"/>
          <w:szCs w:val="22"/>
        </w:rPr>
        <w:t>that suggest</w:t>
      </w:r>
      <w:r w:rsidRPr="00533C5E">
        <w:rPr>
          <w:bCs/>
          <w:color w:val="auto"/>
          <w:sz w:val="22"/>
          <w:szCs w:val="22"/>
        </w:rPr>
        <w:t xml:space="preserve"> decompensated cirrhosis (i.e., lactulose, nadolol, rifaximin, and spironolactone ≥ 50</w:t>
      </w:r>
      <w:r w:rsidR="005175F7">
        <w:rPr>
          <w:bCs/>
          <w:color w:val="auto"/>
          <w:sz w:val="22"/>
          <w:szCs w:val="22"/>
        </w:rPr>
        <w:t xml:space="preserve"> </w:t>
      </w:r>
      <w:r w:rsidRPr="00533C5E">
        <w:rPr>
          <w:bCs/>
          <w:color w:val="auto"/>
          <w:sz w:val="22"/>
          <w:szCs w:val="22"/>
        </w:rPr>
        <w:t>mg)</w:t>
      </w:r>
      <w:r w:rsidR="005175F7">
        <w:rPr>
          <w:bCs/>
          <w:color w:val="auto"/>
          <w:sz w:val="22"/>
          <w:szCs w:val="22"/>
        </w:rPr>
        <w:t>.</w:t>
      </w:r>
    </w:p>
    <w:p w14:paraId="6A5B6EA7" w14:textId="232CF385" w:rsidR="00533C5E" w:rsidRDefault="00892205" w:rsidP="00533C5E">
      <w:pPr>
        <w:pStyle w:val="ListParagraph"/>
        <w:widowControl w:val="0"/>
        <w:numPr>
          <w:ilvl w:val="0"/>
          <w:numId w:val="9"/>
        </w:numPr>
        <w:spacing w:after="12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The </w:t>
      </w:r>
      <w:r w:rsidR="00680C86">
        <w:rPr>
          <w:bCs/>
          <w:color w:val="auto"/>
          <w:sz w:val="22"/>
          <w:szCs w:val="22"/>
        </w:rPr>
        <w:t>claim</w:t>
      </w:r>
      <w:r>
        <w:rPr>
          <w:bCs/>
          <w:color w:val="auto"/>
          <w:sz w:val="22"/>
          <w:szCs w:val="22"/>
        </w:rPr>
        <w:t xml:space="preserve"> is w</w:t>
      </w:r>
      <w:r w:rsidR="00533C5E" w:rsidRPr="00533C5E">
        <w:rPr>
          <w:bCs/>
          <w:color w:val="auto"/>
          <w:sz w:val="22"/>
          <w:szCs w:val="22"/>
        </w:rPr>
        <w:t>ithin quantity limits for appropriate dosing</w:t>
      </w:r>
      <w:r w:rsidR="005175F7">
        <w:rPr>
          <w:bCs/>
          <w:color w:val="auto"/>
          <w:sz w:val="22"/>
          <w:szCs w:val="22"/>
        </w:rPr>
        <w:t>.</w:t>
      </w:r>
    </w:p>
    <w:p w14:paraId="6EE57FD3" w14:textId="63E9B5A1" w:rsidR="002712BE" w:rsidRPr="002712BE" w:rsidRDefault="002712BE" w:rsidP="00DC1ACC">
      <w:pPr>
        <w:pStyle w:val="Heading2"/>
        <w:framePr w:hSpace="0" w:wrap="auto" w:vAnchor="margin" w:yAlign="inline"/>
        <w:spacing w:before="0" w:after="160"/>
      </w:pPr>
      <w:r w:rsidRPr="002712BE">
        <w:t>References</w:t>
      </w:r>
    </w:p>
    <w:p w14:paraId="7565BB42" w14:textId="71EEB253" w:rsidR="002712BE" w:rsidRDefault="002712BE" w:rsidP="002712BE">
      <w:pPr>
        <w:pStyle w:val="ListParagraph"/>
        <w:widowControl w:val="0"/>
        <w:numPr>
          <w:ilvl w:val="0"/>
          <w:numId w:val="11"/>
        </w:numPr>
        <w:spacing w:after="120"/>
        <w:rPr>
          <w:bCs/>
          <w:color w:val="auto"/>
          <w:sz w:val="22"/>
          <w:szCs w:val="22"/>
        </w:rPr>
      </w:pPr>
      <w:r w:rsidRPr="002712BE">
        <w:rPr>
          <w:bCs/>
          <w:color w:val="auto"/>
          <w:sz w:val="22"/>
          <w:szCs w:val="22"/>
        </w:rPr>
        <w:t xml:space="preserve">Substance Abuse and Mental Health Services Administration. Buprenorphine Quick Start Guide. SAMSHA. </w:t>
      </w:r>
      <w:r w:rsidR="00FB53EC">
        <w:rPr>
          <w:bCs/>
          <w:color w:val="auto"/>
          <w:sz w:val="22"/>
          <w:szCs w:val="22"/>
        </w:rPr>
        <w:t>A</w:t>
      </w:r>
      <w:r w:rsidR="005175F7" w:rsidRPr="002712BE">
        <w:rPr>
          <w:bCs/>
          <w:color w:val="auto"/>
          <w:sz w:val="22"/>
          <w:szCs w:val="22"/>
        </w:rPr>
        <w:t xml:space="preserve">vailable </w:t>
      </w:r>
      <w:r w:rsidRPr="002712BE">
        <w:rPr>
          <w:bCs/>
          <w:color w:val="auto"/>
          <w:sz w:val="22"/>
          <w:szCs w:val="22"/>
        </w:rPr>
        <w:t xml:space="preserve">at </w:t>
      </w:r>
      <w:hyperlink r:id="rId15" w:history="1">
        <w:r w:rsidR="005566B0" w:rsidRPr="00C20976">
          <w:rPr>
            <w:rStyle w:val="Hyperlink"/>
            <w:bCs/>
            <w:sz w:val="22"/>
            <w:szCs w:val="22"/>
          </w:rPr>
          <w:t>samhsa.gov/sit</w:t>
        </w:r>
        <w:r w:rsidR="005566B0" w:rsidRPr="00C20976">
          <w:rPr>
            <w:rStyle w:val="Hyperlink"/>
            <w:bCs/>
            <w:sz w:val="22"/>
            <w:szCs w:val="22"/>
          </w:rPr>
          <w:t>e</w:t>
        </w:r>
        <w:r w:rsidR="005566B0" w:rsidRPr="00C20976">
          <w:rPr>
            <w:rStyle w:val="Hyperlink"/>
            <w:bCs/>
            <w:sz w:val="22"/>
            <w:szCs w:val="22"/>
          </w:rPr>
          <w:t>s/default/files/quick-start</w:t>
        </w:r>
        <w:r w:rsidR="004A58A3">
          <w:rPr>
            <w:rStyle w:val="Hyperlink"/>
            <w:bCs/>
            <w:sz w:val="22"/>
            <w:szCs w:val="22"/>
          </w:rPr>
          <w:br/>
        </w:r>
        <w:r w:rsidR="005566B0" w:rsidRPr="00C20976">
          <w:rPr>
            <w:rStyle w:val="Hyperlink"/>
            <w:bCs/>
            <w:sz w:val="22"/>
            <w:szCs w:val="22"/>
          </w:rPr>
          <w:t>-guide.pdf</w:t>
        </w:r>
      </w:hyperlink>
      <w:r w:rsidR="00FB53EC">
        <w:rPr>
          <w:bCs/>
          <w:color w:val="auto"/>
          <w:sz w:val="22"/>
          <w:szCs w:val="22"/>
        </w:rPr>
        <w:t>.</w:t>
      </w:r>
    </w:p>
    <w:p w14:paraId="1CD89492" w14:textId="5FFD8256" w:rsidR="002712BE" w:rsidRDefault="002712BE" w:rsidP="002712BE">
      <w:pPr>
        <w:pStyle w:val="ListParagraph"/>
        <w:widowControl w:val="0"/>
        <w:numPr>
          <w:ilvl w:val="0"/>
          <w:numId w:val="11"/>
        </w:numPr>
        <w:spacing w:after="120"/>
        <w:rPr>
          <w:bCs/>
          <w:color w:val="auto"/>
          <w:sz w:val="22"/>
          <w:szCs w:val="22"/>
        </w:rPr>
      </w:pPr>
      <w:r w:rsidRPr="002712BE">
        <w:rPr>
          <w:bCs/>
          <w:color w:val="auto"/>
          <w:sz w:val="22"/>
          <w:szCs w:val="22"/>
        </w:rPr>
        <w:t xml:space="preserve">American Association for the Study of Liver Diseases and Infectious Diseases Society of America. HCV Guidance: Recommendations for Testing, Managing, and Treating Hepatitis C [guideline on the </w:t>
      </w:r>
      <w:r w:rsidR="00FB53EC">
        <w:rPr>
          <w:bCs/>
          <w:color w:val="auto"/>
          <w:sz w:val="22"/>
          <w:szCs w:val="22"/>
        </w:rPr>
        <w:t>i</w:t>
      </w:r>
      <w:r w:rsidRPr="002712BE">
        <w:rPr>
          <w:bCs/>
          <w:color w:val="auto"/>
          <w:sz w:val="22"/>
          <w:szCs w:val="22"/>
        </w:rPr>
        <w:t xml:space="preserve">nternet]. Alexandria (VA): </w:t>
      </w:r>
      <w:proofErr w:type="spellStart"/>
      <w:r w:rsidRPr="002712BE">
        <w:rPr>
          <w:bCs/>
          <w:color w:val="auto"/>
          <w:sz w:val="22"/>
          <w:szCs w:val="22"/>
        </w:rPr>
        <w:t>AASLD</w:t>
      </w:r>
      <w:proofErr w:type="spellEnd"/>
      <w:r w:rsidRPr="002712BE">
        <w:rPr>
          <w:bCs/>
          <w:color w:val="auto"/>
          <w:sz w:val="22"/>
          <w:szCs w:val="22"/>
        </w:rPr>
        <w:t>/</w:t>
      </w:r>
      <w:proofErr w:type="spellStart"/>
      <w:r w:rsidRPr="002712BE">
        <w:rPr>
          <w:bCs/>
          <w:color w:val="auto"/>
          <w:sz w:val="22"/>
          <w:szCs w:val="22"/>
        </w:rPr>
        <w:t>IDSA</w:t>
      </w:r>
      <w:proofErr w:type="spellEnd"/>
      <w:r w:rsidRPr="002712BE">
        <w:rPr>
          <w:bCs/>
          <w:color w:val="auto"/>
          <w:sz w:val="22"/>
          <w:szCs w:val="22"/>
        </w:rPr>
        <w:t xml:space="preserve"> 2022 October [cited 2024 Jul 30]. Available at </w:t>
      </w:r>
      <w:hyperlink r:id="rId16" w:history="1">
        <w:r w:rsidR="000A6C99" w:rsidRPr="00C20976">
          <w:rPr>
            <w:rStyle w:val="Hyperlink"/>
            <w:bCs/>
            <w:sz w:val="22"/>
            <w:szCs w:val="22"/>
          </w:rPr>
          <w:t>hcvguidel</w:t>
        </w:r>
        <w:r w:rsidR="000A6C99" w:rsidRPr="00C20976">
          <w:rPr>
            <w:rStyle w:val="Hyperlink"/>
            <w:bCs/>
            <w:sz w:val="22"/>
            <w:szCs w:val="22"/>
          </w:rPr>
          <w:t>i</w:t>
        </w:r>
        <w:r w:rsidR="000A6C99" w:rsidRPr="00C20976">
          <w:rPr>
            <w:rStyle w:val="Hyperlink"/>
            <w:bCs/>
            <w:sz w:val="22"/>
            <w:szCs w:val="22"/>
          </w:rPr>
          <w:t>nes.org</w:t>
        </w:r>
      </w:hyperlink>
      <w:r w:rsidR="00FB53EC">
        <w:rPr>
          <w:bCs/>
          <w:color w:val="auto"/>
          <w:sz w:val="22"/>
          <w:szCs w:val="22"/>
        </w:rPr>
        <w:t>.</w:t>
      </w:r>
    </w:p>
    <w:p w14:paraId="3C2DAC9B" w14:textId="77777777" w:rsidR="00E31AED" w:rsidRPr="00E31AED" w:rsidRDefault="00E31AED" w:rsidP="00E31AED">
      <w:pPr>
        <w:pStyle w:val="ListParagraph"/>
        <w:rPr>
          <w:bCs/>
          <w:color w:val="auto"/>
          <w:sz w:val="22"/>
          <w:szCs w:val="22"/>
        </w:rPr>
      </w:pPr>
    </w:p>
    <w:p w14:paraId="1DC225B7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1A980716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299E34C1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7205E982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01C3D9EC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00280A7E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4A3A6707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3DDBB227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4A62FC6E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516E6D8A" w14:textId="77777777" w:rsid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37F8D4C1" w14:textId="77777777" w:rsidR="00E31AED" w:rsidRPr="00E31AED" w:rsidRDefault="00E31AED" w:rsidP="00E31A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651E5E14" w14:textId="77777777" w:rsidR="000A6C99" w:rsidRDefault="000A6C99" w:rsidP="000A6C99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413D0752" w14:textId="77777777" w:rsidR="000A6C99" w:rsidRDefault="000A6C99" w:rsidP="000A6C99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2BB9C8C0" w14:textId="77777777" w:rsidR="000A6C99" w:rsidRDefault="000A6C99" w:rsidP="000A6C99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5CB879A5" w14:textId="77777777" w:rsidR="000A6C99" w:rsidRPr="000A6C99" w:rsidRDefault="000A6C99" w:rsidP="000A6C99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54B41E57" w14:textId="77777777" w:rsidR="0062529B" w:rsidRPr="0062529B" w:rsidRDefault="0062529B" w:rsidP="00A83962">
      <w:pPr>
        <w:pStyle w:val="Subtitle"/>
        <w:keepNext/>
        <w:keepLines/>
        <w:spacing w:before="120" w:after="0" w:line="240" w:lineRule="auto"/>
        <w:ind w:right="83"/>
        <w:rPr>
          <w:rFonts w:ascii="Times New Roman" w:hAnsi="Times New Roman" w:cs="Times New Roman"/>
          <w:bCs/>
          <w:color w:val="auto"/>
        </w:rPr>
      </w:pPr>
    </w:p>
    <w:p w14:paraId="6068FA9E" w14:textId="77777777" w:rsidR="00A83962" w:rsidRPr="0062529B" w:rsidRDefault="00A83962" w:rsidP="00E31AED">
      <w:pPr>
        <w:pStyle w:val="Subtitle"/>
        <w:keepNext/>
        <w:keepLines/>
        <w:spacing w:before="120" w:after="4000" w:line="240" w:lineRule="auto"/>
        <w:ind w:right="83"/>
        <w:rPr>
          <w:rFonts w:ascii="Times New Roman" w:hAnsi="Times New Roman" w:cs="Times New Roman"/>
          <w:bCs/>
          <w:color w:val="auto"/>
        </w:rPr>
        <w:sectPr w:rsidR="00A83962" w:rsidRPr="0062529B" w:rsidSect="00DD2187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726A596C" w14:textId="77777777" w:rsidR="002F1A78" w:rsidRDefault="002F1A78" w:rsidP="002F1A78">
      <w:pPr>
        <w:spacing w:before="4000"/>
        <w:jc w:val="center"/>
      </w:pPr>
    </w:p>
    <w:p w14:paraId="7B099E8F" w14:textId="583505F3" w:rsidR="00AE483E" w:rsidRPr="0004346A" w:rsidRDefault="006558AB" w:rsidP="00DC1ACC">
      <w:pPr>
        <w:spacing w:before="5000" w:after="160"/>
        <w:jc w:val="center"/>
      </w:pPr>
      <w:r>
        <w:t>The Prescriber e-Letter is an update designed to enhance the transparency and efficiency of the MassHealth</w:t>
      </w:r>
      <w:r w:rsidR="00E31AED">
        <w:br/>
      </w:r>
      <w:r>
        <w:t>drug prior-authorization (PA) process and the MassHealth Drug List. Each issue highlights key clinical</w:t>
      </w:r>
      <w:r w:rsidR="00E31AED">
        <w:br/>
      </w:r>
      <w:r>
        <w:t>information and updates to the MassHealth Drug List. The Prescriber E-Letter was prepared by the</w:t>
      </w:r>
      <w:r w:rsidR="00E31AED">
        <w:br/>
      </w:r>
      <w:r>
        <w:t>MassHealth Drug Utilization Review Program and the MassHealth Pharmacy Program.</w:t>
      </w:r>
      <w:r w:rsidR="00137002" w:rsidRPr="001B2DED">
        <w:rPr>
          <w:rFonts w:cs="Calibri"/>
          <w:sz w:val="22"/>
          <w:szCs w:val="22"/>
        </w:rPr>
        <w:t xml:space="preserve"> </w:t>
      </w:r>
    </w:p>
    <w:sectPr w:rsidR="00AE483E" w:rsidRPr="0004346A" w:rsidSect="000A6C99">
      <w:headerReference w:type="default" r:id="rId17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618F8" w14:textId="77777777" w:rsidR="003128F3" w:rsidRDefault="003128F3">
      <w:r>
        <w:separator/>
      </w:r>
    </w:p>
  </w:endnote>
  <w:endnote w:type="continuationSeparator" w:id="0">
    <w:p w14:paraId="6F56B8FA" w14:textId="77777777" w:rsidR="003128F3" w:rsidRDefault="0031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45AC" w14:textId="09A4F1C1" w:rsidR="005F35CD" w:rsidRPr="005F35CD" w:rsidRDefault="005F35CD" w:rsidP="005F35CD">
    <w:pPr>
      <w:jc w:val="center"/>
    </w:pPr>
    <w:r w:rsidRPr="005F35CD">
      <w:t xml:space="preserve">Please send any suggestions or comments to: </w:t>
    </w:r>
    <w:hyperlink r:id="rId1" w:history="1">
      <w:r w:rsidR="007736F7">
        <w:rPr>
          <w:rStyle w:val="Hyperlink"/>
        </w:rPr>
        <w:t>PrescriberELetter@massmail.state.ma.us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77509" w14:textId="77777777" w:rsidR="002F4A95" w:rsidRDefault="002F4A95" w:rsidP="002F4A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193D8" w14:textId="77777777" w:rsidR="003128F3" w:rsidRDefault="003128F3">
      <w:r>
        <w:separator/>
      </w:r>
    </w:p>
  </w:footnote>
  <w:footnote w:type="continuationSeparator" w:id="0">
    <w:p w14:paraId="125878C4" w14:textId="77777777" w:rsidR="003128F3" w:rsidRDefault="0031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E392" w14:textId="0C6F9444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>August 2024, Volume 14, Issue 2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EB68" w14:textId="77777777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January</w:t>
    </w:r>
    <w:r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8"/>
  </w:num>
  <w:num w:numId="3" w16cid:durableId="1055355579">
    <w:abstractNumId w:val="6"/>
  </w:num>
  <w:num w:numId="4" w16cid:durableId="199826978">
    <w:abstractNumId w:val="5"/>
  </w:num>
  <w:num w:numId="5" w16cid:durableId="1782339195">
    <w:abstractNumId w:val="9"/>
  </w:num>
  <w:num w:numId="6" w16cid:durableId="321617534">
    <w:abstractNumId w:val="10"/>
  </w:num>
  <w:num w:numId="7" w16cid:durableId="514729983">
    <w:abstractNumId w:val="2"/>
  </w:num>
  <w:num w:numId="8" w16cid:durableId="1932081016">
    <w:abstractNumId w:val="7"/>
  </w:num>
  <w:num w:numId="9" w16cid:durableId="2079358099">
    <w:abstractNumId w:val="3"/>
  </w:num>
  <w:num w:numId="10" w16cid:durableId="329336526">
    <w:abstractNumId w:val="0"/>
  </w:num>
  <w:num w:numId="11" w16cid:durableId="74757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1242D"/>
    <w:rsid w:val="000172B8"/>
    <w:rsid w:val="00022CA5"/>
    <w:rsid w:val="00034CE8"/>
    <w:rsid w:val="00042FD6"/>
    <w:rsid w:val="0004346A"/>
    <w:rsid w:val="00043DB1"/>
    <w:rsid w:val="00045863"/>
    <w:rsid w:val="00051E6C"/>
    <w:rsid w:val="00057562"/>
    <w:rsid w:val="00074014"/>
    <w:rsid w:val="00076A4D"/>
    <w:rsid w:val="000A6C99"/>
    <w:rsid w:val="000C15E5"/>
    <w:rsid w:val="000C2AEE"/>
    <w:rsid w:val="000F145D"/>
    <w:rsid w:val="000F19D2"/>
    <w:rsid w:val="001003DC"/>
    <w:rsid w:val="001038B4"/>
    <w:rsid w:val="001049C6"/>
    <w:rsid w:val="00112E05"/>
    <w:rsid w:val="00113A33"/>
    <w:rsid w:val="00137002"/>
    <w:rsid w:val="00143EFF"/>
    <w:rsid w:val="00146E96"/>
    <w:rsid w:val="0016598C"/>
    <w:rsid w:val="0017504B"/>
    <w:rsid w:val="00175C12"/>
    <w:rsid w:val="00180CAA"/>
    <w:rsid w:val="00182385"/>
    <w:rsid w:val="001A4C38"/>
    <w:rsid w:val="001B2DED"/>
    <w:rsid w:val="001B4E72"/>
    <w:rsid w:val="001B58F6"/>
    <w:rsid w:val="001B712E"/>
    <w:rsid w:val="001C2E84"/>
    <w:rsid w:val="001E762D"/>
    <w:rsid w:val="00215FB5"/>
    <w:rsid w:val="0021775D"/>
    <w:rsid w:val="0022143C"/>
    <w:rsid w:val="002400F6"/>
    <w:rsid w:val="00242A52"/>
    <w:rsid w:val="002712BE"/>
    <w:rsid w:val="00272F9F"/>
    <w:rsid w:val="00273E75"/>
    <w:rsid w:val="00283746"/>
    <w:rsid w:val="002A566F"/>
    <w:rsid w:val="002B4B60"/>
    <w:rsid w:val="002C261E"/>
    <w:rsid w:val="002C326C"/>
    <w:rsid w:val="002D1C5C"/>
    <w:rsid w:val="002D6F34"/>
    <w:rsid w:val="002E55F8"/>
    <w:rsid w:val="002E6DD1"/>
    <w:rsid w:val="002E75D3"/>
    <w:rsid w:val="002F1A78"/>
    <w:rsid w:val="002F4A95"/>
    <w:rsid w:val="003064EC"/>
    <w:rsid w:val="0031009A"/>
    <w:rsid w:val="003128F3"/>
    <w:rsid w:val="0031549E"/>
    <w:rsid w:val="003159D1"/>
    <w:rsid w:val="00316A86"/>
    <w:rsid w:val="0031728E"/>
    <w:rsid w:val="00325D8F"/>
    <w:rsid w:val="00330FB0"/>
    <w:rsid w:val="00344037"/>
    <w:rsid w:val="0034440C"/>
    <w:rsid w:val="00353AD3"/>
    <w:rsid w:val="00366BAA"/>
    <w:rsid w:val="00367696"/>
    <w:rsid w:val="00371601"/>
    <w:rsid w:val="00373275"/>
    <w:rsid w:val="00377A75"/>
    <w:rsid w:val="003971CE"/>
    <w:rsid w:val="00397377"/>
    <w:rsid w:val="003A17FB"/>
    <w:rsid w:val="003A670A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665A"/>
    <w:rsid w:val="00424615"/>
    <w:rsid w:val="00425560"/>
    <w:rsid w:val="00427D00"/>
    <w:rsid w:val="00433649"/>
    <w:rsid w:val="00446350"/>
    <w:rsid w:val="004564C8"/>
    <w:rsid w:val="00463AE8"/>
    <w:rsid w:val="0046520A"/>
    <w:rsid w:val="0047213A"/>
    <w:rsid w:val="004733F0"/>
    <w:rsid w:val="00477057"/>
    <w:rsid w:val="00485E86"/>
    <w:rsid w:val="0049555F"/>
    <w:rsid w:val="0049734F"/>
    <w:rsid w:val="004A58A3"/>
    <w:rsid w:val="004A5933"/>
    <w:rsid w:val="004E42DD"/>
    <w:rsid w:val="004E58D0"/>
    <w:rsid w:val="004E6787"/>
    <w:rsid w:val="004F3FB4"/>
    <w:rsid w:val="005175F7"/>
    <w:rsid w:val="00532641"/>
    <w:rsid w:val="00533C5E"/>
    <w:rsid w:val="00536EBB"/>
    <w:rsid w:val="005566B0"/>
    <w:rsid w:val="00567B9D"/>
    <w:rsid w:val="00576DC3"/>
    <w:rsid w:val="00577FEC"/>
    <w:rsid w:val="00581E50"/>
    <w:rsid w:val="00583A96"/>
    <w:rsid w:val="005842A0"/>
    <w:rsid w:val="00591187"/>
    <w:rsid w:val="00592C98"/>
    <w:rsid w:val="0059487B"/>
    <w:rsid w:val="005A21DB"/>
    <w:rsid w:val="005C05FA"/>
    <w:rsid w:val="005D3CAF"/>
    <w:rsid w:val="005D506B"/>
    <w:rsid w:val="005D56B2"/>
    <w:rsid w:val="005E0ED5"/>
    <w:rsid w:val="005E52FC"/>
    <w:rsid w:val="005F35CD"/>
    <w:rsid w:val="00610115"/>
    <w:rsid w:val="00622404"/>
    <w:rsid w:val="0062336E"/>
    <w:rsid w:val="0062529B"/>
    <w:rsid w:val="00650CB2"/>
    <w:rsid w:val="006558AB"/>
    <w:rsid w:val="0067107B"/>
    <w:rsid w:val="00680C86"/>
    <w:rsid w:val="00690023"/>
    <w:rsid w:val="006B207B"/>
    <w:rsid w:val="006B7613"/>
    <w:rsid w:val="006C3B50"/>
    <w:rsid w:val="006E0362"/>
    <w:rsid w:val="00702546"/>
    <w:rsid w:val="00721778"/>
    <w:rsid w:val="007243D7"/>
    <w:rsid w:val="007311C3"/>
    <w:rsid w:val="007459B2"/>
    <w:rsid w:val="00752617"/>
    <w:rsid w:val="00762B83"/>
    <w:rsid w:val="00770CB5"/>
    <w:rsid w:val="007736F7"/>
    <w:rsid w:val="00776346"/>
    <w:rsid w:val="00785C9F"/>
    <w:rsid w:val="0078683C"/>
    <w:rsid w:val="0079312B"/>
    <w:rsid w:val="00795A7C"/>
    <w:rsid w:val="007A3DAF"/>
    <w:rsid w:val="007E4CAE"/>
    <w:rsid w:val="007F2D62"/>
    <w:rsid w:val="00807E9F"/>
    <w:rsid w:val="008403CA"/>
    <w:rsid w:val="00844307"/>
    <w:rsid w:val="00844A19"/>
    <w:rsid w:val="0084544F"/>
    <w:rsid w:val="0085378A"/>
    <w:rsid w:val="00860511"/>
    <w:rsid w:val="00860BA1"/>
    <w:rsid w:val="00862590"/>
    <w:rsid w:val="00865AEA"/>
    <w:rsid w:val="008722AE"/>
    <w:rsid w:val="00872E7F"/>
    <w:rsid w:val="00873BEF"/>
    <w:rsid w:val="008819EB"/>
    <w:rsid w:val="0088325C"/>
    <w:rsid w:val="008911F3"/>
    <w:rsid w:val="00892205"/>
    <w:rsid w:val="008946E9"/>
    <w:rsid w:val="008967CE"/>
    <w:rsid w:val="008B0999"/>
    <w:rsid w:val="008B221F"/>
    <w:rsid w:val="008B56EF"/>
    <w:rsid w:val="008E5183"/>
    <w:rsid w:val="008E79B3"/>
    <w:rsid w:val="008F25B4"/>
    <w:rsid w:val="00922C53"/>
    <w:rsid w:val="00923341"/>
    <w:rsid w:val="00927CAB"/>
    <w:rsid w:val="00947F70"/>
    <w:rsid w:val="009555A8"/>
    <w:rsid w:val="00956812"/>
    <w:rsid w:val="00980B18"/>
    <w:rsid w:val="00986AF3"/>
    <w:rsid w:val="009A3763"/>
    <w:rsid w:val="009A4123"/>
    <w:rsid w:val="009B1AAF"/>
    <w:rsid w:val="009D1E1C"/>
    <w:rsid w:val="009D2B0C"/>
    <w:rsid w:val="00A128B9"/>
    <w:rsid w:val="00A13579"/>
    <w:rsid w:val="00A26095"/>
    <w:rsid w:val="00A54558"/>
    <w:rsid w:val="00A63EE0"/>
    <w:rsid w:val="00A65E97"/>
    <w:rsid w:val="00A82D27"/>
    <w:rsid w:val="00A83962"/>
    <w:rsid w:val="00A856E6"/>
    <w:rsid w:val="00AA0399"/>
    <w:rsid w:val="00AA6F20"/>
    <w:rsid w:val="00AD42BB"/>
    <w:rsid w:val="00AE483E"/>
    <w:rsid w:val="00AF3BAA"/>
    <w:rsid w:val="00B10C3E"/>
    <w:rsid w:val="00B30E77"/>
    <w:rsid w:val="00B44DE1"/>
    <w:rsid w:val="00B529FF"/>
    <w:rsid w:val="00B5390A"/>
    <w:rsid w:val="00B54AB5"/>
    <w:rsid w:val="00B7453A"/>
    <w:rsid w:val="00B96C06"/>
    <w:rsid w:val="00BB15B2"/>
    <w:rsid w:val="00BD0118"/>
    <w:rsid w:val="00BE46A7"/>
    <w:rsid w:val="00BF73BB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82355"/>
    <w:rsid w:val="00C97787"/>
    <w:rsid w:val="00CA0313"/>
    <w:rsid w:val="00CA0669"/>
    <w:rsid w:val="00CA1D66"/>
    <w:rsid w:val="00CA4BAC"/>
    <w:rsid w:val="00CD1B3A"/>
    <w:rsid w:val="00CD7211"/>
    <w:rsid w:val="00CD7C0E"/>
    <w:rsid w:val="00CE27E7"/>
    <w:rsid w:val="00CF2078"/>
    <w:rsid w:val="00CF48E3"/>
    <w:rsid w:val="00D05D9C"/>
    <w:rsid w:val="00D115B8"/>
    <w:rsid w:val="00D14BBD"/>
    <w:rsid w:val="00D15F4A"/>
    <w:rsid w:val="00D21FA6"/>
    <w:rsid w:val="00D245EF"/>
    <w:rsid w:val="00D2695E"/>
    <w:rsid w:val="00D726DF"/>
    <w:rsid w:val="00D77884"/>
    <w:rsid w:val="00D97D27"/>
    <w:rsid w:val="00DA302D"/>
    <w:rsid w:val="00DA7FE7"/>
    <w:rsid w:val="00DB2EE5"/>
    <w:rsid w:val="00DC0E97"/>
    <w:rsid w:val="00DC1ACC"/>
    <w:rsid w:val="00DD2187"/>
    <w:rsid w:val="00DF3E53"/>
    <w:rsid w:val="00E06D78"/>
    <w:rsid w:val="00E1027A"/>
    <w:rsid w:val="00E23CEA"/>
    <w:rsid w:val="00E31AED"/>
    <w:rsid w:val="00E31CAE"/>
    <w:rsid w:val="00E35E0F"/>
    <w:rsid w:val="00E61DD5"/>
    <w:rsid w:val="00E679DA"/>
    <w:rsid w:val="00E831CE"/>
    <w:rsid w:val="00E90319"/>
    <w:rsid w:val="00E9521B"/>
    <w:rsid w:val="00EB0E73"/>
    <w:rsid w:val="00EB5FE2"/>
    <w:rsid w:val="00EC08AC"/>
    <w:rsid w:val="00EE333C"/>
    <w:rsid w:val="00EE46DF"/>
    <w:rsid w:val="00EE67F4"/>
    <w:rsid w:val="00EF76E8"/>
    <w:rsid w:val="00F42C2D"/>
    <w:rsid w:val="00F51B4F"/>
    <w:rsid w:val="00F53DA0"/>
    <w:rsid w:val="00F67537"/>
    <w:rsid w:val="00F67D45"/>
    <w:rsid w:val="00F85E0D"/>
    <w:rsid w:val="00F9023B"/>
    <w:rsid w:val="00FA5787"/>
    <w:rsid w:val="00FB53EC"/>
    <w:rsid w:val="00FB7719"/>
    <w:rsid w:val="00FD5009"/>
    <w:rsid w:val="00FD5CE5"/>
    <w:rsid w:val="00FF17E3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3962"/>
  </w:style>
  <w:style w:type="character" w:customStyle="1" w:styleId="CommentTextChar">
    <w:name w:val="Comment Text Char"/>
    <w:basedOn w:val="DefaultParagraphFont"/>
    <w:link w:val="CommentText"/>
    <w:semiHidden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amhsa.gov/sites/default/files/quick-start-guid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hcvguideline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amhsa.gov/sites/default/files/quick-start-guide.pdf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hdl.pharmacy.services.conduent.com/MHD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3826</Characters>
  <Application>Microsoft Office Word</Application>
  <DocSecurity>0</DocSecurity>
  <Lines>134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creator>MassHealth</dc:creator>
  <cp:lastModifiedBy>Philippa Durbin</cp:lastModifiedBy>
  <cp:revision>11</cp:revision>
  <cp:lastPrinted>2007-12-18T16:52:00Z</cp:lastPrinted>
  <dcterms:created xsi:type="dcterms:W3CDTF">2024-08-14T17:16:00Z</dcterms:created>
  <dcterms:modified xsi:type="dcterms:W3CDTF">2024-08-14T17:35:00Z</dcterms:modified>
</cp:coreProperties>
</file>