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6BC543" w14:textId="03AFC6AF" w:rsidR="00AD42BB" w:rsidRPr="00AD42BB" w:rsidRDefault="00042FD6" w:rsidP="00C24050">
      <w:pPr>
        <w:pStyle w:val="Heading1"/>
        <w:tabs>
          <w:tab w:val="left" w:pos="900"/>
        </w:tabs>
        <w:spacing w:before="240" w:after="1080"/>
        <w:ind w:left="72"/>
      </w:pPr>
      <w:bookmarkStart w:id="0" w:name="_GoBack"/>
      <w:bookmarkEnd w:id="0"/>
      <w:r>
        <w:rPr>
          <w:noProof/>
          <w:lang w:val="en-US"/>
        </w:rPr>
        <w:drawing>
          <wp:anchor distT="0" distB="0" distL="114300" distR="114300" simplePos="0" relativeHeight="251657216" behindDoc="1" locked="0" layoutInCell="1" allowOverlap="1" wp14:anchorId="3B14BDAC" wp14:editId="354EB03A">
            <wp:simplePos x="0" y="0"/>
            <wp:positionH relativeFrom="column">
              <wp:posOffset>9322</wp:posOffset>
            </wp:positionH>
            <wp:positionV relativeFrom="paragraph">
              <wp:posOffset>124460</wp:posOffset>
            </wp:positionV>
            <wp:extent cx="6739255" cy="1266190"/>
            <wp:effectExtent l="0" t="0" r="4445" b="3810"/>
            <wp:wrapNone/>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6739255" cy="1266190"/>
                    </a:xfrm>
                    <a:prstGeom prst="rect">
                      <a:avLst/>
                    </a:prstGeom>
                  </pic:spPr>
                </pic:pic>
              </a:graphicData>
            </a:graphic>
            <wp14:sizeRelH relativeFrom="page">
              <wp14:pctWidth>0</wp14:pctWidth>
            </wp14:sizeRelH>
            <wp14:sizeRelV relativeFrom="page">
              <wp14:pctHeight>0</wp14:pctHeight>
            </wp14:sizeRelV>
          </wp:anchor>
        </w:drawing>
      </w:r>
      <w:r w:rsidR="00CD7211" w:rsidRPr="00CD7211">
        <w:rPr>
          <w:color w:val="FFFFFF" w:themeColor="background1"/>
        </w:rPr>
        <w:t xml:space="preserve">The Prescriber e-Letter, </w:t>
      </w:r>
      <w:r w:rsidR="00CD7211">
        <w:br w:type="textWrapping" w:clear="all"/>
      </w:r>
      <w:r w:rsidR="00664C25">
        <w:t>February 2021</w:t>
      </w:r>
      <w:r w:rsidR="00AD42BB" w:rsidRPr="00AD42BB">
        <w:t xml:space="preserve"> </w:t>
      </w:r>
      <w:r w:rsidR="00AD42BB" w:rsidRPr="000C7CA4">
        <w:t xml:space="preserve">Volume </w:t>
      </w:r>
      <w:r w:rsidR="00664C25" w:rsidRPr="000C7CA4">
        <w:t>11,</w:t>
      </w:r>
      <w:r w:rsidR="00AD42BB" w:rsidRPr="000C7CA4">
        <w:t xml:space="preserve"> Issue </w:t>
      </w:r>
      <w:r w:rsidR="00664C25" w:rsidRPr="000C7CA4">
        <w:t>2</w:t>
      </w:r>
    </w:p>
    <w:p w14:paraId="597B9300" w14:textId="77777777" w:rsidR="00C656AF" w:rsidRDefault="00C656AF" w:rsidP="00477057">
      <w:pPr>
        <w:tabs>
          <w:tab w:val="left" w:pos="5841"/>
        </w:tabs>
        <w:rPr>
          <w:w w:val="96"/>
        </w:rPr>
        <w:sectPr w:rsidR="00C656AF" w:rsidSect="00DA302D">
          <w:headerReference w:type="even" r:id="rId9"/>
          <w:headerReference w:type="default" r:id="rId10"/>
          <w:footerReference w:type="even" r:id="rId11"/>
          <w:footerReference w:type="default" r:id="rId12"/>
          <w:pgSz w:w="12240" w:h="15840" w:code="1"/>
          <w:pgMar w:top="180" w:right="720" w:bottom="259" w:left="907" w:header="187" w:footer="540" w:gutter="0"/>
          <w:cols w:space="720"/>
          <w:docGrid w:linePitch="360"/>
        </w:sectPr>
      </w:pPr>
    </w:p>
    <w:p w14:paraId="74C343FC" w14:textId="77777777" w:rsidR="00FF3E05" w:rsidRDefault="00FF3E05" w:rsidP="00C24050">
      <w:pPr>
        <w:pBdr>
          <w:bottom w:val="single" w:sz="2" w:space="1" w:color="auto"/>
        </w:pBdr>
        <w:jc w:val="right"/>
        <w:rPr>
          <w:w w:val="96"/>
        </w:rPr>
        <w:sectPr w:rsidR="00FF3E05" w:rsidSect="00DA302D">
          <w:type w:val="continuous"/>
          <w:pgSz w:w="12240" w:h="15840" w:code="1"/>
          <w:pgMar w:top="180" w:right="720" w:bottom="259" w:left="907" w:header="187" w:footer="540" w:gutter="0"/>
          <w:cols w:space="720"/>
          <w:docGrid w:linePitch="360"/>
        </w:sectPr>
      </w:pPr>
    </w:p>
    <w:p w14:paraId="0214045A" w14:textId="77777777" w:rsidR="00FF3E05" w:rsidRDefault="00FF3E05" w:rsidP="00CD7211">
      <w:pPr>
        <w:rPr>
          <w:w w:val="96"/>
        </w:rPr>
      </w:pPr>
    </w:p>
    <w:bookmarkStart w:id="1" w:name="_Hlk63160333"/>
    <w:p w14:paraId="54F79017" w14:textId="2E486AAF" w:rsidR="00C656AF" w:rsidRPr="00CF2078" w:rsidRDefault="00DA302D" w:rsidP="000A445A">
      <w:pPr>
        <w:pStyle w:val="Heading2"/>
        <w:framePr w:hSpace="0" w:wrap="auto" w:vAnchor="margin" w:yAlign="inline"/>
        <w:spacing w:before="0"/>
      </w:pPr>
      <w:r>
        <w:rPr>
          <w:noProof/>
        </w:rPr>
        <mc:AlternateContent>
          <mc:Choice Requires="wps">
            <w:drawing>
              <wp:anchor distT="0" distB="0" distL="114300" distR="114300" simplePos="0" relativeHeight="251659264" behindDoc="0" locked="0" layoutInCell="1" allowOverlap="1" wp14:anchorId="6B67B32A" wp14:editId="0451456D">
                <wp:simplePos x="0" y="0"/>
                <wp:positionH relativeFrom="column">
                  <wp:posOffset>3363122</wp:posOffset>
                </wp:positionH>
                <wp:positionV relativeFrom="paragraph">
                  <wp:posOffset>149887</wp:posOffset>
                </wp:positionV>
                <wp:extent cx="45719" cy="7684851"/>
                <wp:effectExtent l="0" t="0" r="18415" b="24130"/>
                <wp:wrapNone/>
                <wp:docPr id="3" name="Straight Arrow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45719" cy="7684851"/>
                        </a:xfrm>
                        <a:prstGeom prst="straightConnector1">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1135E18" id="_x0000_t32" coordsize="21600,21600" o:spt="32" o:oned="t" path="m,l21600,21600e" filled="f">
                <v:path arrowok="t" fillok="f" o:connecttype="none"/>
                <o:lock v:ext="edit" shapetype="t"/>
              </v:shapetype>
              <v:shape id="Straight Arrow Connector 3" o:spid="_x0000_s1026" type="#_x0000_t32" style="position:absolute;margin-left:264.8pt;margin-top:11.8pt;width:3.6pt;height:605.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" strokecolor="black [3213]">
                <v:stroke joinstyle="miter"/>
              </v:shape>
            </w:pict>
          </mc:Fallback>
        </mc:AlternateContent>
      </w:r>
      <w:r w:rsidR="00664C25" w:rsidRPr="00664C25">
        <w:t xml:space="preserve"> </w:t>
      </w:r>
      <w:r w:rsidR="00664C25" w:rsidRPr="00664C25">
        <w:rPr>
          <w:noProof/>
        </w:rPr>
        <w:t>Flu Vaccine Update</w:t>
      </w:r>
      <w:r w:rsidR="00C656AF" w:rsidRPr="00CF2078">
        <w:t xml:space="preserve"> </w:t>
      </w:r>
      <w:r w:rsidR="00664C25">
        <w:t xml:space="preserve"> </w:t>
      </w:r>
    </w:p>
    <w:p w14:paraId="385FA052" w14:textId="77777777" w:rsidR="00C656AF" w:rsidRPr="00F9023B" w:rsidRDefault="00C656AF" w:rsidP="000A445A">
      <w:pPr>
        <w:widowControl w:val="0"/>
        <w:rPr>
          <w:lang w:val="en"/>
        </w:rPr>
      </w:pPr>
    </w:p>
    <w:p w14:paraId="190C982D" w14:textId="77777777" w:rsidR="00664C25" w:rsidRPr="00664C25" w:rsidRDefault="00664C25" w:rsidP="000A445A">
      <w:pPr>
        <w:pStyle w:val="BodyText"/>
        <w:ind w:left="119" w:right="38"/>
        <w:rPr>
          <w:sz w:val="22"/>
          <w:szCs w:val="22"/>
        </w:rPr>
      </w:pPr>
      <w:r w:rsidRPr="00664C25">
        <w:rPr>
          <w:sz w:val="22"/>
          <w:szCs w:val="22"/>
        </w:rPr>
        <w:t>According to the Centers for Disease and Control and Prevention (CDC), routine vaccination is an essential preventive care service for children, adolescents, and adults (including pregnant individuals) that should not be delayed because of the COVID-19 pandemic. Routine annual influenza vaccination is recommended for all persons aged ≥6 months who do not have</w:t>
      </w:r>
      <w:r w:rsidRPr="00664C25">
        <w:rPr>
          <w:spacing w:val="-5"/>
          <w:sz w:val="22"/>
          <w:szCs w:val="22"/>
        </w:rPr>
        <w:t xml:space="preserve"> </w:t>
      </w:r>
      <w:r w:rsidRPr="00664C25">
        <w:rPr>
          <w:sz w:val="22"/>
          <w:szCs w:val="22"/>
        </w:rPr>
        <w:t>contraindications.</w:t>
      </w:r>
    </w:p>
    <w:p w14:paraId="1336AFAC" w14:textId="77777777" w:rsidR="00664C25" w:rsidRPr="00664C25" w:rsidRDefault="00664C25" w:rsidP="000A445A">
      <w:pPr>
        <w:pStyle w:val="BodyText"/>
        <w:rPr>
          <w:sz w:val="22"/>
          <w:szCs w:val="22"/>
        </w:rPr>
      </w:pPr>
    </w:p>
    <w:p w14:paraId="33FE0B3D" w14:textId="77777777" w:rsidR="00664C25" w:rsidRPr="00664C25" w:rsidRDefault="00664C25" w:rsidP="000A445A">
      <w:pPr>
        <w:pStyle w:val="BodyText"/>
        <w:ind w:left="119" w:right="162"/>
        <w:rPr>
          <w:sz w:val="22"/>
          <w:szCs w:val="22"/>
        </w:rPr>
      </w:pPr>
      <w:r w:rsidRPr="00664C25">
        <w:rPr>
          <w:sz w:val="22"/>
          <w:szCs w:val="22"/>
        </w:rPr>
        <w:t>The CDC recognizes that stay-at-home and shelter-in-place orders have resulted in declines in outpatient visits and fewer vaccine doses being administered. Therefore, they have developed guidance for the administration of vaccines at places such as pharmacies; temporary, off-site, or satellite clinics; and large-scale influenza vaccination clinics.</w:t>
      </w:r>
    </w:p>
    <w:p w14:paraId="3401EE04" w14:textId="77777777" w:rsidR="00664C25" w:rsidRPr="00664C25" w:rsidRDefault="00664C25" w:rsidP="000A445A">
      <w:pPr>
        <w:pStyle w:val="BodyText"/>
        <w:rPr>
          <w:sz w:val="22"/>
          <w:szCs w:val="22"/>
        </w:rPr>
      </w:pPr>
    </w:p>
    <w:p w14:paraId="4914D489" w14:textId="77777777" w:rsidR="00664C25" w:rsidRPr="00664C25" w:rsidRDefault="00664C25" w:rsidP="000A445A">
      <w:pPr>
        <w:pStyle w:val="BodyText"/>
        <w:ind w:left="119" w:right="223"/>
        <w:rPr>
          <w:sz w:val="22"/>
          <w:szCs w:val="22"/>
        </w:rPr>
      </w:pPr>
      <w:r w:rsidRPr="00664C25">
        <w:rPr>
          <w:sz w:val="22"/>
          <w:szCs w:val="22"/>
        </w:rPr>
        <w:t>As of August 24, 2020, qualified pharmacy personnel in Massachusetts are allowed to vaccinate children as young as three years old. This may vary from location to location as pharmacies are still allowed to set their own age limit.</w:t>
      </w:r>
    </w:p>
    <w:p w14:paraId="3F2A77BE" w14:textId="77777777" w:rsidR="00664C25" w:rsidRPr="00664C25" w:rsidRDefault="00664C25" w:rsidP="000A445A">
      <w:pPr>
        <w:pStyle w:val="BodyText"/>
        <w:rPr>
          <w:sz w:val="22"/>
          <w:szCs w:val="22"/>
        </w:rPr>
      </w:pPr>
    </w:p>
    <w:p w14:paraId="5B40840C" w14:textId="265E9E5B" w:rsidR="00664C25" w:rsidRPr="00664C25" w:rsidRDefault="00664C25" w:rsidP="000A445A">
      <w:pPr>
        <w:pStyle w:val="BodyText"/>
        <w:ind w:left="119" w:right="173"/>
        <w:rPr>
          <w:sz w:val="22"/>
          <w:szCs w:val="22"/>
        </w:rPr>
      </w:pPr>
      <w:r w:rsidRPr="00664C25">
        <w:rPr>
          <w:sz w:val="22"/>
          <w:szCs w:val="22"/>
        </w:rPr>
        <w:t xml:space="preserve">MassHealth reimburses pharmacies for the administration of flu vaccines. All MassHealth members are eligible to receive flu vaccines regardless of coverage type (except where MassHealth pays only for premium assistance for members with other health insurance). Coverage of flu vaccines for MassHealth members enrolled in managed care organizations (MCOs), accountable care partnership plans (ACPPs), One Care plans, and Senior Care Organizations (SCOs) will be paid through the applicable managed care plan. Coverage of flu vaccines for MassHealth members enrolled in the Programs of All-inclusive Care for the Elderly (PACE) will be paid through the PACE Organization. Providers should use the MassHealth Eligibility Verification System (EVS) to check member eligibility and managed care enrollment. </w:t>
      </w:r>
    </w:p>
    <w:p w14:paraId="7BBAA5C6" w14:textId="3741248B" w:rsidR="00C656AF" w:rsidRPr="00664C25" w:rsidRDefault="00C656AF" w:rsidP="000A445A">
      <w:pPr>
        <w:widowControl w:val="0"/>
        <w:rPr>
          <w:bCs/>
          <w:color w:val="auto"/>
          <w:sz w:val="22"/>
          <w:szCs w:val="22"/>
        </w:rPr>
      </w:pPr>
      <w:r w:rsidRPr="00664C25">
        <w:rPr>
          <w:b/>
          <w:bCs/>
          <w:sz w:val="22"/>
          <w:szCs w:val="22"/>
          <w:lang w:val="en"/>
        </w:rPr>
        <w:t xml:space="preserve"> </w:t>
      </w:r>
    </w:p>
    <w:p w14:paraId="37B7B5AD" w14:textId="77777777" w:rsidR="00664C25" w:rsidRDefault="00664C25" w:rsidP="000A445A">
      <w:pPr>
        <w:pStyle w:val="BodyText"/>
        <w:ind w:left="119" w:right="189"/>
        <w:rPr>
          <w:sz w:val="22"/>
          <w:szCs w:val="22"/>
        </w:rPr>
      </w:pPr>
      <w:r w:rsidRPr="00664C25">
        <w:rPr>
          <w:sz w:val="22"/>
          <w:szCs w:val="22"/>
        </w:rPr>
        <w:t xml:space="preserve">Vaccinations must be administered by properly trained and certified pharmacists and other health care professionals in accordance with Massachusetts Department of Public Health regulations at 105 </w:t>
      </w:r>
    </w:p>
    <w:p w14:paraId="258D7074" w14:textId="77777777" w:rsidR="00664C25" w:rsidRDefault="00664C25" w:rsidP="00664C25">
      <w:pPr>
        <w:pStyle w:val="BodyText"/>
        <w:ind w:left="119" w:right="189"/>
        <w:rPr>
          <w:sz w:val="22"/>
          <w:szCs w:val="22"/>
        </w:rPr>
      </w:pPr>
    </w:p>
    <w:p w14:paraId="690BD518" w14:textId="77777777" w:rsidR="00664C25" w:rsidRDefault="00664C25" w:rsidP="00664C25">
      <w:pPr>
        <w:pStyle w:val="BodyText"/>
        <w:ind w:left="119" w:right="189"/>
        <w:rPr>
          <w:sz w:val="22"/>
          <w:szCs w:val="22"/>
        </w:rPr>
      </w:pPr>
    </w:p>
    <w:p w14:paraId="40AAD3D2" w14:textId="77777777" w:rsidR="00761211" w:rsidRDefault="00761211" w:rsidP="000A445A">
      <w:pPr>
        <w:pStyle w:val="BodyText"/>
        <w:ind w:right="189" w:hanging="119"/>
        <w:rPr>
          <w:sz w:val="22"/>
          <w:szCs w:val="22"/>
        </w:rPr>
      </w:pPr>
      <w:r>
        <w:rPr>
          <w:sz w:val="22"/>
          <w:szCs w:val="22"/>
        </w:rPr>
        <w:t xml:space="preserve">  </w:t>
      </w:r>
      <w:r w:rsidR="00664C25" w:rsidRPr="00664C25">
        <w:rPr>
          <w:sz w:val="22"/>
          <w:szCs w:val="22"/>
        </w:rPr>
        <w:t xml:space="preserve">CMR 700.000 and guidance for Public Readiness and Emergency Preparedness (PREP) Act coverage issued by the U.S. Department of Health and Human Services. </w:t>
      </w:r>
    </w:p>
    <w:p w14:paraId="615200BC" w14:textId="77777777" w:rsidR="00761211" w:rsidRDefault="00761211" w:rsidP="000A445A">
      <w:pPr>
        <w:pStyle w:val="BodyText"/>
        <w:ind w:right="189" w:hanging="119"/>
        <w:rPr>
          <w:sz w:val="22"/>
          <w:szCs w:val="22"/>
        </w:rPr>
      </w:pPr>
    </w:p>
    <w:p w14:paraId="1156B7F0" w14:textId="03EBB6A2" w:rsidR="00C656AF" w:rsidRPr="00242A52" w:rsidRDefault="00761211" w:rsidP="000A445A">
      <w:pPr>
        <w:pStyle w:val="BodyText"/>
        <w:ind w:right="189" w:hanging="119"/>
        <w:rPr>
          <w:sz w:val="22"/>
          <w:szCs w:val="22"/>
        </w:rPr>
      </w:pPr>
      <w:r>
        <w:rPr>
          <w:sz w:val="22"/>
          <w:szCs w:val="22"/>
        </w:rPr>
        <w:t xml:space="preserve">  </w:t>
      </w:r>
      <w:r w:rsidR="00E27595" w:rsidRPr="00E27595">
        <w:rPr>
          <w:bCs/>
          <w:sz w:val="22"/>
          <w:szCs w:val="22"/>
        </w:rPr>
        <w:t>Upon vaccination, pharmacies must provide information to the member’s primary care clinician for the administration of flu vaccine. This information must include the following.</w:t>
      </w:r>
    </w:p>
    <w:p w14:paraId="2D9E432E" w14:textId="797E4BA3" w:rsidR="00BD1C27" w:rsidRPr="00BD1C27" w:rsidRDefault="00FF119A" w:rsidP="00923174">
      <w:pPr>
        <w:widowControl w:val="0"/>
        <w:numPr>
          <w:ilvl w:val="0"/>
          <w:numId w:val="4"/>
        </w:numPr>
        <w:ind w:left="270" w:right="-94" w:hanging="270"/>
        <w:rPr>
          <w:sz w:val="22"/>
          <w:szCs w:val="22"/>
        </w:rPr>
      </w:pPr>
      <w:bookmarkStart w:id="2" w:name="_Hlk56006764"/>
      <w:r>
        <w:rPr>
          <w:sz w:val="22"/>
          <w:szCs w:val="22"/>
        </w:rPr>
        <w:t xml:space="preserve"> </w:t>
      </w:r>
      <w:r w:rsidR="00BD1C27" w:rsidRPr="00BD1C27">
        <w:rPr>
          <w:sz w:val="22"/>
          <w:szCs w:val="22"/>
        </w:rPr>
        <w:t>member name and date of birth</w:t>
      </w:r>
    </w:p>
    <w:p w14:paraId="2B8403DE" w14:textId="33C07A77" w:rsidR="00BD1C27" w:rsidRPr="00BD1C27" w:rsidRDefault="00BD1C27" w:rsidP="00FF119A">
      <w:pPr>
        <w:widowControl w:val="0"/>
        <w:numPr>
          <w:ilvl w:val="0"/>
          <w:numId w:val="4"/>
        </w:numPr>
        <w:ind w:left="360" w:right="-94" w:hanging="360"/>
        <w:rPr>
          <w:sz w:val="22"/>
          <w:szCs w:val="22"/>
        </w:rPr>
      </w:pPr>
      <w:r w:rsidRPr="00BD1C27">
        <w:rPr>
          <w:sz w:val="22"/>
          <w:szCs w:val="22"/>
        </w:rPr>
        <w:t>vaccine name, quantity, and lot number</w:t>
      </w:r>
    </w:p>
    <w:p w14:paraId="0295326B" w14:textId="70FB9283" w:rsidR="00BD1C27" w:rsidRPr="00BD1C27" w:rsidRDefault="00FF119A" w:rsidP="00923174">
      <w:pPr>
        <w:widowControl w:val="0"/>
        <w:numPr>
          <w:ilvl w:val="0"/>
          <w:numId w:val="4"/>
        </w:numPr>
        <w:ind w:right="-94" w:hanging="240"/>
        <w:rPr>
          <w:sz w:val="22"/>
          <w:szCs w:val="22"/>
        </w:rPr>
      </w:pPr>
      <w:r>
        <w:rPr>
          <w:sz w:val="22"/>
          <w:szCs w:val="22"/>
        </w:rPr>
        <w:t xml:space="preserve">  </w:t>
      </w:r>
      <w:r w:rsidR="00BD1C27" w:rsidRPr="00BD1C27">
        <w:rPr>
          <w:sz w:val="22"/>
          <w:szCs w:val="22"/>
        </w:rPr>
        <w:t>injection site of administration</w:t>
      </w:r>
    </w:p>
    <w:p w14:paraId="30BBF363" w14:textId="7E30966F" w:rsidR="00BD1C27" w:rsidRPr="00BD1C27" w:rsidRDefault="00BD1C27" w:rsidP="00FF119A">
      <w:pPr>
        <w:widowControl w:val="0"/>
        <w:numPr>
          <w:ilvl w:val="0"/>
          <w:numId w:val="4"/>
        </w:numPr>
        <w:ind w:left="360" w:right="-94" w:hanging="360"/>
        <w:rPr>
          <w:sz w:val="22"/>
          <w:szCs w:val="22"/>
        </w:rPr>
      </w:pPr>
      <w:r w:rsidRPr="00BD1C27">
        <w:rPr>
          <w:sz w:val="22"/>
          <w:szCs w:val="22"/>
        </w:rPr>
        <w:t>date of administration</w:t>
      </w:r>
    </w:p>
    <w:p w14:paraId="4C35C2EA" w14:textId="458364D9" w:rsidR="00242A52" w:rsidRDefault="00242A52" w:rsidP="000A445A">
      <w:pPr>
        <w:widowControl w:val="0"/>
        <w:ind w:right="-94"/>
        <w:rPr>
          <w:sz w:val="22"/>
          <w:szCs w:val="22"/>
        </w:rPr>
      </w:pPr>
    </w:p>
    <w:p w14:paraId="67B5F6FB" w14:textId="116A6293" w:rsidR="00E27595" w:rsidRPr="00E27595" w:rsidRDefault="00E27595" w:rsidP="000A445A">
      <w:pPr>
        <w:widowControl w:val="0"/>
        <w:autoSpaceDE w:val="0"/>
        <w:autoSpaceDN w:val="0"/>
        <w:ind w:right="148"/>
        <w:rPr>
          <w:color w:val="auto"/>
          <w:kern w:val="0"/>
          <w:sz w:val="22"/>
          <w:szCs w:val="22"/>
        </w:rPr>
      </w:pPr>
      <w:r w:rsidRPr="00E27595">
        <w:rPr>
          <w:color w:val="auto"/>
          <w:kern w:val="0"/>
          <w:sz w:val="22"/>
          <w:szCs w:val="22"/>
        </w:rPr>
        <w:t xml:space="preserve">Pharmacies may bill for vaccine administration through the  Pharmacy Online Processing System (POPS) for only the following flu vaccines: Afluria, </w:t>
      </w:r>
      <w:proofErr w:type="spellStart"/>
      <w:r w:rsidRPr="00E27595">
        <w:rPr>
          <w:color w:val="auto"/>
          <w:kern w:val="0"/>
          <w:sz w:val="22"/>
          <w:szCs w:val="22"/>
        </w:rPr>
        <w:t>Fluad</w:t>
      </w:r>
      <w:proofErr w:type="spellEnd"/>
      <w:r w:rsidRPr="00E27595">
        <w:rPr>
          <w:color w:val="auto"/>
          <w:kern w:val="0"/>
          <w:sz w:val="22"/>
          <w:szCs w:val="22"/>
        </w:rPr>
        <w:t xml:space="preserve">, </w:t>
      </w:r>
      <w:proofErr w:type="spellStart"/>
      <w:r w:rsidRPr="00E27595">
        <w:rPr>
          <w:color w:val="auto"/>
          <w:kern w:val="0"/>
          <w:sz w:val="22"/>
          <w:szCs w:val="22"/>
        </w:rPr>
        <w:t>Fluarix</w:t>
      </w:r>
      <w:proofErr w:type="spellEnd"/>
      <w:r w:rsidRPr="00E27595">
        <w:rPr>
          <w:color w:val="auto"/>
          <w:kern w:val="0"/>
          <w:sz w:val="22"/>
          <w:szCs w:val="22"/>
        </w:rPr>
        <w:t xml:space="preserve">, </w:t>
      </w:r>
      <w:proofErr w:type="spellStart"/>
      <w:r w:rsidRPr="00E27595">
        <w:rPr>
          <w:color w:val="auto"/>
          <w:kern w:val="0"/>
          <w:sz w:val="22"/>
          <w:szCs w:val="22"/>
        </w:rPr>
        <w:t>Flublok</w:t>
      </w:r>
      <w:proofErr w:type="spellEnd"/>
      <w:r w:rsidRPr="00E27595">
        <w:rPr>
          <w:color w:val="auto"/>
          <w:kern w:val="0"/>
          <w:sz w:val="22"/>
          <w:szCs w:val="22"/>
        </w:rPr>
        <w:t xml:space="preserve">, </w:t>
      </w:r>
      <w:proofErr w:type="spellStart"/>
      <w:r w:rsidRPr="00E27595">
        <w:rPr>
          <w:color w:val="auto"/>
          <w:kern w:val="0"/>
          <w:sz w:val="22"/>
          <w:szCs w:val="22"/>
        </w:rPr>
        <w:t>Flucelvax</w:t>
      </w:r>
      <w:proofErr w:type="spellEnd"/>
      <w:r w:rsidRPr="00E27595">
        <w:rPr>
          <w:color w:val="auto"/>
          <w:kern w:val="0"/>
          <w:sz w:val="22"/>
          <w:szCs w:val="22"/>
        </w:rPr>
        <w:t xml:space="preserve">, </w:t>
      </w:r>
      <w:proofErr w:type="spellStart"/>
      <w:r w:rsidRPr="00E27595">
        <w:rPr>
          <w:color w:val="auto"/>
          <w:kern w:val="0"/>
          <w:sz w:val="22"/>
          <w:szCs w:val="22"/>
        </w:rPr>
        <w:t>Flulaval</w:t>
      </w:r>
      <w:proofErr w:type="spellEnd"/>
      <w:r w:rsidRPr="00E27595">
        <w:rPr>
          <w:color w:val="auto"/>
          <w:kern w:val="0"/>
          <w:sz w:val="22"/>
          <w:szCs w:val="22"/>
        </w:rPr>
        <w:t xml:space="preserve">, </w:t>
      </w:r>
      <w:proofErr w:type="spellStart"/>
      <w:r w:rsidRPr="00E27595">
        <w:rPr>
          <w:color w:val="auto"/>
          <w:kern w:val="0"/>
          <w:sz w:val="22"/>
          <w:szCs w:val="22"/>
        </w:rPr>
        <w:t>Flumist</w:t>
      </w:r>
      <w:proofErr w:type="spellEnd"/>
      <w:r w:rsidRPr="00E27595">
        <w:rPr>
          <w:color w:val="auto"/>
          <w:kern w:val="0"/>
          <w:sz w:val="22"/>
          <w:szCs w:val="22"/>
        </w:rPr>
        <w:t xml:space="preserve">, </w:t>
      </w:r>
      <w:proofErr w:type="spellStart"/>
      <w:r w:rsidR="00A32F58" w:rsidRPr="00E27595">
        <w:rPr>
          <w:color w:val="auto"/>
          <w:kern w:val="0"/>
          <w:sz w:val="22"/>
          <w:szCs w:val="22"/>
        </w:rPr>
        <w:t>Fluzone</w:t>
      </w:r>
      <w:proofErr w:type="spellEnd"/>
      <w:r w:rsidR="002573BE">
        <w:rPr>
          <w:color w:val="auto"/>
          <w:kern w:val="0"/>
          <w:sz w:val="22"/>
          <w:szCs w:val="22"/>
        </w:rPr>
        <w:t>,</w:t>
      </w:r>
      <w:r w:rsidR="00A32F58">
        <w:rPr>
          <w:color w:val="auto"/>
          <w:kern w:val="0"/>
          <w:sz w:val="22"/>
          <w:szCs w:val="22"/>
          <w:vertAlign w:val="superscript"/>
        </w:rPr>
        <w:t xml:space="preserve"> </w:t>
      </w:r>
      <w:r w:rsidR="00A32F58" w:rsidRPr="00A32F58">
        <w:rPr>
          <w:color w:val="auto"/>
          <w:kern w:val="0"/>
          <w:sz w:val="22"/>
          <w:szCs w:val="22"/>
        </w:rPr>
        <w:t>and</w:t>
      </w:r>
      <w:r w:rsidR="00A32F58">
        <w:rPr>
          <w:color w:val="auto"/>
          <w:kern w:val="0"/>
          <w:sz w:val="22"/>
          <w:szCs w:val="22"/>
          <w:vertAlign w:val="superscript"/>
        </w:rPr>
        <w:t xml:space="preserve"> </w:t>
      </w:r>
      <w:proofErr w:type="spellStart"/>
      <w:r w:rsidRPr="00E27595">
        <w:rPr>
          <w:color w:val="auto"/>
          <w:kern w:val="0"/>
          <w:sz w:val="22"/>
          <w:szCs w:val="22"/>
        </w:rPr>
        <w:t>Fluzone</w:t>
      </w:r>
      <w:proofErr w:type="spellEnd"/>
      <w:r w:rsidRPr="00E27595">
        <w:rPr>
          <w:color w:val="auto"/>
          <w:kern w:val="0"/>
          <w:sz w:val="22"/>
          <w:szCs w:val="22"/>
        </w:rPr>
        <w:t xml:space="preserve"> high dose (HD).</w:t>
      </w:r>
    </w:p>
    <w:p w14:paraId="4AD0FAF0" w14:textId="77777777" w:rsidR="00E27595" w:rsidRPr="00E27595" w:rsidRDefault="00E27595" w:rsidP="000A445A">
      <w:pPr>
        <w:widowControl w:val="0"/>
        <w:autoSpaceDE w:val="0"/>
        <w:autoSpaceDN w:val="0"/>
        <w:ind w:right="148"/>
        <w:rPr>
          <w:color w:val="auto"/>
          <w:kern w:val="0"/>
          <w:sz w:val="22"/>
          <w:szCs w:val="22"/>
        </w:rPr>
      </w:pPr>
    </w:p>
    <w:p w14:paraId="4E379769" w14:textId="04DDA560" w:rsidR="00E27595" w:rsidRPr="00E27595" w:rsidRDefault="00E27595" w:rsidP="000A445A">
      <w:pPr>
        <w:widowControl w:val="0"/>
        <w:autoSpaceDE w:val="0"/>
        <w:autoSpaceDN w:val="0"/>
        <w:ind w:right="118"/>
        <w:rPr>
          <w:color w:val="auto"/>
          <w:kern w:val="0"/>
          <w:sz w:val="22"/>
          <w:szCs w:val="22"/>
        </w:rPr>
      </w:pPr>
      <w:r w:rsidRPr="00E27595">
        <w:rPr>
          <w:color w:val="auto"/>
          <w:kern w:val="0"/>
          <w:sz w:val="22"/>
          <w:szCs w:val="22"/>
        </w:rPr>
        <w:t xml:space="preserve">All vaccines can be billed without PA with the exception of </w:t>
      </w:r>
      <w:proofErr w:type="spellStart"/>
      <w:r w:rsidRPr="00E27595">
        <w:rPr>
          <w:color w:val="auto"/>
          <w:kern w:val="0"/>
          <w:sz w:val="22"/>
          <w:szCs w:val="22"/>
        </w:rPr>
        <w:t>Fluad</w:t>
      </w:r>
      <w:proofErr w:type="spellEnd"/>
      <w:r w:rsidRPr="00E27595">
        <w:rPr>
          <w:color w:val="auto"/>
          <w:kern w:val="0"/>
          <w:sz w:val="22"/>
          <w:szCs w:val="22"/>
        </w:rPr>
        <w:t xml:space="preserve"> and </w:t>
      </w:r>
      <w:proofErr w:type="spellStart"/>
      <w:r w:rsidRPr="00E27595">
        <w:rPr>
          <w:color w:val="auto"/>
          <w:kern w:val="0"/>
          <w:sz w:val="22"/>
          <w:szCs w:val="22"/>
        </w:rPr>
        <w:t>Fluzone</w:t>
      </w:r>
      <w:proofErr w:type="spellEnd"/>
      <w:r w:rsidRPr="00E27595">
        <w:rPr>
          <w:color w:val="auto"/>
          <w:kern w:val="0"/>
          <w:sz w:val="22"/>
          <w:szCs w:val="22"/>
        </w:rPr>
        <w:t xml:space="preserve"> HD for members &lt;65 years of age. All of the vaccines listed above that MassHealth pays for are listed on the CDC’s U.S. Influenza Vaccine Products for the 2020-21 Season</w:t>
      </w:r>
      <w:r w:rsidRPr="00E27595">
        <w:rPr>
          <w:color w:val="auto"/>
          <w:spacing w:val="-6"/>
          <w:kern w:val="0"/>
          <w:sz w:val="22"/>
          <w:szCs w:val="22"/>
        </w:rPr>
        <w:t xml:space="preserve"> </w:t>
      </w:r>
      <w:r w:rsidRPr="00E27595">
        <w:rPr>
          <w:color w:val="auto"/>
          <w:kern w:val="0"/>
          <w:sz w:val="22"/>
          <w:szCs w:val="22"/>
        </w:rPr>
        <w:t>list.</w:t>
      </w:r>
    </w:p>
    <w:p w14:paraId="45B88943" w14:textId="77777777" w:rsidR="00E27595" w:rsidRPr="00E27595" w:rsidRDefault="00E27595" w:rsidP="000A445A">
      <w:pPr>
        <w:widowControl w:val="0"/>
        <w:autoSpaceDE w:val="0"/>
        <w:autoSpaceDN w:val="0"/>
        <w:rPr>
          <w:color w:val="auto"/>
          <w:kern w:val="0"/>
          <w:sz w:val="22"/>
          <w:szCs w:val="22"/>
        </w:rPr>
      </w:pPr>
    </w:p>
    <w:p w14:paraId="08315350" w14:textId="44CA4BFD" w:rsidR="00E27595" w:rsidRPr="00E27595" w:rsidRDefault="00E27595" w:rsidP="000A445A">
      <w:pPr>
        <w:widowControl w:val="0"/>
        <w:autoSpaceDE w:val="0"/>
        <w:autoSpaceDN w:val="0"/>
        <w:ind w:right="81"/>
        <w:rPr>
          <w:color w:val="auto"/>
          <w:kern w:val="0"/>
          <w:sz w:val="22"/>
          <w:szCs w:val="22"/>
        </w:rPr>
      </w:pPr>
      <w:r w:rsidRPr="00E27595">
        <w:rPr>
          <w:color w:val="auto"/>
          <w:kern w:val="0"/>
          <w:sz w:val="22"/>
          <w:szCs w:val="22"/>
        </w:rPr>
        <w:t>For more information about serums, toxoids, and vaccines, you can visit the MassHealth website (</w:t>
      </w:r>
      <w:r w:rsidRPr="00E27595">
        <w:rPr>
          <w:color w:val="0000FF"/>
          <w:kern w:val="0"/>
          <w:sz w:val="22"/>
          <w:szCs w:val="22"/>
          <w:u w:val="single" w:color="0000FF"/>
        </w:rPr>
        <w:t>https://masshealthdruglist.ehs.state.ma.us/MHDL/pubtheradetail.do?id=32</w:t>
      </w:r>
      <w:r w:rsidRPr="00E27595">
        <w:rPr>
          <w:color w:val="auto"/>
          <w:kern w:val="0"/>
          <w:sz w:val="22"/>
          <w:szCs w:val="22"/>
        </w:rPr>
        <w:t>).</w:t>
      </w:r>
    </w:p>
    <w:bookmarkEnd w:id="2"/>
    <w:p w14:paraId="27474A05" w14:textId="0A19AF57" w:rsidR="00E27595" w:rsidRDefault="00E27595" w:rsidP="000A445A">
      <w:pPr>
        <w:pStyle w:val="Subtitle"/>
        <w:spacing w:before="0" w:after="0" w:line="240" w:lineRule="auto"/>
        <w:ind w:right="83"/>
        <w:rPr>
          <w:rFonts w:ascii="Times New Roman" w:hAnsi="Times New Roman" w:cs="Times New Roman"/>
          <w:bCs/>
          <w:color w:val="auto"/>
        </w:rPr>
      </w:pPr>
    </w:p>
    <w:p w14:paraId="1EB1D7E6" w14:textId="77777777" w:rsidR="00BD1C27" w:rsidRPr="00BD1C27" w:rsidRDefault="00BD1C27" w:rsidP="000A445A">
      <w:pPr>
        <w:pStyle w:val="Heading2"/>
        <w:framePr w:wrap="around"/>
        <w:spacing w:before="0"/>
      </w:pPr>
      <w:r w:rsidRPr="00BD1C27">
        <w:t>CAR-T Monitoring Program</w:t>
      </w:r>
    </w:p>
    <w:p w14:paraId="25984B6A" w14:textId="77777777" w:rsidR="00AD5F13" w:rsidRDefault="00AD5F13" w:rsidP="000A445A">
      <w:pPr>
        <w:pStyle w:val="Subtitle"/>
        <w:spacing w:before="0" w:after="0" w:line="240" w:lineRule="auto"/>
        <w:ind w:right="83"/>
        <w:rPr>
          <w:rFonts w:ascii="Times New Roman" w:hAnsi="Times New Roman" w:cs="Times New Roman"/>
          <w:color w:val="auto"/>
          <w:kern w:val="0"/>
        </w:rPr>
      </w:pPr>
    </w:p>
    <w:p w14:paraId="1EF49312" w14:textId="77777777" w:rsidR="00AD5F13" w:rsidRDefault="00AD5F13" w:rsidP="000A445A">
      <w:pPr>
        <w:pStyle w:val="Subtitle"/>
        <w:spacing w:before="0" w:after="0" w:line="240" w:lineRule="auto"/>
        <w:ind w:right="83"/>
        <w:rPr>
          <w:rFonts w:ascii="Times New Roman" w:hAnsi="Times New Roman" w:cs="Times New Roman"/>
          <w:color w:val="auto"/>
          <w:kern w:val="0"/>
        </w:rPr>
      </w:pPr>
    </w:p>
    <w:p w14:paraId="27F47D38" w14:textId="615759B9" w:rsidR="00A20996" w:rsidRDefault="00253F14" w:rsidP="000A445A">
      <w:pPr>
        <w:pStyle w:val="Subtitle"/>
        <w:spacing w:before="0" w:after="0" w:line="240" w:lineRule="auto"/>
        <w:ind w:right="83"/>
        <w:rPr>
          <w:rFonts w:ascii="Times New Roman" w:hAnsi="Times New Roman" w:cs="Times New Roman"/>
        </w:rPr>
        <w:sectPr w:rsidR="00A20996" w:rsidSect="001B2DED">
          <w:type w:val="continuous"/>
          <w:pgSz w:w="12240" w:h="15840" w:code="1"/>
          <w:pgMar w:top="765" w:right="720" w:bottom="135" w:left="907" w:header="187" w:footer="540" w:gutter="0"/>
          <w:cols w:num="2" w:space="720"/>
          <w:docGrid w:linePitch="360"/>
        </w:sectPr>
      </w:pPr>
      <w:r w:rsidRPr="00253F14">
        <w:rPr>
          <w:rFonts w:ascii="Times New Roman" w:hAnsi="Times New Roman" w:cs="Times New Roman"/>
          <w:color w:val="auto"/>
          <w:kern w:val="0"/>
        </w:rPr>
        <w:t xml:space="preserve">Over the past few years, chimeric antigen receptor T-cell (CAR-T) immunotherapies have come to market and provided new therapeutic interventions to manage select refractory and </w:t>
      </w:r>
      <w:r w:rsidRPr="00A20996">
        <w:rPr>
          <w:rFonts w:ascii="Times New Roman" w:hAnsi="Times New Roman" w:cs="Times New Roman"/>
        </w:rPr>
        <w:t>difficult-to-treat cancers. There is a multi-step process before CAR-T cell immunotherapies can be administered. Initially, the patient’s blood must be extracted so that autologous T cells can be isolated and reprogrammed with the CAR. Once this</w:t>
      </w:r>
      <w:r w:rsidR="00A20996">
        <w:rPr>
          <w:rFonts w:ascii="Times New Roman" w:hAnsi="Times New Roman" w:cs="Times New Roman"/>
        </w:rPr>
        <w:t xml:space="preserve"> </w:t>
      </w:r>
      <w:r w:rsidR="00A20996" w:rsidRPr="00A20996">
        <w:rPr>
          <w:rFonts w:ascii="Times New Roman" w:hAnsi="Times New Roman" w:cs="Times New Roman"/>
        </w:rPr>
        <w:t>step is completed, the reprogrammed T cells are exponentially multiplied before being reinfused into the patient. The most</w:t>
      </w:r>
      <w:r w:rsidR="00A20996">
        <w:rPr>
          <w:rFonts w:ascii="Times New Roman" w:hAnsi="Times New Roman" w:cs="Times New Roman"/>
        </w:rPr>
        <w:t xml:space="preserve"> significant adverse</w:t>
      </w:r>
      <w:bookmarkEnd w:id="1"/>
      <w:r w:rsidR="000C7CA4">
        <w:rPr>
          <w:rFonts w:ascii="Times New Roman" w:hAnsi="Times New Roman" w:cs="Times New Roman"/>
        </w:rPr>
        <w:t xml:space="preserve"> effects</w:t>
      </w:r>
    </w:p>
    <w:p w14:paraId="48BE68F6" w14:textId="6F1A0079" w:rsidR="00A20996" w:rsidRDefault="00A20996" w:rsidP="00D90D40">
      <w:pPr>
        <w:pStyle w:val="BodyText"/>
        <w:ind w:left="119" w:right="40"/>
        <w:rPr>
          <w:sz w:val="22"/>
          <w:szCs w:val="22"/>
        </w:rPr>
      </w:pPr>
      <w:bookmarkStart w:id="3" w:name="_Hlk63160579"/>
      <w:r w:rsidRPr="004B3085">
        <w:rPr>
          <w:sz w:val="22"/>
          <w:szCs w:val="22"/>
        </w:rPr>
        <w:lastRenderedPageBreak/>
        <w:t>seen with CAR-T immunotherapies include cytokine release syndrome (CRS) and neurological toxicities.</w:t>
      </w:r>
      <w:r w:rsidR="007740F3">
        <w:rPr>
          <w:sz w:val="22"/>
          <w:szCs w:val="22"/>
        </w:rPr>
        <w:t xml:space="preserve"> </w:t>
      </w:r>
      <w:proofErr w:type="spellStart"/>
      <w:r w:rsidR="00AF4210" w:rsidRPr="004B3085">
        <w:rPr>
          <w:sz w:val="22"/>
          <w:szCs w:val="22"/>
        </w:rPr>
        <w:t>Kymriah</w:t>
      </w:r>
      <w:proofErr w:type="spellEnd"/>
      <w:r w:rsidR="00AF4210" w:rsidRPr="004B3085">
        <w:rPr>
          <w:sz w:val="22"/>
          <w:szCs w:val="22"/>
        </w:rPr>
        <w:t xml:space="preserve"> (</w:t>
      </w:r>
      <w:proofErr w:type="spellStart"/>
      <w:r w:rsidR="00AF4210" w:rsidRPr="004B3085">
        <w:rPr>
          <w:sz w:val="22"/>
          <w:szCs w:val="22"/>
        </w:rPr>
        <w:t>tisagenlecleucel</w:t>
      </w:r>
      <w:proofErr w:type="spellEnd"/>
      <w:r w:rsidR="00AF4210" w:rsidRPr="004B3085">
        <w:rPr>
          <w:sz w:val="22"/>
          <w:szCs w:val="22"/>
        </w:rPr>
        <w:t xml:space="preserve">), </w:t>
      </w:r>
      <w:proofErr w:type="spellStart"/>
      <w:r w:rsidR="00A32F58" w:rsidRPr="004B3085">
        <w:rPr>
          <w:sz w:val="22"/>
          <w:szCs w:val="22"/>
        </w:rPr>
        <w:t>Tecartus</w:t>
      </w:r>
      <w:proofErr w:type="spellEnd"/>
      <w:r w:rsidR="00A32F58" w:rsidRPr="004B3085">
        <w:rPr>
          <w:sz w:val="22"/>
          <w:szCs w:val="22"/>
        </w:rPr>
        <w:t xml:space="preserve"> </w:t>
      </w:r>
      <w:r w:rsidR="00A32F58">
        <w:rPr>
          <w:sz w:val="22"/>
          <w:szCs w:val="22"/>
        </w:rPr>
        <w:t xml:space="preserve"> </w:t>
      </w:r>
      <w:r w:rsidR="00A32F58" w:rsidRPr="004B3085">
        <w:rPr>
          <w:sz w:val="22"/>
          <w:szCs w:val="22"/>
        </w:rPr>
        <w:t>(</w:t>
      </w:r>
      <w:proofErr w:type="spellStart"/>
      <w:r w:rsidR="00A32F58" w:rsidRPr="004B3085">
        <w:rPr>
          <w:sz w:val="22"/>
          <w:szCs w:val="22"/>
        </w:rPr>
        <w:t>brexucabtagene</w:t>
      </w:r>
      <w:proofErr w:type="spellEnd"/>
      <w:r w:rsidR="00A32F58" w:rsidRPr="004B3085">
        <w:rPr>
          <w:sz w:val="22"/>
          <w:szCs w:val="22"/>
        </w:rPr>
        <w:t xml:space="preserve"> </w:t>
      </w:r>
      <w:proofErr w:type="spellStart"/>
      <w:r w:rsidR="00A32F58" w:rsidRPr="004B3085">
        <w:rPr>
          <w:sz w:val="22"/>
          <w:szCs w:val="22"/>
        </w:rPr>
        <w:t>autoleucel</w:t>
      </w:r>
      <w:proofErr w:type="spellEnd"/>
      <w:r w:rsidR="00A32F58" w:rsidRPr="004B3085">
        <w:rPr>
          <w:sz w:val="22"/>
          <w:szCs w:val="22"/>
        </w:rPr>
        <w:t>)</w:t>
      </w:r>
      <w:r w:rsidR="00A32F58">
        <w:rPr>
          <w:sz w:val="22"/>
          <w:szCs w:val="22"/>
        </w:rPr>
        <w:t xml:space="preserve">, and </w:t>
      </w:r>
      <w:proofErr w:type="spellStart"/>
      <w:r w:rsidR="00AF4210" w:rsidRPr="004B3085">
        <w:rPr>
          <w:sz w:val="22"/>
          <w:szCs w:val="22"/>
        </w:rPr>
        <w:t>Yescarta</w:t>
      </w:r>
      <w:proofErr w:type="spellEnd"/>
      <w:r w:rsidR="00AF4210" w:rsidRPr="004B3085">
        <w:rPr>
          <w:sz w:val="22"/>
          <w:szCs w:val="22"/>
        </w:rPr>
        <w:t xml:space="preserve"> (</w:t>
      </w:r>
      <w:proofErr w:type="spellStart"/>
      <w:r w:rsidR="00AF4210" w:rsidRPr="004B3085">
        <w:rPr>
          <w:sz w:val="22"/>
          <w:szCs w:val="22"/>
        </w:rPr>
        <w:t>axicabtagene</w:t>
      </w:r>
      <w:proofErr w:type="spellEnd"/>
      <w:r w:rsidR="00AF4210" w:rsidRPr="004B3085">
        <w:rPr>
          <w:sz w:val="22"/>
          <w:szCs w:val="22"/>
        </w:rPr>
        <w:t xml:space="preserve"> </w:t>
      </w:r>
      <w:proofErr w:type="spellStart"/>
      <w:r w:rsidR="00AF4210" w:rsidRPr="004B3085">
        <w:rPr>
          <w:sz w:val="22"/>
          <w:szCs w:val="22"/>
        </w:rPr>
        <w:t>ciloleucel</w:t>
      </w:r>
      <w:proofErr w:type="spellEnd"/>
      <w:r w:rsidR="00AF4210" w:rsidRPr="004B3085">
        <w:rPr>
          <w:sz w:val="22"/>
          <w:szCs w:val="22"/>
        </w:rPr>
        <w:t xml:space="preserve">) are listed </w:t>
      </w:r>
      <w:r w:rsidRPr="004B3085">
        <w:rPr>
          <w:sz w:val="22"/>
          <w:szCs w:val="22"/>
        </w:rPr>
        <w:t>on the Acute Hospital Carve-Out Drugs List and they are available only through a health care professional who  administers these drugs. MassHealth does not pay for these drugs to be dispensed through a retail pharmacy.</w:t>
      </w:r>
    </w:p>
    <w:p w14:paraId="41953838" w14:textId="77777777" w:rsidR="007740F3" w:rsidRPr="004B3085" w:rsidRDefault="007740F3" w:rsidP="00D90D40">
      <w:pPr>
        <w:pStyle w:val="BodyText"/>
        <w:ind w:left="119" w:right="40"/>
        <w:rPr>
          <w:sz w:val="22"/>
          <w:szCs w:val="22"/>
        </w:rPr>
      </w:pPr>
    </w:p>
    <w:p w14:paraId="7402D442" w14:textId="77777777" w:rsidR="00A20996" w:rsidRPr="004B3085" w:rsidRDefault="00A20996" w:rsidP="00D90D40">
      <w:pPr>
        <w:pStyle w:val="BodyText"/>
        <w:ind w:left="119" w:right="38"/>
        <w:rPr>
          <w:sz w:val="22"/>
          <w:szCs w:val="22"/>
        </w:rPr>
      </w:pPr>
      <w:r w:rsidRPr="004B3085">
        <w:rPr>
          <w:sz w:val="22"/>
          <w:szCs w:val="22"/>
        </w:rPr>
        <w:t>MassHealth Drug Utilization Review has a CAR-T Monitoring Program that was initially set in place to monitor and understand the real-world treatment outcomes for MassHealth members. After the initial review and approval of a CAR-T agent, there are additional monitoring and billing requirements. Approximately 30 days after the infusion date and at ongoing intervals, follow-up occurs to verify the clinical effectiveness and sustained response to the agent. For long-term monitoring of CAR-T therapies (one year after the actual infusion date and annually thereafter), MassHealth will request medical records from the treatment hospital and follow up with providers to evaluate</w:t>
      </w:r>
      <w:r w:rsidRPr="004B3085">
        <w:rPr>
          <w:spacing w:val="-6"/>
          <w:sz w:val="22"/>
          <w:szCs w:val="22"/>
        </w:rPr>
        <w:t xml:space="preserve"> </w:t>
      </w:r>
      <w:r w:rsidRPr="004B3085">
        <w:rPr>
          <w:sz w:val="22"/>
          <w:szCs w:val="22"/>
        </w:rPr>
        <w:t>outcomes.</w:t>
      </w:r>
    </w:p>
    <w:p w14:paraId="2B95E928" w14:textId="77777777" w:rsidR="00A20996" w:rsidRPr="004B3085" w:rsidRDefault="00A20996" w:rsidP="00D90D40">
      <w:pPr>
        <w:pStyle w:val="BodyText"/>
        <w:rPr>
          <w:sz w:val="22"/>
          <w:szCs w:val="22"/>
        </w:rPr>
      </w:pPr>
    </w:p>
    <w:p w14:paraId="63DB6C4C" w14:textId="4AC72BFB" w:rsidR="00A20996" w:rsidRPr="004B3085" w:rsidRDefault="00A20996" w:rsidP="00D90D40">
      <w:pPr>
        <w:pStyle w:val="BodyText"/>
        <w:ind w:left="119" w:right="133"/>
        <w:rPr>
          <w:sz w:val="22"/>
          <w:szCs w:val="22"/>
        </w:rPr>
      </w:pPr>
      <w:r w:rsidRPr="004B3085">
        <w:rPr>
          <w:sz w:val="22"/>
          <w:szCs w:val="22"/>
        </w:rPr>
        <w:t xml:space="preserve">The CAR-T Monitoring Program tracks all approved requests for </w:t>
      </w:r>
      <w:proofErr w:type="spellStart"/>
      <w:r w:rsidR="00A32F58" w:rsidRPr="004B3085">
        <w:rPr>
          <w:sz w:val="22"/>
          <w:szCs w:val="22"/>
        </w:rPr>
        <w:t>Kymriah</w:t>
      </w:r>
      <w:proofErr w:type="spellEnd"/>
      <w:r w:rsidR="00A32F58" w:rsidRPr="004B3085">
        <w:rPr>
          <w:sz w:val="22"/>
          <w:szCs w:val="22"/>
        </w:rPr>
        <w:t xml:space="preserve"> (</w:t>
      </w:r>
      <w:proofErr w:type="spellStart"/>
      <w:r w:rsidR="00A32F58" w:rsidRPr="004B3085">
        <w:rPr>
          <w:sz w:val="22"/>
          <w:szCs w:val="22"/>
        </w:rPr>
        <w:t>tisagenlecleucel</w:t>
      </w:r>
      <w:proofErr w:type="spellEnd"/>
      <w:r w:rsidR="00A32F58" w:rsidRPr="004B3085">
        <w:rPr>
          <w:sz w:val="22"/>
          <w:szCs w:val="22"/>
        </w:rPr>
        <w:t xml:space="preserve">), </w:t>
      </w:r>
      <w:proofErr w:type="spellStart"/>
      <w:r w:rsidR="00A32F58" w:rsidRPr="004B3085">
        <w:rPr>
          <w:sz w:val="22"/>
          <w:szCs w:val="22"/>
        </w:rPr>
        <w:t>Tecartus</w:t>
      </w:r>
      <w:proofErr w:type="spellEnd"/>
      <w:r w:rsidR="00A32F58" w:rsidRPr="004B3085">
        <w:rPr>
          <w:sz w:val="22"/>
          <w:szCs w:val="22"/>
        </w:rPr>
        <w:t xml:space="preserve"> </w:t>
      </w:r>
      <w:r w:rsidR="00A32F58">
        <w:rPr>
          <w:sz w:val="22"/>
          <w:szCs w:val="22"/>
        </w:rPr>
        <w:t xml:space="preserve"> </w:t>
      </w:r>
      <w:r w:rsidR="00A32F58" w:rsidRPr="004B3085">
        <w:rPr>
          <w:sz w:val="22"/>
          <w:szCs w:val="22"/>
        </w:rPr>
        <w:t>(</w:t>
      </w:r>
      <w:proofErr w:type="spellStart"/>
      <w:r w:rsidR="00A32F58" w:rsidRPr="004B3085">
        <w:rPr>
          <w:sz w:val="22"/>
          <w:szCs w:val="22"/>
        </w:rPr>
        <w:t>brexucabtagene</w:t>
      </w:r>
      <w:proofErr w:type="spellEnd"/>
      <w:r w:rsidR="00A32F58" w:rsidRPr="004B3085">
        <w:rPr>
          <w:sz w:val="22"/>
          <w:szCs w:val="22"/>
        </w:rPr>
        <w:t xml:space="preserve"> </w:t>
      </w:r>
      <w:proofErr w:type="spellStart"/>
      <w:r w:rsidR="00A32F58" w:rsidRPr="004B3085">
        <w:rPr>
          <w:sz w:val="22"/>
          <w:szCs w:val="22"/>
        </w:rPr>
        <w:t>autoleucel</w:t>
      </w:r>
      <w:proofErr w:type="spellEnd"/>
      <w:r w:rsidR="00A32F58" w:rsidRPr="004B3085">
        <w:rPr>
          <w:sz w:val="22"/>
          <w:szCs w:val="22"/>
        </w:rPr>
        <w:t>)</w:t>
      </w:r>
      <w:r w:rsidR="00A32F58">
        <w:rPr>
          <w:sz w:val="22"/>
          <w:szCs w:val="22"/>
        </w:rPr>
        <w:t xml:space="preserve">, and </w:t>
      </w:r>
      <w:proofErr w:type="spellStart"/>
      <w:r w:rsidR="00A32F58" w:rsidRPr="004B3085">
        <w:rPr>
          <w:sz w:val="22"/>
          <w:szCs w:val="22"/>
        </w:rPr>
        <w:t>Yescarta</w:t>
      </w:r>
      <w:proofErr w:type="spellEnd"/>
      <w:r w:rsidR="00A32F58" w:rsidRPr="004B3085">
        <w:rPr>
          <w:sz w:val="22"/>
          <w:szCs w:val="22"/>
        </w:rPr>
        <w:t xml:space="preserve"> (</w:t>
      </w:r>
      <w:proofErr w:type="spellStart"/>
      <w:r w:rsidR="00A32F58" w:rsidRPr="004B3085">
        <w:rPr>
          <w:sz w:val="22"/>
          <w:szCs w:val="22"/>
        </w:rPr>
        <w:t>axicabtagene</w:t>
      </w:r>
      <w:proofErr w:type="spellEnd"/>
      <w:r w:rsidR="00A32F58" w:rsidRPr="004B3085">
        <w:rPr>
          <w:sz w:val="22"/>
          <w:szCs w:val="22"/>
        </w:rPr>
        <w:t xml:space="preserve"> </w:t>
      </w:r>
      <w:proofErr w:type="spellStart"/>
      <w:r w:rsidR="00A32F58" w:rsidRPr="004B3085">
        <w:rPr>
          <w:sz w:val="22"/>
          <w:szCs w:val="22"/>
        </w:rPr>
        <w:t>ciloleucel</w:t>
      </w:r>
      <w:proofErr w:type="spellEnd"/>
      <w:r w:rsidR="00A32F58" w:rsidRPr="004B3085">
        <w:rPr>
          <w:sz w:val="22"/>
          <w:szCs w:val="22"/>
        </w:rPr>
        <w:t>)</w:t>
      </w:r>
      <w:r w:rsidRPr="004B3085">
        <w:rPr>
          <w:sz w:val="22"/>
          <w:szCs w:val="22"/>
        </w:rPr>
        <w:t>. The indications for these products are summarized as follows.</w:t>
      </w:r>
    </w:p>
    <w:p w14:paraId="18D4F790" w14:textId="461E0241" w:rsidR="00A0679F" w:rsidRPr="004B3085" w:rsidRDefault="00A20996" w:rsidP="00D90D40">
      <w:pPr>
        <w:pStyle w:val="ListParagraph"/>
        <w:widowControl w:val="0"/>
        <w:numPr>
          <w:ilvl w:val="1"/>
          <w:numId w:val="4"/>
        </w:numPr>
        <w:tabs>
          <w:tab w:val="left" w:pos="360"/>
        </w:tabs>
        <w:autoSpaceDE w:val="0"/>
        <w:autoSpaceDN w:val="0"/>
        <w:ind w:left="360" w:right="95" w:hanging="270"/>
        <w:contextualSpacing w:val="0"/>
        <w:rPr>
          <w:sz w:val="22"/>
          <w:szCs w:val="22"/>
        </w:rPr>
      </w:pPr>
      <w:proofErr w:type="spellStart"/>
      <w:r w:rsidRPr="004B3085">
        <w:rPr>
          <w:sz w:val="22"/>
          <w:szCs w:val="22"/>
        </w:rPr>
        <w:t>Kymriah</w:t>
      </w:r>
      <w:proofErr w:type="spellEnd"/>
      <w:r w:rsidRPr="004B3085">
        <w:rPr>
          <w:sz w:val="22"/>
          <w:szCs w:val="22"/>
        </w:rPr>
        <w:t xml:space="preserve"> (</w:t>
      </w:r>
      <w:proofErr w:type="spellStart"/>
      <w:r w:rsidRPr="004B3085">
        <w:rPr>
          <w:sz w:val="22"/>
          <w:szCs w:val="22"/>
        </w:rPr>
        <w:t>tisagenlecleucel</w:t>
      </w:r>
      <w:proofErr w:type="spellEnd"/>
      <w:r w:rsidRPr="004B3085">
        <w:rPr>
          <w:sz w:val="22"/>
          <w:szCs w:val="22"/>
        </w:rPr>
        <w:t xml:space="preserve">) is indicated in the treatment of patients ≤25 years of age with B-cell precursor acute lymphoblastic leukemia that is refractory or in second or later relapse, and for the treatment of adult patients with relapsed or refractory large B-cell lymphoma after two or more lines of systemic therapy, including diffuse large B-cell lymphoma (DLBCL) not otherwise </w:t>
      </w:r>
      <w:r w:rsidRPr="004B3085">
        <w:rPr>
          <w:sz w:val="22"/>
          <w:szCs w:val="22"/>
        </w:rPr>
        <w:t>specified (NOS), high grade B-cell lymphoma, and DLBCL arising from follicular lymphoma</w:t>
      </w:r>
      <w:r w:rsidRPr="004B3085">
        <w:rPr>
          <w:spacing w:val="-7"/>
          <w:sz w:val="22"/>
          <w:szCs w:val="22"/>
        </w:rPr>
        <w:t xml:space="preserve"> </w:t>
      </w:r>
    </w:p>
    <w:p w14:paraId="73D67F97" w14:textId="6EFC3354" w:rsidR="00A20996" w:rsidRPr="004B3085" w:rsidRDefault="00761211" w:rsidP="00D90D40">
      <w:pPr>
        <w:pStyle w:val="ListParagraph"/>
        <w:widowControl w:val="0"/>
        <w:autoSpaceDE w:val="0"/>
        <w:autoSpaceDN w:val="0"/>
        <w:ind w:left="360" w:right="95" w:hanging="749"/>
        <w:contextualSpacing w:val="0"/>
        <w:rPr>
          <w:sz w:val="22"/>
          <w:szCs w:val="22"/>
        </w:rPr>
      </w:pPr>
      <w:r>
        <w:rPr>
          <w:sz w:val="22"/>
          <w:szCs w:val="22"/>
        </w:rPr>
        <w:tab/>
      </w:r>
      <w:r w:rsidR="00A20996" w:rsidRPr="004B3085">
        <w:rPr>
          <w:sz w:val="22"/>
          <w:szCs w:val="22"/>
        </w:rPr>
        <w:t>(FL).</w:t>
      </w:r>
    </w:p>
    <w:p w14:paraId="20443DD9" w14:textId="77777777" w:rsidR="00AF4210" w:rsidRDefault="00AF4210" w:rsidP="00AF4210">
      <w:pPr>
        <w:pStyle w:val="ListParagraph"/>
        <w:widowControl w:val="0"/>
        <w:numPr>
          <w:ilvl w:val="1"/>
          <w:numId w:val="4"/>
        </w:numPr>
        <w:autoSpaceDE w:val="0"/>
        <w:autoSpaceDN w:val="0"/>
        <w:ind w:left="360" w:right="362"/>
        <w:contextualSpacing w:val="0"/>
        <w:rPr>
          <w:sz w:val="22"/>
          <w:szCs w:val="22"/>
        </w:rPr>
      </w:pPr>
      <w:proofErr w:type="spellStart"/>
      <w:r w:rsidRPr="004B3085">
        <w:rPr>
          <w:sz w:val="22"/>
          <w:szCs w:val="22"/>
        </w:rPr>
        <w:t>Tecartus</w:t>
      </w:r>
      <w:proofErr w:type="spellEnd"/>
      <w:r w:rsidRPr="004B3085">
        <w:rPr>
          <w:sz w:val="22"/>
          <w:szCs w:val="22"/>
        </w:rPr>
        <w:t xml:space="preserve"> (</w:t>
      </w:r>
      <w:proofErr w:type="spellStart"/>
      <w:r w:rsidRPr="004B3085">
        <w:rPr>
          <w:sz w:val="22"/>
          <w:szCs w:val="22"/>
        </w:rPr>
        <w:t>brexucabtagene</w:t>
      </w:r>
      <w:proofErr w:type="spellEnd"/>
      <w:r w:rsidRPr="004B3085">
        <w:rPr>
          <w:spacing w:val="-37"/>
          <w:sz w:val="22"/>
          <w:szCs w:val="22"/>
        </w:rPr>
        <w:t xml:space="preserve"> </w:t>
      </w:r>
      <w:proofErr w:type="spellStart"/>
      <w:r w:rsidRPr="004B3085">
        <w:rPr>
          <w:sz w:val="22"/>
          <w:szCs w:val="22"/>
        </w:rPr>
        <w:t>autoleucel</w:t>
      </w:r>
      <w:proofErr w:type="spellEnd"/>
      <w:r w:rsidRPr="004B3085">
        <w:rPr>
          <w:sz w:val="22"/>
          <w:szCs w:val="22"/>
        </w:rPr>
        <w:t>) is indicated in the treatment of adult patients with relapsed or refractory mantle cell lymphoma</w:t>
      </w:r>
      <w:r w:rsidRPr="004B3085">
        <w:rPr>
          <w:spacing w:val="-5"/>
          <w:sz w:val="22"/>
          <w:szCs w:val="22"/>
        </w:rPr>
        <w:t xml:space="preserve"> </w:t>
      </w:r>
      <w:r w:rsidRPr="004B3085">
        <w:rPr>
          <w:sz w:val="22"/>
          <w:szCs w:val="22"/>
        </w:rPr>
        <w:t>(MCL).</w:t>
      </w:r>
    </w:p>
    <w:p w14:paraId="75057E14" w14:textId="77777777" w:rsidR="00AF4210" w:rsidRPr="004B3085" w:rsidRDefault="00AF4210" w:rsidP="00AF4210">
      <w:pPr>
        <w:pStyle w:val="ListParagraph"/>
        <w:widowControl w:val="0"/>
        <w:numPr>
          <w:ilvl w:val="1"/>
          <w:numId w:val="4"/>
        </w:numPr>
        <w:autoSpaceDE w:val="0"/>
        <w:autoSpaceDN w:val="0"/>
        <w:ind w:left="360" w:right="239"/>
        <w:contextualSpacing w:val="0"/>
        <w:rPr>
          <w:sz w:val="22"/>
          <w:szCs w:val="22"/>
        </w:rPr>
      </w:pPr>
      <w:proofErr w:type="spellStart"/>
      <w:r w:rsidRPr="004B3085">
        <w:rPr>
          <w:sz w:val="22"/>
          <w:szCs w:val="22"/>
        </w:rPr>
        <w:t>Yescarta</w:t>
      </w:r>
      <w:proofErr w:type="spellEnd"/>
      <w:r w:rsidRPr="004B3085">
        <w:rPr>
          <w:sz w:val="22"/>
          <w:szCs w:val="22"/>
        </w:rPr>
        <w:t xml:space="preserve"> (</w:t>
      </w:r>
      <w:proofErr w:type="spellStart"/>
      <w:r w:rsidRPr="004B3085">
        <w:rPr>
          <w:sz w:val="22"/>
          <w:szCs w:val="22"/>
        </w:rPr>
        <w:t>axicabtagene</w:t>
      </w:r>
      <w:proofErr w:type="spellEnd"/>
      <w:r w:rsidRPr="004B3085">
        <w:rPr>
          <w:sz w:val="22"/>
          <w:szCs w:val="22"/>
        </w:rPr>
        <w:t xml:space="preserve"> </w:t>
      </w:r>
      <w:proofErr w:type="spellStart"/>
      <w:r w:rsidRPr="004B3085">
        <w:rPr>
          <w:sz w:val="22"/>
          <w:szCs w:val="22"/>
        </w:rPr>
        <w:t>ciloleucel</w:t>
      </w:r>
      <w:proofErr w:type="spellEnd"/>
      <w:r w:rsidRPr="004B3085">
        <w:rPr>
          <w:sz w:val="22"/>
          <w:szCs w:val="22"/>
        </w:rPr>
        <w:t>) is indicated for the treatment of adult patients with relapsed or refractory large B-cell lymphoma after two or more lines of systemic therapy, including DLBCL NOS, primary mediastinal large B-cell lymphoma, high grade B-cell lymphoma, and DLBCL arising from FL.</w:t>
      </w:r>
    </w:p>
    <w:p w14:paraId="51E4876D" w14:textId="77777777" w:rsidR="00A0679F" w:rsidRPr="004B3085" w:rsidRDefault="00A0679F" w:rsidP="00D90D40">
      <w:pPr>
        <w:pStyle w:val="BodyText"/>
        <w:rPr>
          <w:sz w:val="22"/>
          <w:szCs w:val="22"/>
        </w:rPr>
      </w:pPr>
    </w:p>
    <w:p w14:paraId="07B661C2" w14:textId="1A741A92" w:rsidR="00A0679F" w:rsidRPr="006B2678" w:rsidRDefault="00A0679F" w:rsidP="006B2678">
      <w:pPr>
        <w:pStyle w:val="BodyText"/>
        <w:ind w:left="119" w:right="80"/>
        <w:rPr>
          <w:color w:val="0000FF"/>
          <w:sz w:val="22"/>
          <w:szCs w:val="22"/>
          <w:u w:val="single" w:color="0000FF"/>
        </w:rPr>
      </w:pPr>
      <w:r w:rsidRPr="004B3085">
        <w:rPr>
          <w:sz w:val="22"/>
          <w:szCs w:val="22"/>
        </w:rPr>
        <w:t xml:space="preserve">For more information about CAR-T immunotherapies, you can visit the MassHealth website at </w:t>
      </w:r>
      <w:r w:rsidRPr="004B3085">
        <w:rPr>
          <w:color w:val="0000FF"/>
          <w:sz w:val="22"/>
          <w:szCs w:val="22"/>
          <w:u w:val="single" w:color="0000FF"/>
        </w:rPr>
        <w:t>https://masshealthdruglist.ehs.state.ma.us/MHDL/pubtheradetail.do?id=353</w:t>
      </w:r>
      <w:r w:rsidRPr="004B3085">
        <w:rPr>
          <w:color w:val="0000FF"/>
          <w:sz w:val="22"/>
          <w:szCs w:val="22"/>
        </w:rPr>
        <w:t xml:space="preserve"> </w:t>
      </w:r>
      <w:r w:rsidRPr="004B3085">
        <w:rPr>
          <w:sz w:val="22"/>
          <w:szCs w:val="22"/>
        </w:rPr>
        <w:t xml:space="preserve">or </w:t>
      </w:r>
      <w:hyperlink r:id="rId13" w:history="1">
        <w:r w:rsidR="006B2678" w:rsidRPr="006B2678">
          <w:rPr>
            <w:rStyle w:val="Hyperlink"/>
            <w:sz w:val="22"/>
            <w:szCs w:val="22"/>
          </w:rPr>
          <w:t>https://masshealthdruglist.ehs.state.ma.us/MHDL/pubdownloadpdfcurrent.do?id=5670</w:t>
        </w:r>
      </w:hyperlink>
      <w:r w:rsidRPr="004B3085">
        <w:rPr>
          <w:sz w:val="22"/>
          <w:szCs w:val="22"/>
        </w:rPr>
        <w:t>.</w:t>
      </w:r>
    </w:p>
    <w:p w14:paraId="6F7EC255" w14:textId="77777777" w:rsidR="00A0679F" w:rsidRPr="004B3085" w:rsidRDefault="00A0679F" w:rsidP="00D90D40">
      <w:pPr>
        <w:pStyle w:val="ListParagraph"/>
        <w:tabs>
          <w:tab w:val="left" w:pos="839"/>
          <w:tab w:val="left" w:pos="840"/>
        </w:tabs>
        <w:ind w:left="240" w:right="239"/>
        <w:rPr>
          <w:sz w:val="22"/>
          <w:szCs w:val="22"/>
        </w:rPr>
      </w:pPr>
    </w:p>
    <w:p w14:paraId="52EA1D4E" w14:textId="77777777" w:rsidR="00A0679F" w:rsidRDefault="00A0679F" w:rsidP="00D90D40">
      <w:pPr>
        <w:pStyle w:val="Heading2"/>
        <w:framePr w:hSpace="0" w:wrap="auto" w:vAnchor="margin" w:yAlign="inline"/>
        <w:spacing w:before="0"/>
      </w:pPr>
      <w:r w:rsidRPr="00A0679F">
        <w:t>Days’ Supply Limitations for Drugs Used for Family Planning</w:t>
      </w:r>
    </w:p>
    <w:p w14:paraId="77A1FD32" w14:textId="77777777" w:rsidR="00A0679F" w:rsidRPr="004B3085" w:rsidRDefault="00A0679F" w:rsidP="00D90D40">
      <w:pPr>
        <w:pStyle w:val="Default"/>
        <w:rPr>
          <w:sz w:val="22"/>
          <w:szCs w:val="22"/>
        </w:rPr>
      </w:pPr>
    </w:p>
    <w:p w14:paraId="1C7B5AB5" w14:textId="77777777" w:rsidR="00A0679F" w:rsidRPr="004B3085" w:rsidRDefault="00A0679F" w:rsidP="00D90D40">
      <w:pPr>
        <w:pStyle w:val="Default"/>
        <w:rPr>
          <w:rFonts w:ascii="Times New Roman" w:hAnsi="Times New Roman" w:cs="Times New Roman"/>
          <w:sz w:val="22"/>
          <w:szCs w:val="22"/>
        </w:rPr>
      </w:pPr>
      <w:r w:rsidRPr="004B3085">
        <w:rPr>
          <w:rFonts w:ascii="Times New Roman" w:hAnsi="Times New Roman" w:cs="Times New Roman"/>
          <w:sz w:val="22"/>
          <w:szCs w:val="22"/>
        </w:rPr>
        <w:t xml:space="preserve">Despite the requirements of 130 CMR 406.411(D)(1): </w:t>
      </w:r>
      <w:r w:rsidRPr="004B3085">
        <w:rPr>
          <w:rStyle w:val="SubtleEmphasis"/>
          <w:rFonts w:ascii="Times New Roman" w:hAnsi="Times New Roman" w:cs="Times New Roman"/>
          <w:sz w:val="22"/>
          <w:szCs w:val="22"/>
        </w:rPr>
        <w:t>Days’ Supply Limitation</w:t>
      </w:r>
      <w:r w:rsidRPr="004B3085">
        <w:rPr>
          <w:rFonts w:ascii="Times New Roman" w:hAnsi="Times New Roman" w:cs="Times New Roman"/>
          <w:sz w:val="22"/>
          <w:szCs w:val="22"/>
        </w:rPr>
        <w:t xml:space="preserve">, pharmacies may dispense up to a 365-day supply of drugs used for family planning if requested by a MassHealth member or that member’s prescriber as long as sufficient quantity remains on the prescription to support the quantity being filled. </w:t>
      </w:r>
    </w:p>
    <w:p w14:paraId="52470CB7" w14:textId="77777777" w:rsidR="00067062" w:rsidRDefault="00A0679F" w:rsidP="00D90D40">
      <w:pPr>
        <w:rPr>
          <w:sz w:val="22"/>
          <w:szCs w:val="22"/>
        </w:rPr>
      </w:pPr>
      <w:r w:rsidRPr="004B3085">
        <w:rPr>
          <w:sz w:val="22"/>
          <w:szCs w:val="22"/>
        </w:rPr>
        <w:t xml:space="preserve">MassHealth anticipates extending this requirement permanently consistent with the amendments to 130 CMR 406.000: </w:t>
      </w:r>
      <w:r w:rsidRPr="004B3085">
        <w:rPr>
          <w:rStyle w:val="SubtleEmphasis"/>
          <w:sz w:val="22"/>
          <w:szCs w:val="22"/>
        </w:rPr>
        <w:t>Pharmacy Services</w:t>
      </w:r>
      <w:r w:rsidRPr="004B3085">
        <w:rPr>
          <w:sz w:val="22"/>
          <w:szCs w:val="22"/>
        </w:rPr>
        <w:t xml:space="preserve"> proposed on November 29, 2019, and currently pending final promulgation</w:t>
      </w:r>
      <w:r w:rsidR="004B3085">
        <w:rPr>
          <w:sz w:val="22"/>
          <w:szCs w:val="22"/>
        </w:rPr>
        <w:t>.</w:t>
      </w:r>
    </w:p>
    <w:p w14:paraId="284351F7" w14:textId="1290A643" w:rsidR="00734DAA" w:rsidRDefault="00734DAA" w:rsidP="00755F23">
      <w:pPr>
        <w:rPr>
          <w:sz w:val="22"/>
          <w:szCs w:val="22"/>
        </w:rPr>
        <w:sectPr w:rsidR="00734DAA" w:rsidSect="00A0679F">
          <w:footerReference w:type="even" r:id="rId14"/>
          <w:pgSz w:w="12240" w:h="15840" w:code="1"/>
          <w:pgMar w:top="765" w:right="720" w:bottom="135" w:left="907" w:header="187" w:footer="540" w:gutter="0"/>
          <w:cols w:num="2" w:sep="1" w:space="720"/>
          <w:docGrid w:linePitch="360"/>
        </w:sectPr>
      </w:pPr>
    </w:p>
    <w:bookmarkEnd w:id="3"/>
    <w:p w14:paraId="57A93A4B" w14:textId="77777777" w:rsidR="005F666B" w:rsidRDefault="005F666B" w:rsidP="005F666B">
      <w:pPr>
        <w:rPr>
          <w:sz w:val="22"/>
          <w:szCs w:val="22"/>
        </w:rPr>
      </w:pPr>
    </w:p>
    <w:sectPr w:rsidR="005F666B" w:rsidSect="005F666B">
      <w:headerReference w:type="default" r:id="rId15"/>
      <w:type w:val="continuous"/>
      <w:pgSz w:w="12240" w:h="15840" w:code="1"/>
      <w:pgMar w:top="763" w:right="720" w:bottom="130" w:left="907" w:header="187" w:footer="547" w:gutter="0"/>
      <w:cols w:num="2" w:sep="1"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6347F5" w14:textId="77777777" w:rsidR="003863EB" w:rsidRDefault="003863EB">
      <w:r>
        <w:separator/>
      </w:r>
    </w:p>
  </w:endnote>
  <w:endnote w:type="continuationSeparator" w:id="0">
    <w:p w14:paraId="26E5A600" w14:textId="77777777" w:rsidR="003863EB" w:rsidRDefault="00386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9537F4" w14:textId="77777777" w:rsidR="002F4A95" w:rsidRDefault="001A4C38" w:rsidP="001A4C38">
    <w:pPr>
      <w:pStyle w:val="Footer"/>
      <w:jc w:val="center"/>
    </w:pPr>
    <w:r>
      <w:fldChar w:fldCharType="begin"/>
    </w:r>
    <w:r>
      <w:instrText xml:space="preserve"> PAGE   \* MERGEFORMAT </w:instrText>
    </w:r>
    <w:r>
      <w:fldChar w:fldCharType="separate"/>
    </w:r>
    <w:r w:rsidR="00A13579">
      <w:rPr>
        <w:noProof/>
      </w:rPr>
      <w:t>6</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077509" w14:textId="77777777" w:rsidR="002F4A95" w:rsidRDefault="002F4A95" w:rsidP="002F4A95">
    <w:pPr>
      <w:pStyle w:val="Footer"/>
      <w:jc w:val="center"/>
    </w:pPr>
    <w:r>
      <w:fldChar w:fldCharType="begin"/>
    </w:r>
    <w:r>
      <w:instrText xml:space="preserve"> PAGE   \* MERGEFORMAT </w:instrText>
    </w:r>
    <w:r>
      <w:fldChar w:fldCharType="separate"/>
    </w:r>
    <w:r w:rsidR="005F666B">
      <w:rPr>
        <w:noProof/>
      </w:rP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82CDCE" w14:textId="3808EDBD" w:rsidR="004C1DCE" w:rsidRDefault="004C1DCE" w:rsidP="001A4C38">
    <w:pPr>
      <w:pStyle w:val="Footer"/>
      <w:jc w:val="center"/>
    </w:pPr>
    <w:r w:rsidRPr="0004346A">
      <w:t xml:space="preserve">The </w:t>
    </w:r>
    <w:r w:rsidRPr="0004346A">
      <w:rPr>
        <w:i/>
      </w:rPr>
      <w:t>Prescriber e-Letter</w:t>
    </w:r>
    <w:r w:rsidRPr="0004346A">
      <w:t xml:space="preserve"> is an update designed to enhance the transparency and efficiency of the MassHealth </w:t>
    </w:r>
    <w:r w:rsidRPr="0004346A">
      <w:br w:type="textWrapping" w:clear="all"/>
      <w:t xml:space="preserve">drug prior-authorization (PA) process and the MassHealth Drug List. Each issue </w:t>
    </w:r>
    <w:r w:rsidRPr="0004346A">
      <w:rPr>
        <w:b/>
      </w:rPr>
      <w:t>highlights</w:t>
    </w:r>
    <w:r w:rsidRPr="0004346A">
      <w:t xml:space="preserve"> key clinical </w:t>
    </w:r>
    <w:r w:rsidRPr="0004346A">
      <w:br/>
    </w:r>
    <w:r w:rsidRPr="0004346A">
      <w:rPr>
        <w:b/>
      </w:rPr>
      <w:t>information and updates</w:t>
    </w:r>
    <w:r w:rsidRPr="0004346A">
      <w:t xml:space="preserve"> to the </w:t>
    </w:r>
    <w:r w:rsidRPr="0004346A">
      <w:rPr>
        <w:b/>
      </w:rPr>
      <w:t>MassHealth Drug List</w:t>
    </w:r>
    <w:r w:rsidRPr="0004346A">
      <w:t>. The Prescriber E-Letter was prepared by the</w:t>
    </w:r>
    <w:r w:rsidRPr="0004346A">
      <w:br w:type="textWrapping" w:clear="all"/>
      <w:t>MassHealth Drug Utilization Review Program and the MassHealth Pharmacy Program</w:t>
    </w:r>
    <w:r w:rsidR="005F1E59">
      <w:t>.</w:t>
    </w:r>
    <w:r>
      <w:t xml:space="preserve"> </w:t>
    </w:r>
  </w:p>
  <w:p w14:paraId="66EC0FA2" w14:textId="216A426B" w:rsidR="004C1DCE" w:rsidRDefault="004C1DCE" w:rsidP="001A4C38">
    <w:pPr>
      <w:pStyle w:val="Footer"/>
      <w:jc w:val="center"/>
    </w:pPr>
    <w:r>
      <w:fldChar w:fldCharType="begin"/>
    </w:r>
    <w:r>
      <w:instrText xml:space="preserve"> PAGE   \* MERGEFORMAT </w:instrText>
    </w:r>
    <w:r>
      <w:fldChar w:fldCharType="separate"/>
    </w:r>
    <w:r w:rsidR="005F666B">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E36772" w14:textId="77777777" w:rsidR="003863EB" w:rsidRDefault="003863EB">
      <w:r>
        <w:separator/>
      </w:r>
    </w:p>
  </w:footnote>
  <w:footnote w:type="continuationSeparator" w:id="0">
    <w:p w14:paraId="6F485940" w14:textId="77777777" w:rsidR="003863EB" w:rsidRDefault="003863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9FE392" w14:textId="215078FA" w:rsidR="001A4C38" w:rsidRPr="0046520A" w:rsidRDefault="00BD1C27" w:rsidP="001B2DED">
    <w:pPr>
      <w:pStyle w:val="msoaccenttext7"/>
      <w:widowControl w:val="0"/>
      <w:pBdr>
        <w:bottom w:val="single" w:sz="8" w:space="1" w:color="auto"/>
      </w:pBdr>
      <w:ind w:right="173"/>
      <w:rPr>
        <w:rFonts w:ascii="Trebuchet MS" w:hAnsi="Trebuchet MS"/>
        <w:color w:val="auto"/>
        <w:sz w:val="18"/>
        <w:szCs w:val="18"/>
      </w:rPr>
    </w:pPr>
    <w:r>
      <w:rPr>
        <w:rFonts w:ascii="Trebuchet MS" w:hAnsi="Trebuchet MS"/>
        <w:b/>
        <w:sz w:val="18"/>
        <w:szCs w:val="18"/>
        <w:lang w:val="en"/>
      </w:rPr>
      <w:t>February</w:t>
    </w:r>
    <w:r w:rsidR="001A4C38" w:rsidRPr="00AA6F20">
      <w:rPr>
        <w:rFonts w:ascii="Trebuchet MS" w:hAnsi="Trebuchet MS"/>
        <w:b/>
        <w:sz w:val="18"/>
        <w:szCs w:val="18"/>
        <w:lang w:val="en"/>
      </w:rPr>
      <w:t xml:space="preserve"> 202</w:t>
    </w:r>
    <w:r w:rsidR="00A63EE0">
      <w:rPr>
        <w:rFonts w:ascii="Trebuchet MS" w:hAnsi="Trebuchet MS"/>
        <w:b/>
        <w:sz w:val="18"/>
        <w:szCs w:val="18"/>
        <w:lang w:val="en"/>
      </w:rPr>
      <w:t>1</w:t>
    </w:r>
    <w:r w:rsidR="001A4C38" w:rsidRPr="00AA6F20">
      <w:rPr>
        <w:rFonts w:ascii="Trebuchet MS" w:hAnsi="Trebuchet MS"/>
        <w:b/>
        <w:sz w:val="18"/>
        <w:szCs w:val="18"/>
        <w:lang w:val="en"/>
      </w:rPr>
      <w:t>, Volume 1</w:t>
    </w:r>
    <w:r w:rsidR="00A63EE0">
      <w:rPr>
        <w:rFonts w:ascii="Trebuchet MS" w:hAnsi="Trebuchet MS"/>
        <w:b/>
        <w:sz w:val="18"/>
        <w:szCs w:val="18"/>
        <w:lang w:val="en"/>
      </w:rPr>
      <w:t>1</w:t>
    </w:r>
    <w:r w:rsidR="001A4C38" w:rsidRPr="00AA6F20">
      <w:rPr>
        <w:rFonts w:ascii="Trebuchet MS" w:hAnsi="Trebuchet MS"/>
        <w:b/>
        <w:sz w:val="18"/>
        <w:szCs w:val="18"/>
        <w:lang w:val="en"/>
      </w:rPr>
      <w:t xml:space="preserve">, Issue </w:t>
    </w:r>
    <w:r>
      <w:rPr>
        <w:rFonts w:ascii="Trebuchet MS" w:hAnsi="Trebuchet MS"/>
        <w:b/>
        <w:sz w:val="18"/>
        <w:szCs w:val="18"/>
        <w:lang w:val="en"/>
      </w:rPr>
      <w:t>2</w:t>
    </w:r>
    <w:r w:rsidR="001A4C38" w:rsidRPr="00AA6F20">
      <w:rPr>
        <w:rFonts w:ascii="Trebuchet MS" w:hAnsi="Trebuchet MS"/>
        <w:b/>
        <w:sz w:val="18"/>
        <w:szCs w:val="18"/>
        <w:lang w:val="en"/>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3FF730" w14:textId="77777777" w:rsidR="00865AEA" w:rsidRPr="005D506B" w:rsidRDefault="00865AEA" w:rsidP="00865AEA">
    <w:pPr>
      <w:pStyle w:val="Header"/>
      <w:rPr>
        <w:b/>
      </w:rPr>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F0EB68" w14:textId="77777777" w:rsidR="00A63EE0" w:rsidRPr="0046520A" w:rsidRDefault="00A63EE0" w:rsidP="001B2DED">
    <w:pPr>
      <w:pStyle w:val="msoaccenttext7"/>
      <w:widowControl w:val="0"/>
      <w:pBdr>
        <w:bottom w:val="single" w:sz="8" w:space="1" w:color="auto"/>
      </w:pBdr>
      <w:ind w:right="173"/>
      <w:rPr>
        <w:rFonts w:ascii="Trebuchet MS" w:hAnsi="Trebuchet MS"/>
        <w:color w:val="auto"/>
        <w:sz w:val="18"/>
        <w:szCs w:val="18"/>
      </w:rPr>
    </w:pPr>
    <w:r>
      <w:rPr>
        <w:rFonts w:ascii="Trebuchet MS" w:hAnsi="Trebuchet MS"/>
        <w:b/>
        <w:sz w:val="18"/>
        <w:szCs w:val="18"/>
        <w:lang w:val="en"/>
      </w:rPr>
      <w:t>January</w:t>
    </w:r>
    <w:r w:rsidRPr="00AA6F20">
      <w:rPr>
        <w:rFonts w:ascii="Trebuchet MS" w:hAnsi="Trebuchet MS"/>
        <w:b/>
        <w:sz w:val="18"/>
        <w:szCs w:val="18"/>
        <w:lang w:val="en"/>
      </w:rPr>
      <w:t xml:space="preserve"> 202</w:t>
    </w:r>
    <w:r>
      <w:rPr>
        <w:rFonts w:ascii="Trebuchet MS" w:hAnsi="Trebuchet MS"/>
        <w:b/>
        <w:sz w:val="18"/>
        <w:szCs w:val="18"/>
        <w:lang w:val="en"/>
      </w:rPr>
      <w:t>1</w:t>
    </w:r>
    <w:r w:rsidRPr="00AA6F20">
      <w:rPr>
        <w:rFonts w:ascii="Trebuchet MS" w:hAnsi="Trebuchet MS"/>
        <w:b/>
        <w:sz w:val="18"/>
        <w:szCs w:val="18"/>
        <w:lang w:val="en"/>
      </w:rPr>
      <w:t>, Volume 1</w:t>
    </w:r>
    <w:r>
      <w:rPr>
        <w:rFonts w:ascii="Trebuchet MS" w:hAnsi="Trebuchet MS"/>
        <w:b/>
        <w:sz w:val="18"/>
        <w:szCs w:val="18"/>
        <w:lang w:val="en"/>
      </w:rPr>
      <w:t>1</w:t>
    </w:r>
    <w:r w:rsidRPr="00AA6F20">
      <w:rPr>
        <w:rFonts w:ascii="Trebuchet MS" w:hAnsi="Trebuchet MS"/>
        <w:b/>
        <w:sz w:val="18"/>
        <w:szCs w:val="18"/>
        <w:lang w:val="en"/>
      </w:rPr>
      <w:t xml:space="preserve">, Issue </w:t>
    </w:r>
    <w:r>
      <w:rPr>
        <w:rFonts w:ascii="Trebuchet MS" w:hAnsi="Trebuchet MS"/>
        <w:b/>
        <w:sz w:val="18"/>
        <w:szCs w:val="18"/>
        <w:lang w:val="en"/>
      </w:rPr>
      <w:t>1</w:t>
    </w:r>
    <w:r w:rsidRPr="00AA6F20">
      <w:rPr>
        <w:rFonts w:ascii="Trebuchet MS" w:hAnsi="Trebuchet MS"/>
        <w:b/>
        <w:sz w:val="18"/>
        <w:szCs w:val="18"/>
        <w:lang w:val="en"/>
      </w:rPr>
      <w:t xml:space="preserve"> </w:t>
    </w:r>
  </w:p>
  <w:p w14:paraId="2C83E2ED" w14:textId="77777777" w:rsidR="00463AE8" w:rsidRDefault="00463AE8" w:rsidP="00A63E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70272"/>
    <w:multiLevelType w:val="hybridMultilevel"/>
    <w:tmpl w:val="038A195C"/>
    <w:lvl w:ilvl="0" w:tplc="741CD62C">
      <w:start w:val="1"/>
      <w:numFmt w:val="bullet"/>
      <w:pStyle w:val="TOC2"/>
      <w:lvlText w:val=""/>
      <w:lvlJc w:val="left"/>
      <w:pPr>
        <w:tabs>
          <w:tab w:val="num" w:pos="360"/>
        </w:tabs>
        <w:ind w:left="360" w:hanging="360"/>
      </w:pPr>
      <w:rPr>
        <w:rFonts w:ascii="Wingdings" w:hAnsi="Wingdings" w:hint="default"/>
        <w:color w:val="auto"/>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0C37F3"/>
    <w:multiLevelType w:val="hybridMultilevel"/>
    <w:tmpl w:val="43E4CC44"/>
    <w:lvl w:ilvl="0" w:tplc="F5148EB0">
      <w:numFmt w:val="bullet"/>
      <w:lvlText w:val="•"/>
      <w:lvlJc w:val="left"/>
      <w:pPr>
        <w:ind w:left="240" w:hanging="121"/>
      </w:pPr>
      <w:rPr>
        <w:rFonts w:ascii="Times New Roman" w:eastAsia="Times New Roman" w:hAnsi="Times New Roman" w:cs="Times New Roman" w:hint="default"/>
        <w:w w:val="100"/>
        <w:sz w:val="20"/>
        <w:szCs w:val="20"/>
      </w:rPr>
    </w:lvl>
    <w:lvl w:ilvl="1" w:tplc="9E886026">
      <w:numFmt w:val="bullet"/>
      <w:lvlText w:val=""/>
      <w:lvlJc w:val="left"/>
      <w:pPr>
        <w:ind w:left="839" w:hanging="360"/>
      </w:pPr>
      <w:rPr>
        <w:rFonts w:ascii="Symbol" w:eastAsia="Symbol" w:hAnsi="Symbol" w:cs="Symbol" w:hint="default"/>
        <w:w w:val="100"/>
        <w:sz w:val="20"/>
        <w:szCs w:val="20"/>
      </w:rPr>
    </w:lvl>
    <w:lvl w:ilvl="2" w:tplc="E914532C">
      <w:numFmt w:val="bullet"/>
      <w:lvlText w:val="•"/>
      <w:lvlJc w:val="left"/>
      <w:pPr>
        <w:ind w:left="707" w:hanging="360"/>
      </w:pPr>
      <w:rPr>
        <w:rFonts w:hint="default"/>
      </w:rPr>
    </w:lvl>
    <w:lvl w:ilvl="3" w:tplc="20C0BD9A">
      <w:numFmt w:val="bullet"/>
      <w:lvlText w:val="•"/>
      <w:lvlJc w:val="left"/>
      <w:pPr>
        <w:ind w:left="575" w:hanging="360"/>
      </w:pPr>
      <w:rPr>
        <w:rFonts w:hint="default"/>
      </w:rPr>
    </w:lvl>
    <w:lvl w:ilvl="4" w:tplc="5426A5BA">
      <w:numFmt w:val="bullet"/>
      <w:lvlText w:val="•"/>
      <w:lvlJc w:val="left"/>
      <w:pPr>
        <w:ind w:left="443" w:hanging="360"/>
      </w:pPr>
      <w:rPr>
        <w:rFonts w:hint="default"/>
      </w:rPr>
    </w:lvl>
    <w:lvl w:ilvl="5" w:tplc="39CA69C2">
      <w:numFmt w:val="bullet"/>
      <w:lvlText w:val="•"/>
      <w:lvlJc w:val="left"/>
      <w:pPr>
        <w:ind w:left="311" w:hanging="360"/>
      </w:pPr>
      <w:rPr>
        <w:rFonts w:hint="default"/>
      </w:rPr>
    </w:lvl>
    <w:lvl w:ilvl="6" w:tplc="9E721A60">
      <w:numFmt w:val="bullet"/>
      <w:lvlText w:val="•"/>
      <w:lvlJc w:val="left"/>
      <w:pPr>
        <w:ind w:left="179" w:hanging="360"/>
      </w:pPr>
      <w:rPr>
        <w:rFonts w:hint="default"/>
      </w:rPr>
    </w:lvl>
    <w:lvl w:ilvl="7" w:tplc="29EA5124">
      <w:numFmt w:val="bullet"/>
      <w:lvlText w:val="•"/>
      <w:lvlJc w:val="left"/>
      <w:pPr>
        <w:ind w:left="47" w:hanging="360"/>
      </w:pPr>
      <w:rPr>
        <w:rFonts w:hint="default"/>
      </w:rPr>
    </w:lvl>
    <w:lvl w:ilvl="8" w:tplc="487E6BDA">
      <w:numFmt w:val="bullet"/>
      <w:lvlText w:val="•"/>
      <w:lvlJc w:val="left"/>
      <w:pPr>
        <w:ind w:left="-85" w:hanging="360"/>
      </w:pPr>
      <w:rPr>
        <w:rFonts w:hint="default"/>
      </w:rPr>
    </w:lvl>
  </w:abstractNum>
  <w:abstractNum w:abstractNumId="2" w15:restartNumberingAfterBreak="0">
    <w:nsid w:val="293E7B0C"/>
    <w:multiLevelType w:val="hybridMultilevel"/>
    <w:tmpl w:val="B28AD3CA"/>
    <w:lvl w:ilvl="0" w:tplc="5CC0C4A0">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4B63052"/>
    <w:multiLevelType w:val="hybridMultilevel"/>
    <w:tmpl w:val="E1D407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7CD8405B"/>
    <w:multiLevelType w:val="hybridMultilevel"/>
    <w:tmpl w:val="810AFFD6"/>
    <w:lvl w:ilvl="0" w:tplc="1BD63736">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014"/>
    <w:rsid w:val="000006DF"/>
    <w:rsid w:val="0001242D"/>
    <w:rsid w:val="000172B8"/>
    <w:rsid w:val="00034CE8"/>
    <w:rsid w:val="00042FD6"/>
    <w:rsid w:val="0004346A"/>
    <w:rsid w:val="00045863"/>
    <w:rsid w:val="00067062"/>
    <w:rsid w:val="00074014"/>
    <w:rsid w:val="00076A4D"/>
    <w:rsid w:val="000A445A"/>
    <w:rsid w:val="000C15E5"/>
    <w:rsid w:val="000C2AEE"/>
    <w:rsid w:val="000C7CA4"/>
    <w:rsid w:val="000F19D2"/>
    <w:rsid w:val="001003DC"/>
    <w:rsid w:val="001049C6"/>
    <w:rsid w:val="00112E05"/>
    <w:rsid w:val="00137002"/>
    <w:rsid w:val="0016598C"/>
    <w:rsid w:val="0017504B"/>
    <w:rsid w:val="00175C12"/>
    <w:rsid w:val="00180CAA"/>
    <w:rsid w:val="00182385"/>
    <w:rsid w:val="00185A3F"/>
    <w:rsid w:val="00185C21"/>
    <w:rsid w:val="001A4C38"/>
    <w:rsid w:val="001B2DED"/>
    <w:rsid w:val="001C2E84"/>
    <w:rsid w:val="001E762D"/>
    <w:rsid w:val="00215FB5"/>
    <w:rsid w:val="0022143C"/>
    <w:rsid w:val="002400F6"/>
    <w:rsid w:val="00242A52"/>
    <w:rsid w:val="00253F14"/>
    <w:rsid w:val="002573BE"/>
    <w:rsid w:val="00272F9F"/>
    <w:rsid w:val="00283746"/>
    <w:rsid w:val="002A566F"/>
    <w:rsid w:val="002C261E"/>
    <w:rsid w:val="002C326C"/>
    <w:rsid w:val="002D1C5C"/>
    <w:rsid w:val="002E55F8"/>
    <w:rsid w:val="002E75D3"/>
    <w:rsid w:val="002F4A95"/>
    <w:rsid w:val="003064EC"/>
    <w:rsid w:val="0031009A"/>
    <w:rsid w:val="0031549E"/>
    <w:rsid w:val="0031728E"/>
    <w:rsid w:val="00330FB0"/>
    <w:rsid w:val="00344037"/>
    <w:rsid w:val="0034440C"/>
    <w:rsid w:val="00353AD3"/>
    <w:rsid w:val="00366BAA"/>
    <w:rsid w:val="00367696"/>
    <w:rsid w:val="00371601"/>
    <w:rsid w:val="00373275"/>
    <w:rsid w:val="00377A75"/>
    <w:rsid w:val="003863EB"/>
    <w:rsid w:val="003971CE"/>
    <w:rsid w:val="00397377"/>
    <w:rsid w:val="003A17FB"/>
    <w:rsid w:val="003C0161"/>
    <w:rsid w:val="003D177D"/>
    <w:rsid w:val="003E7380"/>
    <w:rsid w:val="003F7F93"/>
    <w:rsid w:val="00401354"/>
    <w:rsid w:val="00410458"/>
    <w:rsid w:val="0041665A"/>
    <w:rsid w:val="00427D00"/>
    <w:rsid w:val="00433649"/>
    <w:rsid w:val="004564C8"/>
    <w:rsid w:val="00463AE8"/>
    <w:rsid w:val="0046520A"/>
    <w:rsid w:val="0047213A"/>
    <w:rsid w:val="004733F0"/>
    <w:rsid w:val="00477057"/>
    <w:rsid w:val="00485E86"/>
    <w:rsid w:val="004B3085"/>
    <w:rsid w:val="004C1DCE"/>
    <w:rsid w:val="004E42DD"/>
    <w:rsid w:val="004E6787"/>
    <w:rsid w:val="00532641"/>
    <w:rsid w:val="00536EBB"/>
    <w:rsid w:val="00567B9D"/>
    <w:rsid w:val="00577FEC"/>
    <w:rsid w:val="00581E50"/>
    <w:rsid w:val="00583A96"/>
    <w:rsid w:val="005842A0"/>
    <w:rsid w:val="00592C98"/>
    <w:rsid w:val="0059487B"/>
    <w:rsid w:val="005A21DB"/>
    <w:rsid w:val="005D3CAF"/>
    <w:rsid w:val="005D506B"/>
    <w:rsid w:val="005E0ED5"/>
    <w:rsid w:val="005E52FC"/>
    <w:rsid w:val="005F1E59"/>
    <w:rsid w:val="005F666B"/>
    <w:rsid w:val="00610115"/>
    <w:rsid w:val="00614DA9"/>
    <w:rsid w:val="00622404"/>
    <w:rsid w:val="0062336E"/>
    <w:rsid w:val="00664C25"/>
    <w:rsid w:val="0067107B"/>
    <w:rsid w:val="00690023"/>
    <w:rsid w:val="006B207B"/>
    <w:rsid w:val="006B2678"/>
    <w:rsid w:val="006B7613"/>
    <w:rsid w:val="006E0362"/>
    <w:rsid w:val="00721778"/>
    <w:rsid w:val="007243D7"/>
    <w:rsid w:val="007311C3"/>
    <w:rsid w:val="00734DAA"/>
    <w:rsid w:val="007459B2"/>
    <w:rsid w:val="00752617"/>
    <w:rsid w:val="00755EF7"/>
    <w:rsid w:val="00755F23"/>
    <w:rsid w:val="00761211"/>
    <w:rsid w:val="007740F3"/>
    <w:rsid w:val="00785C9F"/>
    <w:rsid w:val="00795A7C"/>
    <w:rsid w:val="00807E9F"/>
    <w:rsid w:val="008403CA"/>
    <w:rsid w:val="00844307"/>
    <w:rsid w:val="00844A19"/>
    <w:rsid w:val="0084544F"/>
    <w:rsid w:val="0085378A"/>
    <w:rsid w:val="00855DFD"/>
    <w:rsid w:val="00860511"/>
    <w:rsid w:val="00865AEA"/>
    <w:rsid w:val="008722AE"/>
    <w:rsid w:val="00872E7F"/>
    <w:rsid w:val="00873BEF"/>
    <w:rsid w:val="008819EB"/>
    <w:rsid w:val="008911F3"/>
    <w:rsid w:val="008946E9"/>
    <w:rsid w:val="008B221F"/>
    <w:rsid w:val="008E79B3"/>
    <w:rsid w:val="008F25B4"/>
    <w:rsid w:val="00901310"/>
    <w:rsid w:val="00922C53"/>
    <w:rsid w:val="00923174"/>
    <w:rsid w:val="00923341"/>
    <w:rsid w:val="00927CAB"/>
    <w:rsid w:val="00956812"/>
    <w:rsid w:val="009568F6"/>
    <w:rsid w:val="00980B18"/>
    <w:rsid w:val="00986AF3"/>
    <w:rsid w:val="009A4123"/>
    <w:rsid w:val="009B1AAF"/>
    <w:rsid w:val="009B2423"/>
    <w:rsid w:val="009B6A25"/>
    <w:rsid w:val="009D1E1C"/>
    <w:rsid w:val="009D2B0C"/>
    <w:rsid w:val="00A03018"/>
    <w:rsid w:val="00A0679F"/>
    <w:rsid w:val="00A128B9"/>
    <w:rsid w:val="00A13579"/>
    <w:rsid w:val="00A20996"/>
    <w:rsid w:val="00A26095"/>
    <w:rsid w:val="00A32F58"/>
    <w:rsid w:val="00A63EE0"/>
    <w:rsid w:val="00A856E6"/>
    <w:rsid w:val="00AA6F20"/>
    <w:rsid w:val="00AD42BB"/>
    <w:rsid w:val="00AD5F13"/>
    <w:rsid w:val="00AE483E"/>
    <w:rsid w:val="00AF3BAA"/>
    <w:rsid w:val="00AF4210"/>
    <w:rsid w:val="00B00CA3"/>
    <w:rsid w:val="00B10C3E"/>
    <w:rsid w:val="00B30E77"/>
    <w:rsid w:val="00B44DE1"/>
    <w:rsid w:val="00B529FF"/>
    <w:rsid w:val="00B54AB5"/>
    <w:rsid w:val="00B7453A"/>
    <w:rsid w:val="00BD1C27"/>
    <w:rsid w:val="00BF73BB"/>
    <w:rsid w:val="00C009F8"/>
    <w:rsid w:val="00C03DAA"/>
    <w:rsid w:val="00C208B7"/>
    <w:rsid w:val="00C21F71"/>
    <w:rsid w:val="00C24050"/>
    <w:rsid w:val="00C25B35"/>
    <w:rsid w:val="00C35B94"/>
    <w:rsid w:val="00C4587F"/>
    <w:rsid w:val="00C54D38"/>
    <w:rsid w:val="00C656AF"/>
    <w:rsid w:val="00C97787"/>
    <w:rsid w:val="00CA0313"/>
    <w:rsid w:val="00CA0669"/>
    <w:rsid w:val="00CA1D66"/>
    <w:rsid w:val="00CD7211"/>
    <w:rsid w:val="00CD7C0E"/>
    <w:rsid w:val="00CE27E7"/>
    <w:rsid w:val="00CF2078"/>
    <w:rsid w:val="00CF48E3"/>
    <w:rsid w:val="00D05D9C"/>
    <w:rsid w:val="00D115B8"/>
    <w:rsid w:val="00D14BBD"/>
    <w:rsid w:val="00D15F4A"/>
    <w:rsid w:val="00D21FA6"/>
    <w:rsid w:val="00D2371D"/>
    <w:rsid w:val="00D245EF"/>
    <w:rsid w:val="00D2695E"/>
    <w:rsid w:val="00D726DF"/>
    <w:rsid w:val="00D77884"/>
    <w:rsid w:val="00D90D40"/>
    <w:rsid w:val="00DA302D"/>
    <w:rsid w:val="00DA7FE7"/>
    <w:rsid w:val="00DB2EE5"/>
    <w:rsid w:val="00DC0E97"/>
    <w:rsid w:val="00E1027A"/>
    <w:rsid w:val="00E27595"/>
    <w:rsid w:val="00E31CAE"/>
    <w:rsid w:val="00E35E0F"/>
    <w:rsid w:val="00E61DD5"/>
    <w:rsid w:val="00EA1C6A"/>
    <w:rsid w:val="00EB5FE2"/>
    <w:rsid w:val="00EC08AC"/>
    <w:rsid w:val="00EE333C"/>
    <w:rsid w:val="00EE46DF"/>
    <w:rsid w:val="00EF76E8"/>
    <w:rsid w:val="00F04AAA"/>
    <w:rsid w:val="00F46BF7"/>
    <w:rsid w:val="00F51B4F"/>
    <w:rsid w:val="00F53DA0"/>
    <w:rsid w:val="00F63E83"/>
    <w:rsid w:val="00F67D45"/>
    <w:rsid w:val="00F9023B"/>
    <w:rsid w:val="00FA5787"/>
    <w:rsid w:val="00FB7719"/>
    <w:rsid w:val="00FD5009"/>
    <w:rsid w:val="00FD5CE5"/>
    <w:rsid w:val="00FF119A"/>
    <w:rsid w:val="00FF1A2E"/>
    <w:rsid w:val="00FF3E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FB5F482"/>
  <w15:docId w15:val="{B69472B9-DA26-47FF-BF21-8D4DBA6C4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AF3BAA"/>
    <w:rPr>
      <w:color w:val="000000"/>
      <w:kern w:val="28"/>
    </w:rPr>
  </w:style>
  <w:style w:type="paragraph" w:styleId="Heading1">
    <w:name w:val="heading 1"/>
    <w:basedOn w:val="msoaccenttext7"/>
    <w:next w:val="Normal"/>
    <w:link w:val="Heading1Char"/>
    <w:qFormat/>
    <w:rsid w:val="005D506B"/>
    <w:pPr>
      <w:widowControl w:val="0"/>
      <w:outlineLvl w:val="0"/>
    </w:pPr>
    <w:rPr>
      <w:rFonts w:ascii="Trebuchet MS" w:hAnsi="Trebuchet MS"/>
      <w:b/>
      <w:color w:val="auto"/>
      <w:sz w:val="18"/>
      <w:szCs w:val="18"/>
      <w:lang w:val="en"/>
    </w:rPr>
  </w:style>
  <w:style w:type="paragraph" w:styleId="Heading2">
    <w:name w:val="heading 2"/>
    <w:next w:val="Normal"/>
    <w:link w:val="Heading2Char"/>
    <w:unhideWhenUsed/>
    <w:qFormat/>
    <w:rsid w:val="00A856E6"/>
    <w:pPr>
      <w:framePr w:hSpace="180" w:wrap="around" w:vAnchor="text" w:hAnchor="text" w:y="117"/>
      <w:spacing w:before="120"/>
      <w:outlineLvl w:val="1"/>
    </w:pPr>
    <w:rPr>
      <w:rFonts w:ascii="Arial Black" w:hAnsi="Arial Black" w:cs="Arial Black"/>
      <w:b/>
      <w:bCs/>
      <w:kern w:val="28"/>
      <w:sz w:val="24"/>
      <w:szCs w:val="24"/>
    </w:rPr>
  </w:style>
  <w:style w:type="paragraph" w:styleId="Heading3">
    <w:name w:val="heading 3"/>
    <w:basedOn w:val="Normal"/>
    <w:next w:val="Normal"/>
    <w:link w:val="Heading3Char"/>
    <w:unhideWhenUsed/>
    <w:qFormat/>
    <w:rsid w:val="00844A19"/>
    <w:pPr>
      <w:outlineLvl w:val="2"/>
    </w:pPr>
  </w:style>
  <w:style w:type="paragraph" w:styleId="Heading4">
    <w:name w:val="heading 4"/>
    <w:basedOn w:val="Tablesubheading"/>
    <w:next w:val="Normal"/>
    <w:link w:val="Heading4Char"/>
    <w:unhideWhenUsed/>
    <w:qFormat/>
    <w:rsid w:val="00FD5CE5"/>
    <w:pPr>
      <w:outlineLvl w:val="3"/>
    </w:pPr>
  </w:style>
  <w:style w:type="paragraph" w:styleId="Heading5">
    <w:name w:val="heading 5"/>
    <w:basedOn w:val="Normal"/>
    <w:next w:val="Normal"/>
    <w:link w:val="Heading5Char"/>
    <w:unhideWhenUsed/>
    <w:qFormat/>
    <w:rsid w:val="00AD42BB"/>
    <w:pPr>
      <w:keepNext/>
      <w:keepLines/>
      <w:spacing w:before="200"/>
      <w:outlineLvl w:val="4"/>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06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CA0669"/>
    <w:pPr>
      <w:autoSpaceDE w:val="0"/>
      <w:autoSpaceDN w:val="0"/>
      <w:adjustRightInd w:val="0"/>
      <w:spacing w:line="288" w:lineRule="auto"/>
      <w:jc w:val="center"/>
      <w:textAlignment w:val="baseline"/>
    </w:pPr>
    <w:rPr>
      <w:rFonts w:ascii="Tahoma" w:hAnsi="Tahoma" w:cs="Tahoma"/>
      <w:sz w:val="32"/>
      <w:szCs w:val="32"/>
    </w:rPr>
  </w:style>
  <w:style w:type="paragraph" w:customStyle="1" w:styleId="Noparagraphstyle">
    <w:name w:val="[No paragraph style]"/>
    <w:rsid w:val="00956812"/>
    <w:pPr>
      <w:autoSpaceDE w:val="0"/>
      <w:autoSpaceDN w:val="0"/>
      <w:adjustRightInd w:val="0"/>
      <w:spacing w:line="288" w:lineRule="auto"/>
      <w:textAlignment w:val="center"/>
    </w:pPr>
    <w:rPr>
      <w:color w:val="000000"/>
      <w:sz w:val="24"/>
      <w:szCs w:val="24"/>
    </w:rPr>
  </w:style>
  <w:style w:type="paragraph" w:customStyle="1" w:styleId="Subtitle">
    <w:name w:val="Sub title"/>
    <w:basedOn w:val="Title"/>
    <w:rsid w:val="00956812"/>
    <w:pPr>
      <w:spacing w:before="216" w:after="122"/>
      <w:jc w:val="left"/>
    </w:pPr>
    <w:rPr>
      <w:rFonts w:ascii="Arial Black" w:hAnsi="Arial Black" w:cs="Arial Black"/>
      <w:sz w:val="22"/>
      <w:szCs w:val="22"/>
    </w:rPr>
  </w:style>
  <w:style w:type="paragraph" w:customStyle="1" w:styleId="body">
    <w:name w:val="body"/>
    <w:basedOn w:val="Normal"/>
    <w:rsid w:val="00956812"/>
    <w:pPr>
      <w:tabs>
        <w:tab w:val="left" w:pos="-90"/>
      </w:tabs>
      <w:autoSpaceDE w:val="0"/>
      <w:autoSpaceDN w:val="0"/>
      <w:adjustRightInd w:val="0"/>
      <w:spacing w:after="122" w:line="296" w:lineRule="atLeast"/>
      <w:textAlignment w:val="baseline"/>
    </w:pPr>
    <w:rPr>
      <w:rFonts w:ascii="Arial" w:hAnsi="Arial" w:cs="Arial"/>
      <w:sz w:val="22"/>
      <w:szCs w:val="22"/>
    </w:rPr>
  </w:style>
  <w:style w:type="paragraph" w:styleId="Header">
    <w:name w:val="header"/>
    <w:basedOn w:val="Normal"/>
    <w:link w:val="HeaderChar"/>
    <w:rsid w:val="002A566F"/>
    <w:pPr>
      <w:tabs>
        <w:tab w:val="center" w:pos="4320"/>
        <w:tab w:val="right" w:pos="8640"/>
      </w:tabs>
    </w:pPr>
  </w:style>
  <w:style w:type="paragraph" w:styleId="Footer">
    <w:name w:val="footer"/>
    <w:basedOn w:val="Normal"/>
    <w:link w:val="FooterChar"/>
    <w:uiPriority w:val="99"/>
    <w:rsid w:val="002A566F"/>
    <w:pPr>
      <w:tabs>
        <w:tab w:val="center" w:pos="4320"/>
        <w:tab w:val="right" w:pos="8640"/>
      </w:tabs>
    </w:pPr>
  </w:style>
  <w:style w:type="paragraph" w:customStyle="1" w:styleId="msoaccenttext7">
    <w:name w:val="msoaccenttext7"/>
    <w:rsid w:val="008911F3"/>
    <w:rPr>
      <w:rFonts w:ascii="Franklin Gothic Medium" w:hAnsi="Franklin Gothic Medium"/>
      <w:color w:val="000000"/>
      <w:kern w:val="28"/>
      <w:sz w:val="17"/>
      <w:szCs w:val="17"/>
    </w:rPr>
  </w:style>
  <w:style w:type="paragraph" w:styleId="TOC2">
    <w:name w:val="toc 2"/>
    <w:basedOn w:val="Normal"/>
    <w:next w:val="Normal"/>
    <w:autoRedefine/>
    <w:semiHidden/>
    <w:rsid w:val="00433649"/>
    <w:pPr>
      <w:numPr>
        <w:numId w:val="1"/>
      </w:numPr>
    </w:pPr>
  </w:style>
  <w:style w:type="paragraph" w:styleId="BalloonText">
    <w:name w:val="Balloon Text"/>
    <w:basedOn w:val="Normal"/>
    <w:semiHidden/>
    <w:rsid w:val="00C54D38"/>
    <w:rPr>
      <w:rFonts w:ascii="Tahoma" w:hAnsi="Tahoma" w:cs="Tahoma"/>
      <w:sz w:val="16"/>
      <w:szCs w:val="16"/>
    </w:rPr>
  </w:style>
  <w:style w:type="character" w:customStyle="1" w:styleId="HeaderChar">
    <w:name w:val="Header Char"/>
    <w:link w:val="Header"/>
    <w:locked/>
    <w:rsid w:val="00873BEF"/>
    <w:rPr>
      <w:color w:val="000000"/>
      <w:kern w:val="28"/>
    </w:rPr>
  </w:style>
  <w:style w:type="character" w:customStyle="1" w:styleId="FooterChar">
    <w:name w:val="Footer Char"/>
    <w:link w:val="Footer"/>
    <w:uiPriority w:val="99"/>
    <w:rsid w:val="002F4A95"/>
    <w:rPr>
      <w:color w:val="000000"/>
      <w:kern w:val="28"/>
    </w:rPr>
  </w:style>
  <w:style w:type="paragraph" w:styleId="ListParagraph">
    <w:name w:val="List Paragraph"/>
    <w:basedOn w:val="Normal"/>
    <w:uiPriority w:val="1"/>
    <w:qFormat/>
    <w:rsid w:val="005D506B"/>
    <w:pPr>
      <w:ind w:left="720"/>
      <w:contextualSpacing/>
    </w:pPr>
  </w:style>
  <w:style w:type="character" w:customStyle="1" w:styleId="Heading1Char">
    <w:name w:val="Heading 1 Char"/>
    <w:basedOn w:val="DefaultParagraphFont"/>
    <w:link w:val="Heading1"/>
    <w:rsid w:val="005D506B"/>
    <w:rPr>
      <w:rFonts w:ascii="Trebuchet MS" w:hAnsi="Trebuchet MS"/>
      <w:b/>
      <w:kern w:val="28"/>
      <w:sz w:val="18"/>
      <w:szCs w:val="18"/>
      <w:lang w:val="en"/>
    </w:rPr>
  </w:style>
  <w:style w:type="character" w:customStyle="1" w:styleId="Heading2Char">
    <w:name w:val="Heading 2 Char"/>
    <w:basedOn w:val="DefaultParagraphFont"/>
    <w:link w:val="Heading2"/>
    <w:rsid w:val="00A856E6"/>
    <w:rPr>
      <w:rFonts w:ascii="Arial Black" w:hAnsi="Arial Black" w:cs="Arial Black"/>
      <w:b/>
      <w:bCs/>
      <w:kern w:val="28"/>
      <w:sz w:val="24"/>
      <w:szCs w:val="24"/>
    </w:rPr>
  </w:style>
  <w:style w:type="character" w:customStyle="1" w:styleId="Heading3Char">
    <w:name w:val="Heading 3 Char"/>
    <w:basedOn w:val="DefaultParagraphFont"/>
    <w:link w:val="Heading3"/>
    <w:rsid w:val="00844A19"/>
    <w:rPr>
      <w:color w:val="000000"/>
      <w:kern w:val="28"/>
    </w:rPr>
  </w:style>
  <w:style w:type="paragraph" w:customStyle="1" w:styleId="RecentMassHealthDrugListUpdates">
    <w:name w:val="Recent MassHealth Drug List Updates"/>
    <w:basedOn w:val="Normal"/>
    <w:autoRedefine/>
    <w:qFormat/>
    <w:rsid w:val="003F7F93"/>
    <w:pPr>
      <w:widowControl w:val="0"/>
      <w:ind w:left="-288"/>
      <w:jc w:val="center"/>
    </w:pPr>
    <w:rPr>
      <w:rFonts w:ascii="Trebuchet MS" w:hAnsi="Trebuchet MS"/>
      <w:b/>
      <w:bCs/>
      <w:color w:val="auto"/>
      <w:sz w:val="26"/>
      <w:szCs w:val="26"/>
    </w:rPr>
  </w:style>
  <w:style w:type="paragraph" w:customStyle="1" w:styleId="columnheading">
    <w:name w:val="column heading"/>
    <w:basedOn w:val="Normal"/>
    <w:qFormat/>
    <w:rsid w:val="00F53DA0"/>
    <w:pPr>
      <w:jc w:val="center"/>
    </w:pPr>
    <w:rPr>
      <w:rFonts w:cs="Calibri"/>
      <w:b/>
      <w:bCs/>
      <w:sz w:val="24"/>
      <w:szCs w:val="24"/>
    </w:rPr>
  </w:style>
  <w:style w:type="paragraph" w:customStyle="1" w:styleId="Tablesubheading">
    <w:name w:val="Table subheading"/>
    <w:basedOn w:val="Normal"/>
    <w:qFormat/>
    <w:rsid w:val="00F53DA0"/>
    <w:pPr>
      <w:jc w:val="center"/>
    </w:pPr>
    <w:rPr>
      <w:rFonts w:cs="Calibri"/>
      <w:b/>
      <w:bCs/>
      <w:sz w:val="24"/>
      <w:szCs w:val="24"/>
    </w:rPr>
  </w:style>
  <w:style w:type="paragraph" w:customStyle="1" w:styleId="Footnote">
    <w:name w:val="Footnote"/>
    <w:basedOn w:val="Normal"/>
    <w:qFormat/>
    <w:rsid w:val="00AE483E"/>
    <w:pPr>
      <w:spacing w:before="120"/>
      <w:ind w:left="446" w:hanging="446"/>
    </w:pPr>
    <w:rPr>
      <w:sz w:val="18"/>
      <w:szCs w:val="18"/>
    </w:rPr>
  </w:style>
  <w:style w:type="paragraph" w:customStyle="1" w:styleId="Prescribere-letterdefinition">
    <w:name w:val="Prescriber e-letter definition"/>
    <w:basedOn w:val="Normal"/>
    <w:qFormat/>
    <w:rsid w:val="0004346A"/>
    <w:pPr>
      <w:widowControl w:val="0"/>
      <w:spacing w:before="1200"/>
      <w:jc w:val="center"/>
    </w:pPr>
    <w:rPr>
      <w:iCs/>
      <w:lang w:val="en"/>
    </w:rPr>
  </w:style>
  <w:style w:type="character" w:customStyle="1" w:styleId="Heading4Char">
    <w:name w:val="Heading 4 Char"/>
    <w:basedOn w:val="DefaultParagraphFont"/>
    <w:link w:val="Heading4"/>
    <w:rsid w:val="00FD5CE5"/>
    <w:rPr>
      <w:rFonts w:cs="Calibri"/>
      <w:b/>
      <w:bCs/>
      <w:color w:val="000000"/>
      <w:kern w:val="28"/>
      <w:sz w:val="24"/>
      <w:szCs w:val="24"/>
    </w:rPr>
  </w:style>
  <w:style w:type="character" w:customStyle="1" w:styleId="Heading5Char">
    <w:name w:val="Heading 5 Char"/>
    <w:basedOn w:val="DefaultParagraphFont"/>
    <w:link w:val="Heading5"/>
    <w:rsid w:val="00AD42BB"/>
    <w:rPr>
      <w:rFonts w:asciiTheme="majorHAnsi" w:eastAsiaTheme="majorEastAsia" w:hAnsiTheme="majorHAnsi" w:cstheme="majorBidi"/>
      <w:color w:val="1F3763" w:themeColor="accent1" w:themeShade="7F"/>
      <w:kern w:val="28"/>
    </w:rPr>
  </w:style>
  <w:style w:type="character" w:styleId="Hyperlink">
    <w:name w:val="Hyperlink"/>
    <w:basedOn w:val="DefaultParagraphFont"/>
    <w:unhideWhenUsed/>
    <w:rsid w:val="007459B2"/>
    <w:rPr>
      <w:color w:val="0563C1" w:themeColor="hyperlink"/>
      <w:u w:val="single"/>
    </w:rPr>
  </w:style>
  <w:style w:type="character" w:customStyle="1" w:styleId="UnresolvedMention1">
    <w:name w:val="Unresolved Mention1"/>
    <w:basedOn w:val="DefaultParagraphFont"/>
    <w:uiPriority w:val="99"/>
    <w:semiHidden/>
    <w:unhideWhenUsed/>
    <w:rsid w:val="007459B2"/>
    <w:rPr>
      <w:color w:val="605E5C"/>
      <w:shd w:val="clear" w:color="auto" w:fill="E1DFDD"/>
    </w:rPr>
  </w:style>
  <w:style w:type="paragraph" w:styleId="BodyText">
    <w:name w:val="Body Text"/>
    <w:basedOn w:val="Normal"/>
    <w:link w:val="BodyTextChar"/>
    <w:uiPriority w:val="1"/>
    <w:qFormat/>
    <w:rsid w:val="00664C25"/>
    <w:pPr>
      <w:widowControl w:val="0"/>
      <w:autoSpaceDE w:val="0"/>
      <w:autoSpaceDN w:val="0"/>
    </w:pPr>
    <w:rPr>
      <w:color w:val="auto"/>
      <w:kern w:val="0"/>
    </w:rPr>
  </w:style>
  <w:style w:type="character" w:customStyle="1" w:styleId="BodyTextChar">
    <w:name w:val="Body Text Char"/>
    <w:basedOn w:val="DefaultParagraphFont"/>
    <w:link w:val="BodyText"/>
    <w:uiPriority w:val="1"/>
    <w:rsid w:val="00664C25"/>
  </w:style>
  <w:style w:type="character" w:styleId="CommentReference">
    <w:name w:val="annotation reference"/>
    <w:basedOn w:val="DefaultParagraphFont"/>
    <w:uiPriority w:val="99"/>
    <w:semiHidden/>
    <w:unhideWhenUsed/>
    <w:rsid w:val="00664C25"/>
    <w:rPr>
      <w:sz w:val="16"/>
      <w:szCs w:val="16"/>
    </w:rPr>
  </w:style>
  <w:style w:type="paragraph" w:styleId="CommentText">
    <w:name w:val="annotation text"/>
    <w:basedOn w:val="Normal"/>
    <w:link w:val="CommentTextChar"/>
    <w:uiPriority w:val="99"/>
    <w:semiHidden/>
    <w:unhideWhenUsed/>
    <w:rsid w:val="00664C25"/>
    <w:pPr>
      <w:widowControl w:val="0"/>
      <w:autoSpaceDE w:val="0"/>
      <w:autoSpaceDN w:val="0"/>
    </w:pPr>
    <w:rPr>
      <w:color w:val="auto"/>
      <w:kern w:val="0"/>
    </w:rPr>
  </w:style>
  <w:style w:type="character" w:customStyle="1" w:styleId="CommentTextChar">
    <w:name w:val="Comment Text Char"/>
    <w:basedOn w:val="DefaultParagraphFont"/>
    <w:link w:val="CommentText"/>
    <w:uiPriority w:val="99"/>
    <w:semiHidden/>
    <w:rsid w:val="00664C25"/>
  </w:style>
  <w:style w:type="paragraph" w:customStyle="1" w:styleId="Default">
    <w:name w:val="Default"/>
    <w:rsid w:val="00A0679F"/>
    <w:pPr>
      <w:autoSpaceDE w:val="0"/>
      <w:autoSpaceDN w:val="0"/>
      <w:adjustRightInd w:val="0"/>
    </w:pPr>
    <w:rPr>
      <w:rFonts w:ascii="Arial" w:eastAsiaTheme="minorHAnsi" w:hAnsi="Arial" w:cs="Arial"/>
      <w:color w:val="000000"/>
      <w:sz w:val="24"/>
      <w:szCs w:val="24"/>
    </w:rPr>
  </w:style>
  <w:style w:type="character" w:styleId="SubtleEmphasis">
    <w:name w:val="Subtle Emphasis"/>
    <w:basedOn w:val="DefaultParagraphFont"/>
    <w:uiPriority w:val="19"/>
    <w:qFormat/>
    <w:rsid w:val="00A0679F"/>
    <w:rPr>
      <w:i/>
      <w:iCs/>
      <w:color w:val="404040" w:themeColor="text1" w:themeTint="BF"/>
    </w:rPr>
  </w:style>
  <w:style w:type="character" w:styleId="UnresolvedMention">
    <w:name w:val="Unresolved Mention"/>
    <w:basedOn w:val="DefaultParagraphFont"/>
    <w:uiPriority w:val="99"/>
    <w:semiHidden/>
    <w:unhideWhenUsed/>
    <w:rsid w:val="006B2678"/>
    <w:rPr>
      <w:color w:val="605E5C"/>
      <w:shd w:val="clear" w:color="auto" w:fill="E1DFDD"/>
    </w:rPr>
  </w:style>
  <w:style w:type="character" w:styleId="FollowedHyperlink">
    <w:name w:val="FollowedHyperlink"/>
    <w:basedOn w:val="DefaultParagraphFont"/>
    <w:semiHidden/>
    <w:unhideWhenUsed/>
    <w:rsid w:val="006B267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733767">
      <w:bodyDiv w:val="1"/>
      <w:marLeft w:val="0"/>
      <w:marRight w:val="0"/>
      <w:marTop w:val="0"/>
      <w:marBottom w:val="0"/>
      <w:divBdr>
        <w:top w:val="none" w:sz="0" w:space="0" w:color="auto"/>
        <w:left w:val="none" w:sz="0" w:space="0" w:color="auto"/>
        <w:bottom w:val="none" w:sz="0" w:space="0" w:color="auto"/>
        <w:right w:val="none" w:sz="0" w:space="0" w:color="auto"/>
      </w:divBdr>
    </w:div>
    <w:div w:id="220218596">
      <w:bodyDiv w:val="1"/>
      <w:marLeft w:val="0"/>
      <w:marRight w:val="0"/>
      <w:marTop w:val="0"/>
      <w:marBottom w:val="0"/>
      <w:divBdr>
        <w:top w:val="none" w:sz="0" w:space="0" w:color="auto"/>
        <w:left w:val="none" w:sz="0" w:space="0" w:color="auto"/>
        <w:bottom w:val="none" w:sz="0" w:space="0" w:color="auto"/>
        <w:right w:val="none" w:sz="0" w:space="0" w:color="auto"/>
      </w:divBdr>
    </w:div>
    <w:div w:id="849492030">
      <w:bodyDiv w:val="1"/>
      <w:marLeft w:val="0"/>
      <w:marRight w:val="0"/>
      <w:marTop w:val="0"/>
      <w:marBottom w:val="0"/>
      <w:divBdr>
        <w:top w:val="none" w:sz="0" w:space="0" w:color="auto"/>
        <w:left w:val="none" w:sz="0" w:space="0" w:color="auto"/>
        <w:bottom w:val="none" w:sz="0" w:space="0" w:color="auto"/>
        <w:right w:val="none" w:sz="0" w:space="0" w:color="auto"/>
      </w:divBdr>
    </w:div>
    <w:div w:id="882207593">
      <w:bodyDiv w:val="1"/>
      <w:marLeft w:val="0"/>
      <w:marRight w:val="0"/>
      <w:marTop w:val="0"/>
      <w:marBottom w:val="0"/>
      <w:divBdr>
        <w:top w:val="none" w:sz="0" w:space="0" w:color="auto"/>
        <w:left w:val="none" w:sz="0" w:space="0" w:color="auto"/>
        <w:bottom w:val="none" w:sz="0" w:space="0" w:color="auto"/>
        <w:right w:val="none" w:sz="0" w:space="0" w:color="auto"/>
      </w:divBdr>
    </w:div>
    <w:div w:id="924991638">
      <w:bodyDiv w:val="1"/>
      <w:marLeft w:val="0"/>
      <w:marRight w:val="0"/>
      <w:marTop w:val="0"/>
      <w:marBottom w:val="0"/>
      <w:divBdr>
        <w:top w:val="none" w:sz="0" w:space="0" w:color="auto"/>
        <w:left w:val="none" w:sz="0" w:space="0" w:color="auto"/>
        <w:bottom w:val="none" w:sz="0" w:space="0" w:color="auto"/>
        <w:right w:val="none" w:sz="0" w:space="0" w:color="auto"/>
      </w:divBdr>
    </w:div>
    <w:div w:id="994989047">
      <w:bodyDiv w:val="1"/>
      <w:marLeft w:val="0"/>
      <w:marRight w:val="0"/>
      <w:marTop w:val="0"/>
      <w:marBottom w:val="0"/>
      <w:divBdr>
        <w:top w:val="none" w:sz="0" w:space="0" w:color="auto"/>
        <w:left w:val="none" w:sz="0" w:space="0" w:color="auto"/>
        <w:bottom w:val="none" w:sz="0" w:space="0" w:color="auto"/>
        <w:right w:val="none" w:sz="0" w:space="0" w:color="auto"/>
      </w:divBdr>
    </w:div>
    <w:div w:id="1144274242">
      <w:bodyDiv w:val="1"/>
      <w:marLeft w:val="0"/>
      <w:marRight w:val="0"/>
      <w:marTop w:val="0"/>
      <w:marBottom w:val="0"/>
      <w:divBdr>
        <w:top w:val="none" w:sz="0" w:space="0" w:color="auto"/>
        <w:left w:val="none" w:sz="0" w:space="0" w:color="auto"/>
        <w:bottom w:val="none" w:sz="0" w:space="0" w:color="auto"/>
        <w:right w:val="none" w:sz="0" w:space="0" w:color="auto"/>
      </w:divBdr>
    </w:div>
    <w:div w:id="1266497168">
      <w:bodyDiv w:val="1"/>
      <w:marLeft w:val="0"/>
      <w:marRight w:val="0"/>
      <w:marTop w:val="0"/>
      <w:marBottom w:val="0"/>
      <w:divBdr>
        <w:top w:val="none" w:sz="0" w:space="0" w:color="auto"/>
        <w:left w:val="none" w:sz="0" w:space="0" w:color="auto"/>
        <w:bottom w:val="none" w:sz="0" w:space="0" w:color="auto"/>
        <w:right w:val="none" w:sz="0" w:space="0" w:color="auto"/>
      </w:divBdr>
    </w:div>
    <w:div w:id="1296108036">
      <w:bodyDiv w:val="1"/>
      <w:marLeft w:val="0"/>
      <w:marRight w:val="0"/>
      <w:marTop w:val="0"/>
      <w:marBottom w:val="0"/>
      <w:divBdr>
        <w:top w:val="none" w:sz="0" w:space="0" w:color="auto"/>
        <w:left w:val="none" w:sz="0" w:space="0" w:color="auto"/>
        <w:bottom w:val="none" w:sz="0" w:space="0" w:color="auto"/>
        <w:right w:val="none" w:sz="0" w:space="0" w:color="auto"/>
      </w:divBdr>
    </w:div>
    <w:div w:id="1535924538">
      <w:bodyDiv w:val="1"/>
      <w:marLeft w:val="0"/>
      <w:marRight w:val="0"/>
      <w:marTop w:val="0"/>
      <w:marBottom w:val="0"/>
      <w:divBdr>
        <w:top w:val="none" w:sz="0" w:space="0" w:color="auto"/>
        <w:left w:val="none" w:sz="0" w:space="0" w:color="auto"/>
        <w:bottom w:val="none" w:sz="0" w:space="0" w:color="auto"/>
        <w:right w:val="none" w:sz="0" w:space="0" w:color="auto"/>
      </w:divBdr>
    </w:div>
    <w:div w:id="1600137965">
      <w:bodyDiv w:val="1"/>
      <w:marLeft w:val="0"/>
      <w:marRight w:val="0"/>
      <w:marTop w:val="0"/>
      <w:marBottom w:val="0"/>
      <w:divBdr>
        <w:top w:val="none" w:sz="0" w:space="0" w:color="auto"/>
        <w:left w:val="none" w:sz="0" w:space="0" w:color="auto"/>
        <w:bottom w:val="none" w:sz="0" w:space="0" w:color="auto"/>
        <w:right w:val="none" w:sz="0" w:space="0" w:color="auto"/>
      </w:divBdr>
    </w:div>
    <w:div w:id="1608342040">
      <w:bodyDiv w:val="1"/>
      <w:marLeft w:val="0"/>
      <w:marRight w:val="0"/>
      <w:marTop w:val="0"/>
      <w:marBottom w:val="0"/>
      <w:divBdr>
        <w:top w:val="none" w:sz="0" w:space="0" w:color="auto"/>
        <w:left w:val="none" w:sz="0" w:space="0" w:color="auto"/>
        <w:bottom w:val="none" w:sz="0" w:space="0" w:color="auto"/>
        <w:right w:val="none" w:sz="0" w:space="0" w:color="auto"/>
      </w:divBdr>
    </w:div>
    <w:div w:id="2127776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masshealthdruglist.ehs.state.ma.us/MHDL/pubdownloadpdfcurrent.do?id=567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FA72F1-78A1-47F3-9D5C-C59625018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951</Words>
  <Characters>5911</Characters>
  <Application>Microsoft Office Word</Application>
  <DocSecurity>0</DocSecurity>
  <Lines>177</Lines>
  <Paragraphs>29</Paragraphs>
  <ScaleCrop>false</ScaleCrop>
  <HeadingPairs>
    <vt:vector size="2" baseType="variant">
      <vt:variant>
        <vt:lpstr>Title</vt:lpstr>
      </vt:variant>
      <vt:variant>
        <vt:i4>1</vt:i4>
      </vt:variant>
    </vt:vector>
  </HeadingPairs>
  <TitlesOfParts>
    <vt:vector size="1" baseType="lpstr">
      <vt:lpstr/>
    </vt:vector>
  </TitlesOfParts>
  <Company>Office of Health and Human Services</Company>
  <LinksUpToDate>false</LinksUpToDate>
  <CharactersWithSpaces>6858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EHS</dc:creator>
  <cp:lastModifiedBy>Luca, Joseph (EHS)</cp:lastModifiedBy>
  <cp:revision>5</cp:revision>
  <cp:lastPrinted>2021-02-08T15:58:00Z</cp:lastPrinted>
  <dcterms:created xsi:type="dcterms:W3CDTF">2021-02-08T15:56:00Z</dcterms:created>
  <dcterms:modified xsi:type="dcterms:W3CDTF">2021-02-08T15:59:00Z</dcterms:modified>
</cp:coreProperties>
</file>