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C543" w14:textId="04B30586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70BEC625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AD42BB" w:rsidRPr="00AD42BB">
        <w:t>M</w:t>
      </w:r>
      <w:r w:rsidR="000B6998">
        <w:t>arch</w:t>
      </w:r>
      <w:r w:rsidR="00AD42BB" w:rsidRPr="00807E9F">
        <w:rPr>
          <w:color w:val="FF0000"/>
        </w:rPr>
        <w:t xml:space="preserve"> </w:t>
      </w:r>
      <w:r w:rsidR="000B6998" w:rsidRPr="000B6998">
        <w:t>2022</w:t>
      </w:r>
      <w:r w:rsidR="00AD42BB" w:rsidRPr="000B6998">
        <w:t xml:space="preserve">, Volume </w:t>
      </w:r>
      <w:r w:rsidR="000B6998" w:rsidRPr="000B6998">
        <w:t>12</w:t>
      </w:r>
      <w:r w:rsidR="00AD42BB" w:rsidRPr="000B6998">
        <w:t xml:space="preserve">, Issue </w:t>
      </w:r>
      <w:r w:rsidR="000B6998" w:rsidRPr="000B6998">
        <w:t>2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bookmarkStart w:id="0" w:name="_Hlk99096983"/>
    <w:p w14:paraId="54F79017" w14:textId="46ADD839" w:rsidR="00C656AF" w:rsidRPr="00CF2078" w:rsidRDefault="00DA302D" w:rsidP="00C656AF">
      <w:pPr>
        <w:pStyle w:val="Heading2"/>
        <w:framePr w:hSpace="0" w:wrap="auto" w:vAnchor="margin" w:yAlign="in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B32A" wp14:editId="0451456D">
                <wp:simplePos x="0" y="0"/>
                <wp:positionH relativeFrom="column">
                  <wp:posOffset>3363122</wp:posOffset>
                </wp:positionH>
                <wp:positionV relativeFrom="paragraph">
                  <wp:posOffset>149887</wp:posOffset>
                </wp:positionV>
                <wp:extent cx="45719" cy="7684851"/>
                <wp:effectExtent l="0" t="0" r="18415" b="2413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68485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A5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&quot;&quot;" style="position:absolute;margin-left:264.8pt;margin-top:11.8pt;width:3.6pt;height:605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" strokecolor="black [3213]">
                <v:stroke joinstyle="miter"/>
              </v:shape>
            </w:pict>
          </mc:Fallback>
        </mc:AlternateContent>
      </w:r>
      <w:proofErr w:type="spellStart"/>
      <w:r w:rsidR="00B76FBA" w:rsidRPr="00B76FBA">
        <w:t>Evusheld</w:t>
      </w:r>
      <w:proofErr w:type="spellEnd"/>
      <w:r w:rsidR="00B76FBA" w:rsidRPr="00B76FBA">
        <w:t xml:space="preserve"> (</w:t>
      </w:r>
      <w:proofErr w:type="spellStart"/>
      <w:r w:rsidR="00B76FBA" w:rsidRPr="00B76FBA">
        <w:t>tixagevimab</w:t>
      </w:r>
      <w:proofErr w:type="spellEnd"/>
      <w:r w:rsidR="00B76FBA" w:rsidRPr="00B76FBA">
        <w:t xml:space="preserve"> </w:t>
      </w:r>
      <w:proofErr w:type="spellStart"/>
      <w:r w:rsidR="00B76FBA" w:rsidRPr="00B76FBA">
        <w:t>copackaged</w:t>
      </w:r>
      <w:proofErr w:type="spellEnd"/>
      <w:r w:rsidR="00B76FBA" w:rsidRPr="00B76FBA">
        <w:t xml:space="preserve"> with </w:t>
      </w:r>
      <w:proofErr w:type="spellStart"/>
      <w:r w:rsidR="00B76FBA" w:rsidRPr="00B76FBA">
        <w:t>cilgavimab</w:t>
      </w:r>
      <w:proofErr w:type="spellEnd"/>
      <w:r w:rsidR="00B76FBA" w:rsidRPr="00B76FBA">
        <w:t xml:space="preserve">) </w:t>
      </w:r>
      <w:r w:rsidR="00C656AF" w:rsidRPr="00CF2078">
        <w:t xml:space="preserve"> </w:t>
      </w:r>
    </w:p>
    <w:p w14:paraId="385FA052" w14:textId="77777777" w:rsidR="00C656AF" w:rsidRPr="00F9023B" w:rsidRDefault="00C656AF" w:rsidP="00C656AF">
      <w:pPr>
        <w:widowControl w:val="0"/>
        <w:rPr>
          <w:lang w:val="en"/>
        </w:rPr>
      </w:pPr>
    </w:p>
    <w:p w14:paraId="6718526A" w14:textId="765D47DC" w:rsidR="00C656AF" w:rsidRPr="00CF7544" w:rsidRDefault="00B76FBA" w:rsidP="00E93589">
      <w:pPr>
        <w:spacing w:after="12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The </w:t>
      </w:r>
      <w:r w:rsidRPr="00B76FBA">
        <w:rPr>
          <w:bCs/>
          <w:color w:val="auto"/>
          <w:sz w:val="22"/>
          <w:szCs w:val="22"/>
        </w:rPr>
        <w:t xml:space="preserve">MassHealth Pharmacy program continues to support prescribers and members in appropriate prevention and treatment strategies for COVID-19. As such, the program is using this edition of the E-letter to provide updated information regarding the current United States Food and Drug Administration (FDA) Emergency Use Authorization (EUA) for </w:t>
      </w:r>
      <w:proofErr w:type="spellStart"/>
      <w:r w:rsidRPr="00B76FBA">
        <w:rPr>
          <w:bCs/>
          <w:color w:val="auto"/>
          <w:sz w:val="22"/>
          <w:szCs w:val="22"/>
        </w:rPr>
        <w:t>Evusheld</w:t>
      </w:r>
      <w:proofErr w:type="spellEnd"/>
      <w:r w:rsidRPr="00B76FBA">
        <w:rPr>
          <w:bCs/>
          <w:color w:val="auto"/>
          <w:sz w:val="22"/>
          <w:szCs w:val="22"/>
        </w:rPr>
        <w:t xml:space="preserve"> (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</w:t>
      </w:r>
      <w:proofErr w:type="spellStart"/>
      <w:r w:rsidRPr="00B76FBA">
        <w:rPr>
          <w:bCs/>
          <w:color w:val="auto"/>
          <w:sz w:val="22"/>
          <w:szCs w:val="22"/>
        </w:rPr>
        <w:t>copackaged</w:t>
      </w:r>
      <w:proofErr w:type="spellEnd"/>
      <w:r w:rsidRPr="00B76FBA">
        <w:rPr>
          <w:bCs/>
          <w:color w:val="auto"/>
          <w:sz w:val="22"/>
          <w:szCs w:val="22"/>
        </w:rPr>
        <w:t xml:space="preserve"> with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 xml:space="preserve">).  </w:t>
      </w:r>
    </w:p>
    <w:p w14:paraId="1B8DEBE8" w14:textId="77777777" w:rsidR="00A13579" w:rsidRPr="00DA302D" w:rsidRDefault="00A13579" w:rsidP="00C656AF">
      <w:pPr>
        <w:rPr>
          <w:bCs/>
          <w:color w:val="auto"/>
          <w:sz w:val="22"/>
          <w:szCs w:val="22"/>
        </w:rPr>
      </w:pPr>
    </w:p>
    <w:p w14:paraId="4E5ED7B6" w14:textId="7F1D3F6A" w:rsidR="00B76FBA" w:rsidRPr="00B76FBA" w:rsidRDefault="00B76FBA" w:rsidP="00B76FBA">
      <w:pPr>
        <w:ind w:right="-101"/>
        <w:rPr>
          <w:bCs/>
          <w:color w:val="auto"/>
          <w:sz w:val="22"/>
          <w:szCs w:val="22"/>
        </w:rPr>
      </w:pPr>
      <w:proofErr w:type="spellStart"/>
      <w:r w:rsidRPr="00B76FBA">
        <w:rPr>
          <w:bCs/>
          <w:color w:val="auto"/>
          <w:sz w:val="22"/>
          <w:szCs w:val="22"/>
        </w:rPr>
        <w:t>Evusheld</w:t>
      </w:r>
      <w:proofErr w:type="spellEnd"/>
      <w:r w:rsidRPr="00B76FBA">
        <w:rPr>
          <w:bCs/>
          <w:color w:val="auto"/>
          <w:sz w:val="22"/>
          <w:szCs w:val="22"/>
        </w:rPr>
        <w:t xml:space="preserve"> (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</w:t>
      </w:r>
      <w:proofErr w:type="spellStart"/>
      <w:r w:rsidRPr="00B76FBA">
        <w:rPr>
          <w:bCs/>
          <w:color w:val="auto"/>
          <w:sz w:val="22"/>
          <w:szCs w:val="22"/>
        </w:rPr>
        <w:t>copackaged</w:t>
      </w:r>
      <w:proofErr w:type="spellEnd"/>
      <w:r w:rsidRPr="00B76FBA">
        <w:rPr>
          <w:bCs/>
          <w:color w:val="auto"/>
          <w:sz w:val="22"/>
          <w:szCs w:val="22"/>
        </w:rPr>
        <w:t xml:space="preserve"> with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>) is a combination of two recombinant human IgG1κ monoclonal antibodies which are SARS-CoV-2 spike protein-directed attachment inhibitors. This agent was issued an EUA by the U.S. FDA for emergency use as pre-exposure prophylaxis for prevention of COVID-19 on December 8, 2021, for adults and pediatric individuals (12 years of age and older weighing at least 40 kg):</w:t>
      </w:r>
    </w:p>
    <w:p w14:paraId="2786472C" w14:textId="77777777" w:rsidR="00B76FBA" w:rsidRPr="00B76FBA" w:rsidRDefault="00B76FBA" w:rsidP="00B76FBA">
      <w:pPr>
        <w:numPr>
          <w:ilvl w:val="0"/>
          <w:numId w:val="4"/>
        </w:numPr>
        <w:ind w:right="-101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Who are not currently infected with SARS-CoV-2 and who have not had a known recent exposure to an individual infected with SARS-CoV-2 </w:t>
      </w:r>
      <w:proofErr w:type="gramStart"/>
      <w:r w:rsidRPr="00B76FBA">
        <w:rPr>
          <w:bCs/>
          <w:color w:val="auto"/>
          <w:sz w:val="22"/>
          <w:szCs w:val="22"/>
        </w:rPr>
        <w:t>and</w:t>
      </w:r>
      <w:proofErr w:type="gramEnd"/>
    </w:p>
    <w:p w14:paraId="65652598" w14:textId="77777777" w:rsidR="00B76FBA" w:rsidRPr="00B76FBA" w:rsidRDefault="00B76FBA" w:rsidP="00B76FBA">
      <w:pPr>
        <w:numPr>
          <w:ilvl w:val="0"/>
          <w:numId w:val="5"/>
        </w:numPr>
        <w:ind w:right="-101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Who have moderate to severe immune compromise due to a medical condition or receipt of immunosuppressive medications or treatments and may not mount an adequate immune response to COVID-19 vaccination </w:t>
      </w:r>
      <w:proofErr w:type="gramStart"/>
      <w:r w:rsidRPr="00B76FBA">
        <w:rPr>
          <w:bCs/>
          <w:color w:val="auto"/>
          <w:sz w:val="22"/>
          <w:szCs w:val="22"/>
        </w:rPr>
        <w:t>or</w:t>
      </w:r>
      <w:proofErr w:type="gramEnd"/>
    </w:p>
    <w:p w14:paraId="7460246A" w14:textId="2D67A9C3" w:rsidR="00B76FBA" w:rsidRDefault="00B76FBA" w:rsidP="00B76FBA">
      <w:pPr>
        <w:numPr>
          <w:ilvl w:val="0"/>
          <w:numId w:val="5"/>
        </w:numPr>
        <w:spacing w:after="120"/>
        <w:ind w:right="-94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>For whom vaccination with any available COVID-19 vaccine, according to the approved or authorized schedule, is not recommended due to a history of severe adverse reaction to a COVID-19 vaccine(s) and/or COVID-19 vaccine components(s).</w:t>
      </w:r>
    </w:p>
    <w:p w14:paraId="7CE87906" w14:textId="77777777" w:rsidR="00E93589" w:rsidRPr="00B76FBA" w:rsidRDefault="00E93589" w:rsidP="00E93589">
      <w:pPr>
        <w:spacing w:after="120"/>
        <w:ind w:left="1440" w:right="-94"/>
        <w:rPr>
          <w:bCs/>
          <w:color w:val="auto"/>
          <w:sz w:val="22"/>
          <w:szCs w:val="22"/>
        </w:rPr>
      </w:pPr>
    </w:p>
    <w:p w14:paraId="505E18C0" w14:textId="7B98B6AB" w:rsidR="00B76FBA" w:rsidRPr="00B76FBA" w:rsidRDefault="00B76FBA" w:rsidP="00B76FBA">
      <w:pPr>
        <w:spacing w:after="120"/>
        <w:ind w:right="-94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More recently on February 24, 2022, the EUA was revised to recommend an increased initial dose of 300 mg of 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and 300 mg of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 xml:space="preserve"> due to a concern about suboptimal activity against certain Omicron subvariants with original 150 mg dosing regimen. </w:t>
      </w:r>
    </w:p>
    <w:p w14:paraId="016DD74E" w14:textId="44E84E00" w:rsidR="00B76FBA" w:rsidRDefault="00B76FBA" w:rsidP="001B2DED">
      <w:pPr>
        <w:spacing w:after="120"/>
        <w:ind w:right="-94"/>
        <w:rPr>
          <w:bCs/>
          <w:color w:val="auto"/>
          <w:sz w:val="22"/>
          <w:szCs w:val="22"/>
        </w:rPr>
      </w:pPr>
    </w:p>
    <w:p w14:paraId="336D6F52" w14:textId="77777777" w:rsidR="00B76FBA" w:rsidRDefault="00B76FBA" w:rsidP="001B2DED">
      <w:pPr>
        <w:spacing w:after="120"/>
        <w:ind w:right="-94"/>
        <w:rPr>
          <w:bCs/>
          <w:color w:val="auto"/>
          <w:sz w:val="22"/>
          <w:szCs w:val="22"/>
        </w:rPr>
      </w:pPr>
    </w:p>
    <w:p w14:paraId="0D9DDBA9" w14:textId="378CB416" w:rsidR="00B76FBA" w:rsidRPr="00B76FBA" w:rsidRDefault="00B76FBA" w:rsidP="00B76FBA">
      <w:pPr>
        <w:spacing w:after="120"/>
        <w:ind w:right="-94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MassHealth providers can find more detailed information on appropriate patient selection, warnings and precautions, </w:t>
      </w:r>
      <w:proofErr w:type="gramStart"/>
      <w:r w:rsidRPr="00B76FBA">
        <w:rPr>
          <w:bCs/>
          <w:color w:val="auto"/>
          <w:sz w:val="22"/>
          <w:szCs w:val="22"/>
        </w:rPr>
        <w:t>availability</w:t>
      </w:r>
      <w:proofErr w:type="gramEnd"/>
      <w:r w:rsidRPr="00B76FBA">
        <w:rPr>
          <w:bCs/>
          <w:color w:val="auto"/>
          <w:sz w:val="22"/>
          <w:szCs w:val="22"/>
        </w:rPr>
        <w:t xml:space="preserve"> and coverage for </w:t>
      </w:r>
      <w:proofErr w:type="spellStart"/>
      <w:r w:rsidRPr="00B76FBA">
        <w:rPr>
          <w:bCs/>
          <w:color w:val="auto"/>
          <w:sz w:val="22"/>
          <w:szCs w:val="22"/>
        </w:rPr>
        <w:t>Evusheld</w:t>
      </w:r>
      <w:proofErr w:type="spellEnd"/>
      <w:r w:rsidRPr="00B76FBA">
        <w:rPr>
          <w:bCs/>
          <w:color w:val="auto"/>
          <w:sz w:val="22"/>
          <w:szCs w:val="22"/>
        </w:rPr>
        <w:t xml:space="preserve"> in the reference section below.</w:t>
      </w:r>
    </w:p>
    <w:p w14:paraId="4112F1EA" w14:textId="7C00A3BB" w:rsidR="001B2DED" w:rsidRDefault="001B2DED" w:rsidP="001B2DED">
      <w:pPr>
        <w:spacing w:after="120"/>
        <w:ind w:right="-94"/>
        <w:rPr>
          <w:bCs/>
          <w:color w:val="auto"/>
          <w:sz w:val="22"/>
          <w:szCs w:val="22"/>
        </w:rPr>
      </w:pPr>
    </w:p>
    <w:p w14:paraId="794F0A0E" w14:textId="3B9E48A4" w:rsidR="00B76FBA" w:rsidRPr="00B76FBA" w:rsidRDefault="00B76FBA" w:rsidP="00B76FBA">
      <w:pPr>
        <w:widowControl w:val="0"/>
        <w:spacing w:after="120"/>
        <w:rPr>
          <w:b/>
          <w:bCs/>
          <w:color w:val="auto"/>
          <w:sz w:val="22"/>
          <w:szCs w:val="22"/>
        </w:rPr>
      </w:pPr>
      <w:bookmarkStart w:id="1" w:name="_Hlk55903712"/>
      <w:r w:rsidRPr="00B76FBA">
        <w:rPr>
          <w:b/>
          <w:bCs/>
          <w:color w:val="auto"/>
          <w:sz w:val="22"/>
          <w:szCs w:val="22"/>
        </w:rPr>
        <w:t>Dosing and Administration</w:t>
      </w:r>
    </w:p>
    <w:p w14:paraId="6841A329" w14:textId="77777777" w:rsidR="00B76FBA" w:rsidRPr="00B76FBA" w:rsidRDefault="00B76FBA" w:rsidP="00B76FBA">
      <w:pPr>
        <w:widowControl w:val="0"/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Administer 300 mg (3 mL) of 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and 300 mg (3 mL) of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 xml:space="preserve"> as two </w:t>
      </w:r>
      <w:proofErr w:type="gramStart"/>
      <w:r w:rsidRPr="00B76FBA">
        <w:rPr>
          <w:bCs/>
          <w:color w:val="auto"/>
          <w:sz w:val="22"/>
          <w:szCs w:val="22"/>
        </w:rPr>
        <w:t>separate</w:t>
      </w:r>
      <w:proofErr w:type="gramEnd"/>
      <w:r w:rsidRPr="00B76FBA">
        <w:rPr>
          <w:bCs/>
          <w:color w:val="auto"/>
          <w:sz w:val="22"/>
          <w:szCs w:val="22"/>
        </w:rPr>
        <w:t xml:space="preserve"> intramuscular (IM) injections, per EUA package insert, preferably one in each of the gluteal muscles (each injection is comprised of 150 mg 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and 150 mg of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>).</w:t>
      </w:r>
    </w:p>
    <w:p w14:paraId="391D4146" w14:textId="77777777" w:rsidR="00B76FBA" w:rsidRPr="00B76FBA" w:rsidRDefault="00B76FBA" w:rsidP="00B76FBA">
      <w:pPr>
        <w:widowControl w:val="0"/>
        <w:numPr>
          <w:ilvl w:val="0"/>
          <w:numId w:val="4"/>
        </w:numPr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Individuals who received the previously authorized dose (150 mg 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and 150 mg of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 xml:space="preserve">) should receive a second </w:t>
      </w:r>
      <w:proofErr w:type="spellStart"/>
      <w:r w:rsidRPr="00B76FBA">
        <w:rPr>
          <w:bCs/>
          <w:color w:val="auto"/>
          <w:sz w:val="22"/>
          <w:szCs w:val="22"/>
        </w:rPr>
        <w:t>Evusheld</w:t>
      </w:r>
      <w:proofErr w:type="spellEnd"/>
      <w:r w:rsidRPr="00B76FBA">
        <w:rPr>
          <w:bCs/>
          <w:color w:val="auto"/>
          <w:sz w:val="22"/>
          <w:szCs w:val="22"/>
        </w:rPr>
        <w:t xml:space="preserve"> dose (150 mg </w:t>
      </w:r>
      <w:proofErr w:type="spellStart"/>
      <w:r w:rsidRPr="00B76FBA">
        <w:rPr>
          <w:bCs/>
          <w:color w:val="auto"/>
          <w:sz w:val="22"/>
          <w:szCs w:val="22"/>
        </w:rPr>
        <w:t>tixagevimab</w:t>
      </w:r>
      <w:proofErr w:type="spellEnd"/>
      <w:r w:rsidRPr="00B76FBA">
        <w:rPr>
          <w:bCs/>
          <w:color w:val="auto"/>
          <w:sz w:val="22"/>
          <w:szCs w:val="22"/>
        </w:rPr>
        <w:t xml:space="preserve"> and 150 mg of </w:t>
      </w:r>
      <w:proofErr w:type="spellStart"/>
      <w:r w:rsidRPr="00B76FBA">
        <w:rPr>
          <w:bCs/>
          <w:color w:val="auto"/>
          <w:sz w:val="22"/>
          <w:szCs w:val="22"/>
        </w:rPr>
        <w:t>cilgavimab</w:t>
      </w:r>
      <w:proofErr w:type="spellEnd"/>
      <w:r w:rsidRPr="00B76FBA">
        <w:rPr>
          <w:bCs/>
          <w:color w:val="auto"/>
          <w:sz w:val="22"/>
          <w:szCs w:val="22"/>
        </w:rPr>
        <w:t>) as soon as possible.</w:t>
      </w:r>
    </w:p>
    <w:p w14:paraId="325DEB0E" w14:textId="77777777" w:rsidR="00B76FBA" w:rsidRPr="00B76FBA" w:rsidRDefault="00B76FBA" w:rsidP="00B76FBA">
      <w:pPr>
        <w:widowControl w:val="0"/>
        <w:numPr>
          <w:ilvl w:val="0"/>
          <w:numId w:val="4"/>
        </w:numPr>
        <w:rPr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>Monitor individuals for adverse events at least one hour after injections.</w:t>
      </w:r>
    </w:p>
    <w:p w14:paraId="580F3CA5" w14:textId="77777777" w:rsidR="00B76FBA" w:rsidRPr="00B76FBA" w:rsidRDefault="00B76FBA" w:rsidP="00B76FBA">
      <w:pPr>
        <w:widowControl w:val="0"/>
        <w:numPr>
          <w:ilvl w:val="0"/>
          <w:numId w:val="4"/>
        </w:numPr>
        <w:spacing w:after="120"/>
        <w:rPr>
          <w:b/>
          <w:bCs/>
          <w:color w:val="auto"/>
          <w:sz w:val="22"/>
          <w:szCs w:val="22"/>
        </w:rPr>
      </w:pPr>
      <w:r w:rsidRPr="00B76FBA">
        <w:rPr>
          <w:bCs/>
          <w:color w:val="auto"/>
          <w:sz w:val="22"/>
          <w:szCs w:val="22"/>
        </w:rPr>
        <w:t xml:space="preserve">In individuals who have received a COVID-19 vaccine, </w:t>
      </w:r>
      <w:proofErr w:type="spellStart"/>
      <w:r w:rsidRPr="00B76FBA">
        <w:rPr>
          <w:bCs/>
          <w:color w:val="auto"/>
          <w:sz w:val="22"/>
          <w:szCs w:val="22"/>
        </w:rPr>
        <w:t>Evusheld</w:t>
      </w:r>
      <w:proofErr w:type="spellEnd"/>
      <w:r w:rsidRPr="00B76FBA">
        <w:rPr>
          <w:bCs/>
          <w:color w:val="auto"/>
          <w:sz w:val="22"/>
          <w:szCs w:val="22"/>
        </w:rPr>
        <w:t xml:space="preserve"> should be administered at least two weeks after vaccination. </w:t>
      </w:r>
    </w:p>
    <w:p w14:paraId="78CD6C24" w14:textId="5B96677F" w:rsidR="001B2DED" w:rsidRDefault="001B2DED" w:rsidP="001B2DED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16FF7AB6" w14:textId="77777777" w:rsidR="00E93589" w:rsidRPr="00E93589" w:rsidRDefault="00E93589" w:rsidP="00E93589">
      <w:pPr>
        <w:widowControl w:val="0"/>
        <w:spacing w:after="120"/>
        <w:rPr>
          <w:b/>
          <w:bCs/>
          <w:color w:val="auto"/>
          <w:sz w:val="22"/>
          <w:szCs w:val="22"/>
        </w:rPr>
      </w:pPr>
      <w:r w:rsidRPr="00E93589">
        <w:rPr>
          <w:b/>
          <w:bCs/>
          <w:color w:val="auto"/>
          <w:sz w:val="22"/>
          <w:szCs w:val="22"/>
        </w:rPr>
        <w:t>Adverse Reactions</w:t>
      </w:r>
    </w:p>
    <w:p w14:paraId="35208E74" w14:textId="77777777" w:rsidR="004A3216" w:rsidRDefault="00E93589" w:rsidP="004A3216">
      <w:pPr>
        <w:widowControl w:val="0"/>
        <w:rPr>
          <w:bCs/>
          <w:color w:val="auto"/>
          <w:sz w:val="22"/>
          <w:szCs w:val="22"/>
        </w:rPr>
      </w:pPr>
      <w:r w:rsidRPr="00E93589">
        <w:rPr>
          <w:bCs/>
          <w:color w:val="auto"/>
          <w:sz w:val="22"/>
          <w:szCs w:val="22"/>
        </w:rPr>
        <w:t>Most common adverse events (all grades, incidence</w:t>
      </w:r>
    </w:p>
    <w:p w14:paraId="62135854" w14:textId="33469074" w:rsidR="00E93589" w:rsidRDefault="00E93589" w:rsidP="00E93589">
      <w:pPr>
        <w:widowControl w:val="0"/>
        <w:spacing w:after="120"/>
        <w:rPr>
          <w:bCs/>
          <w:color w:val="auto"/>
          <w:sz w:val="22"/>
          <w:szCs w:val="22"/>
        </w:rPr>
      </w:pPr>
      <w:r w:rsidRPr="00E93589">
        <w:rPr>
          <w:bCs/>
          <w:color w:val="auto"/>
          <w:sz w:val="22"/>
          <w:szCs w:val="22"/>
        </w:rPr>
        <w:t xml:space="preserve"> ≥ 3%) are headache, fatigue, and cough.</w:t>
      </w:r>
    </w:p>
    <w:p w14:paraId="0A41FA75" w14:textId="77777777" w:rsidR="00E93589" w:rsidRPr="00E93589" w:rsidRDefault="00E93589" w:rsidP="00E9358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21E07F7E" w14:textId="77777777" w:rsidR="00E93589" w:rsidRPr="00E93589" w:rsidRDefault="00E93589" w:rsidP="00E93589">
      <w:pPr>
        <w:widowControl w:val="0"/>
        <w:spacing w:after="120"/>
        <w:rPr>
          <w:b/>
          <w:bCs/>
          <w:color w:val="auto"/>
          <w:sz w:val="22"/>
          <w:szCs w:val="22"/>
        </w:rPr>
      </w:pPr>
      <w:r w:rsidRPr="00E93589">
        <w:rPr>
          <w:b/>
          <w:bCs/>
          <w:color w:val="auto"/>
          <w:sz w:val="22"/>
          <w:szCs w:val="22"/>
        </w:rPr>
        <w:t>Availability and Coverage</w:t>
      </w:r>
    </w:p>
    <w:p w14:paraId="3C87BFE4" w14:textId="55250A8A" w:rsidR="00E93589" w:rsidRDefault="00E93589" w:rsidP="00E93589">
      <w:pPr>
        <w:widowControl w:val="0"/>
        <w:spacing w:after="120"/>
        <w:rPr>
          <w:bCs/>
          <w:color w:val="auto"/>
          <w:sz w:val="22"/>
          <w:szCs w:val="22"/>
        </w:rPr>
      </w:pPr>
      <w:r w:rsidRPr="00E93589">
        <w:rPr>
          <w:bCs/>
          <w:color w:val="auto"/>
          <w:sz w:val="22"/>
          <w:szCs w:val="22"/>
        </w:rPr>
        <w:t xml:space="preserve">MassHealth will cover the administration of </w:t>
      </w:r>
      <w:proofErr w:type="spellStart"/>
      <w:r w:rsidRPr="00E93589">
        <w:rPr>
          <w:bCs/>
          <w:color w:val="auto"/>
          <w:sz w:val="22"/>
          <w:szCs w:val="22"/>
        </w:rPr>
        <w:t>Evusheld</w:t>
      </w:r>
      <w:proofErr w:type="spellEnd"/>
      <w:r w:rsidRPr="00E93589">
        <w:rPr>
          <w:bCs/>
          <w:color w:val="auto"/>
          <w:sz w:val="22"/>
          <w:szCs w:val="22"/>
        </w:rPr>
        <w:t xml:space="preserve"> (</w:t>
      </w:r>
      <w:proofErr w:type="spellStart"/>
      <w:r w:rsidRPr="00E93589">
        <w:rPr>
          <w:bCs/>
          <w:color w:val="auto"/>
          <w:sz w:val="22"/>
          <w:szCs w:val="22"/>
        </w:rPr>
        <w:t>tixagevimab</w:t>
      </w:r>
      <w:proofErr w:type="spellEnd"/>
      <w:r w:rsidRPr="00E93589">
        <w:rPr>
          <w:bCs/>
          <w:color w:val="auto"/>
          <w:sz w:val="22"/>
          <w:szCs w:val="22"/>
        </w:rPr>
        <w:t xml:space="preserve"> </w:t>
      </w:r>
      <w:proofErr w:type="spellStart"/>
      <w:r w:rsidRPr="00E93589">
        <w:rPr>
          <w:bCs/>
          <w:color w:val="auto"/>
          <w:sz w:val="22"/>
          <w:szCs w:val="22"/>
        </w:rPr>
        <w:t>copackaged</w:t>
      </w:r>
      <w:proofErr w:type="spellEnd"/>
      <w:r w:rsidRPr="00E93589">
        <w:rPr>
          <w:bCs/>
          <w:color w:val="auto"/>
          <w:sz w:val="22"/>
          <w:szCs w:val="22"/>
        </w:rPr>
        <w:t xml:space="preserve"> with </w:t>
      </w:r>
      <w:proofErr w:type="spellStart"/>
      <w:r w:rsidRPr="00E93589">
        <w:rPr>
          <w:bCs/>
          <w:color w:val="auto"/>
          <w:sz w:val="22"/>
          <w:szCs w:val="22"/>
        </w:rPr>
        <w:t>cilgavimab</w:t>
      </w:r>
      <w:proofErr w:type="spellEnd"/>
      <w:r w:rsidRPr="00E93589">
        <w:rPr>
          <w:bCs/>
          <w:color w:val="auto"/>
          <w:sz w:val="22"/>
          <w:szCs w:val="22"/>
        </w:rPr>
        <w:t xml:space="preserve">) by providers enrolled in the MassHealth acute outpatient hospital, community health center, and physician programs for pre-exposure prophylaxis of COVID-19 only when the injections are administered in a manner fully compliant with the FDA’s EUA. Prior authorization is not required for this product. </w:t>
      </w:r>
    </w:p>
    <w:p w14:paraId="1F028346" w14:textId="77777777" w:rsidR="00E93589" w:rsidRPr="00E93589" w:rsidRDefault="00E93589" w:rsidP="00E93589">
      <w:pPr>
        <w:widowControl w:val="0"/>
        <w:spacing w:after="120"/>
        <w:rPr>
          <w:bCs/>
          <w:color w:val="auto"/>
          <w:sz w:val="22"/>
          <w:szCs w:val="22"/>
        </w:rPr>
      </w:pPr>
    </w:p>
    <w:p w14:paraId="3ED973BB" w14:textId="77777777" w:rsidR="00E93589" w:rsidRPr="00E93589" w:rsidRDefault="00E93589" w:rsidP="00E93589">
      <w:pPr>
        <w:widowControl w:val="0"/>
        <w:spacing w:after="120"/>
        <w:rPr>
          <w:bCs/>
          <w:color w:val="auto"/>
          <w:sz w:val="22"/>
          <w:szCs w:val="22"/>
        </w:rPr>
      </w:pPr>
      <w:r w:rsidRPr="00E93589">
        <w:rPr>
          <w:bCs/>
          <w:color w:val="auto"/>
          <w:sz w:val="22"/>
          <w:szCs w:val="22"/>
        </w:rPr>
        <w:t xml:space="preserve">The appropriate billing Healthcare Common Procedure Coding System (HCPCS) are provided below for reference. Refer to MassHealth All Provider Bulletin 336 and 341 for full descriptions.  </w:t>
      </w:r>
    </w:p>
    <w:bookmarkEnd w:id="1"/>
    <w:bookmarkEnd w:id="0"/>
    <w:p w14:paraId="6068FA9E" w14:textId="42A88459" w:rsidR="0062336E" w:rsidRPr="00CF7544" w:rsidRDefault="0062336E" w:rsidP="00B76FBA">
      <w:pPr>
        <w:widowControl w:val="0"/>
        <w:spacing w:after="120"/>
        <w:rPr>
          <w:bCs/>
          <w:color w:val="auto"/>
          <w:sz w:val="22"/>
          <w:szCs w:val="22"/>
        </w:rPr>
        <w:sectPr w:rsidR="0062336E" w:rsidRPr="00CF7544" w:rsidSect="001B2DED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</w:p>
    <w:tbl>
      <w:tblPr>
        <w:tblpPr w:leftFromText="180" w:rightFromText="180" w:vertAnchor="text" w:tblpY="13850"/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0C2AEE" w14:paraId="380A37C0" w14:textId="77777777" w:rsidTr="00DA302D">
        <w:trPr>
          <w:trHeight w:val="35"/>
        </w:trPr>
        <w:tc>
          <w:tcPr>
            <w:tcW w:w="108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E07C37" w14:textId="77777777" w:rsidR="000C2AEE" w:rsidRDefault="000C2AEE" w:rsidP="00371601">
            <w:pPr>
              <w:widowControl w:val="0"/>
              <w:jc w:val="center"/>
              <w:rPr>
                <w:sz w:val="6"/>
                <w:szCs w:val="6"/>
                <w:lang w:val="en"/>
              </w:rPr>
            </w:pPr>
            <w:r>
              <w:rPr>
                <w:lang w:val="en"/>
              </w:rPr>
              <w:lastRenderedPageBreak/>
              <w:t xml:space="preserve">Please send any </w:t>
            </w:r>
            <w:r>
              <w:rPr>
                <w:b/>
                <w:bCs/>
                <w:lang w:val="en"/>
              </w:rPr>
              <w:t xml:space="preserve">suggestions </w:t>
            </w:r>
            <w:r>
              <w:rPr>
                <w:lang w:val="en"/>
              </w:rPr>
              <w:t xml:space="preserve">or </w:t>
            </w:r>
            <w:r>
              <w:rPr>
                <w:b/>
                <w:bCs/>
                <w:lang w:val="en"/>
              </w:rPr>
              <w:t xml:space="preserve">comments </w:t>
            </w:r>
            <w:r>
              <w:rPr>
                <w:lang w:val="en"/>
              </w:rPr>
              <w:t xml:space="preserve">to: </w:t>
            </w:r>
            <w:hyperlink r:id="rId13" w:history="1">
              <w:r w:rsidRPr="007459B2">
                <w:rPr>
                  <w:rStyle w:val="Hyperlink"/>
                  <w:lang w:val="en"/>
                </w:rPr>
                <w:t>PrescriberELetter@state.ma.us</w:t>
              </w:r>
            </w:hyperlink>
            <w:r>
              <w:rPr>
                <w:lang w:val="en"/>
              </w:rPr>
              <w:t>.</w:t>
            </w:r>
          </w:p>
        </w:tc>
      </w:tr>
    </w:tbl>
    <w:p w14:paraId="7B099E8F" w14:textId="3DD22A00" w:rsidR="00AE483E" w:rsidRDefault="00AE483E" w:rsidP="00807E9F">
      <w:pPr>
        <w:pStyle w:val="Prescribere-letterdefinition"/>
        <w:spacing w:before="4080"/>
      </w:pPr>
      <w:r w:rsidRPr="0004346A">
        <w:t xml:space="preserve">The </w:t>
      </w:r>
      <w:r w:rsidRPr="0004346A">
        <w:rPr>
          <w:i/>
        </w:rPr>
        <w:t>Prescriber e-Letter</w:t>
      </w:r>
      <w:r w:rsidRPr="0004346A">
        <w:t xml:space="preserve"> is an update designed to enhance the transparency and efficiency of the MassHealth </w:t>
      </w:r>
      <w:r w:rsidRPr="0004346A">
        <w:br w:type="textWrapping" w:clear="all"/>
        <w:t xml:space="preserve">drug prior-authorization (PA) process and the MassHealth Drug List. Each issue </w:t>
      </w:r>
      <w:r w:rsidRPr="0004346A">
        <w:rPr>
          <w:b/>
        </w:rPr>
        <w:t>highlights</w:t>
      </w:r>
      <w:r w:rsidRPr="0004346A">
        <w:t xml:space="preserve"> key clinical </w:t>
      </w:r>
      <w:r w:rsidRPr="0004346A">
        <w:br/>
      </w:r>
      <w:r w:rsidRPr="0004346A">
        <w:rPr>
          <w:b/>
        </w:rPr>
        <w:t>information and updates</w:t>
      </w:r>
      <w:r w:rsidRPr="0004346A">
        <w:t xml:space="preserve"> to the </w:t>
      </w:r>
      <w:r w:rsidRPr="0004346A">
        <w:rPr>
          <w:b/>
        </w:rPr>
        <w:t>MassHealth Drug List</w:t>
      </w:r>
      <w:r w:rsidRPr="0004346A">
        <w:t>. The Prescriber E-Letter was prepared by the</w:t>
      </w:r>
      <w:r w:rsidRPr="0004346A">
        <w:br w:type="textWrapping" w:clear="all"/>
        <w:t>MassHealth Drug Utilization Review Program and the MassHealth Pharmacy Program.</w:t>
      </w:r>
    </w:p>
    <w:p w14:paraId="42A227D4" w14:textId="61DEC415" w:rsidR="00CF7544" w:rsidRPr="00CF7544" w:rsidRDefault="00CF7544" w:rsidP="00CF7544">
      <w:pPr>
        <w:rPr>
          <w:lang w:val="en"/>
        </w:rPr>
      </w:pPr>
    </w:p>
    <w:p w14:paraId="0139739D" w14:textId="77777777" w:rsidR="00EF72C4" w:rsidRDefault="00EF72C4" w:rsidP="00CF7544">
      <w:pPr>
        <w:rPr>
          <w:lang w:val="en"/>
        </w:rPr>
        <w:sectPr w:rsidR="00EF72C4" w:rsidSect="00DA302D">
          <w:headerReference w:type="default" r:id="rId14"/>
          <w:pgSz w:w="12240" w:h="15840" w:code="1"/>
          <w:pgMar w:top="860" w:right="720" w:bottom="259" w:left="907" w:header="412" w:footer="423" w:gutter="0"/>
          <w:cols w:space="720"/>
          <w:docGrid w:linePitch="360"/>
        </w:sectPr>
      </w:pPr>
    </w:p>
    <w:p w14:paraId="3A155230" w14:textId="22D284B2" w:rsidR="00CF7544" w:rsidRPr="00CF7544" w:rsidRDefault="00CF7544" w:rsidP="00CF7544">
      <w:pPr>
        <w:rPr>
          <w:lang w:val="e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900"/>
        <w:gridCol w:w="3489"/>
      </w:tblGrid>
      <w:tr w:rsidR="00226AFF" w14:paraId="69363BD9" w14:textId="77777777" w:rsidTr="007F5909">
        <w:tc>
          <w:tcPr>
            <w:tcW w:w="835" w:type="dxa"/>
            <w:shd w:val="clear" w:color="auto" w:fill="B4C6E7" w:themeFill="accent1" w:themeFillTint="66"/>
          </w:tcPr>
          <w:p w14:paraId="1D31C1A8" w14:textId="77777777" w:rsidR="00226AFF" w:rsidRDefault="00226AFF" w:rsidP="007F5909">
            <w:pPr>
              <w:widowControl w:val="0"/>
            </w:pPr>
            <w:r>
              <w:t>Code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18DEF977" w14:textId="77777777" w:rsidR="00226AFF" w:rsidRDefault="00226AFF" w:rsidP="007F5909">
            <w:pPr>
              <w:widowControl w:val="0"/>
            </w:pPr>
            <w:r>
              <w:t>Rate</w:t>
            </w:r>
          </w:p>
        </w:tc>
        <w:tc>
          <w:tcPr>
            <w:tcW w:w="3489" w:type="dxa"/>
            <w:shd w:val="clear" w:color="auto" w:fill="B4C6E7" w:themeFill="accent1" w:themeFillTint="66"/>
          </w:tcPr>
          <w:p w14:paraId="3D14FCE2" w14:textId="77777777" w:rsidR="00226AFF" w:rsidRDefault="00226AFF" w:rsidP="007F5909">
            <w:pPr>
              <w:widowControl w:val="0"/>
            </w:pPr>
            <w:r>
              <w:t>Description</w:t>
            </w:r>
          </w:p>
        </w:tc>
      </w:tr>
      <w:tr w:rsidR="00226AFF" w14:paraId="1DBCE19A" w14:textId="77777777" w:rsidTr="007F5909">
        <w:tc>
          <w:tcPr>
            <w:tcW w:w="835" w:type="dxa"/>
          </w:tcPr>
          <w:p w14:paraId="60A2D430" w14:textId="77777777" w:rsidR="00226AFF" w:rsidRDefault="00226AFF" w:rsidP="007F5909">
            <w:pPr>
              <w:widowControl w:val="0"/>
            </w:pPr>
            <w:r>
              <w:t>M0220</w:t>
            </w:r>
          </w:p>
        </w:tc>
        <w:tc>
          <w:tcPr>
            <w:tcW w:w="900" w:type="dxa"/>
          </w:tcPr>
          <w:p w14:paraId="61B325E7" w14:textId="77777777" w:rsidR="00226AFF" w:rsidRDefault="00226AFF" w:rsidP="007F5909">
            <w:pPr>
              <w:widowControl w:val="0"/>
            </w:pPr>
            <w:r>
              <w:t>$150.50</w:t>
            </w:r>
          </w:p>
        </w:tc>
        <w:tc>
          <w:tcPr>
            <w:tcW w:w="3489" w:type="dxa"/>
          </w:tcPr>
          <w:p w14:paraId="30C20169" w14:textId="77777777" w:rsidR="00226AFF" w:rsidRDefault="00226AFF" w:rsidP="007F5909">
            <w:pPr>
              <w:widowControl w:val="0"/>
            </w:pPr>
            <w:r w:rsidRPr="006240D0">
              <w:rPr>
                <w:rFonts w:eastAsia="Calibri"/>
                <w:color w:val="000000" w:themeColor="dark1"/>
                <w:kern w:val="24"/>
              </w:rPr>
              <w:t>injection and post administration monitoring</w:t>
            </w:r>
          </w:p>
        </w:tc>
      </w:tr>
      <w:tr w:rsidR="00226AFF" w14:paraId="6919C4C5" w14:textId="77777777" w:rsidTr="007F5909">
        <w:tc>
          <w:tcPr>
            <w:tcW w:w="835" w:type="dxa"/>
          </w:tcPr>
          <w:p w14:paraId="72279D38" w14:textId="77777777" w:rsidR="00226AFF" w:rsidRDefault="00226AFF" w:rsidP="007F5909">
            <w:pPr>
              <w:widowControl w:val="0"/>
            </w:pPr>
            <w:r>
              <w:t>M0221</w:t>
            </w:r>
          </w:p>
        </w:tc>
        <w:tc>
          <w:tcPr>
            <w:tcW w:w="900" w:type="dxa"/>
          </w:tcPr>
          <w:p w14:paraId="74C76A19" w14:textId="77777777" w:rsidR="00226AFF" w:rsidRDefault="00226AFF" w:rsidP="007F5909">
            <w:pPr>
              <w:widowControl w:val="0"/>
            </w:pPr>
            <w:r>
              <w:t>$250.50</w:t>
            </w:r>
          </w:p>
        </w:tc>
        <w:tc>
          <w:tcPr>
            <w:tcW w:w="3489" w:type="dxa"/>
          </w:tcPr>
          <w:p w14:paraId="213E2B8F" w14:textId="77777777" w:rsidR="00226AFF" w:rsidRDefault="00226AFF" w:rsidP="007F5909">
            <w:pPr>
              <w:widowControl w:val="0"/>
            </w:pPr>
            <w:r w:rsidRPr="006240D0">
              <w:rPr>
                <w:rFonts w:eastAsia="Calibri"/>
                <w:color w:val="000000" w:themeColor="dark1"/>
                <w:kern w:val="24"/>
              </w:rPr>
              <w:t xml:space="preserve">includes injection and post administration monitoring in the home or residence; this includes a beneficiary’s home that has been made provider-based to the hospital during the </w:t>
            </w:r>
            <w:r>
              <w:rPr>
                <w:rFonts w:eastAsia="Calibri"/>
                <w:color w:val="000000" w:themeColor="dark1"/>
                <w:kern w:val="24"/>
              </w:rPr>
              <w:t>C</w:t>
            </w:r>
            <w:r w:rsidRPr="006240D0">
              <w:rPr>
                <w:rFonts w:eastAsia="Calibri"/>
                <w:color w:val="000000" w:themeColor="dark1"/>
                <w:kern w:val="24"/>
              </w:rPr>
              <w:t>ovid-19 public health emergency</w:t>
            </w:r>
          </w:p>
        </w:tc>
      </w:tr>
    </w:tbl>
    <w:p w14:paraId="68242E49" w14:textId="7724517D" w:rsidR="002A5A04" w:rsidRDefault="002A5A04" w:rsidP="000438C6">
      <w:pPr>
        <w:pBdr>
          <w:bar w:val="single" w:sz="4" w:color="auto"/>
        </w:pBdr>
        <w:tabs>
          <w:tab w:val="left" w:pos="1169"/>
        </w:tabs>
        <w:rPr>
          <w:lang w:val="en"/>
        </w:rPr>
      </w:pPr>
    </w:p>
    <w:p w14:paraId="24E65DD4" w14:textId="77777777" w:rsidR="00226AFF" w:rsidRPr="00226AFF" w:rsidRDefault="00226AFF" w:rsidP="00226AFF">
      <w:pPr>
        <w:widowControl w:val="0"/>
        <w:tabs>
          <w:tab w:val="left" w:pos="1335"/>
        </w:tabs>
      </w:pPr>
      <w:r w:rsidRPr="00226AFF">
        <w:t>References:</w:t>
      </w:r>
    </w:p>
    <w:p w14:paraId="34AA5EF0" w14:textId="77777777" w:rsidR="00226AFF" w:rsidRPr="00226AFF" w:rsidRDefault="00226AFF" w:rsidP="00226AFF">
      <w:pPr>
        <w:widowControl w:val="0"/>
        <w:numPr>
          <w:ilvl w:val="0"/>
          <w:numId w:val="6"/>
        </w:numPr>
        <w:tabs>
          <w:tab w:val="left" w:pos="1335"/>
        </w:tabs>
        <w:contextualSpacing/>
      </w:pPr>
      <w:r w:rsidRPr="00226AFF">
        <w:rPr>
          <w:kern w:val="24"/>
        </w:rPr>
        <w:t xml:space="preserve">Coronavirus Update: FDA authorizes new long-acting monoclonal antibodies for pre-exposure prevention of COVID-19 in certain individuals [press release on the Internet]. U.S. Food &amp; Drug Administration. 2021 Dec 8 [cited 2022 Feb 1]. Available from: </w:t>
      </w:r>
      <w:hyperlink r:id="rId15" w:history="1">
        <w:r w:rsidRPr="00226AFF">
          <w:rPr>
            <w:color w:val="0000FF"/>
            <w:kern w:val="24"/>
            <w:u w:val="single"/>
          </w:rPr>
          <w:t>https://www.fda.gov/news-events/press-announcements/coronavirus-covid-19-update-fda-authorizes-new-long-acting-monoclonal-antibodies-pre-exposure</w:t>
        </w:r>
      </w:hyperlink>
      <w:r w:rsidRPr="00226AFF">
        <w:rPr>
          <w:kern w:val="24"/>
        </w:rPr>
        <w:t>.</w:t>
      </w:r>
    </w:p>
    <w:p w14:paraId="0708FDA0" w14:textId="77777777" w:rsidR="00226AFF" w:rsidRPr="00226AFF" w:rsidRDefault="00226AFF" w:rsidP="00226AFF">
      <w:pPr>
        <w:widowControl w:val="0"/>
        <w:numPr>
          <w:ilvl w:val="0"/>
          <w:numId w:val="6"/>
        </w:numPr>
        <w:tabs>
          <w:tab w:val="left" w:pos="1335"/>
        </w:tabs>
        <w:contextualSpacing/>
      </w:pPr>
      <w:r w:rsidRPr="00226AFF">
        <w:rPr>
          <w:kern w:val="24"/>
        </w:rPr>
        <w:t xml:space="preserve">Fact sheet for healthcare providers: emergency use authorization for </w:t>
      </w:r>
      <w:proofErr w:type="spellStart"/>
      <w:r w:rsidRPr="00226AFF">
        <w:rPr>
          <w:kern w:val="24"/>
        </w:rPr>
        <w:t>Evusheld</w:t>
      </w:r>
      <w:proofErr w:type="spellEnd"/>
      <w:r w:rsidRPr="00226AFF">
        <w:rPr>
          <w:kern w:val="24"/>
        </w:rPr>
        <w:t xml:space="preserve"> (</w:t>
      </w:r>
      <w:proofErr w:type="spellStart"/>
      <w:r w:rsidRPr="00226AFF">
        <w:rPr>
          <w:kern w:val="24"/>
        </w:rPr>
        <w:t>tixagevimab</w:t>
      </w:r>
      <w:proofErr w:type="spellEnd"/>
      <w:r w:rsidRPr="00226AFF">
        <w:rPr>
          <w:kern w:val="24"/>
        </w:rPr>
        <w:t xml:space="preserve"> co-packaged with </w:t>
      </w:r>
      <w:proofErr w:type="spellStart"/>
      <w:r w:rsidRPr="00226AFF">
        <w:rPr>
          <w:kern w:val="24"/>
        </w:rPr>
        <w:t>cilgavimab</w:t>
      </w:r>
      <w:proofErr w:type="spellEnd"/>
      <w:r w:rsidRPr="00226AFF">
        <w:rPr>
          <w:kern w:val="24"/>
        </w:rPr>
        <w:t xml:space="preserve">). U.S. Food and Drug Administration. 2022 Feb [cited 2022 Mar 18]. Available from: </w:t>
      </w:r>
      <w:hyperlink r:id="rId16" w:history="1">
        <w:r w:rsidRPr="00226AFF">
          <w:rPr>
            <w:color w:val="0000FF"/>
            <w:u w:val="single"/>
          </w:rPr>
          <w:t>https://www.fda.gov/media/154701/download</w:t>
        </w:r>
      </w:hyperlink>
      <w:r w:rsidRPr="00226AFF">
        <w:t>.</w:t>
      </w:r>
    </w:p>
    <w:p w14:paraId="7EF68DD5" w14:textId="77777777" w:rsidR="00226AFF" w:rsidRPr="00226AFF" w:rsidRDefault="00226AFF" w:rsidP="00226AFF">
      <w:pPr>
        <w:widowControl w:val="0"/>
        <w:numPr>
          <w:ilvl w:val="0"/>
          <w:numId w:val="6"/>
        </w:numPr>
        <w:tabs>
          <w:tab w:val="left" w:pos="1335"/>
        </w:tabs>
        <w:contextualSpacing/>
      </w:pPr>
      <w:r w:rsidRPr="00226AFF">
        <w:rPr>
          <w:kern w:val="24"/>
        </w:rPr>
        <w:t xml:space="preserve">MassHealth All Provider Bulletin 336. Mass.gov. 2021 Dec [cited 2022 Mar 18]. Available from: </w:t>
      </w:r>
      <w:hyperlink r:id="rId17" w:history="1">
        <w:r w:rsidRPr="00226AFF">
          <w:rPr>
            <w:color w:val="0000FF"/>
            <w:u w:val="single"/>
          </w:rPr>
          <w:t>https://www.mass.gov/doc/all-provider-bulletin-336-coverage-of-and-payment-for-the-administration-of-1-tixagevimab-co-packaged-with-cilgavimab-and-2-remdesivir-in-an-outpatient-setting-corrected/download</w:t>
        </w:r>
      </w:hyperlink>
      <w:r w:rsidRPr="00226AFF">
        <w:t>.</w:t>
      </w:r>
    </w:p>
    <w:p w14:paraId="53AC12BF" w14:textId="77777777" w:rsidR="00226AFF" w:rsidRPr="00226AFF" w:rsidRDefault="00226AFF" w:rsidP="00226AFF">
      <w:pPr>
        <w:widowControl w:val="0"/>
        <w:numPr>
          <w:ilvl w:val="0"/>
          <w:numId w:val="6"/>
        </w:numPr>
        <w:tabs>
          <w:tab w:val="left" w:pos="1335"/>
        </w:tabs>
        <w:contextualSpacing/>
      </w:pPr>
      <w:r w:rsidRPr="00226AFF">
        <w:rPr>
          <w:kern w:val="24"/>
        </w:rPr>
        <w:t xml:space="preserve">MassHealth All Provider Bulletin 341. Mass.gov. 2022 Mar [cited 2022 Mar 18]. Available from: </w:t>
      </w:r>
      <w:hyperlink r:id="rId18" w:history="1">
        <w:r w:rsidRPr="00226AFF">
          <w:rPr>
            <w:color w:val="0000FF"/>
            <w:u w:val="single"/>
          </w:rPr>
          <w:t>https://www.mass.gov/doc/all-provider-bulletin-341-coverage-of-and-payment-for-the-administration-of-1-tixagevimab-co-packaged-with-cilgavimab-and-2-bebtelovimab-0/download</w:t>
        </w:r>
      </w:hyperlink>
      <w:r w:rsidRPr="00226AFF">
        <w:t>.</w:t>
      </w:r>
    </w:p>
    <w:p w14:paraId="0B5818A9" w14:textId="794D6B7A" w:rsidR="00226AFF" w:rsidRDefault="00226AFF" w:rsidP="00226AFF">
      <w:pPr>
        <w:widowControl w:val="0"/>
        <w:numPr>
          <w:ilvl w:val="0"/>
          <w:numId w:val="6"/>
        </w:numPr>
        <w:tabs>
          <w:tab w:val="left" w:pos="1335"/>
        </w:tabs>
        <w:contextualSpacing/>
      </w:pPr>
      <w:r w:rsidRPr="00226AFF">
        <w:t xml:space="preserve">COVID-19 Public Therapeutic Locator. HealthData.gov.  Cited 2022 Mar 18. Available from: </w:t>
      </w:r>
      <w:hyperlink r:id="rId19" w:history="1">
        <w:r w:rsidR="00E95550" w:rsidRPr="00E462B3">
          <w:rPr>
            <w:rStyle w:val="Hyperlink"/>
          </w:rPr>
          <w:t>https://healthdata.gov/Health/COVID-19-Public-Therapeutic-Locator/rxn6-qnx8/data</w:t>
        </w:r>
      </w:hyperlink>
      <w:r w:rsidR="00E95550">
        <w:t>.</w:t>
      </w:r>
    </w:p>
    <w:p w14:paraId="1887FC3E" w14:textId="77777777" w:rsidR="00E95550" w:rsidRPr="00226AFF" w:rsidRDefault="00E95550" w:rsidP="00E95550">
      <w:pPr>
        <w:widowControl w:val="0"/>
        <w:tabs>
          <w:tab w:val="left" w:pos="1335"/>
        </w:tabs>
        <w:ind w:left="720"/>
        <w:contextualSpacing/>
      </w:pPr>
    </w:p>
    <w:p w14:paraId="47570E16" w14:textId="77777777" w:rsidR="00226AFF" w:rsidRPr="002A5A04" w:rsidRDefault="00226AFF" w:rsidP="000438C6">
      <w:pPr>
        <w:pBdr>
          <w:bar w:val="single" w:sz="4" w:color="auto"/>
        </w:pBdr>
        <w:tabs>
          <w:tab w:val="left" w:pos="1169"/>
        </w:tabs>
        <w:rPr>
          <w:lang w:val="en"/>
        </w:rPr>
      </w:pPr>
    </w:p>
    <w:sectPr w:rsidR="00226AFF" w:rsidRPr="002A5A04" w:rsidSect="000B6998">
      <w:type w:val="continuous"/>
      <w:pgSz w:w="12240" w:h="15840" w:code="1"/>
      <w:pgMar w:top="860" w:right="720" w:bottom="259" w:left="907" w:header="412" w:footer="423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1DDB" w14:textId="77777777" w:rsidR="00366BAA" w:rsidRDefault="00366BAA">
      <w:r>
        <w:separator/>
      </w:r>
    </w:p>
  </w:endnote>
  <w:endnote w:type="continuationSeparator" w:id="0">
    <w:p w14:paraId="49EC9813" w14:textId="77777777" w:rsidR="00366BAA" w:rsidRDefault="0036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37F4" w14:textId="77777777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509" w14:textId="77777777" w:rsidR="002F4A95" w:rsidRDefault="002F4A95" w:rsidP="002F4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BC6A" w14:textId="77777777" w:rsidR="00366BAA" w:rsidRDefault="00366BAA">
      <w:r>
        <w:separator/>
      </w:r>
    </w:p>
  </w:footnote>
  <w:footnote w:type="continuationSeparator" w:id="0">
    <w:p w14:paraId="1D6642B4" w14:textId="77777777" w:rsidR="00366BAA" w:rsidRDefault="0036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392" w14:textId="0F9C06DA" w:rsidR="001A4C38" w:rsidRPr="0046520A" w:rsidRDefault="00E9555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March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2</w:t>
    </w:r>
    <w:r w:rsidR="001A4C38"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2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2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8F2"/>
    <w:multiLevelType w:val="hybridMultilevel"/>
    <w:tmpl w:val="37F650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0E5A9B"/>
    <w:multiLevelType w:val="hybridMultilevel"/>
    <w:tmpl w:val="85DC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607B2"/>
    <w:multiLevelType w:val="hybridMultilevel"/>
    <w:tmpl w:val="CCEC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242D"/>
    <w:rsid w:val="000172B8"/>
    <w:rsid w:val="00034CE8"/>
    <w:rsid w:val="00042FD6"/>
    <w:rsid w:val="0004346A"/>
    <w:rsid w:val="000438C6"/>
    <w:rsid w:val="00045863"/>
    <w:rsid w:val="00074014"/>
    <w:rsid w:val="00076A4D"/>
    <w:rsid w:val="000B6998"/>
    <w:rsid w:val="000C15E5"/>
    <w:rsid w:val="000C2AEE"/>
    <w:rsid w:val="000F19D2"/>
    <w:rsid w:val="001003DC"/>
    <w:rsid w:val="001049C6"/>
    <w:rsid w:val="00112E05"/>
    <w:rsid w:val="00137002"/>
    <w:rsid w:val="00153FA2"/>
    <w:rsid w:val="0016598C"/>
    <w:rsid w:val="0017504B"/>
    <w:rsid w:val="00175C12"/>
    <w:rsid w:val="00180CAA"/>
    <w:rsid w:val="00182385"/>
    <w:rsid w:val="001A4C38"/>
    <w:rsid w:val="001B2DED"/>
    <w:rsid w:val="001C2E84"/>
    <w:rsid w:val="001E762D"/>
    <w:rsid w:val="00215FB5"/>
    <w:rsid w:val="0022143C"/>
    <w:rsid w:val="00226AFF"/>
    <w:rsid w:val="002400F6"/>
    <w:rsid w:val="00242A52"/>
    <w:rsid w:val="00272F9F"/>
    <w:rsid w:val="00283746"/>
    <w:rsid w:val="002A566F"/>
    <w:rsid w:val="002A5A04"/>
    <w:rsid w:val="002C261E"/>
    <w:rsid w:val="002C326C"/>
    <w:rsid w:val="002D1C5C"/>
    <w:rsid w:val="002E55F8"/>
    <w:rsid w:val="002E75D3"/>
    <w:rsid w:val="002F4A95"/>
    <w:rsid w:val="003064EC"/>
    <w:rsid w:val="0031009A"/>
    <w:rsid w:val="0031549E"/>
    <w:rsid w:val="0031728E"/>
    <w:rsid w:val="00330FB0"/>
    <w:rsid w:val="00344037"/>
    <w:rsid w:val="0034440C"/>
    <w:rsid w:val="00353AD3"/>
    <w:rsid w:val="00366BAA"/>
    <w:rsid w:val="003671FB"/>
    <w:rsid w:val="00367696"/>
    <w:rsid w:val="00371601"/>
    <w:rsid w:val="00373275"/>
    <w:rsid w:val="00377A75"/>
    <w:rsid w:val="003971CE"/>
    <w:rsid w:val="00397377"/>
    <w:rsid w:val="003A17FB"/>
    <w:rsid w:val="003C0161"/>
    <w:rsid w:val="003D177D"/>
    <w:rsid w:val="003E7380"/>
    <w:rsid w:val="003F7F93"/>
    <w:rsid w:val="00401354"/>
    <w:rsid w:val="00410458"/>
    <w:rsid w:val="0041665A"/>
    <w:rsid w:val="00427D00"/>
    <w:rsid w:val="00433649"/>
    <w:rsid w:val="00444AA4"/>
    <w:rsid w:val="004564C8"/>
    <w:rsid w:val="00463AE8"/>
    <w:rsid w:val="0046520A"/>
    <w:rsid w:val="0047213A"/>
    <w:rsid w:val="004733F0"/>
    <w:rsid w:val="00477057"/>
    <w:rsid w:val="00485E86"/>
    <w:rsid w:val="004A3216"/>
    <w:rsid w:val="004E42DD"/>
    <w:rsid w:val="004E6787"/>
    <w:rsid w:val="00532641"/>
    <w:rsid w:val="00536EBB"/>
    <w:rsid w:val="00567B9D"/>
    <w:rsid w:val="00577FEC"/>
    <w:rsid w:val="00581E50"/>
    <w:rsid w:val="00583A96"/>
    <w:rsid w:val="005842A0"/>
    <w:rsid w:val="00592C98"/>
    <w:rsid w:val="0059487B"/>
    <w:rsid w:val="005A21DB"/>
    <w:rsid w:val="005D3CAF"/>
    <w:rsid w:val="005D506B"/>
    <w:rsid w:val="005E0ED5"/>
    <w:rsid w:val="005E52FC"/>
    <w:rsid w:val="00610115"/>
    <w:rsid w:val="00622404"/>
    <w:rsid w:val="0062336E"/>
    <w:rsid w:val="0067107B"/>
    <w:rsid w:val="00690023"/>
    <w:rsid w:val="006B207B"/>
    <w:rsid w:val="006B7613"/>
    <w:rsid w:val="006E0362"/>
    <w:rsid w:val="00721778"/>
    <w:rsid w:val="007243D7"/>
    <w:rsid w:val="007311C3"/>
    <w:rsid w:val="007459B2"/>
    <w:rsid w:val="00752617"/>
    <w:rsid w:val="00785C9F"/>
    <w:rsid w:val="00795A7C"/>
    <w:rsid w:val="00807E9F"/>
    <w:rsid w:val="008403CA"/>
    <w:rsid w:val="00844307"/>
    <w:rsid w:val="00844A19"/>
    <w:rsid w:val="0084544F"/>
    <w:rsid w:val="0085378A"/>
    <w:rsid w:val="00860511"/>
    <w:rsid w:val="00865AEA"/>
    <w:rsid w:val="008722AE"/>
    <w:rsid w:val="00872E7F"/>
    <w:rsid w:val="00873BEF"/>
    <w:rsid w:val="008819EB"/>
    <w:rsid w:val="008911F3"/>
    <w:rsid w:val="008946E9"/>
    <w:rsid w:val="008B221F"/>
    <w:rsid w:val="008E79B3"/>
    <w:rsid w:val="008F25B4"/>
    <w:rsid w:val="00922C53"/>
    <w:rsid w:val="00923341"/>
    <w:rsid w:val="00927CAB"/>
    <w:rsid w:val="00956812"/>
    <w:rsid w:val="00980B18"/>
    <w:rsid w:val="00986AF3"/>
    <w:rsid w:val="009A4123"/>
    <w:rsid w:val="009B1AAF"/>
    <w:rsid w:val="009D1E1C"/>
    <w:rsid w:val="009D2B0C"/>
    <w:rsid w:val="00A128B9"/>
    <w:rsid w:val="00A13579"/>
    <w:rsid w:val="00A26095"/>
    <w:rsid w:val="00A63EE0"/>
    <w:rsid w:val="00A856E6"/>
    <w:rsid w:val="00AA6F20"/>
    <w:rsid w:val="00AD42BB"/>
    <w:rsid w:val="00AE079A"/>
    <w:rsid w:val="00AE483E"/>
    <w:rsid w:val="00AF3BAA"/>
    <w:rsid w:val="00B10C3E"/>
    <w:rsid w:val="00B30E77"/>
    <w:rsid w:val="00B44DE1"/>
    <w:rsid w:val="00B529FF"/>
    <w:rsid w:val="00B54AB5"/>
    <w:rsid w:val="00B7453A"/>
    <w:rsid w:val="00B76FBA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656AF"/>
    <w:rsid w:val="00C97787"/>
    <w:rsid w:val="00CA0313"/>
    <w:rsid w:val="00CA0669"/>
    <w:rsid w:val="00CA1D66"/>
    <w:rsid w:val="00CD7211"/>
    <w:rsid w:val="00CD7C0E"/>
    <w:rsid w:val="00CE27E7"/>
    <w:rsid w:val="00CF2078"/>
    <w:rsid w:val="00CF48E3"/>
    <w:rsid w:val="00CF7544"/>
    <w:rsid w:val="00D05D9C"/>
    <w:rsid w:val="00D115B8"/>
    <w:rsid w:val="00D14BBD"/>
    <w:rsid w:val="00D15F4A"/>
    <w:rsid w:val="00D21FA6"/>
    <w:rsid w:val="00D245EF"/>
    <w:rsid w:val="00D2695E"/>
    <w:rsid w:val="00D726DF"/>
    <w:rsid w:val="00D77884"/>
    <w:rsid w:val="00DA302D"/>
    <w:rsid w:val="00DA7FE7"/>
    <w:rsid w:val="00DB2EE5"/>
    <w:rsid w:val="00DC0E97"/>
    <w:rsid w:val="00E06D78"/>
    <w:rsid w:val="00E1027A"/>
    <w:rsid w:val="00E31CAE"/>
    <w:rsid w:val="00E35E0F"/>
    <w:rsid w:val="00E61DD5"/>
    <w:rsid w:val="00E93589"/>
    <w:rsid w:val="00E95550"/>
    <w:rsid w:val="00EB5FE2"/>
    <w:rsid w:val="00EC08AC"/>
    <w:rsid w:val="00EE333C"/>
    <w:rsid w:val="00EE46DF"/>
    <w:rsid w:val="00EF72C4"/>
    <w:rsid w:val="00EF76E8"/>
    <w:rsid w:val="00F51B4F"/>
    <w:rsid w:val="00F53DA0"/>
    <w:rsid w:val="00F67D45"/>
    <w:rsid w:val="00F9023B"/>
    <w:rsid w:val="00FA5787"/>
    <w:rsid w:val="00FB7719"/>
    <w:rsid w:val="00FD5009"/>
    <w:rsid w:val="00FD5CE5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5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5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seamasculligan\Downloads\PrescriberELetter@state.ma.us" TargetMode="External"/><Relationship Id="rId18" Type="http://schemas.openxmlformats.org/officeDocument/2006/relationships/hyperlink" Target="https://www.mass.gov/doc/all-provider-bulletin-341-coverage-of-and-payment-for-the-administration-of-1-tixagevimab-co-packaged-with-cilgavimab-and-2-bebtelovimab-0/downloa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mass.gov/doc/all-provider-bulletin-336-coverage-of-and-payment-for-the-administration-of-1-tixagevimab-co-packaged-with-cilgavimab-and-2-remdesivir-in-an-outpatient-setting-corrected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da.gov/media/154701/downloa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da.gov/news-events/press-announcements/coronavirus-covid-19-update-fda-authorizes-new-long-acting-monoclonal-antibodies-pre-exposure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healthdata.gov/Health/COVID-19-Public-Therapeutic-Locator/rxn6-qnx8/dat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5651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Sousa, Pam (EHS)</cp:lastModifiedBy>
  <cp:revision>2</cp:revision>
  <cp:lastPrinted>2007-12-18T16:52:00Z</cp:lastPrinted>
  <dcterms:created xsi:type="dcterms:W3CDTF">2022-03-28T17:30:00Z</dcterms:created>
  <dcterms:modified xsi:type="dcterms:W3CDTF">2022-03-28T17:30:00Z</dcterms:modified>
</cp:coreProperties>
</file>