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BC543" w14:textId="4239AE90" w:rsidR="00AD42BB" w:rsidRPr="00723C7E" w:rsidRDefault="00042FD6" w:rsidP="00C24050">
      <w:pPr>
        <w:pStyle w:val="Heading1"/>
        <w:tabs>
          <w:tab w:val="left" w:pos="900"/>
        </w:tabs>
        <w:spacing w:before="240" w:after="1080"/>
        <w:ind w:left="72"/>
        <w:rPr>
          <w:color w:val="000000" w:themeColor="text1"/>
        </w:rPr>
      </w:pPr>
      <w:r w:rsidRPr="00723C7E">
        <w:rPr>
          <w:noProof/>
          <w:color w:val="000000" w:themeColor="text1"/>
          <w:lang w:val="en-US"/>
        </w:rPr>
        <w:drawing>
          <wp:anchor distT="0" distB="0" distL="114300" distR="114300" simplePos="0" relativeHeight="251657216" behindDoc="1" locked="0" layoutInCell="1" allowOverlap="1" wp14:anchorId="3B14BDAC" wp14:editId="649FF795">
            <wp:simplePos x="0" y="0"/>
            <wp:positionH relativeFrom="column">
              <wp:posOffset>9322</wp:posOffset>
            </wp:positionH>
            <wp:positionV relativeFrom="paragraph">
              <wp:posOffset>124460</wp:posOffset>
            </wp:positionV>
            <wp:extent cx="6739255" cy="1266190"/>
            <wp:effectExtent l="0" t="0" r="4445" b="3810"/>
            <wp:wrapNone/>
            <wp:docPr id="1" name="Picture 1" descr="Prescriber e-Letter logo&#10;The Prescriber e-Letter&#10;MassHealth Pharmacy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rescriber e-Letter logo&#10;The Prescriber e-Letter&#10;MassHealth Pharmacy Program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39255" cy="1266190"/>
                    </a:xfrm>
                    <a:prstGeom prst="rect">
                      <a:avLst/>
                    </a:prstGeom>
                  </pic:spPr>
                </pic:pic>
              </a:graphicData>
            </a:graphic>
            <wp14:sizeRelH relativeFrom="page">
              <wp14:pctWidth>0</wp14:pctWidth>
            </wp14:sizeRelH>
            <wp14:sizeRelV relativeFrom="page">
              <wp14:pctHeight>0</wp14:pctHeight>
            </wp14:sizeRelV>
          </wp:anchor>
        </w:drawing>
      </w:r>
      <w:r w:rsidR="00FC2E46" w:rsidRPr="00723C7E" w:rsidDel="00FC2E46">
        <w:rPr>
          <w:color w:val="000000" w:themeColor="text1"/>
        </w:rPr>
        <w:t xml:space="preserve"> </w:t>
      </w:r>
      <w:r w:rsidR="00723C7E" w:rsidRPr="00723C7E">
        <w:rPr>
          <w:color w:val="000000" w:themeColor="text1"/>
        </w:rPr>
        <w:t>May 2023</w:t>
      </w:r>
      <w:r w:rsidR="00AD42BB" w:rsidRPr="00723C7E">
        <w:rPr>
          <w:color w:val="000000" w:themeColor="text1"/>
        </w:rPr>
        <w:t xml:space="preserve">, Volume </w:t>
      </w:r>
      <w:r w:rsidR="00723C7E" w:rsidRPr="00723C7E">
        <w:rPr>
          <w:color w:val="000000" w:themeColor="text1"/>
        </w:rPr>
        <w:t>13</w:t>
      </w:r>
      <w:r w:rsidR="00AD42BB" w:rsidRPr="00723C7E">
        <w:rPr>
          <w:color w:val="000000" w:themeColor="text1"/>
        </w:rPr>
        <w:t xml:space="preserve">, Issue </w:t>
      </w:r>
      <w:r w:rsidR="00723C7E" w:rsidRPr="00723C7E">
        <w:rPr>
          <w:color w:val="000000" w:themeColor="text1"/>
        </w:rPr>
        <w:t>2</w:t>
      </w:r>
    </w:p>
    <w:p w14:paraId="597B9300" w14:textId="77777777" w:rsidR="00C656AF" w:rsidRDefault="00C656AF" w:rsidP="00477057">
      <w:pPr>
        <w:tabs>
          <w:tab w:val="left" w:pos="5841"/>
        </w:tabs>
        <w:rPr>
          <w:w w:val="96"/>
        </w:rPr>
        <w:sectPr w:rsidR="00C656AF" w:rsidSect="00DA302D">
          <w:headerReference w:type="even" r:id="rId9"/>
          <w:headerReference w:type="default" r:id="rId10"/>
          <w:footerReference w:type="even" r:id="rId11"/>
          <w:footerReference w:type="default" r:id="rId12"/>
          <w:pgSz w:w="12240" w:h="15840" w:code="1"/>
          <w:pgMar w:top="180" w:right="720" w:bottom="259" w:left="907" w:header="187" w:footer="540" w:gutter="0"/>
          <w:cols w:space="720"/>
          <w:docGrid w:linePitch="360"/>
        </w:sectPr>
      </w:pPr>
    </w:p>
    <w:p w14:paraId="74C343FC" w14:textId="77777777" w:rsidR="00FF3E05" w:rsidRDefault="00FF3E05" w:rsidP="00C24050">
      <w:pPr>
        <w:pBdr>
          <w:bottom w:val="single" w:sz="2" w:space="1" w:color="auto"/>
        </w:pBdr>
        <w:jc w:val="right"/>
        <w:rPr>
          <w:w w:val="96"/>
        </w:rPr>
        <w:sectPr w:rsidR="00FF3E05" w:rsidSect="00DA302D">
          <w:type w:val="continuous"/>
          <w:pgSz w:w="12240" w:h="15840" w:code="1"/>
          <w:pgMar w:top="180" w:right="720" w:bottom="259" w:left="907" w:header="187" w:footer="540" w:gutter="0"/>
          <w:cols w:space="720"/>
          <w:docGrid w:linePitch="360"/>
        </w:sectPr>
      </w:pPr>
    </w:p>
    <w:p w14:paraId="0214045A" w14:textId="77777777" w:rsidR="00FF3E05" w:rsidRDefault="00FF3E05" w:rsidP="00CD7211">
      <w:pPr>
        <w:rPr>
          <w:w w:val="96"/>
        </w:rPr>
      </w:pPr>
    </w:p>
    <w:p w14:paraId="54F79017" w14:textId="7EE93DD7" w:rsidR="00C656AF" w:rsidRPr="00CF2078" w:rsidRDefault="00DA302D" w:rsidP="00EA7AB8">
      <w:pPr>
        <w:pStyle w:val="Heading2"/>
        <w:framePr w:hSpace="0" w:wrap="auto" w:vAnchor="margin" w:yAlign="inline"/>
        <w:spacing w:before="240"/>
      </w:pPr>
      <w:r>
        <w:rPr>
          <w:noProof/>
        </w:rPr>
        <mc:AlternateContent>
          <mc:Choice Requires="wps">
            <w:drawing>
              <wp:anchor distT="0" distB="0" distL="114300" distR="114300" simplePos="0" relativeHeight="251659264" behindDoc="0" locked="0" layoutInCell="1" allowOverlap="1" wp14:anchorId="6B67B32A" wp14:editId="0451456D">
                <wp:simplePos x="0" y="0"/>
                <wp:positionH relativeFrom="column">
                  <wp:posOffset>3363122</wp:posOffset>
                </wp:positionH>
                <wp:positionV relativeFrom="paragraph">
                  <wp:posOffset>149887</wp:posOffset>
                </wp:positionV>
                <wp:extent cx="45719" cy="7684851"/>
                <wp:effectExtent l="0" t="0" r="18415" b="24130"/>
                <wp:wrapNone/>
                <wp:docPr id="3"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45719" cy="7684851"/>
                        </a:xfrm>
                        <a:prstGeom prst="straightConnector1">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3E1C0F5" id="_x0000_t32" coordsize="21600,21600" o:spt="32" o:oned="t" path="m,l21600,21600e" filled="f">
                <v:path arrowok="t" fillok="f" o:connecttype="none"/>
                <o:lock v:ext="edit" shapetype="t"/>
              </v:shapetype>
              <v:shape id="Straight Arrow Connector 3" o:spid="_x0000_s1026" type="#_x0000_t32" alt="&quot;&quot;" style="position:absolute;margin-left:264.8pt;margin-top:11.8pt;width:3.6pt;height:605.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" strokecolor="black [3213]">
                <v:stroke joinstyle="miter"/>
              </v:shape>
            </w:pict>
          </mc:Fallback>
        </mc:AlternateContent>
      </w:r>
      <w:r w:rsidR="00C20A23" w:rsidRPr="00C20A23">
        <w:rPr>
          <w:noProof/>
        </w:rPr>
        <w:t xml:space="preserve">End of the Federal COVID-19 Public Health Emergency </w:t>
      </w:r>
    </w:p>
    <w:p w14:paraId="385FA052" w14:textId="77777777" w:rsidR="00C656AF" w:rsidRPr="00F9023B" w:rsidRDefault="00C656AF" w:rsidP="00C656AF">
      <w:pPr>
        <w:widowControl w:val="0"/>
        <w:rPr>
          <w:lang w:val="en"/>
        </w:rPr>
      </w:pPr>
    </w:p>
    <w:p w14:paraId="071E2907" w14:textId="37B86D92" w:rsidR="005F7958" w:rsidRPr="005F7958" w:rsidRDefault="005F7958" w:rsidP="005F7958">
      <w:pPr>
        <w:spacing w:after="120"/>
        <w:ind w:right="-94"/>
        <w:rPr>
          <w:bCs/>
          <w:color w:val="auto"/>
          <w:sz w:val="22"/>
          <w:szCs w:val="22"/>
        </w:rPr>
      </w:pPr>
      <w:r w:rsidRPr="005F7958">
        <w:rPr>
          <w:bCs/>
          <w:color w:val="auto"/>
          <w:sz w:val="22"/>
          <w:szCs w:val="22"/>
        </w:rPr>
        <w:t xml:space="preserve">The United States Department of Health and Human Services (HHS) has announced </w:t>
      </w:r>
      <w:r w:rsidR="00251974">
        <w:rPr>
          <w:bCs/>
          <w:color w:val="auto"/>
          <w:sz w:val="22"/>
          <w:szCs w:val="22"/>
        </w:rPr>
        <w:t xml:space="preserve">that </w:t>
      </w:r>
      <w:r w:rsidRPr="005F7958">
        <w:rPr>
          <w:bCs/>
          <w:color w:val="auto"/>
          <w:sz w:val="22"/>
          <w:szCs w:val="22"/>
        </w:rPr>
        <w:t xml:space="preserve">the federal COVID-19 </w:t>
      </w:r>
      <w:r w:rsidR="00EB1917">
        <w:rPr>
          <w:bCs/>
          <w:color w:val="auto"/>
          <w:sz w:val="22"/>
          <w:szCs w:val="22"/>
        </w:rPr>
        <w:t>p</w:t>
      </w:r>
      <w:r w:rsidRPr="005F7958">
        <w:rPr>
          <w:bCs/>
          <w:color w:val="auto"/>
          <w:sz w:val="22"/>
          <w:szCs w:val="22"/>
        </w:rPr>
        <w:t xml:space="preserve">ublic </w:t>
      </w:r>
      <w:r w:rsidR="00EB1917">
        <w:rPr>
          <w:bCs/>
          <w:color w:val="auto"/>
          <w:sz w:val="22"/>
          <w:szCs w:val="22"/>
        </w:rPr>
        <w:t>h</w:t>
      </w:r>
      <w:r w:rsidRPr="005F7958">
        <w:rPr>
          <w:bCs/>
          <w:color w:val="auto"/>
          <w:sz w:val="22"/>
          <w:szCs w:val="22"/>
        </w:rPr>
        <w:t xml:space="preserve">ealth </w:t>
      </w:r>
      <w:r w:rsidR="00EB1917">
        <w:rPr>
          <w:bCs/>
          <w:color w:val="auto"/>
          <w:sz w:val="22"/>
          <w:szCs w:val="22"/>
        </w:rPr>
        <w:t>e</w:t>
      </w:r>
      <w:r w:rsidRPr="005F7958">
        <w:rPr>
          <w:bCs/>
          <w:color w:val="auto"/>
          <w:sz w:val="22"/>
          <w:szCs w:val="22"/>
        </w:rPr>
        <w:t>mergency (PHE), declared under Section 319 of the Public Health Service (PHS) Act</w:t>
      </w:r>
      <w:r w:rsidR="00251974">
        <w:rPr>
          <w:bCs/>
          <w:color w:val="auto"/>
          <w:sz w:val="22"/>
          <w:szCs w:val="22"/>
        </w:rPr>
        <w:t xml:space="preserve">, ended </w:t>
      </w:r>
      <w:r w:rsidR="00251974" w:rsidRPr="00251974">
        <w:rPr>
          <w:bCs/>
          <w:color w:val="auto"/>
          <w:sz w:val="22"/>
          <w:szCs w:val="22"/>
        </w:rPr>
        <w:t>May 11, 2023</w:t>
      </w:r>
      <w:r w:rsidRPr="005F7958">
        <w:rPr>
          <w:bCs/>
          <w:color w:val="auto"/>
          <w:sz w:val="22"/>
          <w:szCs w:val="22"/>
        </w:rPr>
        <w:t xml:space="preserve">. </w:t>
      </w:r>
    </w:p>
    <w:p w14:paraId="6BC75F41" w14:textId="584B9F70" w:rsidR="005F7958" w:rsidRPr="004C4527" w:rsidRDefault="005F7958" w:rsidP="005F7958">
      <w:pPr>
        <w:spacing w:after="120"/>
        <w:ind w:right="-94"/>
        <w:rPr>
          <w:bCs/>
          <w:color w:val="auto"/>
          <w:sz w:val="22"/>
          <w:szCs w:val="22"/>
        </w:rPr>
      </w:pPr>
      <w:r w:rsidRPr="005F7958">
        <w:rPr>
          <w:bCs/>
          <w:color w:val="auto"/>
          <w:sz w:val="22"/>
          <w:szCs w:val="22"/>
        </w:rPr>
        <w:t xml:space="preserve">According to HHS, daily reported COVID-19 cases have decreased by 92%, COVID-related deaths have </w:t>
      </w:r>
      <w:r w:rsidRPr="004C4527">
        <w:rPr>
          <w:bCs/>
          <w:color w:val="auto"/>
          <w:sz w:val="22"/>
          <w:szCs w:val="22"/>
        </w:rPr>
        <w:t xml:space="preserve">decreased by </w:t>
      </w:r>
      <w:r w:rsidR="00251974">
        <w:rPr>
          <w:bCs/>
          <w:color w:val="auto"/>
          <w:sz w:val="22"/>
          <w:szCs w:val="22"/>
        </w:rPr>
        <w:t xml:space="preserve">more than </w:t>
      </w:r>
      <w:r w:rsidRPr="004C4527">
        <w:rPr>
          <w:bCs/>
          <w:color w:val="auto"/>
          <w:sz w:val="22"/>
          <w:szCs w:val="22"/>
        </w:rPr>
        <w:t>80%, and new COVID-related hospitalizations have decreased by almost 80% since January 2022.</w:t>
      </w:r>
      <w:r w:rsidRPr="004C4527">
        <w:rPr>
          <w:bCs/>
          <w:color w:val="auto"/>
          <w:sz w:val="22"/>
          <w:szCs w:val="22"/>
          <w:vertAlign w:val="superscript"/>
        </w:rPr>
        <w:t>1</w:t>
      </w:r>
      <w:r w:rsidRPr="004C4527">
        <w:rPr>
          <w:bCs/>
          <w:color w:val="auto"/>
          <w:sz w:val="22"/>
          <w:szCs w:val="22"/>
        </w:rPr>
        <w:t xml:space="preserve"> </w:t>
      </w:r>
    </w:p>
    <w:p w14:paraId="577B57F2" w14:textId="68306CDF" w:rsidR="005F7958" w:rsidRPr="004C4527" w:rsidRDefault="004212FA" w:rsidP="005F7958">
      <w:pPr>
        <w:spacing w:after="120"/>
        <w:ind w:right="-94"/>
        <w:rPr>
          <w:sz w:val="22"/>
          <w:szCs w:val="22"/>
        </w:rPr>
      </w:pPr>
      <w:r>
        <w:rPr>
          <w:bCs/>
          <w:color w:val="auto"/>
          <w:sz w:val="22"/>
          <w:szCs w:val="22"/>
        </w:rPr>
        <w:t>A</w:t>
      </w:r>
      <w:r w:rsidRPr="004212FA">
        <w:rPr>
          <w:bCs/>
          <w:color w:val="auto"/>
          <w:sz w:val="22"/>
          <w:szCs w:val="22"/>
        </w:rPr>
        <w:t xml:space="preserve">ccording to HHS, </w:t>
      </w:r>
      <w:r>
        <w:rPr>
          <w:bCs/>
          <w:color w:val="auto"/>
          <w:sz w:val="22"/>
          <w:szCs w:val="22"/>
        </w:rPr>
        <w:t>g</w:t>
      </w:r>
      <w:r w:rsidR="005F7958" w:rsidRPr="004C4527">
        <w:rPr>
          <w:bCs/>
          <w:color w:val="auto"/>
          <w:sz w:val="22"/>
          <w:szCs w:val="22"/>
        </w:rPr>
        <w:t xml:space="preserve">iven these COVID-19 trends, COVID-19 policies and flexibilities enabled by the </w:t>
      </w:r>
      <w:r w:rsidR="00E411A0">
        <w:rPr>
          <w:bCs/>
          <w:color w:val="auto"/>
          <w:sz w:val="22"/>
          <w:szCs w:val="22"/>
        </w:rPr>
        <w:t>PHE</w:t>
      </w:r>
      <w:r w:rsidR="005F7958" w:rsidRPr="004C4527">
        <w:rPr>
          <w:bCs/>
          <w:color w:val="auto"/>
          <w:sz w:val="22"/>
          <w:szCs w:val="22"/>
        </w:rPr>
        <w:t xml:space="preserve"> will shift toward improving standards of care for patients.</w:t>
      </w:r>
      <w:r w:rsidR="005F7958" w:rsidRPr="004C4527">
        <w:rPr>
          <w:bCs/>
          <w:color w:val="auto"/>
          <w:sz w:val="22"/>
          <w:szCs w:val="22"/>
          <w:vertAlign w:val="superscript"/>
        </w:rPr>
        <w:t>1</w:t>
      </w:r>
      <w:r w:rsidR="00807E9F" w:rsidRPr="004C4527">
        <w:rPr>
          <w:bCs/>
          <w:color w:val="auto"/>
          <w:sz w:val="22"/>
          <w:szCs w:val="22"/>
        </w:rPr>
        <w:t xml:space="preserve"> </w:t>
      </w:r>
    </w:p>
    <w:p w14:paraId="44FD50AE" w14:textId="08F42C06" w:rsidR="00DA7FE7" w:rsidRPr="004C4527" w:rsidRDefault="002352AD" w:rsidP="00807E9F">
      <w:pPr>
        <w:pStyle w:val="Heading2"/>
        <w:framePr w:hSpace="0" w:wrap="auto" w:vAnchor="margin" w:yAlign="inline"/>
      </w:pPr>
      <w:r w:rsidRPr="004C4527">
        <w:t>COVID-19 PHE Expiration</w:t>
      </w:r>
      <w:r w:rsidR="004212FA">
        <w:t>—</w:t>
      </w:r>
      <w:r w:rsidRPr="004C4527">
        <w:t>MassHealth Coverage Updates</w:t>
      </w:r>
    </w:p>
    <w:p w14:paraId="4C35C2EA" w14:textId="458364D9" w:rsidR="00242A52" w:rsidRPr="004C4527" w:rsidRDefault="00242A52" w:rsidP="00242A52">
      <w:pPr>
        <w:widowControl w:val="0"/>
        <w:ind w:right="-94"/>
        <w:rPr>
          <w:sz w:val="22"/>
          <w:szCs w:val="22"/>
        </w:rPr>
      </w:pPr>
    </w:p>
    <w:p w14:paraId="35C4B51C" w14:textId="2177ABA0" w:rsidR="00242A52" w:rsidRPr="004C4527" w:rsidRDefault="004212FA" w:rsidP="00242A52">
      <w:pPr>
        <w:widowControl w:val="0"/>
        <w:ind w:right="-94"/>
        <w:rPr>
          <w:b/>
          <w:bCs/>
          <w:color w:val="auto"/>
          <w:sz w:val="22"/>
          <w:szCs w:val="22"/>
        </w:rPr>
      </w:pPr>
      <w:r>
        <w:rPr>
          <w:bCs/>
          <w:sz w:val="22"/>
          <w:szCs w:val="22"/>
        </w:rPr>
        <w:t xml:space="preserve">After the </w:t>
      </w:r>
      <w:r w:rsidR="0003236A">
        <w:rPr>
          <w:bCs/>
          <w:sz w:val="22"/>
          <w:szCs w:val="22"/>
        </w:rPr>
        <w:t xml:space="preserve">end of the </w:t>
      </w:r>
      <w:r w:rsidR="00047FED" w:rsidRPr="004C4527">
        <w:rPr>
          <w:bCs/>
          <w:sz w:val="22"/>
          <w:szCs w:val="22"/>
        </w:rPr>
        <w:t>COVID-19 PHE, several changes will be made to MassHealth</w:t>
      </w:r>
      <w:r w:rsidR="0003236A">
        <w:rPr>
          <w:bCs/>
          <w:sz w:val="22"/>
          <w:szCs w:val="22"/>
        </w:rPr>
        <w:t>’s</w:t>
      </w:r>
      <w:r w:rsidR="00047FED" w:rsidRPr="004C4527">
        <w:rPr>
          <w:bCs/>
          <w:sz w:val="22"/>
          <w:szCs w:val="22"/>
        </w:rPr>
        <w:t xml:space="preserve"> COVID-related policies and coverage. </w:t>
      </w:r>
      <w:r w:rsidR="003546C8">
        <w:rPr>
          <w:bCs/>
          <w:sz w:val="22"/>
          <w:szCs w:val="22"/>
        </w:rPr>
        <w:t xml:space="preserve">What follows </w:t>
      </w:r>
      <w:r w:rsidR="0003236A">
        <w:rPr>
          <w:bCs/>
          <w:sz w:val="22"/>
          <w:szCs w:val="22"/>
        </w:rPr>
        <w:t>is a</w:t>
      </w:r>
      <w:r w:rsidR="00047FED" w:rsidRPr="004C4527">
        <w:rPr>
          <w:bCs/>
          <w:sz w:val="22"/>
          <w:szCs w:val="22"/>
        </w:rPr>
        <w:t xml:space="preserve"> summary of the updates to be enacted in June and July 2023</w:t>
      </w:r>
      <w:r w:rsidR="0003236A">
        <w:rPr>
          <w:bCs/>
          <w:sz w:val="22"/>
          <w:szCs w:val="22"/>
        </w:rPr>
        <w:t>.</w:t>
      </w:r>
    </w:p>
    <w:p w14:paraId="229DC154" w14:textId="77777777" w:rsidR="00242A52" w:rsidRPr="004C4527" w:rsidRDefault="00242A52" w:rsidP="00242A52">
      <w:pPr>
        <w:widowControl w:val="0"/>
        <w:ind w:right="-94"/>
        <w:rPr>
          <w:b/>
          <w:bCs/>
          <w:color w:val="auto"/>
          <w:sz w:val="22"/>
          <w:szCs w:val="22"/>
        </w:rPr>
      </w:pPr>
    </w:p>
    <w:p w14:paraId="3CEA53C4" w14:textId="0D67118B" w:rsidR="00047FED" w:rsidRPr="004C4527" w:rsidRDefault="004E636C" w:rsidP="004E636C">
      <w:pPr>
        <w:pStyle w:val="Heading3"/>
        <w:rPr>
          <w:b/>
          <w:bCs/>
          <w:sz w:val="22"/>
        </w:rPr>
      </w:pPr>
      <w:r w:rsidRPr="004C4527">
        <w:rPr>
          <w:b/>
          <w:bCs/>
          <w:sz w:val="22"/>
        </w:rPr>
        <w:t>Guidance Document</w:t>
      </w:r>
    </w:p>
    <w:p w14:paraId="7E7393C9" w14:textId="77777777" w:rsidR="00047FED" w:rsidRPr="00C04A14" w:rsidRDefault="00047FED" w:rsidP="00242A52">
      <w:pPr>
        <w:widowControl w:val="0"/>
        <w:ind w:right="-94"/>
        <w:rPr>
          <w:b/>
          <w:bCs/>
          <w:color w:val="auto"/>
          <w:sz w:val="18"/>
          <w:szCs w:val="18"/>
        </w:rPr>
      </w:pPr>
    </w:p>
    <w:p w14:paraId="5268C539" w14:textId="24CD880C" w:rsidR="00991E8F" w:rsidRPr="004C4527" w:rsidRDefault="00991E8F" w:rsidP="00242A52">
      <w:pPr>
        <w:widowControl w:val="0"/>
        <w:ind w:right="-94"/>
        <w:rPr>
          <w:color w:val="auto"/>
          <w:sz w:val="22"/>
          <w:szCs w:val="22"/>
        </w:rPr>
      </w:pPr>
      <w:r w:rsidRPr="004C4527">
        <w:rPr>
          <w:color w:val="auto"/>
          <w:sz w:val="22"/>
          <w:szCs w:val="22"/>
        </w:rPr>
        <w:t xml:space="preserve">Effective July 31, 2023, the </w:t>
      </w:r>
      <w:r w:rsidRPr="00D94593">
        <w:rPr>
          <w:i/>
          <w:iCs/>
          <w:color w:val="auto"/>
          <w:sz w:val="22"/>
          <w:szCs w:val="22"/>
        </w:rPr>
        <w:t>Pharmacy Program Public Health Emergency Response</w:t>
      </w:r>
      <w:r w:rsidRPr="004C4527">
        <w:rPr>
          <w:color w:val="auto"/>
          <w:sz w:val="22"/>
          <w:szCs w:val="22"/>
        </w:rPr>
        <w:t xml:space="preserve"> document posted on the MassHealth Drug List (MHDL) </w:t>
      </w:r>
      <w:r w:rsidR="00EE1EF9">
        <w:rPr>
          <w:color w:val="auto"/>
          <w:sz w:val="22"/>
          <w:szCs w:val="22"/>
        </w:rPr>
        <w:t xml:space="preserve">webpage </w:t>
      </w:r>
      <w:r w:rsidRPr="004C4527">
        <w:rPr>
          <w:color w:val="auto"/>
          <w:sz w:val="22"/>
          <w:szCs w:val="22"/>
        </w:rPr>
        <w:t xml:space="preserve">will be removed. This document outlined important information and guidance related to the MassHealth Pharmacy Program </w:t>
      </w:r>
      <w:r w:rsidR="00BD410D">
        <w:rPr>
          <w:color w:val="auto"/>
          <w:sz w:val="22"/>
          <w:szCs w:val="22"/>
        </w:rPr>
        <w:t>and</w:t>
      </w:r>
      <w:r w:rsidRPr="004C4527">
        <w:rPr>
          <w:color w:val="auto"/>
          <w:sz w:val="22"/>
          <w:szCs w:val="22"/>
        </w:rPr>
        <w:t xml:space="preserve"> the COVID-19 PHE.</w:t>
      </w:r>
    </w:p>
    <w:p w14:paraId="09491AE2" w14:textId="77777777" w:rsidR="00991E8F" w:rsidRPr="004C4527" w:rsidRDefault="00991E8F" w:rsidP="00242A52">
      <w:pPr>
        <w:widowControl w:val="0"/>
        <w:ind w:right="-94"/>
        <w:rPr>
          <w:b/>
          <w:bCs/>
          <w:color w:val="auto"/>
          <w:sz w:val="22"/>
          <w:szCs w:val="22"/>
        </w:rPr>
      </w:pPr>
    </w:p>
    <w:p w14:paraId="101954B0" w14:textId="1E418E3F" w:rsidR="00991E8F" w:rsidRPr="004C4527" w:rsidRDefault="00991E8F" w:rsidP="00242A52">
      <w:pPr>
        <w:widowControl w:val="0"/>
        <w:ind w:right="-94"/>
        <w:rPr>
          <w:b/>
          <w:bCs/>
          <w:color w:val="auto"/>
          <w:sz w:val="22"/>
          <w:szCs w:val="22"/>
        </w:rPr>
      </w:pPr>
      <w:r w:rsidRPr="004C4527">
        <w:rPr>
          <w:b/>
          <w:bCs/>
          <w:color w:val="auto"/>
          <w:sz w:val="22"/>
          <w:szCs w:val="22"/>
        </w:rPr>
        <w:t>Delivery of Prescription Medication to MassHealth Members</w:t>
      </w:r>
    </w:p>
    <w:p w14:paraId="591C21CB" w14:textId="77777777" w:rsidR="00991E8F" w:rsidRPr="00C04A14" w:rsidRDefault="00991E8F" w:rsidP="00242A52">
      <w:pPr>
        <w:widowControl w:val="0"/>
        <w:ind w:right="-94"/>
        <w:rPr>
          <w:b/>
          <w:bCs/>
          <w:color w:val="auto"/>
          <w:sz w:val="18"/>
          <w:szCs w:val="18"/>
        </w:rPr>
      </w:pPr>
    </w:p>
    <w:p w14:paraId="01EAD3A1" w14:textId="43272366" w:rsidR="00991E8F" w:rsidRPr="004C4527" w:rsidRDefault="00CD7791" w:rsidP="00242A52">
      <w:pPr>
        <w:widowControl w:val="0"/>
        <w:ind w:right="-94"/>
        <w:rPr>
          <w:color w:val="auto"/>
          <w:sz w:val="22"/>
          <w:szCs w:val="22"/>
        </w:rPr>
      </w:pPr>
      <w:r w:rsidRPr="004C4527">
        <w:rPr>
          <w:color w:val="auto"/>
          <w:sz w:val="22"/>
          <w:szCs w:val="22"/>
        </w:rPr>
        <w:t xml:space="preserve">MassHealth will continue to pay eligible pharmacy providers </w:t>
      </w:r>
      <w:r w:rsidR="008B3630" w:rsidRPr="008B3630">
        <w:rPr>
          <w:color w:val="auto"/>
          <w:sz w:val="22"/>
          <w:szCs w:val="22"/>
        </w:rPr>
        <w:t xml:space="preserve">for delivery to </w:t>
      </w:r>
      <w:r w:rsidR="008B3630">
        <w:rPr>
          <w:color w:val="auto"/>
          <w:sz w:val="22"/>
          <w:szCs w:val="22"/>
        </w:rPr>
        <w:t xml:space="preserve">members </w:t>
      </w:r>
      <w:r w:rsidRPr="004C4527">
        <w:rPr>
          <w:color w:val="auto"/>
          <w:sz w:val="22"/>
          <w:szCs w:val="22"/>
        </w:rPr>
        <w:t>after</w:t>
      </w:r>
      <w:r w:rsidR="008145A3">
        <w:rPr>
          <w:color w:val="auto"/>
          <w:sz w:val="22"/>
          <w:szCs w:val="22"/>
        </w:rPr>
        <w:t xml:space="preserve"> the</w:t>
      </w:r>
      <w:r w:rsidRPr="004C4527">
        <w:rPr>
          <w:color w:val="auto"/>
          <w:sz w:val="22"/>
          <w:szCs w:val="22"/>
        </w:rPr>
        <w:t xml:space="preserve"> federal PHE</w:t>
      </w:r>
      <w:r w:rsidR="005414D6">
        <w:rPr>
          <w:color w:val="auto"/>
          <w:sz w:val="22"/>
          <w:szCs w:val="22"/>
        </w:rPr>
        <w:t xml:space="preserve"> ends</w:t>
      </w:r>
      <w:r w:rsidRPr="004C4527">
        <w:rPr>
          <w:color w:val="auto"/>
          <w:sz w:val="22"/>
          <w:szCs w:val="22"/>
        </w:rPr>
        <w:t xml:space="preserve">. Please see </w:t>
      </w:r>
      <w:hyperlink r:id="rId13" w:history="1">
        <w:r w:rsidRPr="009757AB">
          <w:rPr>
            <w:rStyle w:val="Hyperlink"/>
            <w:sz w:val="22"/>
            <w:szCs w:val="22"/>
          </w:rPr>
          <w:t>Pharmacy Facts 145</w:t>
        </w:r>
      </w:hyperlink>
      <w:r w:rsidRPr="004C4527">
        <w:rPr>
          <w:color w:val="auto"/>
          <w:sz w:val="22"/>
          <w:szCs w:val="22"/>
        </w:rPr>
        <w:t xml:space="preserve"> for information on payment adjustments and limitations. </w:t>
      </w:r>
      <w:r w:rsidR="00350B34">
        <w:rPr>
          <w:color w:val="auto"/>
          <w:sz w:val="22"/>
          <w:szCs w:val="22"/>
        </w:rPr>
        <w:t>M</w:t>
      </w:r>
      <w:r w:rsidRPr="004C4527">
        <w:rPr>
          <w:color w:val="auto"/>
          <w:sz w:val="22"/>
          <w:szCs w:val="22"/>
        </w:rPr>
        <w:t>embers enrolled in MassHealth fee-for-service</w:t>
      </w:r>
      <w:r w:rsidR="00C35064">
        <w:rPr>
          <w:color w:val="auto"/>
          <w:sz w:val="22"/>
          <w:szCs w:val="22"/>
        </w:rPr>
        <w:t xml:space="preserve"> plans</w:t>
      </w:r>
      <w:r w:rsidRPr="004C4527">
        <w:rPr>
          <w:color w:val="auto"/>
          <w:sz w:val="22"/>
          <w:szCs w:val="22"/>
        </w:rPr>
        <w:t>, the Primary Care Clinician Plan</w:t>
      </w:r>
      <w:r w:rsidR="00A94815">
        <w:rPr>
          <w:color w:val="auto"/>
          <w:sz w:val="22"/>
          <w:szCs w:val="22"/>
        </w:rPr>
        <w:t>,</w:t>
      </w:r>
      <w:r w:rsidRPr="004C4527">
        <w:rPr>
          <w:color w:val="auto"/>
          <w:sz w:val="22"/>
          <w:szCs w:val="22"/>
        </w:rPr>
        <w:t xml:space="preserve"> and </w:t>
      </w:r>
      <w:r w:rsidR="00A94815">
        <w:rPr>
          <w:color w:val="auto"/>
          <w:sz w:val="22"/>
          <w:szCs w:val="22"/>
        </w:rPr>
        <w:t>p</w:t>
      </w:r>
      <w:r w:rsidRPr="004C4527">
        <w:rPr>
          <w:color w:val="auto"/>
          <w:sz w:val="22"/>
          <w:szCs w:val="22"/>
        </w:rPr>
        <w:t xml:space="preserve">rimary </w:t>
      </w:r>
      <w:r w:rsidR="00A94815">
        <w:rPr>
          <w:color w:val="auto"/>
          <w:sz w:val="22"/>
          <w:szCs w:val="22"/>
        </w:rPr>
        <w:t>c</w:t>
      </w:r>
      <w:r w:rsidRPr="004C4527">
        <w:rPr>
          <w:color w:val="auto"/>
          <w:sz w:val="22"/>
          <w:szCs w:val="22"/>
        </w:rPr>
        <w:t xml:space="preserve">are </w:t>
      </w:r>
      <w:r w:rsidR="00A94815">
        <w:rPr>
          <w:color w:val="auto"/>
          <w:sz w:val="22"/>
          <w:szCs w:val="22"/>
        </w:rPr>
        <w:t>a</w:t>
      </w:r>
      <w:r w:rsidRPr="004C4527">
        <w:rPr>
          <w:color w:val="auto"/>
          <w:sz w:val="22"/>
          <w:szCs w:val="22"/>
        </w:rPr>
        <w:t xml:space="preserve">ccountable </w:t>
      </w:r>
      <w:r w:rsidR="00A94815">
        <w:rPr>
          <w:color w:val="auto"/>
          <w:sz w:val="22"/>
          <w:szCs w:val="22"/>
        </w:rPr>
        <w:t>c</w:t>
      </w:r>
      <w:r w:rsidRPr="004C4527">
        <w:rPr>
          <w:color w:val="auto"/>
          <w:sz w:val="22"/>
          <w:szCs w:val="22"/>
        </w:rPr>
        <w:t xml:space="preserve">are </w:t>
      </w:r>
      <w:r w:rsidR="00A94815">
        <w:rPr>
          <w:color w:val="auto"/>
          <w:sz w:val="22"/>
          <w:szCs w:val="22"/>
        </w:rPr>
        <w:t>o</w:t>
      </w:r>
      <w:r w:rsidRPr="004C4527">
        <w:rPr>
          <w:color w:val="auto"/>
          <w:sz w:val="22"/>
          <w:szCs w:val="22"/>
        </w:rPr>
        <w:t>rganizations</w:t>
      </w:r>
      <w:r w:rsidR="00350B34">
        <w:rPr>
          <w:color w:val="auto"/>
          <w:sz w:val="22"/>
          <w:szCs w:val="22"/>
        </w:rPr>
        <w:t xml:space="preserve"> may receive prescription medication delivery</w:t>
      </w:r>
      <w:r w:rsidRPr="004C4527">
        <w:rPr>
          <w:color w:val="auto"/>
          <w:sz w:val="22"/>
          <w:szCs w:val="22"/>
        </w:rPr>
        <w:t xml:space="preserve">. </w:t>
      </w:r>
    </w:p>
    <w:p w14:paraId="7EF9385D" w14:textId="77777777" w:rsidR="00B85F75" w:rsidRDefault="00B85F75" w:rsidP="00242A52">
      <w:pPr>
        <w:widowControl w:val="0"/>
        <w:ind w:right="-94"/>
        <w:rPr>
          <w:b/>
          <w:bCs/>
          <w:color w:val="auto"/>
        </w:rPr>
      </w:pPr>
    </w:p>
    <w:p w14:paraId="6BF06147" w14:textId="77777777" w:rsidR="00B85F75" w:rsidRPr="00D94593" w:rsidRDefault="00B85F75" w:rsidP="00242A52">
      <w:pPr>
        <w:widowControl w:val="0"/>
        <w:ind w:right="-94"/>
        <w:rPr>
          <w:b/>
          <w:bCs/>
          <w:color w:val="auto"/>
          <w:sz w:val="34"/>
          <w:szCs w:val="34"/>
        </w:rPr>
      </w:pPr>
    </w:p>
    <w:p w14:paraId="1B30F7C1" w14:textId="7CC5EFD0" w:rsidR="00CD7791" w:rsidRPr="004C4527" w:rsidRDefault="00B85F75" w:rsidP="00EA7AB8">
      <w:pPr>
        <w:widowControl w:val="0"/>
        <w:spacing w:before="120"/>
        <w:ind w:right="-94"/>
        <w:rPr>
          <w:b/>
          <w:bCs/>
          <w:color w:val="auto"/>
          <w:sz w:val="22"/>
          <w:szCs w:val="22"/>
        </w:rPr>
      </w:pPr>
      <w:r w:rsidRPr="004C4527">
        <w:rPr>
          <w:b/>
          <w:bCs/>
          <w:color w:val="auto"/>
          <w:sz w:val="22"/>
          <w:szCs w:val="22"/>
        </w:rPr>
        <w:t>Coverage for COVID-19 Testing for MassHealth Members</w:t>
      </w:r>
    </w:p>
    <w:p w14:paraId="1874B1F3" w14:textId="77777777" w:rsidR="002C2753" w:rsidRPr="00C04A14" w:rsidRDefault="002C2753" w:rsidP="00242A52">
      <w:pPr>
        <w:widowControl w:val="0"/>
        <w:ind w:right="-94"/>
        <w:rPr>
          <w:b/>
          <w:bCs/>
          <w:color w:val="auto"/>
          <w:sz w:val="18"/>
          <w:szCs w:val="18"/>
        </w:rPr>
      </w:pPr>
    </w:p>
    <w:p w14:paraId="02F4B003" w14:textId="1E2FCDFB" w:rsidR="002C2753" w:rsidRPr="004C4527" w:rsidRDefault="002C2753" w:rsidP="00242A52">
      <w:pPr>
        <w:widowControl w:val="0"/>
        <w:ind w:right="-94"/>
        <w:rPr>
          <w:color w:val="auto"/>
          <w:sz w:val="22"/>
          <w:szCs w:val="22"/>
        </w:rPr>
      </w:pPr>
      <w:r w:rsidRPr="004C4527">
        <w:rPr>
          <w:color w:val="auto"/>
          <w:sz w:val="22"/>
          <w:szCs w:val="22"/>
        </w:rPr>
        <w:t>MassHealth will continue covering COVID-19 antigen over-the-counter (OTC) tests at no cost to member</w:t>
      </w:r>
      <w:r w:rsidR="0038697F">
        <w:rPr>
          <w:color w:val="auto"/>
          <w:sz w:val="22"/>
          <w:szCs w:val="22"/>
        </w:rPr>
        <w:t>s</w:t>
      </w:r>
      <w:r w:rsidRPr="004C4527">
        <w:rPr>
          <w:color w:val="auto"/>
          <w:sz w:val="22"/>
          <w:szCs w:val="22"/>
        </w:rPr>
        <w:t xml:space="preserve"> after the federal PHE</w:t>
      </w:r>
      <w:r w:rsidR="0038697F">
        <w:rPr>
          <w:color w:val="auto"/>
          <w:sz w:val="22"/>
          <w:szCs w:val="22"/>
        </w:rPr>
        <w:t xml:space="preserve"> ends</w:t>
      </w:r>
      <w:r w:rsidRPr="004C4527">
        <w:rPr>
          <w:color w:val="auto"/>
          <w:sz w:val="22"/>
          <w:szCs w:val="22"/>
        </w:rPr>
        <w:t>. MassHealth currently covers eight OTC tests per member per month. Effective July 31, 2023, MassHealth will cover two OTC tests per member per month.</w:t>
      </w:r>
      <w:r w:rsidR="0091531B">
        <w:rPr>
          <w:color w:val="auto"/>
          <w:sz w:val="22"/>
          <w:szCs w:val="22"/>
        </w:rPr>
        <w:t xml:space="preserve"> Prescribers will need to submit a</w:t>
      </w:r>
      <w:r w:rsidRPr="004C4527">
        <w:rPr>
          <w:color w:val="auto"/>
          <w:sz w:val="22"/>
          <w:szCs w:val="22"/>
        </w:rPr>
        <w:t xml:space="preserve"> </w:t>
      </w:r>
      <w:r w:rsidR="0091531B">
        <w:rPr>
          <w:color w:val="auto"/>
          <w:sz w:val="22"/>
          <w:szCs w:val="22"/>
        </w:rPr>
        <w:t>p</w:t>
      </w:r>
      <w:r w:rsidRPr="004C4527">
        <w:rPr>
          <w:color w:val="auto"/>
          <w:sz w:val="22"/>
          <w:szCs w:val="22"/>
        </w:rPr>
        <w:t>rior authorization</w:t>
      </w:r>
      <w:r w:rsidR="0091531B">
        <w:rPr>
          <w:color w:val="auto"/>
          <w:sz w:val="22"/>
          <w:szCs w:val="22"/>
        </w:rPr>
        <w:t xml:space="preserve"> </w:t>
      </w:r>
      <w:r w:rsidR="003546C8">
        <w:rPr>
          <w:color w:val="auto"/>
          <w:sz w:val="22"/>
          <w:szCs w:val="22"/>
        </w:rPr>
        <w:t xml:space="preserve">(PA) </w:t>
      </w:r>
      <w:r w:rsidR="0091531B">
        <w:rPr>
          <w:color w:val="auto"/>
          <w:sz w:val="22"/>
          <w:szCs w:val="22"/>
        </w:rPr>
        <w:t>request</w:t>
      </w:r>
      <w:r w:rsidRPr="004C4527">
        <w:rPr>
          <w:color w:val="auto"/>
          <w:sz w:val="22"/>
          <w:szCs w:val="22"/>
        </w:rPr>
        <w:t xml:space="preserve"> for additional tests above the quantity limit.</w:t>
      </w:r>
    </w:p>
    <w:p w14:paraId="38C9BEAE" w14:textId="77777777" w:rsidR="002C2753" w:rsidRPr="004C4527" w:rsidRDefault="002C2753" w:rsidP="00242A52">
      <w:pPr>
        <w:widowControl w:val="0"/>
        <w:ind w:right="-94"/>
        <w:rPr>
          <w:color w:val="auto"/>
          <w:sz w:val="22"/>
          <w:szCs w:val="22"/>
        </w:rPr>
      </w:pPr>
    </w:p>
    <w:p w14:paraId="59A5C816" w14:textId="05C84413" w:rsidR="002C2753" w:rsidRPr="004C4527" w:rsidRDefault="002B12B8" w:rsidP="00242A52">
      <w:pPr>
        <w:widowControl w:val="0"/>
        <w:ind w:right="-94"/>
        <w:rPr>
          <w:b/>
          <w:bCs/>
          <w:color w:val="auto"/>
          <w:sz w:val="22"/>
          <w:szCs w:val="22"/>
        </w:rPr>
      </w:pPr>
      <w:r w:rsidRPr="004C4527">
        <w:rPr>
          <w:b/>
          <w:bCs/>
          <w:color w:val="auto"/>
          <w:sz w:val="22"/>
          <w:szCs w:val="22"/>
        </w:rPr>
        <w:t>Coverage of COVID-19 Vaccines for MassHealth Members</w:t>
      </w:r>
    </w:p>
    <w:p w14:paraId="59AA0463" w14:textId="77777777" w:rsidR="002C2753" w:rsidRPr="00C04A14" w:rsidRDefault="002C2753" w:rsidP="00242A52">
      <w:pPr>
        <w:widowControl w:val="0"/>
        <w:ind w:right="-94"/>
        <w:rPr>
          <w:color w:val="auto"/>
          <w:sz w:val="18"/>
          <w:szCs w:val="18"/>
        </w:rPr>
      </w:pPr>
    </w:p>
    <w:p w14:paraId="66B5FBBA" w14:textId="18B8651E" w:rsidR="002A4D47" w:rsidRPr="004C4527" w:rsidRDefault="002A4D47" w:rsidP="002A4D47">
      <w:pPr>
        <w:widowControl w:val="0"/>
        <w:ind w:right="-94"/>
        <w:rPr>
          <w:color w:val="auto"/>
          <w:sz w:val="22"/>
          <w:szCs w:val="22"/>
        </w:rPr>
      </w:pPr>
      <w:r w:rsidRPr="004C4527">
        <w:rPr>
          <w:color w:val="auto"/>
          <w:sz w:val="22"/>
          <w:szCs w:val="22"/>
        </w:rPr>
        <w:t>MassHealth will continue covering COVID-19 vaccine</w:t>
      </w:r>
      <w:r w:rsidR="00800E59">
        <w:rPr>
          <w:color w:val="auto"/>
          <w:sz w:val="22"/>
          <w:szCs w:val="22"/>
        </w:rPr>
        <w:t>s</w:t>
      </w:r>
      <w:r w:rsidRPr="004C4527">
        <w:rPr>
          <w:color w:val="auto"/>
          <w:sz w:val="22"/>
          <w:szCs w:val="22"/>
        </w:rPr>
        <w:t xml:space="preserve"> for MassHealth members at no cost to the member</w:t>
      </w:r>
      <w:r w:rsidR="00800E59">
        <w:rPr>
          <w:color w:val="auto"/>
          <w:sz w:val="22"/>
          <w:szCs w:val="22"/>
        </w:rPr>
        <w:t>s</w:t>
      </w:r>
      <w:r w:rsidRPr="004C4527">
        <w:rPr>
          <w:color w:val="auto"/>
          <w:sz w:val="22"/>
          <w:szCs w:val="22"/>
        </w:rPr>
        <w:t xml:space="preserve"> after the </w:t>
      </w:r>
      <w:r w:rsidR="00800E59">
        <w:rPr>
          <w:color w:val="auto"/>
          <w:sz w:val="22"/>
          <w:szCs w:val="22"/>
        </w:rPr>
        <w:t xml:space="preserve">federal </w:t>
      </w:r>
      <w:r w:rsidRPr="004C4527">
        <w:rPr>
          <w:color w:val="auto"/>
          <w:sz w:val="22"/>
          <w:szCs w:val="22"/>
        </w:rPr>
        <w:t>PHE</w:t>
      </w:r>
      <w:r w:rsidR="00800E59">
        <w:rPr>
          <w:color w:val="auto"/>
          <w:sz w:val="22"/>
          <w:szCs w:val="22"/>
        </w:rPr>
        <w:t xml:space="preserve"> ends</w:t>
      </w:r>
      <w:r w:rsidRPr="004C4527">
        <w:rPr>
          <w:color w:val="auto"/>
          <w:sz w:val="22"/>
          <w:szCs w:val="22"/>
        </w:rPr>
        <w:t>.</w:t>
      </w:r>
    </w:p>
    <w:p w14:paraId="20E74205" w14:textId="77777777" w:rsidR="002A4D47" w:rsidRPr="004C4527" w:rsidRDefault="002A4D47" w:rsidP="002A4D47">
      <w:pPr>
        <w:widowControl w:val="0"/>
        <w:ind w:right="-94"/>
        <w:rPr>
          <w:color w:val="auto"/>
          <w:sz w:val="22"/>
          <w:szCs w:val="22"/>
        </w:rPr>
      </w:pPr>
    </w:p>
    <w:p w14:paraId="6E8704A8" w14:textId="4734B17A" w:rsidR="002A4D47" w:rsidRPr="002A4D47" w:rsidRDefault="002A4D47" w:rsidP="002A4D47">
      <w:pPr>
        <w:widowControl w:val="0"/>
        <w:ind w:right="-94"/>
        <w:rPr>
          <w:color w:val="auto"/>
          <w:sz w:val="22"/>
          <w:szCs w:val="22"/>
        </w:rPr>
      </w:pPr>
      <w:r w:rsidRPr="004C4527">
        <w:rPr>
          <w:color w:val="auto"/>
          <w:sz w:val="22"/>
          <w:szCs w:val="22"/>
        </w:rPr>
        <w:t xml:space="preserve">As of April 18, 2023, the United States Food </w:t>
      </w:r>
      <w:r w:rsidR="00800E59">
        <w:rPr>
          <w:color w:val="auto"/>
          <w:sz w:val="22"/>
          <w:szCs w:val="22"/>
        </w:rPr>
        <w:t>and</w:t>
      </w:r>
      <w:r w:rsidRPr="004C4527">
        <w:rPr>
          <w:color w:val="auto"/>
          <w:sz w:val="22"/>
          <w:szCs w:val="22"/>
        </w:rPr>
        <w:t xml:space="preserve"> Drug Administration (FDA) has amended the emergency use authorizations of the Moderna and Pfizer-BioNTech COVID-19 mRNA vaccines. The monovalent vaccines are no longer authorized for use in the United States. The bivalent vaccines are now authorized to be used for all doses administered to individuals six months of age and older.</w:t>
      </w:r>
      <w:r w:rsidRPr="004C4527">
        <w:rPr>
          <w:color w:val="auto"/>
          <w:sz w:val="22"/>
          <w:szCs w:val="22"/>
          <w:vertAlign w:val="superscript"/>
        </w:rPr>
        <w:t>2</w:t>
      </w:r>
      <w:r w:rsidRPr="004C4527">
        <w:rPr>
          <w:color w:val="auto"/>
          <w:sz w:val="22"/>
          <w:szCs w:val="22"/>
        </w:rPr>
        <w:t xml:space="preserve"> Effective June 5, 2023, monovalent COVID-19 vaccines will be removed from the MHDL.</w:t>
      </w:r>
      <w:r w:rsidRPr="002A4D47">
        <w:rPr>
          <w:color w:val="auto"/>
          <w:sz w:val="22"/>
          <w:szCs w:val="22"/>
        </w:rPr>
        <w:t xml:space="preserve"> </w:t>
      </w:r>
    </w:p>
    <w:p w14:paraId="28FB70D1" w14:textId="77777777" w:rsidR="002B12B8" w:rsidRDefault="002B12B8" w:rsidP="00242A52">
      <w:pPr>
        <w:widowControl w:val="0"/>
        <w:ind w:right="-94"/>
        <w:rPr>
          <w:color w:val="auto"/>
          <w:sz w:val="22"/>
          <w:szCs w:val="22"/>
        </w:rPr>
      </w:pPr>
    </w:p>
    <w:p w14:paraId="64996391" w14:textId="712CD891" w:rsidR="002B12B8" w:rsidRPr="004425A0" w:rsidRDefault="004425A0" w:rsidP="00242A52">
      <w:pPr>
        <w:widowControl w:val="0"/>
        <w:ind w:right="-94"/>
        <w:rPr>
          <w:b/>
          <w:bCs/>
          <w:color w:val="auto"/>
          <w:sz w:val="22"/>
          <w:szCs w:val="22"/>
        </w:rPr>
      </w:pPr>
      <w:r w:rsidRPr="004425A0">
        <w:rPr>
          <w:b/>
          <w:bCs/>
          <w:color w:val="auto"/>
          <w:sz w:val="22"/>
          <w:szCs w:val="22"/>
        </w:rPr>
        <w:t>Coverage for COVID-19 Treatment for MassHealth Members</w:t>
      </w:r>
    </w:p>
    <w:p w14:paraId="3BB285AF" w14:textId="77777777" w:rsidR="004425A0" w:rsidRPr="00C04A14" w:rsidRDefault="004425A0" w:rsidP="00242A52">
      <w:pPr>
        <w:widowControl w:val="0"/>
        <w:ind w:right="-94"/>
        <w:rPr>
          <w:color w:val="auto"/>
          <w:sz w:val="18"/>
          <w:szCs w:val="18"/>
        </w:rPr>
      </w:pPr>
    </w:p>
    <w:p w14:paraId="19AB58F8" w14:textId="32961072" w:rsidR="00286660" w:rsidRPr="00286660" w:rsidRDefault="00286660" w:rsidP="00286660">
      <w:pPr>
        <w:widowControl w:val="0"/>
        <w:ind w:right="-94"/>
        <w:rPr>
          <w:color w:val="auto"/>
          <w:sz w:val="22"/>
          <w:szCs w:val="22"/>
        </w:rPr>
      </w:pPr>
      <w:r w:rsidRPr="00286660">
        <w:rPr>
          <w:color w:val="auto"/>
          <w:sz w:val="22"/>
          <w:szCs w:val="22"/>
        </w:rPr>
        <w:t>The FDA has updated the guidance for use of monoclonal antibodies due to the high frequency of the Omicron variant and certain Omicron subvariants.</w:t>
      </w:r>
      <w:r w:rsidRPr="001C0A43">
        <w:rPr>
          <w:color w:val="auto"/>
          <w:sz w:val="22"/>
          <w:szCs w:val="22"/>
          <w:vertAlign w:val="superscript"/>
        </w:rPr>
        <w:t>3</w:t>
      </w:r>
      <w:r w:rsidRPr="00286660">
        <w:rPr>
          <w:color w:val="auto"/>
          <w:sz w:val="22"/>
          <w:szCs w:val="22"/>
        </w:rPr>
        <w:t xml:space="preserve"> Effective June 5, 2023, </w:t>
      </w:r>
      <w:proofErr w:type="spellStart"/>
      <w:r w:rsidRPr="00286660">
        <w:rPr>
          <w:color w:val="auto"/>
          <w:sz w:val="22"/>
          <w:szCs w:val="22"/>
        </w:rPr>
        <w:t>bamlanivimab</w:t>
      </w:r>
      <w:proofErr w:type="spellEnd"/>
      <w:r w:rsidRPr="00286660">
        <w:rPr>
          <w:color w:val="auto"/>
          <w:sz w:val="22"/>
          <w:szCs w:val="22"/>
        </w:rPr>
        <w:t xml:space="preserve">, </w:t>
      </w:r>
      <w:proofErr w:type="spellStart"/>
      <w:r w:rsidRPr="00286660">
        <w:rPr>
          <w:color w:val="auto"/>
          <w:sz w:val="22"/>
          <w:szCs w:val="22"/>
        </w:rPr>
        <w:t>etesevimab</w:t>
      </w:r>
      <w:proofErr w:type="spellEnd"/>
      <w:r w:rsidRPr="00286660">
        <w:rPr>
          <w:color w:val="auto"/>
          <w:sz w:val="22"/>
          <w:szCs w:val="22"/>
        </w:rPr>
        <w:t xml:space="preserve">, </w:t>
      </w:r>
      <w:proofErr w:type="spellStart"/>
      <w:r w:rsidRPr="00286660">
        <w:rPr>
          <w:color w:val="auto"/>
          <w:sz w:val="22"/>
          <w:szCs w:val="22"/>
        </w:rPr>
        <w:t>bebtelovimab</w:t>
      </w:r>
      <w:proofErr w:type="spellEnd"/>
      <w:r w:rsidRPr="00286660">
        <w:rPr>
          <w:color w:val="auto"/>
          <w:sz w:val="22"/>
          <w:szCs w:val="22"/>
        </w:rPr>
        <w:t xml:space="preserve">, </w:t>
      </w:r>
      <w:proofErr w:type="spellStart"/>
      <w:r w:rsidRPr="00286660">
        <w:rPr>
          <w:color w:val="auto"/>
          <w:sz w:val="22"/>
          <w:szCs w:val="22"/>
        </w:rPr>
        <w:t>Evusheld</w:t>
      </w:r>
      <w:proofErr w:type="spellEnd"/>
      <w:r w:rsidRPr="0006441B">
        <w:rPr>
          <w:color w:val="auto"/>
          <w:sz w:val="22"/>
          <w:szCs w:val="22"/>
          <w:vertAlign w:val="superscript"/>
        </w:rPr>
        <w:t>®</w:t>
      </w:r>
      <w:r w:rsidRPr="00286660">
        <w:rPr>
          <w:color w:val="auto"/>
          <w:sz w:val="22"/>
          <w:szCs w:val="22"/>
        </w:rPr>
        <w:t xml:space="preserve"> (</w:t>
      </w:r>
      <w:proofErr w:type="spellStart"/>
      <w:r w:rsidRPr="00286660">
        <w:rPr>
          <w:color w:val="auto"/>
          <w:sz w:val="22"/>
          <w:szCs w:val="22"/>
        </w:rPr>
        <w:t>tixagevimab</w:t>
      </w:r>
      <w:proofErr w:type="spellEnd"/>
      <w:r w:rsidRPr="00286660">
        <w:rPr>
          <w:color w:val="auto"/>
          <w:sz w:val="22"/>
          <w:szCs w:val="22"/>
        </w:rPr>
        <w:t>/</w:t>
      </w:r>
      <w:proofErr w:type="spellStart"/>
      <w:r w:rsidRPr="00286660">
        <w:rPr>
          <w:color w:val="auto"/>
          <w:sz w:val="22"/>
          <w:szCs w:val="22"/>
        </w:rPr>
        <w:t>cilgavimab</w:t>
      </w:r>
      <w:proofErr w:type="spellEnd"/>
      <w:r w:rsidRPr="00286660">
        <w:rPr>
          <w:color w:val="auto"/>
          <w:sz w:val="22"/>
          <w:szCs w:val="22"/>
        </w:rPr>
        <w:t>)</w:t>
      </w:r>
      <w:r w:rsidR="00DC6AF3">
        <w:rPr>
          <w:color w:val="auto"/>
          <w:sz w:val="22"/>
          <w:szCs w:val="22"/>
        </w:rPr>
        <w:t>,</w:t>
      </w:r>
      <w:r w:rsidRPr="00286660">
        <w:rPr>
          <w:color w:val="auto"/>
          <w:sz w:val="22"/>
          <w:szCs w:val="22"/>
        </w:rPr>
        <w:t xml:space="preserve"> Regen-</w:t>
      </w:r>
      <w:proofErr w:type="spellStart"/>
      <w:r w:rsidRPr="00286660">
        <w:rPr>
          <w:color w:val="auto"/>
          <w:sz w:val="22"/>
          <w:szCs w:val="22"/>
        </w:rPr>
        <w:t>Cov</w:t>
      </w:r>
      <w:proofErr w:type="spellEnd"/>
      <w:r w:rsidRPr="0006441B">
        <w:rPr>
          <w:color w:val="auto"/>
          <w:sz w:val="22"/>
          <w:szCs w:val="22"/>
          <w:vertAlign w:val="superscript"/>
        </w:rPr>
        <w:t>®</w:t>
      </w:r>
      <w:r w:rsidRPr="00286660">
        <w:rPr>
          <w:color w:val="auto"/>
          <w:sz w:val="22"/>
          <w:szCs w:val="22"/>
        </w:rPr>
        <w:t xml:space="preserve"> (casirivimab)</w:t>
      </w:r>
      <w:r w:rsidR="00D70F03">
        <w:rPr>
          <w:color w:val="auto"/>
          <w:sz w:val="22"/>
          <w:szCs w:val="22"/>
        </w:rPr>
        <w:t>,</w:t>
      </w:r>
      <w:r w:rsidRPr="00286660">
        <w:rPr>
          <w:color w:val="auto"/>
          <w:sz w:val="22"/>
          <w:szCs w:val="22"/>
        </w:rPr>
        <w:t xml:space="preserve"> and sotrovimab will be removed from the MHDL because they are no longer authorized for use by the FDA.</w:t>
      </w:r>
    </w:p>
    <w:p w14:paraId="0E58ECBD" w14:textId="77777777" w:rsidR="00286660" w:rsidRDefault="00286660" w:rsidP="00286660">
      <w:pPr>
        <w:widowControl w:val="0"/>
        <w:ind w:right="-94"/>
        <w:rPr>
          <w:color w:val="auto"/>
          <w:sz w:val="22"/>
          <w:szCs w:val="22"/>
        </w:rPr>
      </w:pPr>
    </w:p>
    <w:p w14:paraId="5D80E407" w14:textId="428961D8" w:rsidR="00286660" w:rsidRPr="00286660" w:rsidRDefault="00286660" w:rsidP="00286660">
      <w:pPr>
        <w:widowControl w:val="0"/>
        <w:ind w:right="-94"/>
        <w:rPr>
          <w:color w:val="auto"/>
          <w:sz w:val="22"/>
          <w:szCs w:val="22"/>
        </w:rPr>
      </w:pPr>
      <w:r w:rsidRPr="00286660">
        <w:rPr>
          <w:color w:val="auto"/>
          <w:sz w:val="22"/>
          <w:szCs w:val="22"/>
        </w:rPr>
        <w:t xml:space="preserve">Effective July 31, 2023, </w:t>
      </w:r>
      <w:proofErr w:type="spellStart"/>
      <w:r w:rsidRPr="00286660">
        <w:rPr>
          <w:color w:val="auto"/>
          <w:sz w:val="22"/>
          <w:szCs w:val="22"/>
        </w:rPr>
        <w:t>Trodelvy</w:t>
      </w:r>
      <w:proofErr w:type="spellEnd"/>
      <w:r w:rsidRPr="006F016F">
        <w:rPr>
          <w:color w:val="auto"/>
          <w:sz w:val="22"/>
          <w:szCs w:val="22"/>
          <w:vertAlign w:val="superscript"/>
        </w:rPr>
        <w:t>®</w:t>
      </w:r>
      <w:r w:rsidRPr="00286660">
        <w:rPr>
          <w:color w:val="auto"/>
          <w:sz w:val="22"/>
          <w:szCs w:val="22"/>
        </w:rPr>
        <w:t xml:space="preserve"> (</w:t>
      </w:r>
      <w:proofErr w:type="spellStart"/>
      <w:r w:rsidR="00EB5D69" w:rsidRPr="00EB5D69">
        <w:rPr>
          <w:color w:val="auto"/>
          <w:sz w:val="22"/>
          <w:szCs w:val="22"/>
        </w:rPr>
        <w:t>sacituzumab</w:t>
      </w:r>
      <w:proofErr w:type="spellEnd"/>
      <w:r w:rsidR="00EB5D69" w:rsidRPr="00EB5D69">
        <w:rPr>
          <w:color w:val="auto"/>
          <w:sz w:val="22"/>
          <w:szCs w:val="22"/>
        </w:rPr>
        <w:t xml:space="preserve"> </w:t>
      </w:r>
      <w:proofErr w:type="spellStart"/>
      <w:r w:rsidRPr="00286660">
        <w:rPr>
          <w:color w:val="auto"/>
          <w:sz w:val="22"/>
          <w:szCs w:val="22"/>
        </w:rPr>
        <w:t>govitecan-hziy</w:t>
      </w:r>
      <w:proofErr w:type="spellEnd"/>
      <w:r w:rsidRPr="00286660">
        <w:rPr>
          <w:color w:val="auto"/>
          <w:sz w:val="22"/>
          <w:szCs w:val="22"/>
        </w:rPr>
        <w:t>) will be available through medical billing only</w:t>
      </w:r>
      <w:r w:rsidR="00D70F03">
        <w:rPr>
          <w:color w:val="auto"/>
          <w:sz w:val="22"/>
          <w:szCs w:val="22"/>
        </w:rPr>
        <w:t>, not</w:t>
      </w:r>
      <w:r w:rsidRPr="00286660">
        <w:rPr>
          <w:color w:val="auto"/>
          <w:sz w:val="22"/>
          <w:szCs w:val="22"/>
        </w:rPr>
        <w:t xml:space="preserve"> through pharmacy billing.</w:t>
      </w:r>
    </w:p>
    <w:p w14:paraId="0EF5DE5D" w14:textId="77777777" w:rsidR="00286660" w:rsidRDefault="00286660" w:rsidP="00286660">
      <w:pPr>
        <w:widowControl w:val="0"/>
        <w:ind w:right="-94"/>
        <w:rPr>
          <w:color w:val="auto"/>
          <w:sz w:val="22"/>
          <w:szCs w:val="22"/>
        </w:rPr>
      </w:pPr>
    </w:p>
    <w:p w14:paraId="34B8DAC1" w14:textId="06FFEF99" w:rsidR="00286660" w:rsidRPr="00286660" w:rsidRDefault="00286660" w:rsidP="00286660">
      <w:pPr>
        <w:widowControl w:val="0"/>
        <w:ind w:right="-94"/>
        <w:rPr>
          <w:color w:val="auto"/>
          <w:sz w:val="22"/>
          <w:szCs w:val="22"/>
        </w:rPr>
      </w:pPr>
      <w:r w:rsidRPr="00286660">
        <w:rPr>
          <w:color w:val="auto"/>
          <w:sz w:val="22"/>
          <w:szCs w:val="22"/>
        </w:rPr>
        <w:t xml:space="preserve">Effective July 31, 2023, </w:t>
      </w:r>
      <w:proofErr w:type="spellStart"/>
      <w:r w:rsidRPr="00286660">
        <w:rPr>
          <w:color w:val="auto"/>
          <w:sz w:val="22"/>
          <w:szCs w:val="22"/>
        </w:rPr>
        <w:t>Gohibic</w:t>
      </w:r>
      <w:proofErr w:type="spellEnd"/>
      <w:r w:rsidRPr="00872074">
        <w:rPr>
          <w:color w:val="auto"/>
          <w:sz w:val="22"/>
          <w:szCs w:val="22"/>
          <w:vertAlign w:val="superscript"/>
        </w:rPr>
        <w:t>®</w:t>
      </w:r>
      <w:r w:rsidRPr="00286660">
        <w:rPr>
          <w:color w:val="auto"/>
          <w:sz w:val="22"/>
          <w:szCs w:val="22"/>
        </w:rPr>
        <w:t xml:space="preserve"> (</w:t>
      </w:r>
      <w:proofErr w:type="spellStart"/>
      <w:r w:rsidRPr="00286660">
        <w:rPr>
          <w:color w:val="auto"/>
          <w:sz w:val="22"/>
          <w:szCs w:val="22"/>
        </w:rPr>
        <w:t>vilobelimab</w:t>
      </w:r>
      <w:proofErr w:type="spellEnd"/>
      <w:r w:rsidRPr="00286660">
        <w:rPr>
          <w:color w:val="auto"/>
          <w:sz w:val="22"/>
          <w:szCs w:val="22"/>
        </w:rPr>
        <w:t xml:space="preserve">) will be added to the MHDL as available without </w:t>
      </w:r>
      <w:r w:rsidR="003546C8">
        <w:rPr>
          <w:color w:val="auto"/>
          <w:sz w:val="22"/>
          <w:szCs w:val="22"/>
        </w:rPr>
        <w:t>PA</w:t>
      </w:r>
      <w:r w:rsidRPr="00286660">
        <w:rPr>
          <w:color w:val="auto"/>
          <w:sz w:val="22"/>
          <w:szCs w:val="22"/>
        </w:rPr>
        <w:t xml:space="preserve"> and </w:t>
      </w:r>
      <w:r w:rsidR="00273694">
        <w:rPr>
          <w:color w:val="auto"/>
          <w:sz w:val="22"/>
          <w:szCs w:val="22"/>
        </w:rPr>
        <w:t>will be available through</w:t>
      </w:r>
      <w:r w:rsidRPr="00286660">
        <w:rPr>
          <w:color w:val="auto"/>
          <w:sz w:val="22"/>
          <w:szCs w:val="22"/>
        </w:rPr>
        <w:t xml:space="preserve"> medical billing only. </w:t>
      </w:r>
    </w:p>
    <w:p w14:paraId="4DE48124" w14:textId="77777777" w:rsidR="00286660" w:rsidRDefault="00286660" w:rsidP="00286660">
      <w:pPr>
        <w:widowControl w:val="0"/>
        <w:ind w:right="-94"/>
        <w:rPr>
          <w:color w:val="auto"/>
          <w:sz w:val="22"/>
          <w:szCs w:val="22"/>
        </w:rPr>
      </w:pPr>
    </w:p>
    <w:p w14:paraId="35384DBC" w14:textId="77777777" w:rsidR="004B321B" w:rsidRDefault="004B321B" w:rsidP="00286660">
      <w:pPr>
        <w:widowControl w:val="0"/>
        <w:ind w:right="-94"/>
        <w:rPr>
          <w:color w:val="auto"/>
          <w:sz w:val="22"/>
          <w:szCs w:val="22"/>
        </w:rPr>
        <w:sectPr w:rsidR="004B321B" w:rsidSect="001560B1">
          <w:type w:val="continuous"/>
          <w:pgSz w:w="12240" w:h="15840" w:code="1"/>
          <w:pgMar w:top="765" w:right="720" w:bottom="135" w:left="907" w:header="187" w:footer="540" w:gutter="0"/>
          <w:cols w:num="2" w:space="720"/>
          <w:docGrid w:linePitch="360"/>
        </w:sectPr>
      </w:pPr>
    </w:p>
    <w:p w14:paraId="32ACDB68" w14:textId="23976539" w:rsidR="00286660" w:rsidRPr="00286660" w:rsidRDefault="00286660" w:rsidP="00286660">
      <w:pPr>
        <w:widowControl w:val="0"/>
        <w:ind w:right="-94"/>
        <w:rPr>
          <w:color w:val="auto"/>
          <w:sz w:val="22"/>
          <w:szCs w:val="22"/>
        </w:rPr>
      </w:pPr>
      <w:r w:rsidRPr="00286660">
        <w:rPr>
          <w:color w:val="auto"/>
          <w:sz w:val="22"/>
          <w:szCs w:val="22"/>
        </w:rPr>
        <w:lastRenderedPageBreak/>
        <w:t xml:space="preserve">Effective July 31, 2023, </w:t>
      </w:r>
      <w:proofErr w:type="spellStart"/>
      <w:r w:rsidRPr="00286660">
        <w:rPr>
          <w:color w:val="auto"/>
          <w:sz w:val="22"/>
          <w:szCs w:val="22"/>
        </w:rPr>
        <w:t>Veklury</w:t>
      </w:r>
      <w:proofErr w:type="spellEnd"/>
      <w:r w:rsidRPr="004507A0">
        <w:rPr>
          <w:color w:val="auto"/>
          <w:sz w:val="22"/>
          <w:szCs w:val="22"/>
          <w:vertAlign w:val="superscript"/>
        </w:rPr>
        <w:t>®</w:t>
      </w:r>
      <w:r w:rsidRPr="00286660">
        <w:rPr>
          <w:color w:val="auto"/>
          <w:sz w:val="22"/>
          <w:szCs w:val="22"/>
        </w:rPr>
        <w:t xml:space="preserve"> (remdesivir) will no longer require </w:t>
      </w:r>
      <w:r w:rsidR="003546C8">
        <w:rPr>
          <w:color w:val="auto"/>
          <w:sz w:val="22"/>
          <w:szCs w:val="22"/>
        </w:rPr>
        <w:t>PA</w:t>
      </w:r>
      <w:r w:rsidRPr="00286660">
        <w:rPr>
          <w:color w:val="auto"/>
          <w:sz w:val="22"/>
          <w:szCs w:val="22"/>
        </w:rPr>
        <w:t xml:space="preserve"> and will </w:t>
      </w:r>
      <w:r w:rsidR="00273694" w:rsidRPr="00273694">
        <w:rPr>
          <w:color w:val="auto"/>
          <w:sz w:val="22"/>
          <w:szCs w:val="22"/>
        </w:rPr>
        <w:t>be available through medical billing only, not through pharmacy billing</w:t>
      </w:r>
      <w:r w:rsidRPr="00286660">
        <w:rPr>
          <w:color w:val="auto"/>
          <w:sz w:val="22"/>
          <w:szCs w:val="22"/>
        </w:rPr>
        <w:t xml:space="preserve">. </w:t>
      </w:r>
    </w:p>
    <w:p w14:paraId="4137B1B5" w14:textId="77777777" w:rsidR="00286660" w:rsidRDefault="00286660" w:rsidP="00286660">
      <w:pPr>
        <w:widowControl w:val="0"/>
        <w:ind w:right="-94"/>
        <w:rPr>
          <w:color w:val="auto"/>
          <w:sz w:val="22"/>
          <w:szCs w:val="22"/>
        </w:rPr>
      </w:pPr>
    </w:p>
    <w:p w14:paraId="46AA2804" w14:textId="2C390CB4" w:rsidR="00286660" w:rsidRPr="002C2753" w:rsidRDefault="00286660" w:rsidP="00242A52">
      <w:pPr>
        <w:widowControl w:val="0"/>
        <w:ind w:right="-94"/>
        <w:rPr>
          <w:color w:val="auto"/>
          <w:sz w:val="22"/>
          <w:szCs w:val="22"/>
        </w:rPr>
      </w:pPr>
      <w:r w:rsidRPr="00286660">
        <w:rPr>
          <w:color w:val="auto"/>
          <w:sz w:val="22"/>
          <w:szCs w:val="22"/>
        </w:rPr>
        <w:t xml:space="preserve">The National Institutes of Health and the Infectious Diseases Society of America continue to recommend against the use of ivermectin for COVID-19 treatment </w:t>
      </w:r>
      <w:r w:rsidR="00A5329E">
        <w:rPr>
          <w:color w:val="auto"/>
          <w:sz w:val="22"/>
          <w:szCs w:val="22"/>
        </w:rPr>
        <w:t xml:space="preserve">because of </w:t>
      </w:r>
      <w:r w:rsidRPr="00286660">
        <w:rPr>
          <w:color w:val="auto"/>
          <w:sz w:val="22"/>
          <w:szCs w:val="22"/>
        </w:rPr>
        <w:t>a lack of clear clinical benefit.</w:t>
      </w:r>
      <w:r w:rsidRPr="00591E1D">
        <w:rPr>
          <w:color w:val="auto"/>
          <w:sz w:val="22"/>
          <w:szCs w:val="22"/>
          <w:vertAlign w:val="superscript"/>
        </w:rPr>
        <w:t>4,5</w:t>
      </w:r>
      <w:r w:rsidRPr="00286660">
        <w:rPr>
          <w:color w:val="auto"/>
          <w:sz w:val="22"/>
          <w:szCs w:val="22"/>
        </w:rPr>
        <w:t xml:space="preserve"> Effective July 31, 2023, </w:t>
      </w:r>
      <w:proofErr w:type="spellStart"/>
      <w:r w:rsidRPr="00286660">
        <w:rPr>
          <w:color w:val="auto"/>
          <w:sz w:val="22"/>
          <w:szCs w:val="22"/>
        </w:rPr>
        <w:t>Stromectol</w:t>
      </w:r>
      <w:proofErr w:type="spellEnd"/>
      <w:r w:rsidRPr="00591E1D">
        <w:rPr>
          <w:color w:val="auto"/>
          <w:sz w:val="22"/>
          <w:szCs w:val="22"/>
          <w:vertAlign w:val="superscript"/>
        </w:rPr>
        <w:t>®</w:t>
      </w:r>
      <w:r w:rsidRPr="00286660">
        <w:rPr>
          <w:color w:val="auto"/>
          <w:sz w:val="22"/>
          <w:szCs w:val="22"/>
        </w:rPr>
        <w:t xml:space="preserve"> (ivermectin) will be available without a quantity limit for use in FDA-labeled indications and those consistent with appropriate clinical evidence. </w:t>
      </w:r>
    </w:p>
    <w:p w14:paraId="2BD3BE0F" w14:textId="475FDC8E" w:rsidR="00242A52" w:rsidRPr="00242A52" w:rsidRDefault="009F6AED" w:rsidP="00242A52">
      <w:pPr>
        <w:pStyle w:val="Heading2"/>
        <w:framePr w:hSpace="0" w:wrap="auto" w:vAnchor="margin" w:yAlign="inline"/>
        <w:rPr>
          <w:color w:val="000000"/>
        </w:rPr>
      </w:pPr>
      <w:r>
        <w:t>Footnotes</w:t>
      </w:r>
    </w:p>
    <w:p w14:paraId="04665A09" w14:textId="2B7B71A3" w:rsidR="00C35BA0" w:rsidRPr="00CF71D0" w:rsidRDefault="00C35BA0" w:rsidP="00C35BA0">
      <w:pPr>
        <w:pStyle w:val="ListParagraph"/>
        <w:widowControl w:val="0"/>
        <w:numPr>
          <w:ilvl w:val="0"/>
          <w:numId w:val="4"/>
        </w:numPr>
        <w:tabs>
          <w:tab w:val="left" w:pos="1335"/>
        </w:tabs>
        <w:rPr>
          <w:color w:val="auto"/>
        </w:rPr>
      </w:pPr>
      <w:r w:rsidRPr="00CF71D0">
        <w:rPr>
          <w:color w:val="auto"/>
        </w:rPr>
        <w:t xml:space="preserve">U.S. Department of Health and Human Services. Fact sheet: COVID-19 public health emergency transition roadmap [webpage on the Internet]. Washington, D.C.: U.S. Department of Health and Human Services; Feb 2023 [cited 2023 May 8]. Available from: </w:t>
      </w:r>
      <w:hyperlink r:id="rId14" w:history="1">
        <w:r w:rsidR="00327F79" w:rsidRPr="000715D0">
          <w:rPr>
            <w:rStyle w:val="Hyperlink"/>
          </w:rPr>
          <w:t>https://www.hhs.gov/about/news/2023/02/09/fact-sheet-covid-19-public-health-emergency-transition-roadmap.html</w:t>
        </w:r>
      </w:hyperlink>
      <w:r w:rsidR="00E23C28">
        <w:rPr>
          <w:color w:val="auto"/>
        </w:rPr>
        <w:t>.</w:t>
      </w:r>
    </w:p>
    <w:p w14:paraId="6598CA82" w14:textId="65BDE435" w:rsidR="00C35BA0" w:rsidRPr="00CF71D0" w:rsidRDefault="00C35BA0" w:rsidP="00C35BA0">
      <w:pPr>
        <w:pStyle w:val="ListParagraph"/>
        <w:widowControl w:val="0"/>
        <w:numPr>
          <w:ilvl w:val="0"/>
          <w:numId w:val="4"/>
        </w:numPr>
        <w:tabs>
          <w:tab w:val="left" w:pos="1335"/>
        </w:tabs>
        <w:rPr>
          <w:color w:val="auto"/>
        </w:rPr>
      </w:pPr>
      <w:r w:rsidRPr="00CF71D0">
        <w:rPr>
          <w:color w:val="auto"/>
        </w:rPr>
        <w:t xml:space="preserve">U.S. Food &amp; Drug Administration. Coronavirus (COVID-19) update: FDA authorizes changes to simplify use of bivalent mRNA COVID-19 vaccines </w:t>
      </w:r>
      <w:r w:rsidRPr="00CF71D0">
        <w:rPr>
          <w:color w:val="auto"/>
        </w:rPr>
        <w:t xml:space="preserve">[webpage on the Internet]. Silver Spring (MD): U.S. Food &amp; Drug Administration; Apr 2023 [cited 2023 May 8]. </w:t>
      </w:r>
      <w:r w:rsidR="0007388E" w:rsidRPr="00CF71D0">
        <w:rPr>
          <w:color w:val="auto"/>
        </w:rPr>
        <w:t xml:space="preserve">Available from: </w:t>
      </w:r>
      <w:hyperlink r:id="rId15" w:history="1">
        <w:r w:rsidR="0007388E" w:rsidRPr="00E23C28">
          <w:rPr>
            <w:rStyle w:val="Hyperlink"/>
          </w:rPr>
          <w:t>https://www.fda.gov/news-events/press-announcements/coronavirus-covid-19-update-fda-authorizes-changes-simplify-use-bivalent-mrna-covid-19-vaccines</w:t>
        </w:r>
      </w:hyperlink>
      <w:r w:rsidR="00E23C28">
        <w:rPr>
          <w:color w:val="auto"/>
        </w:rPr>
        <w:t>.</w:t>
      </w:r>
    </w:p>
    <w:p w14:paraId="319DC2C1" w14:textId="76A0611A" w:rsidR="00C35BA0" w:rsidRPr="00CF71D0" w:rsidRDefault="00C35BA0" w:rsidP="00C35BA0">
      <w:pPr>
        <w:pStyle w:val="ListParagraph"/>
        <w:widowControl w:val="0"/>
        <w:numPr>
          <w:ilvl w:val="0"/>
          <w:numId w:val="4"/>
        </w:numPr>
        <w:tabs>
          <w:tab w:val="left" w:pos="1335"/>
        </w:tabs>
        <w:rPr>
          <w:color w:val="auto"/>
        </w:rPr>
      </w:pPr>
      <w:r w:rsidRPr="00CF71D0">
        <w:rPr>
          <w:color w:val="auto"/>
        </w:rPr>
        <w:t xml:space="preserve">Centers for Medicare &amp; Medicaid Services. COVID-19 Monoclonal Antibodies [webpage on the Internet]. Baltimore (MD): Centers for Medicare &amp; Medicaid Services; Apr 2023 [cited 2023 May 8]. </w:t>
      </w:r>
      <w:r w:rsidR="00C81356" w:rsidRPr="00CF71D0">
        <w:rPr>
          <w:color w:val="auto"/>
        </w:rPr>
        <w:t xml:space="preserve">Available from: </w:t>
      </w:r>
      <w:hyperlink r:id="rId16" w:anchor=":~:text=On%20January%2024%2C%202022%2C%20the,the%20EUA%20until%20further%20notice" w:history="1">
        <w:r w:rsidR="00903B62" w:rsidRPr="00903B62">
          <w:rPr>
            <w:rStyle w:val="Hyperlink"/>
          </w:rPr>
          <w:t>https://www.cms.gov/monoclonal#:~:text=On%20January%2024%2C%202022%2C%20the,the%20EUA%20until%20further%20notice</w:t>
        </w:r>
      </w:hyperlink>
      <w:r w:rsidRPr="00CF71D0">
        <w:rPr>
          <w:color w:val="auto"/>
        </w:rPr>
        <w:t>.</w:t>
      </w:r>
    </w:p>
    <w:p w14:paraId="0C4544AD" w14:textId="46983D9B" w:rsidR="00C35BA0" w:rsidRPr="00CF71D0" w:rsidRDefault="00C35BA0" w:rsidP="00C35BA0">
      <w:pPr>
        <w:pStyle w:val="ListParagraph"/>
        <w:widowControl w:val="0"/>
        <w:numPr>
          <w:ilvl w:val="0"/>
          <w:numId w:val="4"/>
        </w:numPr>
        <w:tabs>
          <w:tab w:val="left" w:pos="1335"/>
        </w:tabs>
        <w:rPr>
          <w:color w:val="auto"/>
        </w:rPr>
      </w:pPr>
      <w:r w:rsidRPr="00CF71D0">
        <w:rPr>
          <w:color w:val="auto"/>
        </w:rPr>
        <w:t xml:space="preserve">COVID-19 Treatment Guidelines Panel. Coronavirus disease 2019 (COVID-19) treatment guidelines. National Institutes of Health. [cited 2023 May 8] </w:t>
      </w:r>
      <w:r w:rsidR="00A3382D" w:rsidRPr="00CF71D0">
        <w:rPr>
          <w:color w:val="auto"/>
        </w:rPr>
        <w:t xml:space="preserve">Available from: </w:t>
      </w:r>
      <w:hyperlink r:id="rId17" w:history="1">
        <w:r w:rsidR="00A3382D" w:rsidRPr="006B0C12">
          <w:rPr>
            <w:rStyle w:val="Hyperlink"/>
          </w:rPr>
          <w:t>https://www.covid19treatmentguidelines.nih.gov/</w:t>
        </w:r>
      </w:hyperlink>
      <w:r w:rsidR="001B1E95">
        <w:rPr>
          <w:color w:val="auto"/>
        </w:rPr>
        <w:t>.</w:t>
      </w:r>
    </w:p>
    <w:p w14:paraId="61543D04" w14:textId="3E4897D4" w:rsidR="00C32B43" w:rsidRDefault="00C35BA0" w:rsidP="00076D8C">
      <w:pPr>
        <w:pStyle w:val="ListParagraph"/>
        <w:widowControl w:val="0"/>
        <w:numPr>
          <w:ilvl w:val="0"/>
          <w:numId w:val="4"/>
        </w:numPr>
        <w:tabs>
          <w:tab w:val="left" w:pos="1335"/>
        </w:tabs>
        <w:rPr>
          <w:color w:val="auto"/>
        </w:rPr>
      </w:pPr>
      <w:r w:rsidRPr="00C35BA0">
        <w:rPr>
          <w:color w:val="auto"/>
        </w:rPr>
        <w:t xml:space="preserve">IDSA guidelines on the treatment and management of patients with COVID-19. Infectious Diseases Society of America; 2021 May 27 (Updated 2023 Apr 11) [cited 2023 May 8]. Available from: </w:t>
      </w:r>
      <w:hyperlink r:id="rId18" w:anchor="Recommendations23-24:Ivermectin" w:history="1">
        <w:r w:rsidRPr="00C32B43">
          <w:rPr>
            <w:rStyle w:val="Hyperlink"/>
          </w:rPr>
          <w:t>https://www.idsociety.org/practice-guideline/covid-19-guideline-treatment-and-management/#Recommendations23-24:Ivermectin</w:t>
        </w:r>
      </w:hyperlink>
      <w:r w:rsidR="00807E9F" w:rsidRPr="00C35BA0">
        <w:rPr>
          <w:color w:val="auto"/>
        </w:rPr>
        <w:t>.</w:t>
      </w:r>
      <w:r w:rsidR="00E377C4">
        <w:rPr>
          <w:color w:val="auto"/>
        </w:rPr>
        <w:tab/>
      </w:r>
    </w:p>
    <w:p w14:paraId="5A0AD721" w14:textId="77777777" w:rsidR="00C32B43" w:rsidRDefault="00C32B43" w:rsidP="00C32B43">
      <w:pPr>
        <w:rPr>
          <w:color w:val="auto"/>
        </w:rPr>
      </w:pPr>
    </w:p>
    <w:p w14:paraId="592A9E95" w14:textId="77777777" w:rsidR="004B321B" w:rsidRDefault="004B321B" w:rsidP="00C32B43">
      <w:pPr>
        <w:rPr>
          <w:color w:val="auto"/>
        </w:rPr>
        <w:sectPr w:rsidR="004B321B" w:rsidSect="00EA7AB8">
          <w:type w:val="continuous"/>
          <w:pgSz w:w="12240" w:h="15840" w:code="1"/>
          <w:pgMar w:top="765" w:right="720" w:bottom="135" w:left="907" w:header="187" w:footer="540" w:gutter="0"/>
          <w:cols w:num="2" w:sep="1" w:space="720"/>
          <w:docGrid w:linePitch="360"/>
        </w:sectPr>
      </w:pPr>
    </w:p>
    <w:p w14:paraId="75322B49" w14:textId="4C0AE61C" w:rsidR="00C32B43" w:rsidRDefault="00C32B43" w:rsidP="00C32B43">
      <w:pPr>
        <w:rPr>
          <w:color w:val="auto"/>
        </w:rPr>
      </w:pPr>
    </w:p>
    <w:p w14:paraId="7370BC73" w14:textId="77777777" w:rsidR="00C32B43" w:rsidRDefault="00C32B43" w:rsidP="00C32B43">
      <w:pPr>
        <w:rPr>
          <w:color w:val="auto"/>
        </w:rPr>
      </w:pPr>
    </w:p>
    <w:p w14:paraId="0607FECC" w14:textId="77777777" w:rsidR="00C32B43" w:rsidRDefault="00C32B43" w:rsidP="00C32B43">
      <w:pPr>
        <w:rPr>
          <w:color w:val="auto"/>
        </w:rPr>
      </w:pPr>
    </w:p>
    <w:p w14:paraId="40E02EA5" w14:textId="77777777" w:rsidR="00C32B43" w:rsidRDefault="00C32B43" w:rsidP="00C32B43">
      <w:pPr>
        <w:rPr>
          <w:color w:val="auto"/>
        </w:rPr>
      </w:pPr>
    </w:p>
    <w:p w14:paraId="7DBAB4D9" w14:textId="77777777" w:rsidR="00C32B43" w:rsidRDefault="00C32B43" w:rsidP="00C32B43">
      <w:pPr>
        <w:rPr>
          <w:color w:val="auto"/>
        </w:rPr>
      </w:pPr>
    </w:p>
    <w:p w14:paraId="001622D0" w14:textId="77777777" w:rsidR="00C32B43" w:rsidRDefault="00C32B43" w:rsidP="00C32B43">
      <w:pPr>
        <w:rPr>
          <w:color w:val="auto"/>
        </w:rPr>
      </w:pPr>
    </w:p>
    <w:p w14:paraId="0B5ECF99" w14:textId="77777777" w:rsidR="00C32B43" w:rsidRDefault="00C32B43" w:rsidP="00C32B43">
      <w:pPr>
        <w:rPr>
          <w:color w:val="auto"/>
        </w:rPr>
      </w:pPr>
    </w:p>
    <w:p w14:paraId="5F5BCED8" w14:textId="77777777" w:rsidR="00C32B43" w:rsidRDefault="00C32B43" w:rsidP="00C32B43">
      <w:pPr>
        <w:rPr>
          <w:color w:val="auto"/>
        </w:rPr>
      </w:pPr>
    </w:p>
    <w:p w14:paraId="78486E59" w14:textId="77777777" w:rsidR="00C32B43" w:rsidRDefault="00C32B43" w:rsidP="00C32B43">
      <w:pPr>
        <w:rPr>
          <w:color w:val="auto"/>
        </w:rPr>
      </w:pPr>
    </w:p>
    <w:p w14:paraId="52597080" w14:textId="77777777" w:rsidR="00C32B43" w:rsidRDefault="00C32B43" w:rsidP="00C32B43">
      <w:pPr>
        <w:rPr>
          <w:color w:val="auto"/>
        </w:rPr>
      </w:pPr>
    </w:p>
    <w:p w14:paraId="0C5DD83C" w14:textId="77777777" w:rsidR="00C32B43" w:rsidRDefault="00C32B43" w:rsidP="00C32B43">
      <w:pPr>
        <w:rPr>
          <w:color w:val="auto"/>
        </w:rPr>
      </w:pPr>
    </w:p>
    <w:p w14:paraId="1D5D92C8" w14:textId="77777777" w:rsidR="00C32B43" w:rsidRDefault="00C32B43" w:rsidP="00C32B43">
      <w:pPr>
        <w:rPr>
          <w:color w:val="auto"/>
        </w:rPr>
      </w:pPr>
    </w:p>
    <w:p w14:paraId="04716605" w14:textId="77777777" w:rsidR="00C32B43" w:rsidRDefault="00C32B43" w:rsidP="00C32B43">
      <w:pPr>
        <w:rPr>
          <w:color w:val="auto"/>
        </w:rPr>
      </w:pPr>
    </w:p>
    <w:p w14:paraId="70581DD0" w14:textId="77777777" w:rsidR="00C32B43" w:rsidRDefault="00C32B43" w:rsidP="00C32B43">
      <w:pPr>
        <w:rPr>
          <w:color w:val="auto"/>
        </w:rPr>
      </w:pPr>
    </w:p>
    <w:p w14:paraId="467D100F" w14:textId="77777777" w:rsidR="00C32B43" w:rsidRDefault="00C32B43" w:rsidP="00C32B43">
      <w:pPr>
        <w:rPr>
          <w:color w:val="auto"/>
        </w:rPr>
      </w:pPr>
    </w:p>
    <w:p w14:paraId="4A91E81E" w14:textId="77777777" w:rsidR="00C32B43" w:rsidRDefault="00C32B43" w:rsidP="00C32B43">
      <w:pPr>
        <w:rPr>
          <w:color w:val="auto"/>
        </w:rPr>
      </w:pPr>
    </w:p>
    <w:p w14:paraId="57E9CFC9" w14:textId="77777777" w:rsidR="00C32B43" w:rsidRDefault="00C32B43" w:rsidP="00C32B43">
      <w:pPr>
        <w:rPr>
          <w:color w:val="auto"/>
        </w:rPr>
      </w:pPr>
    </w:p>
    <w:p w14:paraId="00579403" w14:textId="77777777" w:rsidR="00C32B43" w:rsidRDefault="00C32B43" w:rsidP="00C32B43">
      <w:pPr>
        <w:rPr>
          <w:color w:val="auto"/>
        </w:rPr>
      </w:pPr>
    </w:p>
    <w:p w14:paraId="5B58A847" w14:textId="77777777" w:rsidR="00C32B43" w:rsidRDefault="00C32B43" w:rsidP="00C32B43">
      <w:pPr>
        <w:rPr>
          <w:color w:val="auto"/>
        </w:rPr>
      </w:pPr>
    </w:p>
    <w:p w14:paraId="4ABDD818" w14:textId="77777777" w:rsidR="00C32B43" w:rsidRDefault="00C32B43" w:rsidP="00C32B43">
      <w:pPr>
        <w:rPr>
          <w:color w:val="auto"/>
        </w:rPr>
      </w:pPr>
    </w:p>
    <w:p w14:paraId="72FF8058" w14:textId="77777777" w:rsidR="00C32B43" w:rsidRDefault="00C32B43" w:rsidP="00C32B43">
      <w:pPr>
        <w:rPr>
          <w:color w:val="auto"/>
        </w:rPr>
      </w:pPr>
    </w:p>
    <w:p w14:paraId="2D1DB902" w14:textId="77777777" w:rsidR="00C32B43" w:rsidRDefault="00C32B43" w:rsidP="00C32B43">
      <w:pPr>
        <w:rPr>
          <w:color w:val="auto"/>
        </w:rPr>
      </w:pPr>
    </w:p>
    <w:p w14:paraId="15373650" w14:textId="77777777" w:rsidR="00C32B43" w:rsidRDefault="00C32B43" w:rsidP="00C32B43">
      <w:pPr>
        <w:rPr>
          <w:color w:val="auto"/>
        </w:rPr>
      </w:pPr>
    </w:p>
    <w:p w14:paraId="51C1C312" w14:textId="77777777" w:rsidR="00C32B43" w:rsidRDefault="00C32B43" w:rsidP="00C32B43">
      <w:pPr>
        <w:rPr>
          <w:color w:val="auto"/>
        </w:rPr>
      </w:pPr>
    </w:p>
    <w:p w14:paraId="4129F2DD" w14:textId="77777777" w:rsidR="00C32B43" w:rsidRDefault="00C32B43" w:rsidP="00C32B43">
      <w:pPr>
        <w:rPr>
          <w:color w:val="auto"/>
        </w:rPr>
      </w:pPr>
    </w:p>
    <w:p w14:paraId="26FAB8AD" w14:textId="77777777" w:rsidR="00C32B43" w:rsidRDefault="00C32B43" w:rsidP="00C32B43">
      <w:pPr>
        <w:rPr>
          <w:color w:val="auto"/>
        </w:rPr>
      </w:pPr>
    </w:p>
    <w:p w14:paraId="20045D8A" w14:textId="77777777" w:rsidR="00C32B43" w:rsidRDefault="00C32B43" w:rsidP="00C32B43">
      <w:pPr>
        <w:rPr>
          <w:color w:val="auto"/>
        </w:rPr>
      </w:pPr>
    </w:p>
    <w:p w14:paraId="2E028C8E" w14:textId="77777777" w:rsidR="00C32B43" w:rsidRDefault="00C32B43" w:rsidP="00C32B43">
      <w:pPr>
        <w:rPr>
          <w:color w:val="auto"/>
        </w:rPr>
      </w:pPr>
    </w:p>
    <w:p w14:paraId="6027D2E2" w14:textId="77777777" w:rsidR="00C32B43" w:rsidRDefault="00C32B43" w:rsidP="00C32B43">
      <w:pPr>
        <w:rPr>
          <w:color w:val="auto"/>
        </w:rPr>
      </w:pPr>
    </w:p>
    <w:p w14:paraId="09EE22C2" w14:textId="77777777" w:rsidR="00C32B43" w:rsidRDefault="00C32B43" w:rsidP="00C32B43">
      <w:pPr>
        <w:rPr>
          <w:color w:val="auto"/>
        </w:rPr>
      </w:pPr>
    </w:p>
    <w:p w14:paraId="3C4BBCCA" w14:textId="77777777" w:rsidR="00C32B43" w:rsidRDefault="00C32B43" w:rsidP="00C32B43">
      <w:pPr>
        <w:rPr>
          <w:color w:val="auto"/>
        </w:rPr>
      </w:pPr>
    </w:p>
    <w:p w14:paraId="0053661B" w14:textId="77777777" w:rsidR="00C32B43" w:rsidRDefault="00C32B43" w:rsidP="00C32B43">
      <w:pPr>
        <w:rPr>
          <w:color w:val="auto"/>
        </w:rPr>
      </w:pPr>
    </w:p>
    <w:p w14:paraId="3A19A11E" w14:textId="77777777" w:rsidR="00C32B43" w:rsidRDefault="00C32B43" w:rsidP="00C32B43">
      <w:pPr>
        <w:rPr>
          <w:color w:val="auto"/>
        </w:rPr>
      </w:pPr>
    </w:p>
    <w:p w14:paraId="3DB55E52" w14:textId="77777777" w:rsidR="00C32B43" w:rsidRDefault="00C32B43" w:rsidP="00C32B43">
      <w:pPr>
        <w:rPr>
          <w:color w:val="auto"/>
        </w:rPr>
      </w:pPr>
    </w:p>
    <w:p w14:paraId="75427914" w14:textId="77777777" w:rsidR="00C32B43" w:rsidRDefault="00C32B43" w:rsidP="00C32B43">
      <w:pPr>
        <w:rPr>
          <w:color w:val="auto"/>
        </w:rPr>
      </w:pPr>
    </w:p>
    <w:p w14:paraId="27DD70ED" w14:textId="77777777" w:rsidR="00C32B43" w:rsidRDefault="00C32B43" w:rsidP="00C32B43">
      <w:pPr>
        <w:rPr>
          <w:color w:val="auto"/>
        </w:rPr>
      </w:pPr>
    </w:p>
    <w:p w14:paraId="786B23E1" w14:textId="77777777" w:rsidR="00C32B43" w:rsidRDefault="00C32B43" w:rsidP="00C32B43">
      <w:pPr>
        <w:rPr>
          <w:color w:val="auto"/>
        </w:rPr>
      </w:pPr>
    </w:p>
    <w:p w14:paraId="29B36E21" w14:textId="77777777" w:rsidR="00C32B43" w:rsidRDefault="00C32B43" w:rsidP="00C32B43">
      <w:pPr>
        <w:rPr>
          <w:color w:val="auto"/>
        </w:rPr>
      </w:pPr>
    </w:p>
    <w:p w14:paraId="4610EF1D" w14:textId="77777777" w:rsidR="00C32B43" w:rsidRDefault="00C32B43" w:rsidP="00C32B43">
      <w:pPr>
        <w:rPr>
          <w:color w:val="auto"/>
        </w:rPr>
      </w:pPr>
    </w:p>
    <w:p w14:paraId="634AD90C" w14:textId="77777777" w:rsidR="00C32B43" w:rsidRDefault="00C32B43" w:rsidP="00C32B43">
      <w:pPr>
        <w:rPr>
          <w:color w:val="auto"/>
        </w:rPr>
      </w:pPr>
    </w:p>
    <w:p w14:paraId="5348E65E" w14:textId="77777777" w:rsidR="00C32B43" w:rsidRDefault="00C32B43" w:rsidP="00C32B43">
      <w:pPr>
        <w:rPr>
          <w:color w:val="auto"/>
        </w:rPr>
      </w:pPr>
    </w:p>
    <w:p w14:paraId="7A4C9434" w14:textId="77777777" w:rsidR="00C32B43" w:rsidRDefault="00C32B43" w:rsidP="00C32B43">
      <w:pPr>
        <w:rPr>
          <w:color w:val="auto"/>
        </w:rPr>
      </w:pPr>
    </w:p>
    <w:p w14:paraId="33A59D1B" w14:textId="77777777" w:rsidR="00C32B43" w:rsidRDefault="00C32B43" w:rsidP="00C32B43">
      <w:pPr>
        <w:rPr>
          <w:color w:val="auto"/>
        </w:rPr>
      </w:pPr>
    </w:p>
    <w:p w14:paraId="00962988" w14:textId="77777777" w:rsidR="00C32B43" w:rsidRDefault="00C32B43" w:rsidP="00C32B43">
      <w:pPr>
        <w:rPr>
          <w:color w:val="auto"/>
        </w:rPr>
      </w:pPr>
    </w:p>
    <w:p w14:paraId="638EC001" w14:textId="77777777" w:rsidR="00C32B43" w:rsidRDefault="00C32B43" w:rsidP="00C32B43">
      <w:pPr>
        <w:rPr>
          <w:color w:val="auto"/>
        </w:rPr>
      </w:pPr>
    </w:p>
    <w:p w14:paraId="4545046F" w14:textId="77777777" w:rsidR="00C32B43" w:rsidRDefault="00C32B43" w:rsidP="00C32B43">
      <w:pPr>
        <w:rPr>
          <w:color w:val="auto"/>
        </w:rPr>
      </w:pPr>
    </w:p>
    <w:p w14:paraId="07E0F240" w14:textId="77777777" w:rsidR="00C32B43" w:rsidRDefault="00C32B43" w:rsidP="00C32B43">
      <w:pPr>
        <w:rPr>
          <w:color w:val="auto"/>
        </w:rPr>
      </w:pPr>
    </w:p>
    <w:p w14:paraId="31BC93D3" w14:textId="77777777" w:rsidR="00C32B43" w:rsidRDefault="00C32B43" w:rsidP="00C32B43">
      <w:pPr>
        <w:rPr>
          <w:color w:val="auto"/>
        </w:rPr>
      </w:pPr>
    </w:p>
    <w:p w14:paraId="0CAA2B0E" w14:textId="77777777" w:rsidR="00C32B43" w:rsidRDefault="00C32B43" w:rsidP="00C32B43">
      <w:pPr>
        <w:rPr>
          <w:color w:val="auto"/>
        </w:rPr>
      </w:pPr>
    </w:p>
    <w:p w14:paraId="520F4A48" w14:textId="77777777" w:rsidR="00C32B43" w:rsidRDefault="00C32B43" w:rsidP="00C32B43">
      <w:pPr>
        <w:rPr>
          <w:color w:val="auto"/>
        </w:rPr>
      </w:pPr>
    </w:p>
    <w:p w14:paraId="65ECF1E8" w14:textId="77777777" w:rsidR="00C32B43" w:rsidRDefault="00C32B43" w:rsidP="00C32B43">
      <w:pPr>
        <w:rPr>
          <w:color w:val="auto"/>
        </w:rPr>
      </w:pPr>
    </w:p>
    <w:p w14:paraId="12101718" w14:textId="77777777" w:rsidR="00C32B43" w:rsidRDefault="00C32B43" w:rsidP="00C32B43">
      <w:pPr>
        <w:rPr>
          <w:color w:val="auto"/>
        </w:rPr>
      </w:pPr>
    </w:p>
    <w:p w14:paraId="078BC54C" w14:textId="77777777" w:rsidR="00C32B43" w:rsidRDefault="00C32B43" w:rsidP="00C32B43"/>
    <w:p w14:paraId="77B5BE75" w14:textId="77777777" w:rsidR="00C32B43" w:rsidRDefault="00C32B43" w:rsidP="00C32B43">
      <w:pPr>
        <w:sectPr w:rsidR="00C32B43" w:rsidSect="001560B1">
          <w:type w:val="continuous"/>
          <w:pgSz w:w="12240" w:h="15840" w:code="1"/>
          <w:pgMar w:top="765" w:right="720" w:bottom="135" w:left="907" w:header="187" w:footer="540" w:gutter="0"/>
          <w:cols w:num="2" w:space="720"/>
          <w:docGrid w:linePitch="360"/>
        </w:sectPr>
      </w:pPr>
    </w:p>
    <w:p w14:paraId="12587FF3" w14:textId="77777777" w:rsidR="00C32B43" w:rsidRDefault="00C32B43" w:rsidP="00C32B43">
      <w:pPr>
        <w:autoSpaceDE w:val="0"/>
        <w:autoSpaceDN w:val="0"/>
        <w:adjustRightInd w:val="0"/>
        <w:spacing w:after="120"/>
        <w:rPr>
          <w:rFonts w:cs="Calibri"/>
          <w:bCs/>
          <w:sz w:val="22"/>
          <w:szCs w:val="22"/>
        </w:rPr>
      </w:pPr>
    </w:p>
    <w:p w14:paraId="7B099E8F" w14:textId="3E81AA65" w:rsidR="00AE483E" w:rsidRPr="00076D8C" w:rsidRDefault="00C32B43" w:rsidP="00076D8C">
      <w:pPr>
        <w:jc w:val="center"/>
        <w:rPr>
          <w:sz w:val="2"/>
          <w:szCs w:val="2"/>
        </w:rPr>
      </w:pPr>
      <w:r w:rsidRPr="001560B1">
        <w:rPr>
          <w:rFonts w:cs="Calibri"/>
          <w:bCs/>
          <w:sz w:val="22"/>
          <w:szCs w:val="22"/>
        </w:rPr>
        <w:t xml:space="preserve">The </w:t>
      </w:r>
      <w:r w:rsidRPr="001560B1">
        <w:rPr>
          <w:rFonts w:cs="Calibri"/>
          <w:bCs/>
          <w:i/>
          <w:iCs/>
          <w:sz w:val="22"/>
          <w:szCs w:val="22"/>
        </w:rPr>
        <w:t>Prescriber e-Letter</w:t>
      </w:r>
      <w:r w:rsidRPr="001560B1">
        <w:rPr>
          <w:rFonts w:cs="Calibri"/>
          <w:bCs/>
          <w:sz w:val="22"/>
          <w:szCs w:val="22"/>
        </w:rPr>
        <w:t xml:space="preserve"> is an update designed to enhance the transparency and efficiency of the MassHealth drug prior-authorization (PA) process and the MassHealth Drug List. Each issue </w:t>
      </w:r>
      <w:r w:rsidRPr="001560B1">
        <w:rPr>
          <w:rFonts w:cs="Calibri"/>
          <w:b/>
          <w:sz w:val="22"/>
          <w:szCs w:val="22"/>
        </w:rPr>
        <w:t>highlights</w:t>
      </w:r>
      <w:r w:rsidRPr="001560B1">
        <w:rPr>
          <w:rFonts w:cs="Calibri"/>
          <w:bCs/>
          <w:sz w:val="22"/>
          <w:szCs w:val="22"/>
        </w:rPr>
        <w:t xml:space="preserve"> key clinical </w:t>
      </w:r>
      <w:r w:rsidRPr="001560B1">
        <w:rPr>
          <w:rFonts w:cs="Calibri"/>
          <w:b/>
          <w:sz w:val="22"/>
          <w:szCs w:val="22"/>
        </w:rPr>
        <w:t>information and updates</w:t>
      </w:r>
      <w:r w:rsidRPr="001560B1">
        <w:rPr>
          <w:rFonts w:cs="Calibri"/>
          <w:bCs/>
          <w:sz w:val="22"/>
          <w:szCs w:val="22"/>
        </w:rPr>
        <w:t xml:space="preserve"> to the </w:t>
      </w:r>
      <w:r w:rsidRPr="001560B1">
        <w:rPr>
          <w:rFonts w:cs="Calibri"/>
          <w:b/>
          <w:sz w:val="22"/>
          <w:szCs w:val="22"/>
        </w:rPr>
        <w:t>MassHealth Drug List</w:t>
      </w:r>
      <w:r w:rsidRPr="001560B1">
        <w:rPr>
          <w:rFonts w:cs="Calibri"/>
          <w:bCs/>
          <w:sz w:val="22"/>
          <w:szCs w:val="22"/>
        </w:rPr>
        <w:t>. The Prescriber E-Letter was prepared by the MassHealth Drug Utilization Review Program and the MassHealth Pharmacy Program.</w:t>
      </w:r>
    </w:p>
    <w:sectPr w:rsidR="00AE483E" w:rsidRPr="00076D8C" w:rsidSect="00076D8C">
      <w:headerReference w:type="default" r:id="rId19"/>
      <w:type w:val="continuous"/>
      <w:pgSz w:w="12240" w:h="15840" w:code="1"/>
      <w:pgMar w:top="765" w:right="720" w:bottom="135" w:left="907" w:header="187"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BA3B2" w14:textId="77777777" w:rsidR="00E54716" w:rsidRDefault="00E54716">
      <w:r>
        <w:separator/>
      </w:r>
    </w:p>
  </w:endnote>
  <w:endnote w:type="continuationSeparator" w:id="0">
    <w:p w14:paraId="3122B59D" w14:textId="77777777" w:rsidR="00E54716" w:rsidRDefault="00E54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537F4" w14:textId="77777777" w:rsidR="002F4A95" w:rsidRDefault="001A4C38" w:rsidP="001A4C38">
    <w:pPr>
      <w:pStyle w:val="Footer"/>
      <w:jc w:val="center"/>
    </w:pPr>
    <w:r>
      <w:fldChar w:fldCharType="begin"/>
    </w:r>
    <w:r>
      <w:instrText xml:space="preserve"> PAGE   \* MERGEFORMAT </w:instrText>
    </w:r>
    <w:r>
      <w:fldChar w:fldCharType="separate"/>
    </w:r>
    <w:r w:rsidR="00A13579">
      <w:rPr>
        <w:noProof/>
      </w:rPr>
      <w:t>6</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77509" w14:textId="77777777" w:rsidR="002F4A95" w:rsidRDefault="002F4A95" w:rsidP="002F4A95">
    <w:pPr>
      <w:pStyle w:val="Footer"/>
      <w:jc w:val="center"/>
    </w:pPr>
    <w:r>
      <w:fldChar w:fldCharType="begin"/>
    </w:r>
    <w:r>
      <w:instrText xml:space="preserve"> PAGE   \* MERGEFORMAT </w:instrText>
    </w:r>
    <w:r>
      <w:fldChar w:fldCharType="separate"/>
    </w:r>
    <w:r w:rsidR="00A13579">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ED8B1" w14:textId="77777777" w:rsidR="00E54716" w:rsidRDefault="00E54716">
      <w:r>
        <w:separator/>
      </w:r>
    </w:p>
  </w:footnote>
  <w:footnote w:type="continuationSeparator" w:id="0">
    <w:p w14:paraId="1B370F24" w14:textId="77777777" w:rsidR="00E54716" w:rsidRDefault="00E54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9FE392" w14:textId="5AD75752" w:rsidR="001A4C38" w:rsidRPr="0046520A" w:rsidRDefault="00C32B43" w:rsidP="001B2DED">
    <w:pPr>
      <w:pStyle w:val="msoaccenttext7"/>
      <w:widowControl w:val="0"/>
      <w:pBdr>
        <w:bottom w:val="single" w:sz="8" w:space="1" w:color="auto"/>
      </w:pBdr>
      <w:ind w:right="173"/>
      <w:rPr>
        <w:rFonts w:ascii="Trebuchet MS" w:hAnsi="Trebuchet MS"/>
        <w:color w:val="auto"/>
        <w:sz w:val="18"/>
        <w:szCs w:val="18"/>
      </w:rPr>
    </w:pPr>
    <w:r>
      <w:rPr>
        <w:rFonts w:ascii="Trebuchet MS" w:hAnsi="Trebuchet MS"/>
        <w:b/>
        <w:sz w:val="18"/>
        <w:szCs w:val="18"/>
        <w:lang w:val="en"/>
      </w:rPr>
      <w:t>May 2023</w:t>
    </w:r>
    <w:r w:rsidR="001A4C38" w:rsidRPr="00AA6F20">
      <w:rPr>
        <w:rFonts w:ascii="Trebuchet MS" w:hAnsi="Trebuchet MS"/>
        <w:b/>
        <w:sz w:val="18"/>
        <w:szCs w:val="18"/>
        <w:lang w:val="en"/>
      </w:rPr>
      <w:t>, Volume 1</w:t>
    </w:r>
    <w:r>
      <w:rPr>
        <w:rFonts w:ascii="Trebuchet MS" w:hAnsi="Trebuchet MS"/>
        <w:b/>
        <w:sz w:val="18"/>
        <w:szCs w:val="18"/>
        <w:lang w:val="en"/>
      </w:rPr>
      <w:t>3</w:t>
    </w:r>
    <w:r w:rsidR="001A4C38" w:rsidRPr="00AA6F20">
      <w:rPr>
        <w:rFonts w:ascii="Trebuchet MS" w:hAnsi="Trebuchet MS"/>
        <w:b/>
        <w:sz w:val="18"/>
        <w:szCs w:val="18"/>
        <w:lang w:val="en"/>
      </w:rPr>
      <w:t xml:space="preserve">, Issue </w:t>
    </w:r>
    <w:r>
      <w:rPr>
        <w:rFonts w:ascii="Trebuchet MS" w:hAnsi="Trebuchet MS"/>
        <w:b/>
        <w:sz w:val="18"/>
        <w:szCs w:val="18"/>
        <w:lang w:val="en"/>
      </w:rPr>
      <w:t>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FF730" w14:textId="77777777" w:rsidR="00865AEA" w:rsidRPr="005D506B" w:rsidRDefault="00865AEA" w:rsidP="00865AEA">
    <w:pPr>
      <w:pStyle w:val="Header"/>
      <w:rPr>
        <w:b/>
      </w:rPr>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0EB68" w14:textId="77777777" w:rsidR="00A63EE0" w:rsidRPr="0046520A" w:rsidRDefault="00A63EE0" w:rsidP="001B2DED">
    <w:pPr>
      <w:pStyle w:val="msoaccenttext7"/>
      <w:widowControl w:val="0"/>
      <w:pBdr>
        <w:bottom w:val="single" w:sz="8" w:space="1" w:color="auto"/>
      </w:pBdr>
      <w:ind w:right="173"/>
      <w:rPr>
        <w:rFonts w:ascii="Trebuchet MS" w:hAnsi="Trebuchet MS"/>
        <w:color w:val="auto"/>
        <w:sz w:val="18"/>
        <w:szCs w:val="18"/>
      </w:rPr>
    </w:pPr>
    <w:r>
      <w:rPr>
        <w:rFonts w:ascii="Trebuchet MS" w:hAnsi="Trebuchet MS"/>
        <w:b/>
        <w:sz w:val="18"/>
        <w:szCs w:val="18"/>
        <w:lang w:val="en"/>
      </w:rPr>
      <w:t>January</w:t>
    </w:r>
    <w:r w:rsidRPr="00AA6F20">
      <w:rPr>
        <w:rFonts w:ascii="Trebuchet MS" w:hAnsi="Trebuchet MS"/>
        <w:b/>
        <w:sz w:val="18"/>
        <w:szCs w:val="18"/>
        <w:lang w:val="en"/>
      </w:rPr>
      <w:t xml:space="preserve"> 202</w:t>
    </w:r>
    <w:r>
      <w:rPr>
        <w:rFonts w:ascii="Trebuchet MS" w:hAnsi="Trebuchet MS"/>
        <w:b/>
        <w:sz w:val="18"/>
        <w:szCs w:val="18"/>
        <w:lang w:val="en"/>
      </w:rPr>
      <w:t>1</w:t>
    </w:r>
    <w:r w:rsidRPr="00AA6F20">
      <w:rPr>
        <w:rFonts w:ascii="Trebuchet MS" w:hAnsi="Trebuchet MS"/>
        <w:b/>
        <w:sz w:val="18"/>
        <w:szCs w:val="18"/>
        <w:lang w:val="en"/>
      </w:rPr>
      <w:t>, Volume 1</w:t>
    </w:r>
    <w:r>
      <w:rPr>
        <w:rFonts w:ascii="Trebuchet MS" w:hAnsi="Trebuchet MS"/>
        <w:b/>
        <w:sz w:val="18"/>
        <w:szCs w:val="18"/>
        <w:lang w:val="en"/>
      </w:rPr>
      <w:t>1</w:t>
    </w:r>
    <w:r w:rsidRPr="00AA6F20">
      <w:rPr>
        <w:rFonts w:ascii="Trebuchet MS" w:hAnsi="Trebuchet MS"/>
        <w:b/>
        <w:sz w:val="18"/>
        <w:szCs w:val="18"/>
        <w:lang w:val="en"/>
      </w:rPr>
      <w:t xml:space="preserve">, Issue </w:t>
    </w:r>
    <w:r>
      <w:rPr>
        <w:rFonts w:ascii="Trebuchet MS" w:hAnsi="Trebuchet MS"/>
        <w:b/>
        <w:sz w:val="18"/>
        <w:szCs w:val="18"/>
        <w:lang w:val="en"/>
      </w:rPr>
      <w:t>1</w:t>
    </w:r>
    <w:r w:rsidRPr="00AA6F20">
      <w:rPr>
        <w:rFonts w:ascii="Trebuchet MS" w:hAnsi="Trebuchet MS"/>
        <w:b/>
        <w:sz w:val="18"/>
        <w:szCs w:val="18"/>
        <w:lang w:val="en"/>
      </w:rPr>
      <w:t xml:space="preserve"> </w:t>
    </w:r>
  </w:p>
  <w:p w14:paraId="2C83E2ED" w14:textId="77777777" w:rsidR="00463AE8" w:rsidRDefault="00463AE8" w:rsidP="00A63E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70272"/>
    <w:multiLevelType w:val="hybridMultilevel"/>
    <w:tmpl w:val="038A195C"/>
    <w:lvl w:ilvl="0" w:tplc="741CD62C">
      <w:start w:val="1"/>
      <w:numFmt w:val="bullet"/>
      <w:pStyle w:val="TOC2"/>
      <w:lvlText w:val=""/>
      <w:lvlJc w:val="left"/>
      <w:pPr>
        <w:tabs>
          <w:tab w:val="num" w:pos="360"/>
        </w:tabs>
        <w:ind w:left="360" w:hanging="360"/>
      </w:pPr>
      <w:rPr>
        <w:rFonts w:ascii="Wingdings" w:hAnsi="Wingdings" w:hint="default"/>
        <w:color w:val="auto"/>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3E7B0C"/>
    <w:multiLevelType w:val="hybridMultilevel"/>
    <w:tmpl w:val="B28AD3CA"/>
    <w:lvl w:ilvl="0" w:tplc="5CC0C4A0">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D8405B"/>
    <w:multiLevelType w:val="hybridMultilevel"/>
    <w:tmpl w:val="810AFFD6"/>
    <w:lvl w:ilvl="0" w:tplc="1BD6373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891931"/>
    <w:multiLevelType w:val="hybridMultilevel"/>
    <w:tmpl w:val="266441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9877555">
    <w:abstractNumId w:val="0"/>
  </w:num>
  <w:num w:numId="2" w16cid:durableId="825970450">
    <w:abstractNumId w:val="2"/>
  </w:num>
  <w:num w:numId="3" w16cid:durableId="11151837">
    <w:abstractNumId w:val="1"/>
  </w:num>
  <w:num w:numId="4" w16cid:durableId="97865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014"/>
    <w:rsid w:val="000006DF"/>
    <w:rsid w:val="0001242D"/>
    <w:rsid w:val="000172B8"/>
    <w:rsid w:val="0003236A"/>
    <w:rsid w:val="00034C72"/>
    <w:rsid w:val="00034CE8"/>
    <w:rsid w:val="00042FD6"/>
    <w:rsid w:val="0004346A"/>
    <w:rsid w:val="00045863"/>
    <w:rsid w:val="00047FED"/>
    <w:rsid w:val="0006441B"/>
    <w:rsid w:val="000715D0"/>
    <w:rsid w:val="0007388E"/>
    <w:rsid w:val="00074014"/>
    <w:rsid w:val="00076A4D"/>
    <w:rsid w:val="00076D8C"/>
    <w:rsid w:val="00092CE6"/>
    <w:rsid w:val="000B08E9"/>
    <w:rsid w:val="000C15E5"/>
    <w:rsid w:val="000C2AEE"/>
    <w:rsid w:val="000F19D2"/>
    <w:rsid w:val="001003DC"/>
    <w:rsid w:val="001049C6"/>
    <w:rsid w:val="00112D6C"/>
    <w:rsid w:val="00112E05"/>
    <w:rsid w:val="00137002"/>
    <w:rsid w:val="0016598C"/>
    <w:rsid w:val="0017504B"/>
    <w:rsid w:val="00175C12"/>
    <w:rsid w:val="00180CAA"/>
    <w:rsid w:val="00182385"/>
    <w:rsid w:val="001A159D"/>
    <w:rsid w:val="001A4C38"/>
    <w:rsid w:val="001A7CFC"/>
    <w:rsid w:val="001B1E95"/>
    <w:rsid w:val="001B2DED"/>
    <w:rsid w:val="001C0A43"/>
    <w:rsid w:val="001C2E84"/>
    <w:rsid w:val="001E41FC"/>
    <w:rsid w:val="001E762D"/>
    <w:rsid w:val="001F5469"/>
    <w:rsid w:val="00215FB5"/>
    <w:rsid w:val="0022143C"/>
    <w:rsid w:val="002352AD"/>
    <w:rsid w:val="0023544E"/>
    <w:rsid w:val="002400F6"/>
    <w:rsid w:val="00242A52"/>
    <w:rsid w:val="00242B5D"/>
    <w:rsid w:val="00251974"/>
    <w:rsid w:val="00257D29"/>
    <w:rsid w:val="002609FB"/>
    <w:rsid w:val="00272F9F"/>
    <w:rsid w:val="00273694"/>
    <w:rsid w:val="00283746"/>
    <w:rsid w:val="00286660"/>
    <w:rsid w:val="002A4D47"/>
    <w:rsid w:val="002A566F"/>
    <w:rsid w:val="002B12B8"/>
    <w:rsid w:val="002C261E"/>
    <w:rsid w:val="002C2753"/>
    <w:rsid w:val="002C326C"/>
    <w:rsid w:val="002D1C5C"/>
    <w:rsid w:val="002E55F8"/>
    <w:rsid w:val="002E75D3"/>
    <w:rsid w:val="002F4A95"/>
    <w:rsid w:val="003064EC"/>
    <w:rsid w:val="0031009A"/>
    <w:rsid w:val="0031549E"/>
    <w:rsid w:val="0031728E"/>
    <w:rsid w:val="00327F79"/>
    <w:rsid w:val="00330FB0"/>
    <w:rsid w:val="00344037"/>
    <w:rsid w:val="0034440C"/>
    <w:rsid w:val="00346F49"/>
    <w:rsid w:val="00350B34"/>
    <w:rsid w:val="00353AD3"/>
    <w:rsid w:val="003546C8"/>
    <w:rsid w:val="00366BAA"/>
    <w:rsid w:val="00367696"/>
    <w:rsid w:val="00371601"/>
    <w:rsid w:val="00373275"/>
    <w:rsid w:val="00377A75"/>
    <w:rsid w:val="0038697F"/>
    <w:rsid w:val="00386D0B"/>
    <w:rsid w:val="003971CE"/>
    <w:rsid w:val="00397377"/>
    <w:rsid w:val="003A17FB"/>
    <w:rsid w:val="003A60C9"/>
    <w:rsid w:val="003C0161"/>
    <w:rsid w:val="003D177D"/>
    <w:rsid w:val="003E7380"/>
    <w:rsid w:val="003F7F93"/>
    <w:rsid w:val="00401354"/>
    <w:rsid w:val="00410458"/>
    <w:rsid w:val="0041665A"/>
    <w:rsid w:val="004212FA"/>
    <w:rsid w:val="00427D00"/>
    <w:rsid w:val="00433649"/>
    <w:rsid w:val="004425A0"/>
    <w:rsid w:val="004507A0"/>
    <w:rsid w:val="004564C8"/>
    <w:rsid w:val="00463AE8"/>
    <w:rsid w:val="0046520A"/>
    <w:rsid w:val="004716CD"/>
    <w:rsid w:val="0047213A"/>
    <w:rsid w:val="004733F0"/>
    <w:rsid w:val="00477057"/>
    <w:rsid w:val="00485E86"/>
    <w:rsid w:val="004B321B"/>
    <w:rsid w:val="004C4527"/>
    <w:rsid w:val="004D1758"/>
    <w:rsid w:val="004E42DD"/>
    <w:rsid w:val="004E636C"/>
    <w:rsid w:val="004E6787"/>
    <w:rsid w:val="00510EBC"/>
    <w:rsid w:val="00513934"/>
    <w:rsid w:val="005302DF"/>
    <w:rsid w:val="00532641"/>
    <w:rsid w:val="00536EBB"/>
    <w:rsid w:val="005414D6"/>
    <w:rsid w:val="00551BE5"/>
    <w:rsid w:val="00566F75"/>
    <w:rsid w:val="00567B9D"/>
    <w:rsid w:val="00577FEC"/>
    <w:rsid w:val="00581E50"/>
    <w:rsid w:val="00583A96"/>
    <w:rsid w:val="005842A0"/>
    <w:rsid w:val="00591E1D"/>
    <w:rsid w:val="00592C98"/>
    <w:rsid w:val="00593E8F"/>
    <w:rsid w:val="0059487B"/>
    <w:rsid w:val="005A21DB"/>
    <w:rsid w:val="005A68D9"/>
    <w:rsid w:val="005C614C"/>
    <w:rsid w:val="005D3CAF"/>
    <w:rsid w:val="005D506B"/>
    <w:rsid w:val="005E0ED5"/>
    <w:rsid w:val="005E52FC"/>
    <w:rsid w:val="005F3256"/>
    <w:rsid w:val="005F7958"/>
    <w:rsid w:val="00610115"/>
    <w:rsid w:val="006148A0"/>
    <w:rsid w:val="00622404"/>
    <w:rsid w:val="0062336E"/>
    <w:rsid w:val="0067107B"/>
    <w:rsid w:val="00690023"/>
    <w:rsid w:val="006B0C12"/>
    <w:rsid w:val="006B207B"/>
    <w:rsid w:val="006B7613"/>
    <w:rsid w:val="006D31C6"/>
    <w:rsid w:val="006E0362"/>
    <w:rsid w:val="006F016F"/>
    <w:rsid w:val="00721778"/>
    <w:rsid w:val="00723C7E"/>
    <w:rsid w:val="007243D7"/>
    <w:rsid w:val="007244CF"/>
    <w:rsid w:val="007311C3"/>
    <w:rsid w:val="007367F3"/>
    <w:rsid w:val="0074062E"/>
    <w:rsid w:val="007459B2"/>
    <w:rsid w:val="00752617"/>
    <w:rsid w:val="00763FA3"/>
    <w:rsid w:val="00764D9E"/>
    <w:rsid w:val="00785C9F"/>
    <w:rsid w:val="00795A7C"/>
    <w:rsid w:val="007C6A5D"/>
    <w:rsid w:val="00800E59"/>
    <w:rsid w:val="00807E9F"/>
    <w:rsid w:val="008145A3"/>
    <w:rsid w:val="0082105C"/>
    <w:rsid w:val="008403CA"/>
    <w:rsid w:val="00844307"/>
    <w:rsid w:val="00844A19"/>
    <w:rsid w:val="0084544F"/>
    <w:rsid w:val="0085378A"/>
    <w:rsid w:val="00860511"/>
    <w:rsid w:val="00865AEA"/>
    <w:rsid w:val="00872074"/>
    <w:rsid w:val="008722AE"/>
    <w:rsid w:val="00872E7F"/>
    <w:rsid w:val="00873BEF"/>
    <w:rsid w:val="008819EB"/>
    <w:rsid w:val="008911F3"/>
    <w:rsid w:val="008946E9"/>
    <w:rsid w:val="008B0DA4"/>
    <w:rsid w:val="008B221F"/>
    <w:rsid w:val="008B3630"/>
    <w:rsid w:val="008E79B3"/>
    <w:rsid w:val="008F25B4"/>
    <w:rsid w:val="00903B62"/>
    <w:rsid w:val="0091531B"/>
    <w:rsid w:val="00920C2B"/>
    <w:rsid w:val="00922C53"/>
    <w:rsid w:val="00923341"/>
    <w:rsid w:val="009277AA"/>
    <w:rsid w:val="00927CAB"/>
    <w:rsid w:val="00930C04"/>
    <w:rsid w:val="00956812"/>
    <w:rsid w:val="009757AB"/>
    <w:rsid w:val="00980B18"/>
    <w:rsid w:val="00986AF3"/>
    <w:rsid w:val="00991E8F"/>
    <w:rsid w:val="009A4123"/>
    <w:rsid w:val="009A6D1E"/>
    <w:rsid w:val="009B1AAF"/>
    <w:rsid w:val="009D1E1C"/>
    <w:rsid w:val="009D2B0C"/>
    <w:rsid w:val="009F6AED"/>
    <w:rsid w:val="00A128B9"/>
    <w:rsid w:val="00A13579"/>
    <w:rsid w:val="00A26095"/>
    <w:rsid w:val="00A3382D"/>
    <w:rsid w:val="00A45BF6"/>
    <w:rsid w:val="00A5329E"/>
    <w:rsid w:val="00A63EE0"/>
    <w:rsid w:val="00A856E6"/>
    <w:rsid w:val="00A94815"/>
    <w:rsid w:val="00AA6F20"/>
    <w:rsid w:val="00AD42BB"/>
    <w:rsid w:val="00AE483E"/>
    <w:rsid w:val="00AF3BAA"/>
    <w:rsid w:val="00B10C3E"/>
    <w:rsid w:val="00B30E77"/>
    <w:rsid w:val="00B44DE1"/>
    <w:rsid w:val="00B529FF"/>
    <w:rsid w:val="00B54AB5"/>
    <w:rsid w:val="00B72844"/>
    <w:rsid w:val="00B7453A"/>
    <w:rsid w:val="00B817FB"/>
    <w:rsid w:val="00B85F75"/>
    <w:rsid w:val="00BA34BD"/>
    <w:rsid w:val="00BC3482"/>
    <w:rsid w:val="00BD25FB"/>
    <w:rsid w:val="00BD410D"/>
    <w:rsid w:val="00BD4CF2"/>
    <w:rsid w:val="00BF73BB"/>
    <w:rsid w:val="00C009F8"/>
    <w:rsid w:val="00C03DAA"/>
    <w:rsid w:val="00C04A14"/>
    <w:rsid w:val="00C208B7"/>
    <w:rsid w:val="00C20A23"/>
    <w:rsid w:val="00C21F71"/>
    <w:rsid w:val="00C24050"/>
    <w:rsid w:val="00C25014"/>
    <w:rsid w:val="00C25B35"/>
    <w:rsid w:val="00C32B43"/>
    <w:rsid w:val="00C35064"/>
    <w:rsid w:val="00C35B94"/>
    <w:rsid w:val="00C35BA0"/>
    <w:rsid w:val="00C4587F"/>
    <w:rsid w:val="00C54D38"/>
    <w:rsid w:val="00C656AF"/>
    <w:rsid w:val="00C81356"/>
    <w:rsid w:val="00C915ED"/>
    <w:rsid w:val="00C97787"/>
    <w:rsid w:val="00CA0313"/>
    <w:rsid w:val="00CA0669"/>
    <w:rsid w:val="00CA1D66"/>
    <w:rsid w:val="00CD7211"/>
    <w:rsid w:val="00CD7791"/>
    <w:rsid w:val="00CD7C0E"/>
    <w:rsid w:val="00CE27E7"/>
    <w:rsid w:val="00CE4650"/>
    <w:rsid w:val="00CF2078"/>
    <w:rsid w:val="00CF48E3"/>
    <w:rsid w:val="00CF71BD"/>
    <w:rsid w:val="00D05D9C"/>
    <w:rsid w:val="00D115B8"/>
    <w:rsid w:val="00D14BBD"/>
    <w:rsid w:val="00D15F4A"/>
    <w:rsid w:val="00D21FA6"/>
    <w:rsid w:val="00D245EF"/>
    <w:rsid w:val="00D2695E"/>
    <w:rsid w:val="00D311C9"/>
    <w:rsid w:val="00D53F2C"/>
    <w:rsid w:val="00D5716D"/>
    <w:rsid w:val="00D70F03"/>
    <w:rsid w:val="00D726DF"/>
    <w:rsid w:val="00D77884"/>
    <w:rsid w:val="00D8572A"/>
    <w:rsid w:val="00D94593"/>
    <w:rsid w:val="00DA302D"/>
    <w:rsid w:val="00DA7FE7"/>
    <w:rsid w:val="00DB2EE5"/>
    <w:rsid w:val="00DC0E97"/>
    <w:rsid w:val="00DC6AF3"/>
    <w:rsid w:val="00DE66C3"/>
    <w:rsid w:val="00E06D78"/>
    <w:rsid w:val="00E1027A"/>
    <w:rsid w:val="00E23C28"/>
    <w:rsid w:val="00E31CAE"/>
    <w:rsid w:val="00E35E0F"/>
    <w:rsid w:val="00E377C4"/>
    <w:rsid w:val="00E411A0"/>
    <w:rsid w:val="00E54716"/>
    <w:rsid w:val="00E61DD5"/>
    <w:rsid w:val="00E917F0"/>
    <w:rsid w:val="00E91D00"/>
    <w:rsid w:val="00EA066B"/>
    <w:rsid w:val="00EA7AB8"/>
    <w:rsid w:val="00EB1917"/>
    <w:rsid w:val="00EB5D69"/>
    <w:rsid w:val="00EB5FE2"/>
    <w:rsid w:val="00EC08AC"/>
    <w:rsid w:val="00EE1EF9"/>
    <w:rsid w:val="00EE333C"/>
    <w:rsid w:val="00EE46DF"/>
    <w:rsid w:val="00EF76E8"/>
    <w:rsid w:val="00F27F7F"/>
    <w:rsid w:val="00F51B4F"/>
    <w:rsid w:val="00F53DA0"/>
    <w:rsid w:val="00F67D45"/>
    <w:rsid w:val="00F74BD7"/>
    <w:rsid w:val="00F9023B"/>
    <w:rsid w:val="00FA5787"/>
    <w:rsid w:val="00FB7719"/>
    <w:rsid w:val="00FC2E46"/>
    <w:rsid w:val="00FC4313"/>
    <w:rsid w:val="00FD5009"/>
    <w:rsid w:val="00FD5CE5"/>
    <w:rsid w:val="00FF1A2E"/>
    <w:rsid w:val="00FF3E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FB5F482"/>
  <w15:docId w15:val="{F6CC43AD-9BBE-4BAE-BA60-24763DE08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F3BAA"/>
    <w:rPr>
      <w:color w:val="000000"/>
      <w:kern w:val="28"/>
    </w:rPr>
  </w:style>
  <w:style w:type="paragraph" w:styleId="Heading1">
    <w:name w:val="heading 1"/>
    <w:basedOn w:val="msoaccenttext7"/>
    <w:next w:val="Normal"/>
    <w:link w:val="Heading1Char"/>
    <w:qFormat/>
    <w:rsid w:val="005D506B"/>
    <w:pPr>
      <w:widowControl w:val="0"/>
      <w:outlineLvl w:val="0"/>
    </w:pPr>
    <w:rPr>
      <w:rFonts w:ascii="Trebuchet MS" w:hAnsi="Trebuchet MS"/>
      <w:b/>
      <w:color w:val="auto"/>
      <w:sz w:val="18"/>
      <w:szCs w:val="18"/>
      <w:lang w:val="en"/>
    </w:rPr>
  </w:style>
  <w:style w:type="paragraph" w:styleId="Heading2">
    <w:name w:val="heading 2"/>
    <w:next w:val="Normal"/>
    <w:link w:val="Heading2Char"/>
    <w:unhideWhenUsed/>
    <w:qFormat/>
    <w:rsid w:val="00A856E6"/>
    <w:pPr>
      <w:framePr w:hSpace="180" w:wrap="around" w:vAnchor="text" w:hAnchor="text" w:y="117"/>
      <w:spacing w:before="120"/>
      <w:outlineLvl w:val="1"/>
    </w:pPr>
    <w:rPr>
      <w:rFonts w:ascii="Arial Black" w:hAnsi="Arial Black" w:cs="Arial Black"/>
      <w:b/>
      <w:bCs/>
      <w:kern w:val="28"/>
      <w:sz w:val="24"/>
      <w:szCs w:val="24"/>
    </w:rPr>
  </w:style>
  <w:style w:type="paragraph" w:styleId="Heading3">
    <w:name w:val="heading 3"/>
    <w:basedOn w:val="Normal"/>
    <w:next w:val="Normal"/>
    <w:link w:val="Heading3Char"/>
    <w:unhideWhenUsed/>
    <w:qFormat/>
    <w:rsid w:val="00844A19"/>
    <w:pPr>
      <w:outlineLvl w:val="2"/>
    </w:pPr>
  </w:style>
  <w:style w:type="paragraph" w:styleId="Heading4">
    <w:name w:val="heading 4"/>
    <w:basedOn w:val="Tablesubheading"/>
    <w:next w:val="Normal"/>
    <w:link w:val="Heading4Char"/>
    <w:unhideWhenUsed/>
    <w:qFormat/>
    <w:rsid w:val="00FD5CE5"/>
    <w:pPr>
      <w:outlineLvl w:val="3"/>
    </w:pPr>
  </w:style>
  <w:style w:type="paragraph" w:styleId="Heading5">
    <w:name w:val="heading 5"/>
    <w:basedOn w:val="Normal"/>
    <w:next w:val="Normal"/>
    <w:link w:val="Heading5Char"/>
    <w:unhideWhenUsed/>
    <w:qFormat/>
    <w:rsid w:val="00AD42BB"/>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06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CA0669"/>
    <w:pPr>
      <w:autoSpaceDE w:val="0"/>
      <w:autoSpaceDN w:val="0"/>
      <w:adjustRightInd w:val="0"/>
      <w:spacing w:line="288" w:lineRule="auto"/>
      <w:jc w:val="center"/>
      <w:textAlignment w:val="baseline"/>
    </w:pPr>
    <w:rPr>
      <w:rFonts w:ascii="Tahoma" w:hAnsi="Tahoma" w:cs="Tahoma"/>
      <w:sz w:val="32"/>
      <w:szCs w:val="32"/>
    </w:rPr>
  </w:style>
  <w:style w:type="paragraph" w:customStyle="1" w:styleId="Noparagraphstyle">
    <w:name w:val="[No paragraph style]"/>
    <w:rsid w:val="00956812"/>
    <w:pPr>
      <w:autoSpaceDE w:val="0"/>
      <w:autoSpaceDN w:val="0"/>
      <w:adjustRightInd w:val="0"/>
      <w:spacing w:line="288" w:lineRule="auto"/>
      <w:textAlignment w:val="center"/>
    </w:pPr>
    <w:rPr>
      <w:color w:val="000000"/>
      <w:sz w:val="24"/>
      <w:szCs w:val="24"/>
    </w:rPr>
  </w:style>
  <w:style w:type="paragraph" w:customStyle="1" w:styleId="Subtitle">
    <w:name w:val="Sub title"/>
    <w:basedOn w:val="Title"/>
    <w:rsid w:val="00956812"/>
    <w:pPr>
      <w:spacing w:before="216" w:after="122"/>
      <w:jc w:val="left"/>
    </w:pPr>
    <w:rPr>
      <w:rFonts w:ascii="Arial Black" w:hAnsi="Arial Black" w:cs="Arial Black"/>
      <w:sz w:val="22"/>
      <w:szCs w:val="22"/>
    </w:rPr>
  </w:style>
  <w:style w:type="paragraph" w:customStyle="1" w:styleId="body">
    <w:name w:val="body"/>
    <w:basedOn w:val="Normal"/>
    <w:rsid w:val="00956812"/>
    <w:pPr>
      <w:tabs>
        <w:tab w:val="left" w:pos="-90"/>
      </w:tabs>
      <w:autoSpaceDE w:val="0"/>
      <w:autoSpaceDN w:val="0"/>
      <w:adjustRightInd w:val="0"/>
      <w:spacing w:after="122" w:line="296" w:lineRule="atLeast"/>
      <w:textAlignment w:val="baseline"/>
    </w:pPr>
    <w:rPr>
      <w:rFonts w:ascii="Arial" w:hAnsi="Arial" w:cs="Arial"/>
      <w:sz w:val="22"/>
      <w:szCs w:val="22"/>
    </w:rPr>
  </w:style>
  <w:style w:type="paragraph" w:styleId="Header">
    <w:name w:val="header"/>
    <w:basedOn w:val="Normal"/>
    <w:link w:val="HeaderChar"/>
    <w:rsid w:val="002A566F"/>
    <w:pPr>
      <w:tabs>
        <w:tab w:val="center" w:pos="4320"/>
        <w:tab w:val="right" w:pos="8640"/>
      </w:tabs>
    </w:pPr>
  </w:style>
  <w:style w:type="paragraph" w:styleId="Footer">
    <w:name w:val="footer"/>
    <w:basedOn w:val="Normal"/>
    <w:link w:val="FooterChar"/>
    <w:uiPriority w:val="99"/>
    <w:rsid w:val="002A566F"/>
    <w:pPr>
      <w:tabs>
        <w:tab w:val="center" w:pos="4320"/>
        <w:tab w:val="right" w:pos="8640"/>
      </w:tabs>
    </w:pPr>
  </w:style>
  <w:style w:type="paragraph" w:customStyle="1" w:styleId="msoaccenttext7">
    <w:name w:val="msoaccenttext7"/>
    <w:rsid w:val="008911F3"/>
    <w:rPr>
      <w:rFonts w:ascii="Franklin Gothic Medium" w:hAnsi="Franklin Gothic Medium"/>
      <w:color w:val="000000"/>
      <w:kern w:val="28"/>
      <w:sz w:val="17"/>
      <w:szCs w:val="17"/>
    </w:rPr>
  </w:style>
  <w:style w:type="paragraph" w:styleId="TOC2">
    <w:name w:val="toc 2"/>
    <w:basedOn w:val="Normal"/>
    <w:next w:val="Normal"/>
    <w:autoRedefine/>
    <w:semiHidden/>
    <w:rsid w:val="00433649"/>
    <w:pPr>
      <w:numPr>
        <w:numId w:val="1"/>
      </w:numPr>
    </w:pPr>
  </w:style>
  <w:style w:type="paragraph" w:styleId="BalloonText">
    <w:name w:val="Balloon Text"/>
    <w:basedOn w:val="Normal"/>
    <w:semiHidden/>
    <w:rsid w:val="00C54D38"/>
    <w:rPr>
      <w:rFonts w:ascii="Tahoma" w:hAnsi="Tahoma" w:cs="Tahoma"/>
      <w:sz w:val="16"/>
      <w:szCs w:val="16"/>
    </w:rPr>
  </w:style>
  <w:style w:type="character" w:customStyle="1" w:styleId="HeaderChar">
    <w:name w:val="Header Char"/>
    <w:link w:val="Header"/>
    <w:locked/>
    <w:rsid w:val="00873BEF"/>
    <w:rPr>
      <w:color w:val="000000"/>
      <w:kern w:val="28"/>
    </w:rPr>
  </w:style>
  <w:style w:type="character" w:customStyle="1" w:styleId="FooterChar">
    <w:name w:val="Footer Char"/>
    <w:link w:val="Footer"/>
    <w:uiPriority w:val="99"/>
    <w:rsid w:val="002F4A95"/>
    <w:rPr>
      <w:color w:val="000000"/>
      <w:kern w:val="28"/>
    </w:rPr>
  </w:style>
  <w:style w:type="paragraph" w:styleId="ListParagraph">
    <w:name w:val="List Paragraph"/>
    <w:basedOn w:val="Normal"/>
    <w:uiPriority w:val="99"/>
    <w:qFormat/>
    <w:rsid w:val="005D506B"/>
    <w:pPr>
      <w:ind w:left="720"/>
      <w:contextualSpacing/>
    </w:pPr>
  </w:style>
  <w:style w:type="character" w:customStyle="1" w:styleId="Heading1Char">
    <w:name w:val="Heading 1 Char"/>
    <w:basedOn w:val="DefaultParagraphFont"/>
    <w:link w:val="Heading1"/>
    <w:rsid w:val="005D506B"/>
    <w:rPr>
      <w:rFonts w:ascii="Trebuchet MS" w:hAnsi="Trebuchet MS"/>
      <w:b/>
      <w:kern w:val="28"/>
      <w:sz w:val="18"/>
      <w:szCs w:val="18"/>
      <w:lang w:val="en"/>
    </w:rPr>
  </w:style>
  <w:style w:type="character" w:customStyle="1" w:styleId="Heading2Char">
    <w:name w:val="Heading 2 Char"/>
    <w:basedOn w:val="DefaultParagraphFont"/>
    <w:link w:val="Heading2"/>
    <w:rsid w:val="00A856E6"/>
    <w:rPr>
      <w:rFonts w:ascii="Arial Black" w:hAnsi="Arial Black" w:cs="Arial Black"/>
      <w:b/>
      <w:bCs/>
      <w:kern w:val="28"/>
      <w:sz w:val="24"/>
      <w:szCs w:val="24"/>
    </w:rPr>
  </w:style>
  <w:style w:type="character" w:customStyle="1" w:styleId="Heading3Char">
    <w:name w:val="Heading 3 Char"/>
    <w:basedOn w:val="DefaultParagraphFont"/>
    <w:link w:val="Heading3"/>
    <w:rsid w:val="00844A19"/>
    <w:rPr>
      <w:color w:val="000000"/>
      <w:kern w:val="28"/>
    </w:rPr>
  </w:style>
  <w:style w:type="paragraph" w:customStyle="1" w:styleId="RecentMassHealthDrugListUpdates">
    <w:name w:val="Recent MassHealth Drug List Updates"/>
    <w:basedOn w:val="Normal"/>
    <w:autoRedefine/>
    <w:qFormat/>
    <w:rsid w:val="003F7F93"/>
    <w:pPr>
      <w:widowControl w:val="0"/>
      <w:ind w:left="-288"/>
      <w:jc w:val="center"/>
    </w:pPr>
    <w:rPr>
      <w:rFonts w:ascii="Trebuchet MS" w:hAnsi="Trebuchet MS"/>
      <w:b/>
      <w:bCs/>
      <w:color w:val="auto"/>
      <w:sz w:val="26"/>
      <w:szCs w:val="26"/>
    </w:rPr>
  </w:style>
  <w:style w:type="paragraph" w:customStyle="1" w:styleId="columnheading">
    <w:name w:val="column heading"/>
    <w:basedOn w:val="Normal"/>
    <w:qFormat/>
    <w:rsid w:val="00F53DA0"/>
    <w:pPr>
      <w:jc w:val="center"/>
    </w:pPr>
    <w:rPr>
      <w:rFonts w:cs="Calibri"/>
      <w:b/>
      <w:bCs/>
      <w:sz w:val="24"/>
      <w:szCs w:val="24"/>
    </w:rPr>
  </w:style>
  <w:style w:type="paragraph" w:customStyle="1" w:styleId="Tablesubheading">
    <w:name w:val="Table subheading"/>
    <w:basedOn w:val="Normal"/>
    <w:qFormat/>
    <w:rsid w:val="00F53DA0"/>
    <w:pPr>
      <w:jc w:val="center"/>
    </w:pPr>
    <w:rPr>
      <w:rFonts w:cs="Calibri"/>
      <w:b/>
      <w:bCs/>
      <w:sz w:val="24"/>
      <w:szCs w:val="24"/>
    </w:rPr>
  </w:style>
  <w:style w:type="paragraph" w:customStyle="1" w:styleId="Footnote">
    <w:name w:val="Footnote"/>
    <w:basedOn w:val="Normal"/>
    <w:qFormat/>
    <w:rsid w:val="00AE483E"/>
    <w:pPr>
      <w:spacing w:before="120"/>
      <w:ind w:left="446" w:hanging="446"/>
    </w:pPr>
    <w:rPr>
      <w:sz w:val="18"/>
      <w:szCs w:val="18"/>
    </w:rPr>
  </w:style>
  <w:style w:type="paragraph" w:customStyle="1" w:styleId="Prescribere-letterdefinition">
    <w:name w:val="Prescriber e-letter definition"/>
    <w:basedOn w:val="Normal"/>
    <w:qFormat/>
    <w:rsid w:val="0004346A"/>
    <w:pPr>
      <w:widowControl w:val="0"/>
      <w:spacing w:before="1200"/>
      <w:jc w:val="center"/>
    </w:pPr>
    <w:rPr>
      <w:iCs/>
      <w:lang w:val="en"/>
    </w:rPr>
  </w:style>
  <w:style w:type="character" w:customStyle="1" w:styleId="Heading4Char">
    <w:name w:val="Heading 4 Char"/>
    <w:basedOn w:val="DefaultParagraphFont"/>
    <w:link w:val="Heading4"/>
    <w:rsid w:val="00FD5CE5"/>
    <w:rPr>
      <w:rFonts w:cs="Calibri"/>
      <w:b/>
      <w:bCs/>
      <w:color w:val="000000"/>
      <w:kern w:val="28"/>
      <w:sz w:val="24"/>
      <w:szCs w:val="24"/>
    </w:rPr>
  </w:style>
  <w:style w:type="character" w:customStyle="1" w:styleId="Heading5Char">
    <w:name w:val="Heading 5 Char"/>
    <w:basedOn w:val="DefaultParagraphFont"/>
    <w:link w:val="Heading5"/>
    <w:rsid w:val="00AD42BB"/>
    <w:rPr>
      <w:rFonts w:asciiTheme="majorHAnsi" w:eastAsiaTheme="majorEastAsia" w:hAnsiTheme="majorHAnsi" w:cstheme="majorBidi"/>
      <w:color w:val="1F3763" w:themeColor="accent1" w:themeShade="7F"/>
      <w:kern w:val="28"/>
    </w:rPr>
  </w:style>
  <w:style w:type="character" w:styleId="Hyperlink">
    <w:name w:val="Hyperlink"/>
    <w:basedOn w:val="DefaultParagraphFont"/>
    <w:unhideWhenUsed/>
    <w:rsid w:val="007459B2"/>
    <w:rPr>
      <w:color w:val="0563C1" w:themeColor="hyperlink"/>
      <w:u w:val="single"/>
    </w:rPr>
  </w:style>
  <w:style w:type="character" w:customStyle="1" w:styleId="UnresolvedMention1">
    <w:name w:val="Unresolved Mention1"/>
    <w:basedOn w:val="DefaultParagraphFont"/>
    <w:uiPriority w:val="99"/>
    <w:semiHidden/>
    <w:unhideWhenUsed/>
    <w:rsid w:val="007459B2"/>
    <w:rPr>
      <w:color w:val="605E5C"/>
      <w:shd w:val="clear" w:color="auto" w:fill="E1DFDD"/>
    </w:rPr>
  </w:style>
  <w:style w:type="character" w:styleId="CommentReference">
    <w:name w:val="annotation reference"/>
    <w:basedOn w:val="DefaultParagraphFont"/>
    <w:uiPriority w:val="99"/>
    <w:semiHidden/>
    <w:unhideWhenUsed/>
    <w:rsid w:val="00286660"/>
    <w:rPr>
      <w:sz w:val="16"/>
      <w:szCs w:val="16"/>
    </w:rPr>
  </w:style>
  <w:style w:type="paragraph" w:styleId="CommentText">
    <w:name w:val="annotation text"/>
    <w:basedOn w:val="Normal"/>
    <w:link w:val="CommentTextChar"/>
    <w:semiHidden/>
    <w:unhideWhenUsed/>
    <w:rsid w:val="00286660"/>
  </w:style>
  <w:style w:type="character" w:customStyle="1" w:styleId="CommentTextChar">
    <w:name w:val="Comment Text Char"/>
    <w:basedOn w:val="DefaultParagraphFont"/>
    <w:link w:val="CommentText"/>
    <w:semiHidden/>
    <w:rsid w:val="00286660"/>
    <w:rPr>
      <w:color w:val="000000"/>
      <w:kern w:val="28"/>
    </w:rPr>
  </w:style>
  <w:style w:type="paragraph" w:styleId="CommentSubject">
    <w:name w:val="annotation subject"/>
    <w:basedOn w:val="CommentText"/>
    <w:next w:val="CommentText"/>
    <w:link w:val="CommentSubjectChar"/>
    <w:semiHidden/>
    <w:unhideWhenUsed/>
    <w:rsid w:val="00286660"/>
    <w:rPr>
      <w:b/>
      <w:bCs/>
    </w:rPr>
  </w:style>
  <w:style w:type="character" w:customStyle="1" w:styleId="CommentSubjectChar">
    <w:name w:val="Comment Subject Char"/>
    <w:basedOn w:val="CommentTextChar"/>
    <w:link w:val="CommentSubject"/>
    <w:semiHidden/>
    <w:rsid w:val="00286660"/>
    <w:rPr>
      <w:b/>
      <w:bCs/>
      <w:color w:val="000000"/>
      <w:kern w:val="28"/>
    </w:rPr>
  </w:style>
  <w:style w:type="paragraph" w:styleId="Revision">
    <w:name w:val="Revision"/>
    <w:hidden/>
    <w:uiPriority w:val="99"/>
    <w:semiHidden/>
    <w:rsid w:val="009F6AED"/>
    <w:rPr>
      <w:color w:val="000000"/>
      <w:kern w:val="28"/>
    </w:rPr>
  </w:style>
  <w:style w:type="character" w:styleId="UnresolvedMention">
    <w:name w:val="Unresolved Mention"/>
    <w:basedOn w:val="DefaultParagraphFont"/>
    <w:uiPriority w:val="99"/>
    <w:semiHidden/>
    <w:unhideWhenUsed/>
    <w:rsid w:val="000715D0"/>
    <w:rPr>
      <w:color w:val="605E5C"/>
      <w:shd w:val="clear" w:color="auto" w:fill="E1DFDD"/>
    </w:rPr>
  </w:style>
  <w:style w:type="character" w:styleId="FollowedHyperlink">
    <w:name w:val="FollowedHyperlink"/>
    <w:basedOn w:val="DefaultParagraphFont"/>
    <w:semiHidden/>
    <w:unhideWhenUsed/>
    <w:rsid w:val="009757A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218596">
      <w:bodyDiv w:val="1"/>
      <w:marLeft w:val="0"/>
      <w:marRight w:val="0"/>
      <w:marTop w:val="0"/>
      <w:marBottom w:val="0"/>
      <w:divBdr>
        <w:top w:val="none" w:sz="0" w:space="0" w:color="auto"/>
        <w:left w:val="none" w:sz="0" w:space="0" w:color="auto"/>
        <w:bottom w:val="none" w:sz="0" w:space="0" w:color="auto"/>
        <w:right w:val="none" w:sz="0" w:space="0" w:color="auto"/>
      </w:divBdr>
    </w:div>
    <w:div w:id="849492030">
      <w:bodyDiv w:val="1"/>
      <w:marLeft w:val="0"/>
      <w:marRight w:val="0"/>
      <w:marTop w:val="0"/>
      <w:marBottom w:val="0"/>
      <w:divBdr>
        <w:top w:val="none" w:sz="0" w:space="0" w:color="auto"/>
        <w:left w:val="none" w:sz="0" w:space="0" w:color="auto"/>
        <w:bottom w:val="none" w:sz="0" w:space="0" w:color="auto"/>
        <w:right w:val="none" w:sz="0" w:space="0" w:color="auto"/>
      </w:divBdr>
    </w:div>
    <w:div w:id="882207593">
      <w:bodyDiv w:val="1"/>
      <w:marLeft w:val="0"/>
      <w:marRight w:val="0"/>
      <w:marTop w:val="0"/>
      <w:marBottom w:val="0"/>
      <w:divBdr>
        <w:top w:val="none" w:sz="0" w:space="0" w:color="auto"/>
        <w:left w:val="none" w:sz="0" w:space="0" w:color="auto"/>
        <w:bottom w:val="none" w:sz="0" w:space="0" w:color="auto"/>
        <w:right w:val="none" w:sz="0" w:space="0" w:color="auto"/>
      </w:divBdr>
    </w:div>
    <w:div w:id="994989047">
      <w:bodyDiv w:val="1"/>
      <w:marLeft w:val="0"/>
      <w:marRight w:val="0"/>
      <w:marTop w:val="0"/>
      <w:marBottom w:val="0"/>
      <w:divBdr>
        <w:top w:val="none" w:sz="0" w:space="0" w:color="auto"/>
        <w:left w:val="none" w:sz="0" w:space="0" w:color="auto"/>
        <w:bottom w:val="none" w:sz="0" w:space="0" w:color="auto"/>
        <w:right w:val="none" w:sz="0" w:space="0" w:color="auto"/>
      </w:divBdr>
    </w:div>
    <w:div w:id="1144274242">
      <w:bodyDiv w:val="1"/>
      <w:marLeft w:val="0"/>
      <w:marRight w:val="0"/>
      <w:marTop w:val="0"/>
      <w:marBottom w:val="0"/>
      <w:divBdr>
        <w:top w:val="none" w:sz="0" w:space="0" w:color="auto"/>
        <w:left w:val="none" w:sz="0" w:space="0" w:color="auto"/>
        <w:bottom w:val="none" w:sz="0" w:space="0" w:color="auto"/>
        <w:right w:val="none" w:sz="0" w:space="0" w:color="auto"/>
      </w:divBdr>
    </w:div>
    <w:div w:id="1266497168">
      <w:bodyDiv w:val="1"/>
      <w:marLeft w:val="0"/>
      <w:marRight w:val="0"/>
      <w:marTop w:val="0"/>
      <w:marBottom w:val="0"/>
      <w:divBdr>
        <w:top w:val="none" w:sz="0" w:space="0" w:color="auto"/>
        <w:left w:val="none" w:sz="0" w:space="0" w:color="auto"/>
        <w:bottom w:val="none" w:sz="0" w:space="0" w:color="auto"/>
        <w:right w:val="none" w:sz="0" w:space="0" w:color="auto"/>
      </w:divBdr>
    </w:div>
    <w:div w:id="1535924538">
      <w:bodyDiv w:val="1"/>
      <w:marLeft w:val="0"/>
      <w:marRight w:val="0"/>
      <w:marTop w:val="0"/>
      <w:marBottom w:val="0"/>
      <w:divBdr>
        <w:top w:val="none" w:sz="0" w:space="0" w:color="auto"/>
        <w:left w:val="none" w:sz="0" w:space="0" w:color="auto"/>
        <w:bottom w:val="none" w:sz="0" w:space="0" w:color="auto"/>
        <w:right w:val="none" w:sz="0" w:space="0" w:color="auto"/>
      </w:divBdr>
    </w:div>
    <w:div w:id="1600137965">
      <w:bodyDiv w:val="1"/>
      <w:marLeft w:val="0"/>
      <w:marRight w:val="0"/>
      <w:marTop w:val="0"/>
      <w:marBottom w:val="0"/>
      <w:divBdr>
        <w:top w:val="none" w:sz="0" w:space="0" w:color="auto"/>
        <w:left w:val="none" w:sz="0" w:space="0" w:color="auto"/>
        <w:bottom w:val="none" w:sz="0" w:space="0" w:color="auto"/>
        <w:right w:val="none" w:sz="0" w:space="0" w:color="auto"/>
      </w:divBdr>
    </w:div>
    <w:div w:id="1608342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doc/pharmacy-facts-145-april-28-2020/download" TargetMode="External"/><Relationship Id="rId18" Type="http://schemas.openxmlformats.org/officeDocument/2006/relationships/hyperlink" Target="https://www.idsociety.org/practice-guideline/covid-19-guideline-treatment-and-managemen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covid19treatmentguidelines.nih.gov/" TargetMode="External"/><Relationship Id="rId2" Type="http://schemas.openxmlformats.org/officeDocument/2006/relationships/numbering" Target="numbering.xml"/><Relationship Id="rId16" Type="http://schemas.openxmlformats.org/officeDocument/2006/relationships/hyperlink" Target="https://www.cms.gov/monoclona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fda.gov/news-events/press-announcements/coronavirus-covid-19-update-fda-authorizes-changes-simplify-use-bivalent-mrna-covid-19-vaccines" TargetMode="Externa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hhs.gov/about/news/2023/02/09/fact-sheet-covid-19-public-health-emergency-transition-roadma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FD255-5FFF-4D79-832F-A7E3D38CF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813</Words>
  <Characters>6021</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Prescriber e-Letter, Volume 13, Issue 2</vt:lpstr>
    </vt:vector>
  </TitlesOfParts>
  <Company>Office of Health and Human Services</Company>
  <LinksUpToDate>false</LinksUpToDate>
  <CharactersWithSpaces>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Prescriber e-Letter, Volume 13, Issue 2</dc:title>
  <dc:creator>MassHealth</dc:creator>
  <cp:lastModifiedBy>Philippa Durbin</cp:lastModifiedBy>
  <cp:revision>3</cp:revision>
  <cp:lastPrinted>2007-12-18T16:52:00Z</cp:lastPrinted>
  <dcterms:created xsi:type="dcterms:W3CDTF">2023-05-15T16:13:00Z</dcterms:created>
  <dcterms:modified xsi:type="dcterms:W3CDTF">2023-05-15T16:14:00Z</dcterms:modified>
</cp:coreProperties>
</file>