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A0004" w14:textId="5D09DE99" w:rsidR="00385D38" w:rsidRDefault="00385D38" w:rsidP="00385D38">
      <w:pPr>
        <w:pStyle w:val="Heading1"/>
      </w:pPr>
      <w:r>
        <w:t xml:space="preserve">MASSHEALTH FORMULARY NEWSLETTER </w:t>
      </w:r>
    </w:p>
    <w:p w14:paraId="7114724F" w14:textId="30309422" w:rsidR="00E62E59" w:rsidRDefault="009E0CD2" w:rsidP="00E62E59">
      <w:pPr>
        <w:pStyle w:val="Heading1"/>
        <w:ind w:right="144"/>
      </w:pPr>
      <w:r w:rsidRPr="006A1683">
        <w:t>MassHealth Drug List (MHDL)</w:t>
      </w:r>
      <w:r w:rsidR="00256044" w:rsidRPr="006A1683">
        <w:t xml:space="preserve"> Update Summary</w:t>
      </w:r>
      <w:r w:rsidR="00EC5596" w:rsidRPr="006A1683">
        <w:t xml:space="preserve"> Effective </w:t>
      </w:r>
      <w:r w:rsidR="00B81751" w:rsidRPr="006A1683">
        <w:t xml:space="preserve">May </w:t>
      </w:r>
      <w:r w:rsidR="00DD5AC2" w:rsidRPr="006A1683">
        <w:t>1</w:t>
      </w:r>
      <w:r w:rsidR="00B81751" w:rsidRPr="006A1683">
        <w:t>1</w:t>
      </w:r>
      <w:r w:rsidR="00DD5AC2" w:rsidRPr="006A1683">
        <w:t xml:space="preserve">, </w:t>
      </w:r>
      <w:r w:rsidR="00EC5596" w:rsidRPr="006A1683">
        <w:t>2026</w:t>
      </w:r>
      <w:r w:rsidR="00E62E59">
        <w:t xml:space="preserve"> </w:t>
      </w:r>
    </w:p>
    <w:p w14:paraId="23D4CAE7" w14:textId="52AFAED9" w:rsidR="009E0CD2" w:rsidRPr="006A1683" w:rsidRDefault="00E62E59" w:rsidP="00E62E59">
      <w:pPr>
        <w:pStyle w:val="Heading1"/>
        <w:ind w:right="144"/>
        <w:rPr>
          <w:i/>
          <w:iCs/>
        </w:rPr>
      </w:pPr>
      <w:r w:rsidRPr="00385D38">
        <w:t xml:space="preserve">ISSUE </w:t>
      </w:r>
      <w:r>
        <w:t>2</w:t>
      </w:r>
    </w:p>
    <w:p w14:paraId="622E1979" w14:textId="5C593D48" w:rsidR="748B633E" w:rsidRPr="006A1683" w:rsidRDefault="748B633E" w:rsidP="748B633E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78CAB0B1" w14:textId="71C1CA77" w:rsidR="23659784" w:rsidRPr="006A1683" w:rsidRDefault="23659784" w:rsidP="008D1791">
      <w:pPr>
        <w:pStyle w:val="Heading2"/>
      </w:pPr>
      <w:r w:rsidRPr="006A1683">
        <w:t>Key Changes</w:t>
      </w:r>
    </w:p>
    <w:p w14:paraId="1CDEC50A" w14:textId="201FB5C8" w:rsidR="78541CD9" w:rsidRPr="006A1683" w:rsidRDefault="2F566D95" w:rsidP="008D1791">
      <w:pPr>
        <w:pStyle w:val="Heading3"/>
        <w:rPr>
          <w:rFonts w:ascii="Arial" w:eastAsia="Arial" w:hAnsi="Arial" w:cs="Arial"/>
          <w:sz w:val="22"/>
          <w:szCs w:val="22"/>
        </w:rPr>
      </w:pPr>
      <w:r w:rsidRPr="006A1683">
        <w:t>Antidiabetic Agents – Insulin Utilization Management Updates</w:t>
      </w:r>
    </w:p>
    <w:p w14:paraId="222884D3" w14:textId="2EEEA44B" w:rsidR="47726DB5" w:rsidRPr="006A1683" w:rsidRDefault="08675623" w:rsidP="47726DB5">
      <w:pPr>
        <w:spacing w:line="240" w:lineRule="auto"/>
        <w:rPr>
          <w:rFonts w:ascii="Aptos" w:eastAsia="Aptos" w:hAnsi="Aptos" w:cs="Aptos"/>
        </w:rPr>
      </w:pPr>
      <w:r w:rsidRPr="006A1683">
        <w:rPr>
          <w:rFonts w:ascii="Aptos" w:eastAsia="Aptos" w:hAnsi="Aptos" w:cs="Aptos"/>
        </w:rPr>
        <w:t>There are multiple insulin products that will require</w:t>
      </w:r>
      <w:r w:rsidR="00765D58">
        <w:rPr>
          <w:rFonts w:ascii="Aptos" w:eastAsia="Aptos" w:hAnsi="Aptos" w:cs="Aptos"/>
        </w:rPr>
        <w:t xml:space="preserve"> prior authorization</w:t>
      </w:r>
      <w:r w:rsidRPr="006A1683">
        <w:rPr>
          <w:rFonts w:ascii="Aptos" w:eastAsia="Aptos" w:hAnsi="Aptos" w:cs="Aptos"/>
        </w:rPr>
        <w:t xml:space="preserve"> </w:t>
      </w:r>
      <w:r w:rsidR="00765D58">
        <w:rPr>
          <w:rFonts w:ascii="Aptos" w:eastAsia="Aptos" w:hAnsi="Aptos" w:cs="Aptos"/>
        </w:rPr>
        <w:t>(</w:t>
      </w:r>
      <w:r w:rsidR="1D265370" w:rsidRPr="006A1683">
        <w:rPr>
          <w:rFonts w:ascii="Aptos" w:eastAsia="Aptos" w:hAnsi="Aptos" w:cs="Aptos"/>
        </w:rPr>
        <w:t>PA</w:t>
      </w:r>
      <w:r w:rsidR="00765D58">
        <w:rPr>
          <w:rFonts w:ascii="Aptos" w:eastAsia="Aptos" w:hAnsi="Aptos" w:cs="Aptos"/>
        </w:rPr>
        <w:t>)</w:t>
      </w:r>
      <w:r w:rsidR="1D265370" w:rsidRPr="006A1683">
        <w:rPr>
          <w:rFonts w:ascii="Aptos" w:eastAsia="Aptos" w:hAnsi="Aptos" w:cs="Aptos"/>
        </w:rPr>
        <w:t xml:space="preserve"> </w:t>
      </w:r>
      <w:r w:rsidR="5721D48D" w:rsidRPr="006A1683">
        <w:rPr>
          <w:rFonts w:ascii="Aptos" w:eastAsia="Aptos" w:hAnsi="Aptos" w:cs="Aptos"/>
        </w:rPr>
        <w:t>e</w:t>
      </w:r>
      <w:r w:rsidR="74AB82D1" w:rsidRPr="006A1683">
        <w:rPr>
          <w:rFonts w:ascii="Aptos" w:eastAsia="Aptos" w:hAnsi="Aptos" w:cs="Aptos"/>
        </w:rPr>
        <w:t>ffective May 11, 2026</w:t>
      </w:r>
      <w:r w:rsidR="00D433B3" w:rsidRPr="006A1683">
        <w:rPr>
          <w:rFonts w:ascii="Aptos" w:eastAsia="Aptos" w:hAnsi="Aptos" w:cs="Aptos"/>
        </w:rPr>
        <w:t xml:space="preserve">, </w:t>
      </w:r>
      <w:r w:rsidR="6CD86B5A" w:rsidRPr="006A1683">
        <w:rPr>
          <w:rFonts w:ascii="Aptos" w:eastAsia="Aptos" w:hAnsi="Aptos" w:cs="Aptos"/>
        </w:rPr>
        <w:t>and will require trials of less costly formulations</w:t>
      </w:r>
      <w:r w:rsidR="00D433B3" w:rsidRPr="006A1683">
        <w:rPr>
          <w:rFonts w:ascii="Aptos" w:eastAsia="Aptos" w:hAnsi="Aptos" w:cs="Aptos"/>
        </w:rPr>
        <w:t>.</w:t>
      </w:r>
      <w:r w:rsidR="6CD86B5A" w:rsidRPr="006A1683">
        <w:rPr>
          <w:rFonts w:ascii="Aptos" w:eastAsia="Aptos" w:hAnsi="Aptos" w:cs="Aptos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675"/>
        <w:gridCol w:w="4675"/>
      </w:tblGrid>
      <w:tr w:rsidR="01D82A5F" w:rsidRPr="006A1683" w14:paraId="62EC03A5" w14:textId="77777777" w:rsidTr="01D82A5F">
        <w:trPr>
          <w:trHeight w:val="300"/>
        </w:trPr>
        <w:tc>
          <w:tcPr>
            <w:tcW w:w="4680" w:type="dxa"/>
          </w:tcPr>
          <w:p w14:paraId="0D03C0F8" w14:textId="79B40A31" w:rsidR="6CD86B5A" w:rsidRPr="006A1683" w:rsidRDefault="6CD86B5A" w:rsidP="01D82A5F">
            <w:pPr>
              <w:rPr>
                <w:rFonts w:ascii="Aptos" w:eastAsia="Aptos" w:hAnsi="Aptos" w:cs="Aptos"/>
                <w:b/>
              </w:rPr>
            </w:pPr>
            <w:r w:rsidRPr="006A1683">
              <w:rPr>
                <w:rFonts w:ascii="Aptos" w:eastAsia="Aptos" w:hAnsi="Aptos" w:cs="Aptos"/>
                <w:b/>
              </w:rPr>
              <w:t xml:space="preserve">PA </w:t>
            </w:r>
            <w:r w:rsidR="00E97E0C">
              <w:rPr>
                <w:rFonts w:ascii="Aptos" w:eastAsia="Aptos" w:hAnsi="Aptos" w:cs="Aptos"/>
                <w:b/>
              </w:rPr>
              <w:t>R</w:t>
            </w:r>
            <w:r w:rsidRPr="006A1683">
              <w:rPr>
                <w:rFonts w:ascii="Aptos" w:eastAsia="Aptos" w:hAnsi="Aptos" w:cs="Aptos"/>
                <w:b/>
              </w:rPr>
              <w:t xml:space="preserve">equired </w:t>
            </w:r>
          </w:p>
        </w:tc>
        <w:tc>
          <w:tcPr>
            <w:tcW w:w="4680" w:type="dxa"/>
          </w:tcPr>
          <w:p w14:paraId="6BA0DDBC" w14:textId="2BE226A9" w:rsidR="01D82A5F" w:rsidRPr="006A1683" w:rsidRDefault="6CD86B5A" w:rsidP="01D82A5F">
            <w:pPr>
              <w:rPr>
                <w:rFonts w:ascii="Aptos" w:eastAsia="Aptos" w:hAnsi="Aptos" w:cs="Aptos"/>
                <w:b/>
              </w:rPr>
            </w:pPr>
            <w:r w:rsidRPr="006A1683">
              <w:rPr>
                <w:rFonts w:ascii="Aptos" w:eastAsia="Aptos" w:hAnsi="Aptos" w:cs="Aptos"/>
                <w:b/>
              </w:rPr>
              <w:t xml:space="preserve">Preferred </w:t>
            </w:r>
            <w:r w:rsidR="00E97E0C">
              <w:rPr>
                <w:rFonts w:ascii="Aptos" w:eastAsia="Aptos" w:hAnsi="Aptos" w:cs="Aptos"/>
                <w:b/>
              </w:rPr>
              <w:t>Lower</w:t>
            </w:r>
            <w:r w:rsidR="00765D58">
              <w:rPr>
                <w:rFonts w:ascii="Aptos" w:eastAsia="Aptos" w:hAnsi="Aptos" w:cs="Aptos"/>
                <w:b/>
              </w:rPr>
              <w:t>-</w:t>
            </w:r>
            <w:r w:rsidR="00E97E0C">
              <w:rPr>
                <w:rFonts w:ascii="Aptos" w:eastAsia="Aptos" w:hAnsi="Aptos" w:cs="Aptos"/>
                <w:b/>
              </w:rPr>
              <w:t>Cost Alternatives (</w:t>
            </w:r>
            <w:r w:rsidRPr="006A1683">
              <w:rPr>
                <w:rFonts w:ascii="Aptos" w:eastAsia="Aptos" w:hAnsi="Aptos" w:cs="Aptos"/>
                <w:b/>
              </w:rPr>
              <w:t>LCAs</w:t>
            </w:r>
            <w:r w:rsidR="00E97E0C">
              <w:rPr>
                <w:rFonts w:ascii="Aptos" w:eastAsia="Aptos" w:hAnsi="Aptos" w:cs="Aptos"/>
                <w:b/>
              </w:rPr>
              <w:t>)</w:t>
            </w:r>
          </w:p>
        </w:tc>
      </w:tr>
      <w:tr w:rsidR="01D82A5F" w:rsidRPr="006A1683" w14:paraId="0A31439C" w14:textId="77777777" w:rsidTr="01D82A5F">
        <w:trPr>
          <w:trHeight w:val="300"/>
        </w:trPr>
        <w:tc>
          <w:tcPr>
            <w:tcW w:w="4680" w:type="dxa"/>
          </w:tcPr>
          <w:p w14:paraId="556D4EB6" w14:textId="4C2F2BD5" w:rsidR="01D82A5F" w:rsidRPr="006A1683" w:rsidRDefault="6CD86B5A" w:rsidP="01D82A5F">
            <w:pPr>
              <w:rPr>
                <w:rFonts w:ascii="Aptos" w:eastAsia="Aptos" w:hAnsi="Aptos" w:cs="Aptos"/>
              </w:rPr>
            </w:pPr>
            <w:r w:rsidRPr="006A1683">
              <w:rPr>
                <w:rFonts w:ascii="Aptos" w:eastAsia="Aptos" w:hAnsi="Aptos" w:cs="Aptos"/>
              </w:rPr>
              <w:t>Humalog (insulin lispro 200 units/mL)</w:t>
            </w:r>
          </w:p>
        </w:tc>
        <w:tc>
          <w:tcPr>
            <w:tcW w:w="4680" w:type="dxa"/>
          </w:tcPr>
          <w:p w14:paraId="5582337F" w14:textId="1214C01B" w:rsidR="01D82A5F" w:rsidRPr="006A1683" w:rsidRDefault="6CD86B5A" w:rsidP="01D82A5F">
            <w:pPr>
              <w:rPr>
                <w:rFonts w:ascii="Aptos" w:eastAsia="Aptos" w:hAnsi="Aptos" w:cs="Aptos"/>
              </w:rPr>
            </w:pPr>
            <w:r w:rsidRPr="006A1683">
              <w:rPr>
                <w:rFonts w:ascii="Aptos" w:eastAsia="Aptos" w:hAnsi="Aptos" w:cs="Aptos"/>
              </w:rPr>
              <w:t>Humalog (insulin lispro 100 units/mL)</w:t>
            </w:r>
          </w:p>
        </w:tc>
      </w:tr>
      <w:tr w:rsidR="01D82A5F" w:rsidRPr="006A1683" w14:paraId="1EE68430" w14:textId="77777777" w:rsidTr="01D82A5F">
        <w:trPr>
          <w:trHeight w:val="300"/>
        </w:trPr>
        <w:tc>
          <w:tcPr>
            <w:tcW w:w="4680" w:type="dxa"/>
          </w:tcPr>
          <w:p w14:paraId="2AE70AD4" w14:textId="38E462A0" w:rsidR="01D82A5F" w:rsidRPr="006A1683" w:rsidRDefault="6CD86B5A" w:rsidP="01D82A5F">
            <w:pPr>
              <w:rPr>
                <w:rFonts w:ascii="Aptos" w:eastAsia="Aptos" w:hAnsi="Aptos" w:cs="Aptos"/>
              </w:rPr>
            </w:pPr>
            <w:r w:rsidRPr="006A1683">
              <w:rPr>
                <w:rFonts w:ascii="Aptos" w:eastAsia="Aptos" w:hAnsi="Aptos" w:cs="Aptos"/>
              </w:rPr>
              <w:t>Novolin 70/30 (insulin NPH/regular insulin 70/30)</w:t>
            </w:r>
          </w:p>
        </w:tc>
        <w:tc>
          <w:tcPr>
            <w:tcW w:w="4680" w:type="dxa"/>
          </w:tcPr>
          <w:p w14:paraId="3DC486D0" w14:textId="1C5ACD5D" w:rsidR="01D82A5F" w:rsidRPr="006A1683" w:rsidRDefault="6CD86B5A" w:rsidP="01D82A5F">
            <w:pPr>
              <w:rPr>
                <w:rFonts w:ascii="Aptos" w:eastAsia="Aptos" w:hAnsi="Aptos" w:cs="Aptos"/>
              </w:rPr>
            </w:pPr>
            <w:r w:rsidRPr="006A1683">
              <w:rPr>
                <w:rFonts w:ascii="Aptos" w:eastAsia="Aptos" w:hAnsi="Aptos" w:cs="Aptos"/>
              </w:rPr>
              <w:t>Humulin 70/30 (insulin NPH/regular insulin 70/30)</w:t>
            </w:r>
          </w:p>
        </w:tc>
      </w:tr>
      <w:tr w:rsidR="01D82A5F" w:rsidRPr="006A1683" w14:paraId="000127D6" w14:textId="77777777" w:rsidTr="00447F3D">
        <w:trPr>
          <w:trHeight w:val="300"/>
        </w:trPr>
        <w:tc>
          <w:tcPr>
            <w:tcW w:w="4680" w:type="dxa"/>
          </w:tcPr>
          <w:p w14:paraId="5A6BA690" w14:textId="60563AC0" w:rsidR="01D82A5F" w:rsidRPr="006A1683" w:rsidRDefault="6CD86B5A" w:rsidP="01D82A5F">
            <w:pPr>
              <w:rPr>
                <w:rFonts w:ascii="Aptos" w:eastAsia="Aptos" w:hAnsi="Aptos" w:cs="Aptos"/>
              </w:rPr>
            </w:pPr>
            <w:proofErr w:type="spellStart"/>
            <w:r w:rsidRPr="006A1683">
              <w:rPr>
                <w:rFonts w:ascii="Aptos" w:eastAsia="Aptos" w:hAnsi="Aptos" w:cs="Aptos"/>
              </w:rPr>
              <w:t>Toujeo</w:t>
            </w:r>
            <w:proofErr w:type="spellEnd"/>
            <w:r w:rsidRPr="006A1683">
              <w:rPr>
                <w:rFonts w:ascii="Aptos" w:eastAsia="Aptos" w:hAnsi="Aptos" w:cs="Aptos"/>
              </w:rPr>
              <w:t xml:space="preserve"> (insulin glargine)*</w:t>
            </w:r>
          </w:p>
        </w:tc>
        <w:tc>
          <w:tcPr>
            <w:tcW w:w="4680" w:type="dxa"/>
            <w:vMerge w:val="restart"/>
          </w:tcPr>
          <w:p w14:paraId="4E411D67" w14:textId="78BE4C61" w:rsidR="01D82A5F" w:rsidRPr="006A1683" w:rsidRDefault="6CD86B5A" w:rsidP="01D82A5F">
            <w:pPr>
              <w:rPr>
                <w:rFonts w:ascii="Aptos" w:eastAsia="Aptos" w:hAnsi="Aptos" w:cs="Aptos"/>
              </w:rPr>
            </w:pPr>
            <w:r w:rsidRPr="006A1683">
              <w:rPr>
                <w:rFonts w:ascii="Aptos" w:eastAsia="Aptos" w:hAnsi="Aptos" w:cs="Aptos"/>
              </w:rPr>
              <w:t>Insulin glargine prefilled syringe or vial</w:t>
            </w:r>
          </w:p>
        </w:tc>
      </w:tr>
      <w:tr w:rsidR="01D82A5F" w:rsidRPr="006A1683" w14:paraId="61083500" w14:textId="77777777" w:rsidTr="473FCF16">
        <w:trPr>
          <w:trHeight w:val="300"/>
        </w:trPr>
        <w:tc>
          <w:tcPr>
            <w:tcW w:w="4680" w:type="dxa"/>
          </w:tcPr>
          <w:p w14:paraId="0005D5F9" w14:textId="62FB2B51" w:rsidR="01D82A5F" w:rsidRPr="006A1683" w:rsidRDefault="6CD86B5A" w:rsidP="01D82A5F">
            <w:pPr>
              <w:rPr>
                <w:rFonts w:ascii="Aptos" w:eastAsia="Aptos" w:hAnsi="Aptos" w:cs="Aptos"/>
              </w:rPr>
            </w:pPr>
            <w:r w:rsidRPr="006A1683">
              <w:rPr>
                <w:rFonts w:ascii="Aptos" w:eastAsia="Aptos" w:hAnsi="Aptos" w:cs="Aptos"/>
              </w:rPr>
              <w:t xml:space="preserve">Tresiba (insulin </w:t>
            </w:r>
            <w:proofErr w:type="spellStart"/>
            <w:r w:rsidRPr="006A1683">
              <w:rPr>
                <w:rFonts w:ascii="Aptos" w:eastAsia="Aptos" w:hAnsi="Aptos" w:cs="Aptos"/>
              </w:rPr>
              <w:t>degludec</w:t>
            </w:r>
            <w:proofErr w:type="spellEnd"/>
            <w:r w:rsidRPr="006A1683">
              <w:rPr>
                <w:rFonts w:ascii="Aptos" w:eastAsia="Aptos" w:hAnsi="Aptos" w:cs="Aptos"/>
              </w:rPr>
              <w:t xml:space="preserve">)* </w:t>
            </w:r>
          </w:p>
        </w:tc>
        <w:tc>
          <w:tcPr>
            <w:tcW w:w="4680" w:type="dxa"/>
            <w:vMerge/>
          </w:tcPr>
          <w:p w14:paraId="0A6C8C54" w14:textId="77777777" w:rsidR="00606CAE" w:rsidRPr="006A1683" w:rsidRDefault="00606CAE"/>
        </w:tc>
      </w:tr>
    </w:tbl>
    <w:p w14:paraId="2F550574" w14:textId="79163B3B" w:rsidR="00B556FB" w:rsidRPr="006A1683" w:rsidRDefault="0FC63DE2" w:rsidP="00447F3D">
      <w:pPr>
        <w:spacing w:line="240" w:lineRule="auto"/>
        <w:rPr>
          <w:rFonts w:ascii="Aptos" w:eastAsia="Aptos" w:hAnsi="Aptos" w:cs="Aptos"/>
        </w:rPr>
      </w:pPr>
      <w:r w:rsidRPr="006A1683">
        <w:rPr>
          <w:rFonts w:ascii="Aptos" w:eastAsia="Aptos" w:hAnsi="Aptos" w:cs="Aptos"/>
        </w:rPr>
        <w:t xml:space="preserve">*POS stability rule </w:t>
      </w:r>
      <w:r w:rsidR="272CFD56" w:rsidRPr="006A1683">
        <w:rPr>
          <w:rFonts w:ascii="Aptos" w:eastAsia="Aptos" w:hAnsi="Aptos" w:cs="Aptos"/>
        </w:rPr>
        <w:t xml:space="preserve">may allow members currently stable on </w:t>
      </w:r>
      <w:proofErr w:type="spellStart"/>
      <w:r w:rsidRPr="006A1683">
        <w:rPr>
          <w:rFonts w:ascii="Aptos" w:eastAsia="Aptos" w:hAnsi="Aptos" w:cs="Aptos"/>
        </w:rPr>
        <w:t>Toujeo</w:t>
      </w:r>
      <w:proofErr w:type="spellEnd"/>
      <w:r w:rsidRPr="006A1683">
        <w:rPr>
          <w:rFonts w:ascii="Aptos" w:eastAsia="Aptos" w:hAnsi="Aptos" w:cs="Aptos"/>
        </w:rPr>
        <w:t xml:space="preserve"> and Tresiba to continue treatment</w:t>
      </w:r>
      <w:r w:rsidR="00D433B3" w:rsidRPr="006A1683">
        <w:rPr>
          <w:rFonts w:ascii="Aptos" w:eastAsia="Aptos" w:hAnsi="Aptos" w:cs="Aptos"/>
        </w:rPr>
        <w:t>.</w:t>
      </w:r>
      <w:r w:rsidRPr="006A1683">
        <w:rPr>
          <w:rFonts w:ascii="Aptos" w:eastAsia="Aptos" w:hAnsi="Aptos" w:cs="Aptos"/>
        </w:rPr>
        <w:t xml:space="preserve"> </w:t>
      </w:r>
    </w:p>
    <w:p w14:paraId="0C027EC1" w14:textId="3D276CAC" w:rsidR="00447F3D" w:rsidRPr="006A1683" w:rsidRDefault="74AB82D1" w:rsidP="004637D8">
      <w:pPr>
        <w:pStyle w:val="ListParagraph"/>
        <w:numPr>
          <w:ilvl w:val="0"/>
          <w:numId w:val="2"/>
        </w:numPr>
        <w:spacing w:line="276" w:lineRule="auto"/>
        <w:rPr>
          <w:rFonts w:ascii="Aptos" w:eastAsia="Aptos" w:hAnsi="Aptos" w:cs="Aptos"/>
        </w:rPr>
      </w:pPr>
      <w:r w:rsidRPr="006A1683">
        <w:rPr>
          <w:rFonts w:ascii="Aptos" w:eastAsia="Aptos" w:hAnsi="Aptos" w:cs="Aptos"/>
        </w:rPr>
        <w:t xml:space="preserve">Biosimilar products Kirsty (insulin </w:t>
      </w:r>
      <w:proofErr w:type="spellStart"/>
      <w:r w:rsidRPr="006A1683">
        <w:rPr>
          <w:rFonts w:ascii="Aptos" w:eastAsia="Aptos" w:hAnsi="Aptos" w:cs="Aptos"/>
        </w:rPr>
        <w:t>aspart-xjhz</w:t>
      </w:r>
      <w:proofErr w:type="spellEnd"/>
      <w:r w:rsidRPr="006A1683">
        <w:rPr>
          <w:rFonts w:ascii="Aptos" w:eastAsia="Aptos" w:hAnsi="Aptos" w:cs="Aptos"/>
        </w:rPr>
        <w:t xml:space="preserve">) and </w:t>
      </w:r>
      <w:proofErr w:type="spellStart"/>
      <w:r w:rsidRPr="006A1683">
        <w:rPr>
          <w:rFonts w:ascii="Aptos" w:eastAsia="Aptos" w:hAnsi="Aptos" w:cs="Aptos"/>
        </w:rPr>
        <w:t>Merilog</w:t>
      </w:r>
      <w:proofErr w:type="spellEnd"/>
      <w:r w:rsidRPr="006A1683">
        <w:rPr>
          <w:rFonts w:ascii="Aptos" w:eastAsia="Aptos" w:hAnsi="Aptos" w:cs="Aptos"/>
        </w:rPr>
        <w:t xml:space="preserve"> (insulin</w:t>
      </w:r>
      <w:r w:rsidR="004637D8" w:rsidRPr="006A1683">
        <w:rPr>
          <w:rFonts w:ascii="Aptos" w:eastAsia="Aptos" w:hAnsi="Aptos" w:cs="Aptos"/>
        </w:rPr>
        <w:t xml:space="preserve"> </w:t>
      </w:r>
      <w:proofErr w:type="spellStart"/>
      <w:r w:rsidRPr="006A1683">
        <w:rPr>
          <w:rFonts w:ascii="Aptos" w:eastAsia="Aptos" w:hAnsi="Aptos" w:cs="Aptos"/>
        </w:rPr>
        <w:t>aspart-szjj</w:t>
      </w:r>
      <w:proofErr w:type="spellEnd"/>
      <w:r w:rsidRPr="006A1683">
        <w:rPr>
          <w:rFonts w:ascii="Aptos" w:eastAsia="Aptos" w:hAnsi="Aptos" w:cs="Aptos"/>
        </w:rPr>
        <w:t xml:space="preserve">) </w:t>
      </w:r>
      <w:r w:rsidR="20AFFD64" w:rsidRPr="006A1683">
        <w:rPr>
          <w:rFonts w:ascii="Aptos" w:eastAsia="Aptos" w:hAnsi="Aptos" w:cs="Aptos"/>
        </w:rPr>
        <w:t>will be added to the MHDL requiring an inadequate response, adverse reaction, or contrain</w:t>
      </w:r>
      <w:r w:rsidR="3B3B22C8" w:rsidRPr="006A1683">
        <w:rPr>
          <w:rFonts w:ascii="Aptos" w:eastAsia="Aptos" w:hAnsi="Aptos" w:cs="Aptos"/>
        </w:rPr>
        <w:t>di</w:t>
      </w:r>
      <w:r w:rsidR="20AFFD64" w:rsidRPr="006A1683">
        <w:rPr>
          <w:rFonts w:ascii="Aptos" w:eastAsia="Aptos" w:hAnsi="Aptos" w:cs="Aptos"/>
        </w:rPr>
        <w:t xml:space="preserve">cation to Humalog (insulin lispro). If </w:t>
      </w:r>
      <w:r w:rsidR="78A23BC8" w:rsidRPr="006A1683">
        <w:rPr>
          <w:rFonts w:ascii="Aptos" w:eastAsia="Aptos" w:hAnsi="Aptos" w:cs="Aptos"/>
        </w:rPr>
        <w:t xml:space="preserve">members require insulin </w:t>
      </w:r>
      <w:proofErr w:type="spellStart"/>
      <w:r w:rsidR="78A23BC8" w:rsidRPr="006A1683">
        <w:rPr>
          <w:rFonts w:ascii="Aptos" w:eastAsia="Aptos" w:hAnsi="Aptos" w:cs="Aptos"/>
        </w:rPr>
        <w:t>aspart</w:t>
      </w:r>
      <w:proofErr w:type="spellEnd"/>
      <w:r w:rsidR="78A23BC8" w:rsidRPr="006A1683">
        <w:rPr>
          <w:rFonts w:ascii="Aptos" w:eastAsia="Aptos" w:hAnsi="Aptos" w:cs="Aptos"/>
        </w:rPr>
        <w:t xml:space="preserve">, Novolog (insulin </w:t>
      </w:r>
      <w:proofErr w:type="spellStart"/>
      <w:r w:rsidR="78A23BC8" w:rsidRPr="006A1683">
        <w:rPr>
          <w:rFonts w:ascii="Aptos" w:eastAsia="Aptos" w:hAnsi="Aptos" w:cs="Aptos"/>
        </w:rPr>
        <w:t>aspart</w:t>
      </w:r>
      <w:proofErr w:type="spellEnd"/>
      <w:r w:rsidR="78A23BC8" w:rsidRPr="006A1683">
        <w:rPr>
          <w:rFonts w:ascii="Aptos" w:eastAsia="Aptos" w:hAnsi="Aptos" w:cs="Aptos"/>
        </w:rPr>
        <w:t xml:space="preserve">) is the preferred formulation. </w:t>
      </w:r>
      <w:r w:rsidR="20AFFD64" w:rsidRPr="006A1683">
        <w:rPr>
          <w:rFonts w:ascii="Aptos" w:eastAsia="Aptos" w:hAnsi="Aptos" w:cs="Aptos"/>
        </w:rPr>
        <w:t xml:space="preserve"> </w:t>
      </w:r>
    </w:p>
    <w:p w14:paraId="512DB76A" w14:textId="528BC386" w:rsidR="00C106DB" w:rsidRPr="006A1683" w:rsidRDefault="00D26F82" w:rsidP="382F26DC">
      <w:pPr>
        <w:pStyle w:val="ListParagraph"/>
        <w:numPr>
          <w:ilvl w:val="0"/>
          <w:numId w:val="2"/>
        </w:numPr>
        <w:spacing w:line="276" w:lineRule="auto"/>
        <w:rPr>
          <w:rFonts w:ascii="Aptos" w:eastAsia="Aptos" w:hAnsi="Aptos" w:cs="Aptos"/>
        </w:rPr>
      </w:pPr>
      <w:proofErr w:type="spellStart"/>
      <w:r w:rsidRPr="006A1683">
        <w:rPr>
          <w:rFonts w:ascii="Aptos" w:eastAsia="Aptos" w:hAnsi="Aptos" w:cs="Aptos"/>
        </w:rPr>
        <w:t>S</w:t>
      </w:r>
      <w:r w:rsidR="00676595" w:rsidRPr="006A1683">
        <w:rPr>
          <w:rFonts w:ascii="Aptos" w:eastAsia="Aptos" w:hAnsi="Aptos" w:cs="Aptos"/>
        </w:rPr>
        <w:t>emglee</w:t>
      </w:r>
      <w:proofErr w:type="spellEnd"/>
      <w:r w:rsidR="009D23E3" w:rsidRPr="006A1683">
        <w:rPr>
          <w:rFonts w:ascii="Aptos" w:eastAsia="Aptos" w:hAnsi="Aptos" w:cs="Aptos"/>
        </w:rPr>
        <w:t xml:space="preserve"> (insulin glargine-</w:t>
      </w:r>
      <w:proofErr w:type="spellStart"/>
      <w:r w:rsidR="009D23E3" w:rsidRPr="006A1683">
        <w:rPr>
          <w:rFonts w:ascii="Aptos" w:eastAsia="Aptos" w:hAnsi="Aptos" w:cs="Aptos"/>
        </w:rPr>
        <w:t>yfgn</w:t>
      </w:r>
      <w:proofErr w:type="spellEnd"/>
      <w:r w:rsidR="009D23E3" w:rsidRPr="006A1683">
        <w:rPr>
          <w:rFonts w:ascii="Aptos" w:eastAsia="Aptos" w:hAnsi="Aptos" w:cs="Aptos"/>
        </w:rPr>
        <w:t>)</w:t>
      </w:r>
      <w:r w:rsidR="00676595" w:rsidRPr="006A1683">
        <w:rPr>
          <w:rFonts w:ascii="Aptos" w:eastAsia="Aptos" w:hAnsi="Aptos" w:cs="Aptos"/>
        </w:rPr>
        <w:t xml:space="preserve"> and </w:t>
      </w:r>
      <w:proofErr w:type="spellStart"/>
      <w:r w:rsidR="00B07D8A" w:rsidRPr="006A1683">
        <w:rPr>
          <w:rFonts w:ascii="Aptos" w:eastAsia="Aptos" w:hAnsi="Aptos" w:cs="Aptos"/>
        </w:rPr>
        <w:t>Rezvoglar</w:t>
      </w:r>
      <w:proofErr w:type="spellEnd"/>
      <w:r w:rsidR="00B07D8A" w:rsidRPr="006A1683">
        <w:rPr>
          <w:rFonts w:ascii="Aptos" w:eastAsia="Aptos" w:hAnsi="Aptos" w:cs="Aptos"/>
        </w:rPr>
        <w:t xml:space="preserve"> </w:t>
      </w:r>
      <w:r w:rsidR="00FA5C4D" w:rsidRPr="006A1683">
        <w:rPr>
          <w:rFonts w:ascii="Aptos" w:eastAsia="Aptos" w:hAnsi="Aptos" w:cs="Aptos"/>
        </w:rPr>
        <w:t>(insulin glargine-</w:t>
      </w:r>
      <w:proofErr w:type="spellStart"/>
      <w:r w:rsidR="00FA5C4D" w:rsidRPr="006A1683">
        <w:rPr>
          <w:rFonts w:ascii="Aptos" w:eastAsia="Aptos" w:hAnsi="Aptos" w:cs="Aptos"/>
        </w:rPr>
        <w:t>aglr</w:t>
      </w:r>
      <w:proofErr w:type="spellEnd"/>
      <w:r w:rsidR="00FA5C4D" w:rsidRPr="006A1683">
        <w:rPr>
          <w:rFonts w:ascii="Aptos" w:eastAsia="Aptos" w:hAnsi="Aptos" w:cs="Aptos"/>
        </w:rPr>
        <w:t xml:space="preserve">) </w:t>
      </w:r>
      <w:r w:rsidRPr="006A1683">
        <w:rPr>
          <w:rFonts w:ascii="Aptos" w:eastAsia="Aptos" w:hAnsi="Aptos" w:cs="Aptos"/>
        </w:rPr>
        <w:t xml:space="preserve">medical necessity criteria </w:t>
      </w:r>
      <w:r w:rsidR="0071409F" w:rsidRPr="006A1683">
        <w:rPr>
          <w:rFonts w:ascii="Aptos" w:eastAsia="Aptos" w:hAnsi="Aptos" w:cs="Aptos"/>
        </w:rPr>
        <w:t xml:space="preserve">have been </w:t>
      </w:r>
      <w:r w:rsidRPr="006A1683">
        <w:rPr>
          <w:rFonts w:ascii="Aptos" w:eastAsia="Aptos" w:hAnsi="Aptos" w:cs="Aptos"/>
        </w:rPr>
        <w:t>updated to require clinical rationale for use over</w:t>
      </w:r>
      <w:r w:rsidR="00F85E40" w:rsidRPr="006A1683">
        <w:rPr>
          <w:rFonts w:ascii="Aptos" w:eastAsia="Aptos" w:hAnsi="Aptos" w:cs="Aptos"/>
        </w:rPr>
        <w:t xml:space="preserve"> insulin glargine prefilled syringe or vial</w:t>
      </w:r>
      <w:r w:rsidRPr="006A1683">
        <w:rPr>
          <w:rFonts w:ascii="Aptos" w:eastAsia="Aptos" w:hAnsi="Aptos" w:cs="Aptos"/>
        </w:rPr>
        <w:t xml:space="preserve"> (branded or unbranded Lantus </w:t>
      </w:r>
      <w:proofErr w:type="spellStart"/>
      <w:r w:rsidRPr="006A1683">
        <w:rPr>
          <w:rFonts w:ascii="Aptos" w:eastAsia="Aptos" w:hAnsi="Aptos" w:cs="Aptos"/>
        </w:rPr>
        <w:t>SoloSTAR</w:t>
      </w:r>
      <w:proofErr w:type="spellEnd"/>
      <w:r w:rsidRPr="006A1683">
        <w:rPr>
          <w:rFonts w:ascii="Aptos" w:eastAsia="Aptos" w:hAnsi="Aptos" w:cs="Aptos"/>
        </w:rPr>
        <w:t xml:space="preserve"> or Lantus vial)</w:t>
      </w:r>
      <w:r w:rsidR="00F85E40" w:rsidRPr="006A1683">
        <w:rPr>
          <w:rFonts w:ascii="Aptos" w:eastAsia="Aptos" w:hAnsi="Aptos" w:cs="Aptos"/>
        </w:rPr>
        <w:t>.</w:t>
      </w:r>
    </w:p>
    <w:p w14:paraId="052FED19" w14:textId="57B3540E" w:rsidR="00C106DB" w:rsidRPr="006A1683" w:rsidRDefault="00C106DB" w:rsidP="00447F3D">
      <w:pPr>
        <w:pStyle w:val="ListParagraph"/>
        <w:spacing w:line="276" w:lineRule="auto"/>
        <w:ind w:left="360"/>
        <w:rPr>
          <w:rFonts w:ascii="Aptos" w:eastAsia="Aptos" w:hAnsi="Aptos" w:cs="Aptos"/>
        </w:rPr>
      </w:pPr>
    </w:p>
    <w:p w14:paraId="2B680306" w14:textId="77777777" w:rsidR="00C106DB" w:rsidRPr="006A1683" w:rsidRDefault="00C106DB" w:rsidP="008D1791">
      <w:pPr>
        <w:pStyle w:val="Heading3"/>
      </w:pPr>
      <w:r w:rsidRPr="006A1683">
        <w:t>Anti-Hemophilia Agents</w:t>
      </w:r>
    </w:p>
    <w:p w14:paraId="008C0119" w14:textId="696878FC" w:rsidR="00C106DB" w:rsidRPr="006A1683" w:rsidRDefault="00C106DB" w:rsidP="00447F3D">
      <w:pPr>
        <w:spacing w:after="0"/>
        <w:rPr>
          <w:rFonts w:ascii="Aptos" w:eastAsia="Aptos" w:hAnsi="Aptos" w:cs="Aptos"/>
        </w:rPr>
      </w:pPr>
      <w:r w:rsidRPr="006A1683">
        <w:rPr>
          <w:rFonts w:ascii="Aptos" w:eastAsia="Aptos" w:hAnsi="Aptos" w:cs="Aptos"/>
        </w:rPr>
        <w:t>Effective May 11, 2026,</w:t>
      </w:r>
      <w:r w:rsidR="64FB6E30" w:rsidRPr="006A1683">
        <w:rPr>
          <w:rFonts w:ascii="Aptos" w:eastAsia="Aptos" w:hAnsi="Aptos" w:cs="Aptos"/>
        </w:rPr>
        <w:t xml:space="preserve"> </w:t>
      </w:r>
      <w:proofErr w:type="spellStart"/>
      <w:r w:rsidR="64FB6E30" w:rsidRPr="006A1683">
        <w:rPr>
          <w:rFonts w:ascii="Aptos" w:eastAsia="Aptos" w:hAnsi="Aptos" w:cs="Aptos"/>
        </w:rPr>
        <w:t>Hemlibra</w:t>
      </w:r>
      <w:proofErr w:type="spellEnd"/>
      <w:r w:rsidR="64FB6E30" w:rsidRPr="006A1683">
        <w:rPr>
          <w:rFonts w:ascii="Aptos" w:eastAsia="Aptos" w:hAnsi="Aptos" w:cs="Aptos"/>
        </w:rPr>
        <w:t xml:space="preserve"> </w:t>
      </w:r>
      <w:r w:rsidR="003B014C" w:rsidRPr="006A1683">
        <w:rPr>
          <w:rFonts w:ascii="Aptos" w:eastAsia="Aptos" w:hAnsi="Aptos" w:cs="Aptos"/>
        </w:rPr>
        <w:t xml:space="preserve">(Hemophilia A) </w:t>
      </w:r>
      <w:r w:rsidR="64FB6E30" w:rsidRPr="006A1683">
        <w:rPr>
          <w:rFonts w:ascii="Aptos" w:eastAsia="Aptos" w:hAnsi="Aptos" w:cs="Aptos"/>
        </w:rPr>
        <w:t>will require</w:t>
      </w:r>
      <w:r w:rsidRPr="006A1683">
        <w:rPr>
          <w:rFonts w:ascii="Aptos" w:eastAsia="Aptos" w:hAnsi="Aptos" w:cs="Aptos"/>
        </w:rPr>
        <w:t xml:space="preserve"> PA. </w:t>
      </w:r>
      <w:r w:rsidR="69EE9829" w:rsidRPr="006A1683">
        <w:rPr>
          <w:rFonts w:ascii="Aptos" w:eastAsia="Aptos" w:hAnsi="Aptos" w:cs="Aptos"/>
        </w:rPr>
        <w:t>The clinical</w:t>
      </w:r>
      <w:r w:rsidR="00100FF0" w:rsidRPr="006A1683">
        <w:rPr>
          <w:rFonts w:ascii="Aptos" w:eastAsia="Aptos" w:hAnsi="Aptos" w:cs="Aptos"/>
        </w:rPr>
        <w:t xml:space="preserve"> criteria will </w:t>
      </w:r>
      <w:r w:rsidR="2A0DD107" w:rsidRPr="006A1683">
        <w:rPr>
          <w:rFonts w:ascii="Aptos" w:eastAsia="Aptos" w:hAnsi="Aptos" w:cs="Aptos"/>
        </w:rPr>
        <w:t xml:space="preserve">require documentation of an appropriate </w:t>
      </w:r>
      <w:r w:rsidR="00100FF0" w:rsidRPr="006A1683">
        <w:rPr>
          <w:rFonts w:ascii="Aptos" w:eastAsia="Aptos" w:hAnsi="Aptos" w:cs="Aptos"/>
        </w:rPr>
        <w:t xml:space="preserve">diagnosis, specialist </w:t>
      </w:r>
      <w:r w:rsidR="06001055" w:rsidRPr="006A1683">
        <w:rPr>
          <w:rFonts w:ascii="Aptos" w:eastAsia="Aptos" w:hAnsi="Aptos" w:cs="Aptos"/>
        </w:rPr>
        <w:t>involvement</w:t>
      </w:r>
      <w:r w:rsidR="00100FF0" w:rsidRPr="006A1683">
        <w:rPr>
          <w:rFonts w:ascii="Aptos" w:eastAsia="Aptos" w:hAnsi="Aptos" w:cs="Aptos"/>
        </w:rPr>
        <w:t xml:space="preserve">, </w:t>
      </w:r>
      <w:r w:rsidR="00AF273A" w:rsidRPr="006A1683">
        <w:rPr>
          <w:rFonts w:ascii="Aptos" w:eastAsia="Aptos" w:hAnsi="Aptos" w:cs="Aptos"/>
        </w:rPr>
        <w:t>current weight</w:t>
      </w:r>
      <w:r w:rsidR="4881C95C" w:rsidRPr="006A1683">
        <w:rPr>
          <w:rFonts w:ascii="Aptos" w:eastAsia="Aptos" w:hAnsi="Aptos" w:cs="Aptos"/>
        </w:rPr>
        <w:t xml:space="preserve"> (used to calculate </w:t>
      </w:r>
      <w:r w:rsidR="7BB56F88" w:rsidRPr="006A1683">
        <w:rPr>
          <w:rFonts w:ascii="Aptos" w:eastAsia="Aptos" w:hAnsi="Aptos" w:cs="Aptos"/>
        </w:rPr>
        <w:t>appropriate</w:t>
      </w:r>
      <w:r w:rsidR="4881C95C" w:rsidRPr="006A1683">
        <w:rPr>
          <w:rFonts w:ascii="Aptos" w:eastAsia="Aptos" w:hAnsi="Aptos" w:cs="Aptos"/>
        </w:rPr>
        <w:t xml:space="preserve"> dosing</w:t>
      </w:r>
      <w:r w:rsidR="00ED6F76" w:rsidRPr="006A1683">
        <w:rPr>
          <w:rFonts w:ascii="Aptos" w:eastAsia="Aptos" w:hAnsi="Aptos" w:cs="Aptos"/>
        </w:rPr>
        <w:t>), and</w:t>
      </w:r>
      <w:r w:rsidR="35C414B9" w:rsidRPr="006A1683">
        <w:rPr>
          <w:rFonts w:ascii="Aptos" w:eastAsia="Aptos" w:hAnsi="Aptos" w:cs="Aptos"/>
        </w:rPr>
        <w:t xml:space="preserve"> the member’s b</w:t>
      </w:r>
      <w:r w:rsidR="00AF273A" w:rsidRPr="006A1683">
        <w:rPr>
          <w:rFonts w:ascii="Aptos" w:eastAsia="Aptos" w:hAnsi="Aptos" w:cs="Aptos"/>
        </w:rPr>
        <w:t xml:space="preserve">aseline </w:t>
      </w:r>
      <w:r w:rsidR="00847EB8" w:rsidRPr="006A1683">
        <w:rPr>
          <w:rFonts w:ascii="Aptos" w:eastAsia="Aptos" w:hAnsi="Aptos" w:cs="Aptos"/>
        </w:rPr>
        <w:t xml:space="preserve">annualized bleed rate </w:t>
      </w:r>
      <w:r w:rsidR="00847EB8" w:rsidRPr="006A1683">
        <w:rPr>
          <w:rFonts w:ascii="Aptos" w:eastAsia="Aptos" w:hAnsi="Aptos" w:cs="Aptos"/>
        </w:rPr>
        <w:lastRenderedPageBreak/>
        <w:t>(ABR)</w:t>
      </w:r>
      <w:r w:rsidR="00D433B3" w:rsidRPr="006A1683">
        <w:rPr>
          <w:rFonts w:ascii="Aptos" w:eastAsia="Aptos" w:hAnsi="Aptos" w:cs="Aptos"/>
        </w:rPr>
        <w:t>.</w:t>
      </w:r>
      <w:r w:rsidR="00847EB8" w:rsidRPr="006A1683">
        <w:rPr>
          <w:rFonts w:ascii="Aptos" w:eastAsia="Aptos" w:hAnsi="Aptos" w:cs="Aptos"/>
        </w:rPr>
        <w:t xml:space="preserve"> </w:t>
      </w:r>
      <w:r w:rsidRPr="006A1683">
        <w:rPr>
          <w:rFonts w:ascii="Aptos" w:eastAsia="Aptos" w:hAnsi="Aptos" w:cs="Aptos"/>
        </w:rPr>
        <w:t xml:space="preserve">Members stable on </w:t>
      </w:r>
      <w:proofErr w:type="spellStart"/>
      <w:r w:rsidRPr="006A1683">
        <w:rPr>
          <w:rFonts w:ascii="Aptos" w:eastAsia="Aptos" w:hAnsi="Aptos" w:cs="Aptos"/>
        </w:rPr>
        <w:t>Hemlibra</w:t>
      </w:r>
      <w:proofErr w:type="spellEnd"/>
      <w:r w:rsidRPr="006A1683">
        <w:rPr>
          <w:rFonts w:ascii="Aptos" w:eastAsia="Aptos" w:hAnsi="Aptos" w:cs="Aptos"/>
        </w:rPr>
        <w:t xml:space="preserve"> will require documentation of appropriate dose based</w:t>
      </w:r>
      <w:r w:rsidR="00E31358" w:rsidRPr="006A1683">
        <w:rPr>
          <w:rFonts w:ascii="Aptos" w:eastAsia="Aptos" w:hAnsi="Aptos" w:cs="Aptos"/>
        </w:rPr>
        <w:t xml:space="preserve"> </w:t>
      </w:r>
      <w:r w:rsidRPr="006A1683">
        <w:rPr>
          <w:rFonts w:ascii="Aptos" w:eastAsia="Aptos" w:hAnsi="Aptos" w:cs="Aptos"/>
        </w:rPr>
        <w:t>on member</w:t>
      </w:r>
      <w:r w:rsidR="008E0EA2" w:rsidRPr="006A1683">
        <w:rPr>
          <w:rFonts w:ascii="Aptos" w:eastAsia="Aptos" w:hAnsi="Aptos" w:cs="Aptos"/>
        </w:rPr>
        <w:t>’s current</w:t>
      </w:r>
      <w:r w:rsidRPr="006A1683">
        <w:rPr>
          <w:rFonts w:ascii="Aptos" w:eastAsia="Aptos" w:hAnsi="Aptos" w:cs="Aptos"/>
        </w:rPr>
        <w:t xml:space="preserve"> weight.</w:t>
      </w:r>
    </w:p>
    <w:p w14:paraId="7F2DCA45" w14:textId="77777777" w:rsidR="00C106DB" w:rsidRPr="006A1683" w:rsidRDefault="00C106DB" w:rsidP="00447F3D">
      <w:pPr>
        <w:spacing w:line="276" w:lineRule="auto"/>
        <w:rPr>
          <w:rFonts w:ascii="Aptos" w:eastAsia="Aptos" w:hAnsi="Aptos" w:cs="Aptos"/>
        </w:rPr>
      </w:pPr>
    </w:p>
    <w:p w14:paraId="4901A11D" w14:textId="4DD4838C" w:rsidR="00DD5AC2" w:rsidRPr="006A1683" w:rsidRDefault="64CD5FE5" w:rsidP="008D1791">
      <w:pPr>
        <w:pStyle w:val="Heading3"/>
      </w:pPr>
      <w:r w:rsidRPr="006A1683">
        <w:t>Addition</w:t>
      </w:r>
      <w:r w:rsidR="0EE25FB3" w:rsidRPr="006A1683">
        <w:t>s</w:t>
      </w:r>
      <w:r w:rsidRPr="006A1683">
        <w:t xml:space="preserve"> to the Brand </w:t>
      </w:r>
      <w:r w:rsidR="00E31358" w:rsidRPr="006A1683">
        <w:t xml:space="preserve">Name </w:t>
      </w:r>
      <w:r w:rsidRPr="006A1683">
        <w:t>Preferred over Generic</w:t>
      </w:r>
      <w:r w:rsidR="00E31358" w:rsidRPr="006A1683">
        <w:t xml:space="preserve"> Drug</w:t>
      </w:r>
      <w:r w:rsidRPr="006A1683">
        <w:t xml:space="preserve"> List</w:t>
      </w:r>
    </w:p>
    <w:p w14:paraId="618DE100" w14:textId="44F4920E" w:rsidR="00256044" w:rsidRPr="006A1683" w:rsidRDefault="423DE388" w:rsidP="009E0CD2">
      <w:pPr>
        <w:spacing w:line="240" w:lineRule="auto"/>
        <w:rPr>
          <w:rFonts w:ascii="Arial" w:hAnsi="Arial" w:cs="Arial"/>
          <w:sz w:val="22"/>
          <w:szCs w:val="22"/>
        </w:rPr>
      </w:pPr>
      <w:r w:rsidRPr="006A1683">
        <w:rPr>
          <w:rFonts w:ascii="Arial" w:hAnsi="Arial" w:cs="Arial"/>
          <w:sz w:val="22"/>
          <w:szCs w:val="22"/>
        </w:rPr>
        <w:t>The following brand name medications will need to be dispensed by pharmacies in place of the generic equivalent.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5"/>
        <w:gridCol w:w="4680"/>
      </w:tblGrid>
      <w:tr w:rsidR="00256044" w:rsidRPr="006A1683" w14:paraId="7E3F436C" w14:textId="77777777" w:rsidTr="748B633E">
        <w:tc>
          <w:tcPr>
            <w:tcW w:w="4675" w:type="dxa"/>
            <w:shd w:val="clear" w:color="auto" w:fill="BFBFBF" w:themeFill="background1" w:themeFillShade="BF"/>
          </w:tcPr>
          <w:p w14:paraId="1AFDA826" w14:textId="44A10A68" w:rsidR="00256044" w:rsidRPr="006A1683" w:rsidRDefault="002560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16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Brand </w:t>
            </w:r>
          </w:p>
        </w:tc>
        <w:tc>
          <w:tcPr>
            <w:tcW w:w="4680" w:type="dxa"/>
            <w:shd w:val="clear" w:color="auto" w:fill="BFBFBF" w:themeFill="background1" w:themeFillShade="BF"/>
          </w:tcPr>
          <w:p w14:paraId="102889E8" w14:textId="1FE91721" w:rsidR="00256044" w:rsidRPr="006A1683" w:rsidRDefault="002560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16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Generic </w:t>
            </w:r>
          </w:p>
        </w:tc>
      </w:tr>
      <w:tr w:rsidR="00256044" w:rsidRPr="006A1683" w14:paraId="0651BD4F" w14:textId="77777777" w:rsidTr="748B633E">
        <w:tc>
          <w:tcPr>
            <w:tcW w:w="4675" w:type="dxa"/>
          </w:tcPr>
          <w:p w14:paraId="5C0A84A3" w14:textId="3994C14B" w:rsidR="00256044" w:rsidRPr="006A1683" w:rsidRDefault="00EB5182">
            <w:pPr>
              <w:rPr>
                <w:rFonts w:ascii="Arial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sz w:val="22"/>
                <w:szCs w:val="22"/>
              </w:rPr>
              <w:t>Besivance</w:t>
            </w:r>
          </w:p>
        </w:tc>
        <w:tc>
          <w:tcPr>
            <w:tcW w:w="4680" w:type="dxa"/>
          </w:tcPr>
          <w:p w14:paraId="1A8F4B8A" w14:textId="255896FC" w:rsidR="00256044" w:rsidRPr="006A1683" w:rsidRDefault="00775B35">
            <w:pPr>
              <w:rPr>
                <w:rFonts w:ascii="Arial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sz w:val="22"/>
                <w:szCs w:val="22"/>
              </w:rPr>
              <w:t>besifloxacin ophthalmic suspension</w:t>
            </w:r>
          </w:p>
        </w:tc>
      </w:tr>
      <w:tr w:rsidR="00D96419" w:rsidRPr="006A1683" w14:paraId="1D6BD572" w14:textId="77777777" w:rsidTr="748B633E">
        <w:tc>
          <w:tcPr>
            <w:tcW w:w="4675" w:type="dxa"/>
          </w:tcPr>
          <w:p w14:paraId="122D8CF2" w14:textId="1EA1F155" w:rsidR="00D96419" w:rsidRPr="006A1683" w:rsidRDefault="00D96419">
            <w:pPr>
              <w:rPr>
                <w:rFonts w:ascii="Arial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sz w:val="22"/>
                <w:szCs w:val="22"/>
              </w:rPr>
              <w:t>Eliqui</w:t>
            </w:r>
            <w:r w:rsidR="00E275E6" w:rsidRPr="006A1683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4680" w:type="dxa"/>
          </w:tcPr>
          <w:p w14:paraId="7884E5AB" w14:textId="5285D8C5" w:rsidR="00D96419" w:rsidRPr="006A1683" w:rsidRDefault="00ED6F76">
            <w:pPr>
              <w:rPr>
                <w:rFonts w:ascii="Arial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sz w:val="22"/>
                <w:szCs w:val="22"/>
              </w:rPr>
              <w:t>a</w:t>
            </w:r>
            <w:r w:rsidR="00E275E6" w:rsidRPr="006A1683">
              <w:rPr>
                <w:rFonts w:ascii="Arial" w:hAnsi="Arial" w:cs="Arial"/>
                <w:sz w:val="22"/>
                <w:szCs w:val="22"/>
              </w:rPr>
              <w:t>pixaban sprinkle capsule, tablet for oral suspension</w:t>
            </w:r>
          </w:p>
        </w:tc>
      </w:tr>
      <w:tr w:rsidR="00256044" w:rsidRPr="006A1683" w14:paraId="5AFF3C4E" w14:textId="77777777" w:rsidTr="748B633E">
        <w:tc>
          <w:tcPr>
            <w:tcW w:w="4675" w:type="dxa"/>
          </w:tcPr>
          <w:p w14:paraId="08D840D1" w14:textId="6A7B2D84" w:rsidR="00256044" w:rsidRPr="006A1683" w:rsidRDefault="005D01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A1683">
              <w:rPr>
                <w:rFonts w:ascii="Arial" w:hAnsi="Arial" w:cs="Arial"/>
                <w:sz w:val="22"/>
                <w:szCs w:val="21"/>
              </w:rPr>
              <w:t>Zylet</w:t>
            </w:r>
            <w:proofErr w:type="spellEnd"/>
          </w:p>
        </w:tc>
        <w:tc>
          <w:tcPr>
            <w:tcW w:w="4680" w:type="dxa"/>
          </w:tcPr>
          <w:p w14:paraId="6B3B3F7B" w14:textId="183D4D5E" w:rsidR="00256044" w:rsidRPr="006A1683" w:rsidRDefault="00DE4AE2">
            <w:pPr>
              <w:rPr>
                <w:rFonts w:ascii="Arial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sz w:val="22"/>
                <w:szCs w:val="21"/>
              </w:rPr>
              <w:t>tobramycin/loteprednol ophthalmic suspension</w:t>
            </w:r>
          </w:p>
        </w:tc>
      </w:tr>
    </w:tbl>
    <w:p w14:paraId="28F283F5" w14:textId="77777777" w:rsidR="00256044" w:rsidRPr="006A1683" w:rsidRDefault="00256044" w:rsidP="009E0CD2">
      <w:pPr>
        <w:spacing w:after="0"/>
        <w:rPr>
          <w:rFonts w:ascii="Arial" w:hAnsi="Arial" w:cs="Arial"/>
          <w:sz w:val="22"/>
          <w:szCs w:val="22"/>
        </w:rPr>
      </w:pPr>
    </w:p>
    <w:p w14:paraId="21EB2018" w14:textId="206AF99A" w:rsidR="00DD5AC2" w:rsidRPr="006A1683" w:rsidRDefault="64CD5FE5" w:rsidP="008D1791">
      <w:pPr>
        <w:pStyle w:val="Heading3"/>
      </w:pPr>
      <w:r w:rsidRPr="006A1683">
        <w:t>Removal</w:t>
      </w:r>
      <w:r w:rsidR="4AD7F7CB" w:rsidRPr="006A1683">
        <w:t>s</w:t>
      </w:r>
      <w:r w:rsidRPr="006A1683">
        <w:t xml:space="preserve"> from the Brand </w:t>
      </w:r>
      <w:r w:rsidR="00E31358" w:rsidRPr="006A1683">
        <w:t xml:space="preserve">Name </w:t>
      </w:r>
      <w:r w:rsidRPr="006A1683">
        <w:t xml:space="preserve">Preferred over Generic </w:t>
      </w:r>
      <w:r w:rsidR="00E31358" w:rsidRPr="006A1683">
        <w:t xml:space="preserve">Drug </w:t>
      </w:r>
      <w:r w:rsidRPr="006A1683">
        <w:t>List</w:t>
      </w:r>
    </w:p>
    <w:p w14:paraId="7ABD0A78" w14:textId="5824F04E" w:rsidR="00256044" w:rsidRPr="006A1683" w:rsidRDefault="423DE388" w:rsidP="009E0CD2">
      <w:pPr>
        <w:spacing w:line="240" w:lineRule="auto"/>
        <w:rPr>
          <w:rFonts w:ascii="Arial" w:hAnsi="Arial" w:cs="Arial"/>
          <w:sz w:val="22"/>
          <w:szCs w:val="22"/>
        </w:rPr>
      </w:pPr>
      <w:r w:rsidRPr="006A1683">
        <w:rPr>
          <w:rFonts w:ascii="Arial" w:hAnsi="Arial" w:cs="Arial"/>
          <w:sz w:val="22"/>
          <w:szCs w:val="22"/>
        </w:rPr>
        <w:t>The following brand</w:t>
      </w:r>
      <w:r w:rsidR="00E31358" w:rsidRPr="006A1683">
        <w:rPr>
          <w:rFonts w:ascii="Arial" w:hAnsi="Arial" w:cs="Arial"/>
          <w:sz w:val="22"/>
          <w:szCs w:val="22"/>
        </w:rPr>
        <w:t>-</w:t>
      </w:r>
      <w:r w:rsidRPr="006A1683">
        <w:rPr>
          <w:rFonts w:ascii="Arial" w:hAnsi="Arial" w:cs="Arial"/>
          <w:sz w:val="22"/>
          <w:szCs w:val="22"/>
        </w:rPr>
        <w:t xml:space="preserve">name medications will no longer need to be dispensed by pharmacies in place of the generic. Pharmacies will be required to </w:t>
      </w:r>
      <w:r w:rsidR="64CD5FE5" w:rsidRPr="006A1683">
        <w:rPr>
          <w:rFonts w:ascii="Arial" w:hAnsi="Arial" w:cs="Arial"/>
          <w:sz w:val="22"/>
          <w:szCs w:val="22"/>
        </w:rPr>
        <w:t xml:space="preserve">dispense </w:t>
      </w:r>
      <w:r w:rsidRPr="006A1683">
        <w:rPr>
          <w:rFonts w:ascii="Arial" w:hAnsi="Arial" w:cs="Arial"/>
          <w:sz w:val="22"/>
          <w:szCs w:val="22"/>
        </w:rPr>
        <w:t xml:space="preserve">the generic or biosimilar unless a </w:t>
      </w:r>
      <w:r w:rsidR="44C8BD18" w:rsidRPr="006A1683">
        <w:rPr>
          <w:rFonts w:ascii="Arial" w:hAnsi="Arial" w:cs="Arial"/>
          <w:sz w:val="22"/>
          <w:szCs w:val="22"/>
        </w:rPr>
        <w:t xml:space="preserve">PA </w:t>
      </w:r>
      <w:r w:rsidRPr="006A1683">
        <w:rPr>
          <w:rFonts w:ascii="Arial" w:hAnsi="Arial" w:cs="Arial"/>
          <w:sz w:val="22"/>
          <w:szCs w:val="22"/>
        </w:rPr>
        <w:t>is on file for the brand</w:t>
      </w:r>
      <w:r w:rsidR="00E31358" w:rsidRPr="006A1683">
        <w:rPr>
          <w:rFonts w:ascii="Arial" w:hAnsi="Arial" w:cs="Arial"/>
          <w:sz w:val="22"/>
          <w:szCs w:val="22"/>
        </w:rPr>
        <w:t>-</w:t>
      </w:r>
      <w:r w:rsidRPr="006A1683">
        <w:rPr>
          <w:rFonts w:ascii="Arial" w:hAnsi="Arial" w:cs="Arial"/>
          <w:sz w:val="22"/>
          <w:szCs w:val="22"/>
        </w:rPr>
        <w:t>name product.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56044" w:rsidRPr="006A1683" w14:paraId="6D32B313" w14:textId="77777777" w:rsidTr="49B452FB">
        <w:tc>
          <w:tcPr>
            <w:tcW w:w="4675" w:type="dxa"/>
            <w:shd w:val="clear" w:color="auto" w:fill="BFBFBF" w:themeFill="background1" w:themeFillShade="BF"/>
          </w:tcPr>
          <w:p w14:paraId="41478DD6" w14:textId="6BAE7C72" w:rsidR="00256044" w:rsidRPr="006A1683" w:rsidRDefault="002560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16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Brand 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7119287A" w14:textId="4C290E40" w:rsidR="00256044" w:rsidRPr="006A1683" w:rsidRDefault="002560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16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Generic/Biosimilar </w:t>
            </w:r>
          </w:p>
        </w:tc>
      </w:tr>
      <w:tr w:rsidR="00256044" w:rsidRPr="006A1683" w14:paraId="1DEE922F" w14:textId="77777777" w:rsidTr="49B452FB">
        <w:tc>
          <w:tcPr>
            <w:tcW w:w="4675" w:type="dxa"/>
          </w:tcPr>
          <w:p w14:paraId="4D0CC953" w14:textId="7DDF4465" w:rsidR="00256044" w:rsidRPr="006A1683" w:rsidRDefault="477D4E9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A1683">
              <w:rPr>
                <w:rFonts w:ascii="Arial" w:hAnsi="Arial" w:cs="Arial"/>
                <w:color w:val="000000" w:themeColor="text1"/>
              </w:rPr>
              <w:t>Sporanox</w:t>
            </w:r>
            <w:proofErr w:type="spellEnd"/>
          </w:p>
        </w:tc>
        <w:tc>
          <w:tcPr>
            <w:tcW w:w="4675" w:type="dxa"/>
          </w:tcPr>
          <w:p w14:paraId="7E9464DE" w14:textId="7FBF7B5B" w:rsidR="00256044" w:rsidRPr="006A1683" w:rsidRDefault="4912BAEE">
            <w:pPr>
              <w:rPr>
                <w:rFonts w:ascii="Arial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color w:val="000000" w:themeColor="text1"/>
              </w:rPr>
              <w:t>itraconazole 100 mg capsule</w:t>
            </w:r>
          </w:p>
        </w:tc>
      </w:tr>
    </w:tbl>
    <w:p w14:paraId="60905F5E" w14:textId="77777777" w:rsidR="00256044" w:rsidRPr="006A1683" w:rsidRDefault="00256044" w:rsidP="009E0CD2">
      <w:pPr>
        <w:spacing w:after="0"/>
        <w:rPr>
          <w:rFonts w:ascii="Arial" w:hAnsi="Arial" w:cs="Arial"/>
          <w:sz w:val="22"/>
          <w:szCs w:val="22"/>
        </w:rPr>
      </w:pPr>
    </w:p>
    <w:p w14:paraId="1DA7765D" w14:textId="3E9247BC" w:rsidR="00256044" w:rsidRPr="006A1683" w:rsidRDefault="00256044" w:rsidP="009E0CD2">
      <w:pPr>
        <w:spacing w:line="240" w:lineRule="auto"/>
        <w:rPr>
          <w:rFonts w:ascii="Arial" w:hAnsi="Arial" w:cs="Arial"/>
          <w:sz w:val="22"/>
          <w:szCs w:val="22"/>
        </w:rPr>
      </w:pPr>
      <w:r w:rsidRPr="006A1683">
        <w:rPr>
          <w:rFonts w:ascii="Arial" w:hAnsi="Arial" w:cs="Arial"/>
          <w:sz w:val="22"/>
          <w:szCs w:val="22"/>
        </w:rPr>
        <w:t>The 90-day initiative has been updated to reflect</w:t>
      </w:r>
      <w:r w:rsidR="00DD5AC2" w:rsidRPr="006A1683">
        <w:rPr>
          <w:rFonts w:ascii="Arial" w:hAnsi="Arial" w:cs="Arial"/>
          <w:sz w:val="22"/>
          <w:szCs w:val="22"/>
        </w:rPr>
        <w:t xml:space="preserve"> the following</w:t>
      </w:r>
      <w:r w:rsidRPr="006A1683">
        <w:rPr>
          <w:rFonts w:ascii="Arial" w:hAnsi="Arial" w:cs="Arial"/>
          <w:sz w:val="22"/>
          <w:szCs w:val="22"/>
        </w:rPr>
        <w:t xml:space="preserve"> recent changes to </w:t>
      </w:r>
      <w:r w:rsidR="009E0CD2" w:rsidRPr="006A1683">
        <w:rPr>
          <w:rFonts w:ascii="Arial" w:hAnsi="Arial" w:cs="Arial"/>
          <w:sz w:val="22"/>
          <w:szCs w:val="22"/>
        </w:rPr>
        <w:t>the MHDL</w:t>
      </w:r>
      <w:r w:rsidR="00DD5AC2" w:rsidRPr="006A1683">
        <w:rPr>
          <w:rFonts w:ascii="Arial" w:hAnsi="Arial" w:cs="Arial"/>
          <w:sz w:val="22"/>
          <w:szCs w:val="22"/>
        </w:rPr>
        <w:t>.</w:t>
      </w:r>
      <w:r w:rsidR="009E0CD2" w:rsidRPr="006A1683">
        <w:rPr>
          <w:rFonts w:ascii="Arial" w:hAnsi="Arial" w:cs="Arial"/>
          <w:sz w:val="22"/>
          <w:szCs w:val="22"/>
        </w:rPr>
        <w:t xml:space="preserve"> </w:t>
      </w:r>
      <w:r w:rsidRPr="006A1683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5"/>
        <w:gridCol w:w="4680"/>
      </w:tblGrid>
      <w:tr w:rsidR="00256044" w:rsidRPr="006A1683" w14:paraId="73393BAA" w14:textId="77777777" w:rsidTr="382F26DC">
        <w:tc>
          <w:tcPr>
            <w:tcW w:w="4675" w:type="dxa"/>
            <w:shd w:val="clear" w:color="auto" w:fill="BFBFBF" w:themeFill="background1" w:themeFillShade="BF"/>
          </w:tcPr>
          <w:p w14:paraId="3C747FC3" w14:textId="77777777" w:rsidR="00256044" w:rsidRPr="006A1683" w:rsidRDefault="002560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1683">
              <w:rPr>
                <w:rFonts w:ascii="Arial" w:hAnsi="Arial" w:cs="Arial"/>
                <w:b/>
                <w:bCs/>
                <w:sz w:val="22"/>
                <w:szCs w:val="22"/>
              </w:rPr>
              <w:t>Drug Name</w:t>
            </w:r>
          </w:p>
        </w:tc>
        <w:tc>
          <w:tcPr>
            <w:tcW w:w="4680" w:type="dxa"/>
            <w:shd w:val="clear" w:color="auto" w:fill="BFBFBF" w:themeFill="background1" w:themeFillShade="BF"/>
          </w:tcPr>
          <w:p w14:paraId="5C563B99" w14:textId="77777777" w:rsidR="00256044" w:rsidRPr="006A1683" w:rsidRDefault="002560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1683">
              <w:rPr>
                <w:rFonts w:ascii="Arial" w:hAnsi="Arial" w:cs="Arial"/>
                <w:b/>
                <w:bCs/>
                <w:sz w:val="22"/>
                <w:szCs w:val="22"/>
              </w:rPr>
              <w:t>Updates</w:t>
            </w:r>
          </w:p>
        </w:tc>
      </w:tr>
      <w:tr w:rsidR="49B452FB" w:rsidRPr="006A1683" w14:paraId="58E3C52F" w14:textId="77777777" w:rsidTr="382F26DC">
        <w:trPr>
          <w:trHeight w:val="300"/>
        </w:trPr>
        <w:tc>
          <w:tcPr>
            <w:tcW w:w="4675" w:type="dxa"/>
          </w:tcPr>
          <w:p w14:paraId="60DED8DB" w14:textId="7789D686" w:rsidR="300D8E3C" w:rsidRPr="006A1683" w:rsidRDefault="300D8E3C" w:rsidP="49B452FB">
            <w:pPr>
              <w:rPr>
                <w:rFonts w:ascii="Arial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sz w:val="22"/>
                <w:szCs w:val="22"/>
              </w:rPr>
              <w:t>Atrovent HFA</w:t>
            </w:r>
            <w:r w:rsidR="43AEFA7E" w:rsidRPr="006A1683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43AEFA7E" w:rsidRPr="006A1683">
              <w:rPr>
                <w:rFonts w:ascii="Arial" w:eastAsia="Arial" w:hAnsi="Arial" w:cs="Arial"/>
                <w:sz w:val="22"/>
                <w:szCs w:val="22"/>
              </w:rPr>
              <w:t>ipratropium inhalation aerosol)</w:t>
            </w:r>
          </w:p>
        </w:tc>
        <w:tc>
          <w:tcPr>
            <w:tcW w:w="4680" w:type="dxa"/>
          </w:tcPr>
          <w:p w14:paraId="4CF8716C" w14:textId="236DDDCE" w:rsidR="5CAC7564" w:rsidRPr="006A1683" w:rsidRDefault="5CAC7564" w:rsidP="49B452FB">
            <w:pPr>
              <w:rPr>
                <w:rFonts w:ascii="Arial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sz w:val="22"/>
                <w:szCs w:val="22"/>
              </w:rPr>
              <w:t>Added to allowable 90 day-supply list (A90)</w:t>
            </w:r>
          </w:p>
        </w:tc>
      </w:tr>
      <w:tr w:rsidR="00256044" w:rsidRPr="006A1683" w14:paraId="1AB199FB" w14:textId="77777777" w:rsidTr="382F26DC">
        <w:tc>
          <w:tcPr>
            <w:tcW w:w="4675" w:type="dxa"/>
          </w:tcPr>
          <w:p w14:paraId="75B2D5DA" w14:textId="2286B5B3" w:rsidR="00256044" w:rsidRPr="006A1683" w:rsidRDefault="0026373F">
            <w:pPr>
              <w:rPr>
                <w:rFonts w:ascii="Arial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sz w:val="22"/>
                <w:szCs w:val="22"/>
              </w:rPr>
              <w:t>melatonin</w:t>
            </w:r>
          </w:p>
        </w:tc>
        <w:tc>
          <w:tcPr>
            <w:tcW w:w="4680" w:type="dxa"/>
          </w:tcPr>
          <w:p w14:paraId="68C2F804" w14:textId="4E253197" w:rsidR="00256044" w:rsidRPr="006A1683" w:rsidRDefault="00256044">
            <w:pPr>
              <w:rPr>
                <w:rFonts w:ascii="Arial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sz w:val="22"/>
                <w:szCs w:val="22"/>
              </w:rPr>
              <w:t>Added to mandatory 90 day-supply list (M90)</w:t>
            </w:r>
          </w:p>
        </w:tc>
      </w:tr>
      <w:tr w:rsidR="382F26DC" w:rsidRPr="006A1683" w14:paraId="57B745B7" w14:textId="77777777" w:rsidTr="382F26DC">
        <w:trPr>
          <w:trHeight w:val="300"/>
        </w:trPr>
        <w:tc>
          <w:tcPr>
            <w:tcW w:w="4675" w:type="dxa"/>
          </w:tcPr>
          <w:p w14:paraId="3C48502E" w14:textId="13786E6B" w:rsidR="05A34C7A" w:rsidRPr="006A1683" w:rsidRDefault="05A34C7A" w:rsidP="382F26DC">
            <w:proofErr w:type="spellStart"/>
            <w:r w:rsidRPr="006A1683">
              <w:rPr>
                <w:rFonts w:ascii="Arial" w:eastAsia="Arial" w:hAnsi="Arial" w:cs="Arial"/>
                <w:sz w:val="22"/>
                <w:szCs w:val="22"/>
              </w:rPr>
              <w:t>Ofev</w:t>
            </w:r>
            <w:proofErr w:type="spellEnd"/>
            <w:r w:rsidRPr="006A1683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proofErr w:type="spellStart"/>
            <w:r w:rsidRPr="006A1683">
              <w:rPr>
                <w:rFonts w:ascii="Arial" w:eastAsia="Arial" w:hAnsi="Arial" w:cs="Arial"/>
                <w:sz w:val="22"/>
                <w:szCs w:val="22"/>
              </w:rPr>
              <w:t>nintedanib</w:t>
            </w:r>
            <w:proofErr w:type="spellEnd"/>
            <w:r w:rsidRPr="006A1683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4680" w:type="dxa"/>
          </w:tcPr>
          <w:p w14:paraId="3A6755A0" w14:textId="1E36ACC1" w:rsidR="05A34C7A" w:rsidRPr="006A1683" w:rsidRDefault="05A34C7A" w:rsidP="382F26DC">
            <w:pPr>
              <w:rPr>
                <w:rFonts w:ascii="Arial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sz w:val="22"/>
                <w:szCs w:val="22"/>
              </w:rPr>
              <w:t>Added to allowable 90 day-supply list (A90)</w:t>
            </w:r>
          </w:p>
        </w:tc>
      </w:tr>
      <w:tr w:rsidR="49B452FB" w:rsidRPr="006A1683" w14:paraId="4D772609" w14:textId="77777777" w:rsidTr="382F26DC">
        <w:trPr>
          <w:trHeight w:val="300"/>
        </w:trPr>
        <w:tc>
          <w:tcPr>
            <w:tcW w:w="4675" w:type="dxa"/>
          </w:tcPr>
          <w:p w14:paraId="76E0F413" w14:textId="3D7BBEA1" w:rsidR="59AF3039" w:rsidRPr="006A1683" w:rsidRDefault="59AF3039" w:rsidP="49B452FB">
            <w:pPr>
              <w:rPr>
                <w:rFonts w:ascii="Arial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sz w:val="22"/>
                <w:szCs w:val="22"/>
              </w:rPr>
              <w:t>Savella</w:t>
            </w:r>
            <w:r w:rsidR="1964DBCE" w:rsidRPr="006A1683">
              <w:rPr>
                <w:rFonts w:ascii="Arial" w:eastAsia="Arial" w:hAnsi="Arial" w:cs="Arial"/>
                <w:sz w:val="22"/>
                <w:szCs w:val="22"/>
              </w:rPr>
              <w:t xml:space="preserve"> (milnacipran)</w:t>
            </w:r>
          </w:p>
        </w:tc>
        <w:tc>
          <w:tcPr>
            <w:tcW w:w="4680" w:type="dxa"/>
          </w:tcPr>
          <w:p w14:paraId="6109BEDF" w14:textId="7FD15D5C" w:rsidR="1964DBCE" w:rsidRPr="006A1683" w:rsidRDefault="1964DBCE" w:rsidP="49B452FB">
            <w:pPr>
              <w:rPr>
                <w:rFonts w:ascii="Arial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sz w:val="22"/>
                <w:szCs w:val="22"/>
              </w:rPr>
              <w:t>Added to allowable 90 day-supply list (A90)</w:t>
            </w:r>
          </w:p>
        </w:tc>
      </w:tr>
      <w:tr w:rsidR="49B452FB" w:rsidRPr="006A1683" w14:paraId="4BA4E503" w14:textId="77777777" w:rsidTr="382F26DC">
        <w:trPr>
          <w:trHeight w:val="300"/>
        </w:trPr>
        <w:tc>
          <w:tcPr>
            <w:tcW w:w="4675" w:type="dxa"/>
          </w:tcPr>
          <w:p w14:paraId="2F60EFA2" w14:textId="697AB276" w:rsidR="1964DBCE" w:rsidRPr="006A1683" w:rsidRDefault="1964DBCE" w:rsidP="49B452FB">
            <w:proofErr w:type="spellStart"/>
            <w:r w:rsidRPr="006A1683">
              <w:rPr>
                <w:rFonts w:ascii="Arial" w:eastAsia="Arial" w:hAnsi="Arial" w:cs="Arial"/>
                <w:sz w:val="22"/>
                <w:szCs w:val="22"/>
              </w:rPr>
              <w:t>Ultravate</w:t>
            </w:r>
            <w:proofErr w:type="spellEnd"/>
            <w:r w:rsidRPr="006A1683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proofErr w:type="spellStart"/>
            <w:r w:rsidRPr="006A1683">
              <w:rPr>
                <w:rFonts w:ascii="Arial" w:eastAsia="Arial" w:hAnsi="Arial" w:cs="Arial"/>
                <w:sz w:val="22"/>
                <w:szCs w:val="22"/>
              </w:rPr>
              <w:t>halobetasol</w:t>
            </w:r>
            <w:proofErr w:type="spellEnd"/>
            <w:r w:rsidRPr="006A1683">
              <w:rPr>
                <w:rFonts w:ascii="Arial" w:eastAsia="Arial" w:hAnsi="Arial" w:cs="Arial"/>
                <w:sz w:val="22"/>
                <w:szCs w:val="22"/>
              </w:rPr>
              <w:t xml:space="preserve"> lotion)</w:t>
            </w:r>
          </w:p>
        </w:tc>
        <w:tc>
          <w:tcPr>
            <w:tcW w:w="4680" w:type="dxa"/>
          </w:tcPr>
          <w:p w14:paraId="4FE1E934" w14:textId="553F86D9" w:rsidR="1964DBCE" w:rsidRPr="006A1683" w:rsidRDefault="1964DBCE" w:rsidP="49B452FB">
            <w:pPr>
              <w:rPr>
                <w:rFonts w:ascii="Arial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sz w:val="22"/>
                <w:szCs w:val="22"/>
              </w:rPr>
              <w:t>Added to allowable 90 day-supply list (A90)</w:t>
            </w:r>
          </w:p>
        </w:tc>
      </w:tr>
      <w:tr w:rsidR="382F26DC" w:rsidRPr="006A1683" w14:paraId="1C1670C7" w14:textId="77777777" w:rsidTr="382F26DC">
        <w:trPr>
          <w:trHeight w:val="300"/>
        </w:trPr>
        <w:tc>
          <w:tcPr>
            <w:tcW w:w="4675" w:type="dxa"/>
          </w:tcPr>
          <w:p w14:paraId="7314A7E9" w14:textId="7D778429" w:rsidR="46AFEB1B" w:rsidRPr="006A1683" w:rsidRDefault="46AFEB1B" w:rsidP="382F26DC">
            <w:r w:rsidRPr="006A168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dihydroergotamine nasal spray</w:t>
            </w:r>
          </w:p>
        </w:tc>
        <w:tc>
          <w:tcPr>
            <w:tcW w:w="4680" w:type="dxa"/>
          </w:tcPr>
          <w:p w14:paraId="5FB8DC11" w14:textId="29E72329" w:rsidR="46AFEB1B" w:rsidRPr="006A1683" w:rsidRDefault="46AFEB1B" w:rsidP="382F26DC">
            <w:pPr>
              <w:rPr>
                <w:rFonts w:ascii="Arial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sz w:val="22"/>
                <w:szCs w:val="22"/>
              </w:rPr>
              <w:t>Removed from the 90-day supply list</w:t>
            </w:r>
          </w:p>
        </w:tc>
      </w:tr>
      <w:tr w:rsidR="382F26DC" w:rsidRPr="006A1683" w14:paraId="178B6F08" w14:textId="77777777" w:rsidTr="382F26DC">
        <w:trPr>
          <w:trHeight w:val="300"/>
        </w:trPr>
        <w:tc>
          <w:tcPr>
            <w:tcW w:w="4675" w:type="dxa"/>
          </w:tcPr>
          <w:p w14:paraId="44528ABC" w14:textId="5F5935B6" w:rsidR="46AFEB1B" w:rsidRPr="006A1683" w:rsidRDefault="46AFEB1B" w:rsidP="382F26DC">
            <w:r w:rsidRPr="006A168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ergotamine/caffeine suppository</w:t>
            </w:r>
          </w:p>
        </w:tc>
        <w:tc>
          <w:tcPr>
            <w:tcW w:w="4680" w:type="dxa"/>
          </w:tcPr>
          <w:p w14:paraId="58B450BB" w14:textId="1A8C76C5" w:rsidR="46AFEB1B" w:rsidRPr="006A1683" w:rsidRDefault="46AFEB1B" w:rsidP="382F26DC">
            <w:pPr>
              <w:rPr>
                <w:rFonts w:ascii="Arial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sz w:val="22"/>
                <w:szCs w:val="22"/>
              </w:rPr>
              <w:t>Removed from the 90-day supply list</w:t>
            </w:r>
          </w:p>
        </w:tc>
      </w:tr>
      <w:tr w:rsidR="49B452FB" w:rsidRPr="006A1683" w14:paraId="1522B39E" w14:textId="77777777" w:rsidTr="382F26DC">
        <w:trPr>
          <w:trHeight w:val="300"/>
        </w:trPr>
        <w:tc>
          <w:tcPr>
            <w:tcW w:w="4675" w:type="dxa"/>
          </w:tcPr>
          <w:p w14:paraId="0AEB6C48" w14:textId="4E067376" w:rsidR="1964DBCE" w:rsidRPr="006A1683" w:rsidRDefault="1964DBCE" w:rsidP="49B452FB">
            <w:proofErr w:type="spellStart"/>
            <w:r w:rsidRPr="006A168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Golytely</w:t>
            </w:r>
            <w:proofErr w:type="spellEnd"/>
            <w:r w:rsidRPr="006A168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(polyethylene glycol-electrolyte solution)</w:t>
            </w:r>
          </w:p>
        </w:tc>
        <w:tc>
          <w:tcPr>
            <w:tcW w:w="4680" w:type="dxa"/>
          </w:tcPr>
          <w:p w14:paraId="5790294A" w14:textId="7EA68270" w:rsidR="1964DBCE" w:rsidRPr="006A1683" w:rsidRDefault="1964DBCE" w:rsidP="49B452FB">
            <w:pPr>
              <w:rPr>
                <w:rFonts w:ascii="Arial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sz w:val="22"/>
                <w:szCs w:val="22"/>
              </w:rPr>
              <w:t>Removed from the 90-day supply list</w:t>
            </w:r>
          </w:p>
        </w:tc>
      </w:tr>
      <w:tr w:rsidR="00256044" w:rsidRPr="006A1683" w14:paraId="69B5F3CE" w14:textId="77777777" w:rsidTr="382F26DC">
        <w:tc>
          <w:tcPr>
            <w:tcW w:w="4675" w:type="dxa"/>
          </w:tcPr>
          <w:p w14:paraId="2A6CF492" w14:textId="6CB84D92" w:rsidR="00256044" w:rsidRPr="006A1683" w:rsidRDefault="00915364">
            <w:pPr>
              <w:rPr>
                <w:rFonts w:ascii="Arial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sz w:val="22"/>
                <w:szCs w:val="21"/>
              </w:rPr>
              <w:t>palonosetron 0.25 mg/2 mL injection</w:t>
            </w:r>
          </w:p>
        </w:tc>
        <w:tc>
          <w:tcPr>
            <w:tcW w:w="4680" w:type="dxa"/>
          </w:tcPr>
          <w:p w14:paraId="30EF5C55" w14:textId="0CD6D928" w:rsidR="00256044" w:rsidRPr="006A1683" w:rsidRDefault="009E0CD2">
            <w:pPr>
              <w:rPr>
                <w:rFonts w:ascii="Arial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sz w:val="22"/>
                <w:szCs w:val="22"/>
              </w:rPr>
              <w:t>Removed from the 90-day supply list</w:t>
            </w:r>
          </w:p>
        </w:tc>
      </w:tr>
      <w:tr w:rsidR="49B452FB" w:rsidRPr="006A1683" w14:paraId="7EC55F8A" w14:textId="77777777" w:rsidTr="382F26DC">
        <w:trPr>
          <w:trHeight w:val="300"/>
        </w:trPr>
        <w:tc>
          <w:tcPr>
            <w:tcW w:w="4675" w:type="dxa"/>
          </w:tcPr>
          <w:p w14:paraId="2B0F4D33" w14:textId="356FEE50" w:rsidR="74FA5863" w:rsidRPr="006A1683" w:rsidRDefault="74FA5863" w:rsidP="49B452FB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polyethylene glycol-electrolyte solution</w:t>
            </w:r>
          </w:p>
        </w:tc>
        <w:tc>
          <w:tcPr>
            <w:tcW w:w="4680" w:type="dxa"/>
          </w:tcPr>
          <w:p w14:paraId="17C97C55" w14:textId="3F3E6201" w:rsidR="74FA5863" w:rsidRPr="006A1683" w:rsidRDefault="74FA5863" w:rsidP="49B452FB">
            <w:pPr>
              <w:rPr>
                <w:rFonts w:ascii="Arial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sz w:val="22"/>
                <w:szCs w:val="22"/>
              </w:rPr>
              <w:t>Removed from the 90-day supply list</w:t>
            </w:r>
          </w:p>
        </w:tc>
      </w:tr>
      <w:tr w:rsidR="49B452FB" w:rsidRPr="006A1683" w14:paraId="2028076F" w14:textId="77777777" w:rsidTr="382F26DC">
        <w:trPr>
          <w:trHeight w:val="300"/>
        </w:trPr>
        <w:tc>
          <w:tcPr>
            <w:tcW w:w="4675" w:type="dxa"/>
          </w:tcPr>
          <w:p w14:paraId="65A003EA" w14:textId="18D9078E" w:rsidR="74FA5863" w:rsidRPr="006A1683" w:rsidRDefault="74FA5863" w:rsidP="49B452FB">
            <w:proofErr w:type="spellStart"/>
            <w:r w:rsidRPr="006A1683">
              <w:rPr>
                <w:rFonts w:ascii="Arial" w:eastAsia="Arial" w:hAnsi="Arial" w:cs="Arial"/>
                <w:sz w:val="22"/>
                <w:szCs w:val="22"/>
              </w:rPr>
              <w:t>Suprep</w:t>
            </w:r>
            <w:proofErr w:type="spellEnd"/>
            <w:r w:rsidRPr="006A1683">
              <w:rPr>
                <w:rFonts w:ascii="Arial" w:eastAsia="Arial" w:hAnsi="Arial" w:cs="Arial"/>
                <w:sz w:val="22"/>
                <w:szCs w:val="22"/>
              </w:rPr>
              <w:t xml:space="preserve"> (sodium sulfate/potassium sulfate/magnesium sulfate)</w:t>
            </w:r>
          </w:p>
        </w:tc>
        <w:tc>
          <w:tcPr>
            <w:tcW w:w="4680" w:type="dxa"/>
          </w:tcPr>
          <w:p w14:paraId="3416C236" w14:textId="2CAFB7F5" w:rsidR="74FA5863" w:rsidRPr="006A1683" w:rsidRDefault="74FA5863" w:rsidP="49B452FB">
            <w:pPr>
              <w:rPr>
                <w:rFonts w:ascii="Arial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sz w:val="22"/>
                <w:szCs w:val="22"/>
              </w:rPr>
              <w:t>Removed from the 90-day supply list</w:t>
            </w:r>
          </w:p>
        </w:tc>
      </w:tr>
    </w:tbl>
    <w:p w14:paraId="4FEB5C52" w14:textId="6303179E" w:rsidR="748B633E" w:rsidRPr="006A1683" w:rsidRDefault="748B633E" w:rsidP="748B633E">
      <w:pPr>
        <w:spacing w:after="0"/>
        <w:rPr>
          <w:rFonts w:ascii="Arial" w:hAnsi="Arial" w:cs="Arial"/>
          <w:sz w:val="22"/>
          <w:szCs w:val="22"/>
        </w:rPr>
      </w:pPr>
    </w:p>
    <w:p w14:paraId="37D3D420" w14:textId="5FA05738" w:rsidR="00256044" w:rsidRPr="006A1683" w:rsidRDefault="29B3A3FF" w:rsidP="748B633E">
      <w:pPr>
        <w:spacing w:after="0"/>
        <w:rPr>
          <w:rFonts w:ascii="Arial" w:hAnsi="Arial" w:cs="Arial"/>
          <w:sz w:val="22"/>
          <w:szCs w:val="22"/>
        </w:rPr>
      </w:pPr>
      <w:r w:rsidRPr="006A1683">
        <w:rPr>
          <w:rFonts w:ascii="Arial" w:hAnsi="Arial" w:cs="Arial"/>
          <w:sz w:val="22"/>
          <w:szCs w:val="22"/>
        </w:rPr>
        <w:t xml:space="preserve">The following drugs will be removed from the MHDL because they have </w:t>
      </w:r>
      <w:r w:rsidR="0610A8C2" w:rsidRPr="006A1683">
        <w:rPr>
          <w:rFonts w:ascii="Arial" w:hAnsi="Arial" w:cs="Arial"/>
          <w:sz w:val="22"/>
          <w:szCs w:val="22"/>
        </w:rPr>
        <w:t xml:space="preserve">either </w:t>
      </w:r>
      <w:r w:rsidRPr="006A1683">
        <w:rPr>
          <w:rFonts w:ascii="Arial" w:hAnsi="Arial" w:cs="Arial"/>
          <w:sz w:val="22"/>
          <w:szCs w:val="22"/>
        </w:rPr>
        <w:t>been discontinued by the manufacturer</w:t>
      </w:r>
      <w:r w:rsidR="457804DC" w:rsidRPr="006A1683">
        <w:rPr>
          <w:rFonts w:ascii="Arial" w:hAnsi="Arial" w:cs="Arial"/>
          <w:sz w:val="22"/>
          <w:szCs w:val="22"/>
        </w:rPr>
        <w:t xml:space="preserve"> </w:t>
      </w:r>
      <w:r w:rsidR="4CBEF68E" w:rsidRPr="006A1683">
        <w:rPr>
          <w:rFonts w:ascii="Arial" w:hAnsi="Arial" w:cs="Arial"/>
          <w:sz w:val="22"/>
          <w:szCs w:val="22"/>
        </w:rPr>
        <w:t>or the</w:t>
      </w:r>
      <w:r w:rsidR="056A9010" w:rsidRPr="006A1683">
        <w:rPr>
          <w:rFonts w:ascii="Arial" w:hAnsi="Arial" w:cs="Arial"/>
          <w:sz w:val="22"/>
          <w:szCs w:val="22"/>
        </w:rPr>
        <w:t xml:space="preserve"> manufacturer no longer participates in the Medicaid Drug Rebate Program (MDRP).</w:t>
      </w:r>
      <w:r w:rsidR="4CBEF68E" w:rsidRPr="006A1683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50"/>
      </w:tblGrid>
      <w:tr w:rsidR="748B633E" w:rsidRPr="006A1683" w14:paraId="67F5980B" w14:textId="77777777" w:rsidTr="002C222A">
        <w:trPr>
          <w:trHeight w:val="300"/>
          <w:tblHeader/>
        </w:trPr>
        <w:tc>
          <w:tcPr>
            <w:tcW w:w="9350" w:type="dxa"/>
            <w:shd w:val="clear" w:color="auto" w:fill="BFBFBF" w:themeFill="background1" w:themeFillShade="BF"/>
          </w:tcPr>
          <w:p w14:paraId="0649A4F8" w14:textId="2A5F4504" w:rsidR="14C909ED" w:rsidRPr="006A1683" w:rsidRDefault="78A7784B" w:rsidP="748B6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1683">
              <w:rPr>
                <w:rFonts w:ascii="Arial" w:hAnsi="Arial" w:cs="Arial"/>
                <w:b/>
                <w:bCs/>
                <w:sz w:val="22"/>
                <w:szCs w:val="22"/>
              </w:rPr>
              <w:t>Drug Name</w:t>
            </w:r>
          </w:p>
        </w:tc>
      </w:tr>
      <w:tr w:rsidR="563EE2C9" w:rsidRPr="006A1683" w14:paraId="1456E0B8" w14:textId="77777777" w:rsidTr="56C13B7C">
        <w:trPr>
          <w:trHeight w:val="300"/>
        </w:trPr>
        <w:tc>
          <w:tcPr>
            <w:tcW w:w="9350" w:type="dxa"/>
          </w:tcPr>
          <w:p w14:paraId="3751CD2F" w14:textId="6525E1D6" w:rsidR="4939D78B" w:rsidRPr="006A1683" w:rsidRDefault="56029861" w:rsidP="563EE2C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sz w:val="22"/>
                <w:szCs w:val="22"/>
              </w:rPr>
              <w:t>Abelcet (amphotericin B lipid complex)</w:t>
            </w:r>
            <w:r w:rsidR="23F68B05" w:rsidRPr="006A16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748B633E" w:rsidRPr="006A1683" w14:paraId="51B46FBE" w14:textId="77777777" w:rsidTr="56C13B7C">
        <w:trPr>
          <w:trHeight w:val="300"/>
        </w:trPr>
        <w:tc>
          <w:tcPr>
            <w:tcW w:w="9350" w:type="dxa"/>
          </w:tcPr>
          <w:p w14:paraId="7744C2E6" w14:textId="6A52FE35" w:rsidR="14C909ED" w:rsidRPr="006A1683" w:rsidRDefault="004F39E5" w:rsidP="748B633E">
            <w:pPr>
              <w:rPr>
                <w:rFonts w:ascii="Arial" w:hAnsi="Arial" w:cs="Arial"/>
              </w:rPr>
            </w:pPr>
            <w:proofErr w:type="spellStart"/>
            <w:r w:rsidRPr="006A1683">
              <w:rPr>
                <w:rFonts w:ascii="Arial" w:hAnsi="Arial" w:cs="Arial"/>
                <w:sz w:val="22"/>
                <w:szCs w:val="22"/>
              </w:rPr>
              <w:lastRenderedPageBreak/>
              <w:t>Anzemet</w:t>
            </w:r>
            <w:proofErr w:type="spellEnd"/>
            <w:r w:rsidRPr="006A1683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6A1683">
              <w:rPr>
                <w:rFonts w:ascii="Arial" w:hAnsi="Arial" w:cs="Arial"/>
                <w:sz w:val="22"/>
                <w:szCs w:val="22"/>
              </w:rPr>
              <w:t>dolasetron</w:t>
            </w:r>
            <w:proofErr w:type="spellEnd"/>
            <w:r w:rsidRPr="006A1683">
              <w:rPr>
                <w:rFonts w:ascii="Arial" w:hAnsi="Arial" w:cs="Arial"/>
                <w:sz w:val="22"/>
                <w:szCs w:val="22"/>
              </w:rPr>
              <w:t>)</w:t>
            </w:r>
            <w:r w:rsidR="0007495A" w:rsidRPr="006A16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748B633E" w:rsidRPr="006A1683" w14:paraId="192B23A1" w14:textId="77777777" w:rsidTr="56C13B7C">
        <w:trPr>
          <w:trHeight w:val="300"/>
        </w:trPr>
        <w:tc>
          <w:tcPr>
            <w:tcW w:w="9350" w:type="dxa"/>
          </w:tcPr>
          <w:p w14:paraId="26BB91C2" w14:textId="4D15F8DF" w:rsidR="14C909ED" w:rsidRPr="006A1683" w:rsidRDefault="008844D1" w:rsidP="748B633E">
            <w:pPr>
              <w:rPr>
                <w:rFonts w:ascii="Arial" w:hAnsi="Arial" w:cs="Arial"/>
              </w:rPr>
            </w:pPr>
            <w:proofErr w:type="spellStart"/>
            <w:r w:rsidRPr="006A1683">
              <w:rPr>
                <w:rFonts w:ascii="Arial" w:hAnsi="Arial" w:cs="Arial"/>
                <w:sz w:val="22"/>
                <w:szCs w:val="22"/>
              </w:rPr>
              <w:t>Jesduvroq</w:t>
            </w:r>
            <w:proofErr w:type="spellEnd"/>
            <w:r w:rsidRPr="006A1683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6A1683">
              <w:rPr>
                <w:rFonts w:ascii="Arial" w:hAnsi="Arial" w:cs="Arial"/>
                <w:sz w:val="22"/>
                <w:szCs w:val="22"/>
              </w:rPr>
              <w:t>daprodustat</w:t>
            </w:r>
            <w:proofErr w:type="spellEnd"/>
            <w:r w:rsidRPr="006A1683">
              <w:rPr>
                <w:rFonts w:ascii="Arial" w:hAnsi="Arial" w:cs="Arial"/>
                <w:sz w:val="22"/>
                <w:szCs w:val="22"/>
              </w:rPr>
              <w:t>)</w:t>
            </w:r>
            <w:r w:rsidR="0007495A" w:rsidRPr="006A16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748B633E" w:rsidRPr="006A1683" w14:paraId="20FF58B3" w14:textId="77777777" w:rsidTr="56C13B7C">
        <w:trPr>
          <w:trHeight w:val="300"/>
        </w:trPr>
        <w:tc>
          <w:tcPr>
            <w:tcW w:w="9350" w:type="dxa"/>
          </w:tcPr>
          <w:p w14:paraId="672505C3" w14:textId="6AA8765F" w:rsidR="14C909ED" w:rsidRPr="006A1683" w:rsidRDefault="00561DC0" w:rsidP="00561DC0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sz w:val="22"/>
                <w:szCs w:val="22"/>
              </w:rPr>
              <w:t>Levemir (insulin detemir)</w:t>
            </w:r>
          </w:p>
        </w:tc>
      </w:tr>
      <w:tr w:rsidR="748B633E" w:rsidRPr="006A1683" w14:paraId="171A19DE" w14:textId="77777777" w:rsidTr="56C13B7C">
        <w:trPr>
          <w:trHeight w:val="300"/>
        </w:trPr>
        <w:tc>
          <w:tcPr>
            <w:tcW w:w="9350" w:type="dxa"/>
          </w:tcPr>
          <w:p w14:paraId="7365A916" w14:textId="25A8580B" w:rsidR="14C909ED" w:rsidRPr="006A1683" w:rsidRDefault="0087517A" w:rsidP="0087517A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A1683">
              <w:rPr>
                <w:rFonts w:ascii="Arial" w:hAnsi="Arial" w:cs="Arial"/>
                <w:sz w:val="22"/>
                <w:szCs w:val="22"/>
              </w:rPr>
              <w:t>Mentax</w:t>
            </w:r>
            <w:proofErr w:type="spellEnd"/>
            <w:r w:rsidRPr="006A1683">
              <w:rPr>
                <w:rFonts w:ascii="Arial" w:hAnsi="Arial" w:cs="Arial"/>
                <w:sz w:val="22"/>
                <w:szCs w:val="22"/>
              </w:rPr>
              <w:t xml:space="preserve"> (butenafine)</w:t>
            </w:r>
            <w:r w:rsidR="0007495A" w:rsidRPr="006A16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49B452FB" w:rsidRPr="006A1683" w14:paraId="47A7DACF" w14:textId="77777777" w:rsidTr="56C13B7C">
        <w:trPr>
          <w:trHeight w:val="300"/>
        </w:trPr>
        <w:tc>
          <w:tcPr>
            <w:tcW w:w="9350" w:type="dxa"/>
          </w:tcPr>
          <w:p w14:paraId="6E9B6511" w14:textId="09812322" w:rsidR="4A9D6605" w:rsidRPr="006A1683" w:rsidRDefault="00A5693F" w:rsidP="49B452FB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sz w:val="22"/>
                <w:szCs w:val="22"/>
              </w:rPr>
              <w:t>p</w:t>
            </w:r>
            <w:r w:rsidR="4A9D6605" w:rsidRPr="006A1683">
              <w:rPr>
                <w:rFonts w:ascii="Arial" w:hAnsi="Arial" w:cs="Arial"/>
                <w:sz w:val="22"/>
                <w:szCs w:val="22"/>
              </w:rPr>
              <w:t>aromomycin</w:t>
            </w:r>
          </w:p>
        </w:tc>
      </w:tr>
      <w:tr w:rsidR="563EE2C9" w:rsidRPr="006A1683" w14:paraId="11CF5614" w14:textId="77777777" w:rsidTr="56C13B7C">
        <w:trPr>
          <w:trHeight w:val="300"/>
        </w:trPr>
        <w:tc>
          <w:tcPr>
            <w:tcW w:w="9350" w:type="dxa"/>
          </w:tcPr>
          <w:p w14:paraId="07ECD9ED" w14:textId="3A2D8AB2" w:rsidR="1216D242" w:rsidRPr="006A1683" w:rsidRDefault="1216D242" w:rsidP="563EE2C9">
            <w:pPr>
              <w:pStyle w:val="Default"/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6A1683">
              <w:rPr>
                <w:rFonts w:ascii="Arial" w:hAnsi="Arial" w:cs="Arial"/>
                <w:sz w:val="22"/>
                <w:szCs w:val="22"/>
              </w:rPr>
              <w:t>Zontivity</w:t>
            </w:r>
            <w:proofErr w:type="spellEnd"/>
            <w:r w:rsidRPr="006A1683">
              <w:rPr>
                <w:rFonts w:ascii="Arial" w:hAnsi="Arial" w:cs="Arial"/>
                <w:sz w:val="22"/>
                <w:szCs w:val="22"/>
              </w:rPr>
              <w:t xml:space="preserve"> (vorapaxar)</w:t>
            </w:r>
            <w:r w:rsidR="750EFB94" w:rsidRPr="006A16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EB25088" w14:textId="6AF1E642" w:rsidR="49B452FB" w:rsidRPr="006A1683" w:rsidRDefault="49B452FB" w:rsidP="49B452FB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1C4A371A" w14:textId="5270DAA8" w:rsidR="00256044" w:rsidRPr="006A1683" w:rsidRDefault="423DE388" w:rsidP="4DEF334B">
      <w:pPr>
        <w:spacing w:after="0"/>
        <w:rPr>
          <w:rFonts w:ascii="Arial" w:hAnsi="Arial" w:cs="Arial"/>
          <w:sz w:val="22"/>
          <w:szCs w:val="22"/>
        </w:rPr>
      </w:pPr>
      <w:r w:rsidRPr="006A1683">
        <w:rPr>
          <w:rFonts w:ascii="Arial" w:hAnsi="Arial" w:cs="Arial"/>
          <w:sz w:val="22"/>
          <w:szCs w:val="22"/>
        </w:rPr>
        <w:t>The following changes are being made to the MHDL</w:t>
      </w:r>
      <w:r w:rsidR="00EC086E" w:rsidRPr="006A1683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9482" w:type="dxa"/>
        <w:tblLook w:val="04A0" w:firstRow="1" w:lastRow="0" w:firstColumn="1" w:lastColumn="0" w:noHBand="0" w:noVBand="1"/>
      </w:tblPr>
      <w:tblGrid>
        <w:gridCol w:w="2660"/>
        <w:gridCol w:w="2145"/>
        <w:gridCol w:w="4677"/>
      </w:tblGrid>
      <w:tr w:rsidR="00256044" w:rsidRPr="006A1683" w14:paraId="2E6D96F8" w14:textId="77777777" w:rsidTr="002C222A">
        <w:trPr>
          <w:trHeight w:val="300"/>
          <w:tblHeader/>
        </w:trPr>
        <w:tc>
          <w:tcPr>
            <w:tcW w:w="2660" w:type="dxa"/>
            <w:shd w:val="clear" w:color="auto" w:fill="BFBFBF" w:themeFill="background1" w:themeFillShade="BF"/>
          </w:tcPr>
          <w:p w14:paraId="6630B0D7" w14:textId="1727B8C4" w:rsidR="00256044" w:rsidRPr="006A1683" w:rsidRDefault="599D7220" w:rsidP="4DEF334B">
            <w:pPr>
              <w:ind w:right="43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16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MHDL </w:t>
            </w:r>
            <w:r w:rsidR="67EF2377" w:rsidRPr="006A1683">
              <w:rPr>
                <w:rFonts w:ascii="Arial" w:hAnsi="Arial" w:cs="Arial"/>
                <w:b/>
                <w:bCs/>
                <w:sz w:val="22"/>
                <w:szCs w:val="22"/>
              </w:rPr>
              <w:t>Therapeutic Class</w:t>
            </w:r>
          </w:p>
        </w:tc>
        <w:tc>
          <w:tcPr>
            <w:tcW w:w="2145" w:type="dxa"/>
            <w:shd w:val="clear" w:color="auto" w:fill="BFBFBF" w:themeFill="background1" w:themeFillShade="BF"/>
          </w:tcPr>
          <w:p w14:paraId="164DBF99" w14:textId="3260E662" w:rsidR="00256044" w:rsidRPr="006A1683" w:rsidRDefault="423DE388" w:rsidP="4DEF334B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Addition</w:t>
            </w:r>
            <w:r w:rsidR="58ACF6F1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74FD247C" w14:textId="4BD06F61" w:rsidR="00256044" w:rsidRPr="006A1683" w:rsidRDefault="423DE388" w:rsidP="4DEF334B">
            <w:pPr>
              <w:spacing w:line="278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Summary of Change(s)</w:t>
            </w:r>
          </w:p>
        </w:tc>
      </w:tr>
      <w:tr w:rsidR="748B633E" w:rsidRPr="006A1683" w14:paraId="48F8C0D7" w14:textId="77777777" w:rsidTr="00447F3D">
        <w:trPr>
          <w:trHeight w:val="300"/>
        </w:trPr>
        <w:tc>
          <w:tcPr>
            <w:tcW w:w="2660" w:type="dxa"/>
          </w:tcPr>
          <w:p w14:paraId="24576C58" w14:textId="30E1EF11" w:rsidR="748B633E" w:rsidRPr="006A1683" w:rsidRDefault="001F14F7" w:rsidP="4DEF334B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Acromegaly, Carcinoid Syndrome, and Cushing’s Syndrome Agents</w:t>
            </w:r>
          </w:p>
        </w:tc>
        <w:tc>
          <w:tcPr>
            <w:tcW w:w="2145" w:type="dxa"/>
          </w:tcPr>
          <w:p w14:paraId="556F1D3E" w14:textId="03097A19" w:rsidR="00B6415B" w:rsidRPr="006A1683" w:rsidRDefault="49477C1B" w:rsidP="563EE2C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Palsonify</w:t>
            </w:r>
            <w:proofErr w:type="spellEnd"/>
            <w:r w:rsidR="528A1257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528A1257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 w:rsidR="528A1257" w:rsidRPr="006A1683">
              <w:rPr>
                <w:rFonts w:ascii="Arial" w:eastAsia="Arial" w:hAnsi="Arial" w:cs="Arial"/>
                <w:sz w:val="22"/>
                <w:szCs w:val="22"/>
              </w:rPr>
              <w:t>paltusotine</w:t>
            </w:r>
            <w:proofErr w:type="spellEnd"/>
            <w:r w:rsidR="528A1257" w:rsidRPr="006A1683"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="38A02A22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—PA</w:t>
            </w:r>
          </w:p>
          <w:p w14:paraId="601FD47C" w14:textId="5DAC24AF" w:rsidR="00E9154B" w:rsidRPr="006A1683" w:rsidRDefault="3E348E52" w:rsidP="563EE2C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Bynfezia</w:t>
            </w:r>
            <w:proofErr w:type="spellEnd"/>
            <w:r w:rsidR="3BD217FE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3BD217FE" w:rsidRPr="006A1683">
              <w:rPr>
                <w:rFonts w:ascii="Arial" w:eastAsia="Arial" w:hAnsi="Arial" w:cs="Arial"/>
                <w:sz w:val="22"/>
                <w:szCs w:val="22"/>
              </w:rPr>
              <w:t>(octreotide auto-injection)</w:t>
            </w:r>
          </w:p>
          <w:p w14:paraId="4DB8E43E" w14:textId="40277164" w:rsidR="00E9154B" w:rsidRPr="006A1683" w:rsidRDefault="00E9154B" w:rsidP="00B6415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80F4824" w14:textId="1E5B6BDE" w:rsidR="748B633E" w:rsidRPr="006A1683" w:rsidRDefault="748B633E" w:rsidP="4DEF334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14:paraId="5E6EC282" w14:textId="79D3389A" w:rsidR="748B633E" w:rsidRPr="006A1683" w:rsidRDefault="748B633E" w:rsidP="4DEF334B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382F26DC" w:rsidRPr="006A1683" w14:paraId="77E69F91" w14:textId="77777777" w:rsidTr="00447F3D">
        <w:trPr>
          <w:trHeight w:val="300"/>
        </w:trPr>
        <w:tc>
          <w:tcPr>
            <w:tcW w:w="2660" w:type="dxa"/>
          </w:tcPr>
          <w:p w14:paraId="1A01C48E" w14:textId="523C2AE4" w:rsidR="466689B8" w:rsidRPr="006A1683" w:rsidRDefault="466689B8" w:rsidP="382F26D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Anti-Allergy and Ant-Inflammatory Agents</w:t>
            </w:r>
            <w:r w:rsidR="0068389D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—</w:t>
            </w:r>
            <w:r w:rsidR="4E7BBC0F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Ophthalmic</w:t>
            </w:r>
          </w:p>
        </w:tc>
        <w:tc>
          <w:tcPr>
            <w:tcW w:w="2145" w:type="dxa"/>
          </w:tcPr>
          <w:p w14:paraId="0797D493" w14:textId="61ED4FC7" w:rsidR="466689B8" w:rsidRPr="006A1683" w:rsidRDefault="466689B8" w:rsidP="382F26D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Byqlovi</w:t>
            </w:r>
            <w:proofErr w:type="spellEnd"/>
            <w:r w:rsidRPr="006A1683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A1683">
              <w:rPr>
                <w:rFonts w:ascii="Arial" w:eastAsia="Arial" w:hAnsi="Arial" w:cs="Arial"/>
                <w:sz w:val="22"/>
                <w:szCs w:val="22"/>
              </w:rPr>
              <w:t>(clobetasol ophthalmic suspension)—PA</w:t>
            </w:r>
          </w:p>
        </w:tc>
        <w:tc>
          <w:tcPr>
            <w:tcW w:w="4677" w:type="dxa"/>
          </w:tcPr>
          <w:p w14:paraId="2421C868" w14:textId="0E738C40" w:rsidR="382F26DC" w:rsidRPr="006A1683" w:rsidRDefault="382F26DC" w:rsidP="382F26D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41799" w:rsidRPr="006A1683" w14:paraId="10B277D4" w14:textId="77777777" w:rsidTr="00447F3D">
        <w:trPr>
          <w:trHeight w:val="300"/>
        </w:trPr>
        <w:tc>
          <w:tcPr>
            <w:tcW w:w="2660" w:type="dxa"/>
          </w:tcPr>
          <w:p w14:paraId="29ABC7CC" w14:textId="77777777" w:rsidR="00341799" w:rsidRPr="006A1683" w:rsidRDefault="00341799" w:rsidP="00341799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Anti-Hemophilia Agents</w:t>
            </w:r>
          </w:p>
          <w:p w14:paraId="3E73B8A6" w14:textId="77777777" w:rsidR="00341799" w:rsidRPr="006A1683" w:rsidRDefault="00341799" w:rsidP="4DEF334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45" w:type="dxa"/>
          </w:tcPr>
          <w:p w14:paraId="787F95BD" w14:textId="77777777" w:rsidR="00341799" w:rsidRPr="006A1683" w:rsidRDefault="00341799" w:rsidP="00B6415B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14:paraId="51A060E8" w14:textId="6F692083" w:rsidR="00341799" w:rsidRPr="006A1683" w:rsidRDefault="00252337" w:rsidP="001F013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 </w:t>
            </w:r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added 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for </w:t>
            </w:r>
            <w:proofErr w:type="spellStart"/>
            <w:r w:rsidR="0037158C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Hemlibra</w:t>
            </w:r>
            <w:proofErr w:type="spellEnd"/>
            <w:r w:rsidR="34A026B3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6828AE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="00AC4698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tability criteria updated.</w:t>
            </w:r>
            <w:r w:rsidR="006828AE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34A026B3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Members stable on </w:t>
            </w:r>
            <w:proofErr w:type="spellStart"/>
            <w:r w:rsidR="34A026B3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Hemlibra</w:t>
            </w:r>
            <w:proofErr w:type="spellEnd"/>
            <w:r w:rsidR="34A026B3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require documentation of appropriate dose based on member</w:t>
            </w:r>
            <w:r w:rsidR="00BD3CC0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’s current</w:t>
            </w:r>
            <w:r w:rsidR="34A026B3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weight</w:t>
            </w:r>
            <w:r w:rsidR="006828AE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8E0EA2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F38A6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Requests</w:t>
            </w:r>
            <w:r w:rsidR="00AC4698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stable members can bypass the criteria requirement for specialist involvement and baseline ABR</w:t>
            </w:r>
            <w:r w:rsidR="00AC4698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00562968" w:rsidRPr="006A1683" w14:paraId="3722EED8" w14:textId="77777777" w:rsidTr="00447F3D">
        <w:trPr>
          <w:trHeight w:val="300"/>
        </w:trPr>
        <w:tc>
          <w:tcPr>
            <w:tcW w:w="2660" w:type="dxa"/>
          </w:tcPr>
          <w:p w14:paraId="7B8EB572" w14:textId="5231A790" w:rsidR="00562968" w:rsidRPr="006A1683" w:rsidRDefault="00562968" w:rsidP="4DEF334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Anti-Obesity Agents</w:t>
            </w:r>
          </w:p>
        </w:tc>
        <w:tc>
          <w:tcPr>
            <w:tcW w:w="2145" w:type="dxa"/>
          </w:tcPr>
          <w:p w14:paraId="2CD3D93E" w14:textId="5E3D1089" w:rsidR="00562968" w:rsidRPr="006A1683" w:rsidRDefault="10CC3E99" w:rsidP="563EE2C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Wegovy</w:t>
            </w:r>
            <w:proofErr w:type="spellEnd"/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2E26A193" w:rsidRPr="006A1683"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 w:rsidR="2E26A193" w:rsidRPr="006A1683">
              <w:rPr>
                <w:rFonts w:ascii="Arial" w:eastAsia="Arial" w:hAnsi="Arial" w:cs="Arial"/>
                <w:sz w:val="22"/>
                <w:szCs w:val="22"/>
              </w:rPr>
              <w:t>semaglutide</w:t>
            </w:r>
            <w:proofErr w:type="spellEnd"/>
            <w:r w:rsidR="2E26A193" w:rsidRPr="006A1683">
              <w:rPr>
                <w:rFonts w:ascii="Arial" w:eastAsia="Arial" w:hAnsi="Arial" w:cs="Arial"/>
                <w:sz w:val="22"/>
                <w:szCs w:val="22"/>
              </w:rPr>
              <w:t xml:space="preserve"> tablet)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—PA</w:t>
            </w:r>
            <w:r w:rsidR="5637F449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, PD</w:t>
            </w:r>
          </w:p>
        </w:tc>
        <w:tc>
          <w:tcPr>
            <w:tcW w:w="4677" w:type="dxa"/>
          </w:tcPr>
          <w:p w14:paraId="5641D8B1" w14:textId="77777777" w:rsidR="00562968" w:rsidRPr="006A1683" w:rsidRDefault="00562968" w:rsidP="4DEF334B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57E64" w:rsidRPr="006A1683" w14:paraId="4AFE5E38" w14:textId="77777777" w:rsidTr="00447F3D">
        <w:trPr>
          <w:trHeight w:val="300"/>
        </w:trPr>
        <w:tc>
          <w:tcPr>
            <w:tcW w:w="2660" w:type="dxa"/>
          </w:tcPr>
          <w:p w14:paraId="6B301203" w14:textId="1B717711" w:rsidR="00557E64" w:rsidRPr="006A1683" w:rsidRDefault="00557E64" w:rsidP="4DEF334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Anticoagulants and Antiplatelet Agents</w:t>
            </w:r>
          </w:p>
        </w:tc>
        <w:tc>
          <w:tcPr>
            <w:tcW w:w="2145" w:type="dxa"/>
          </w:tcPr>
          <w:p w14:paraId="2E2FDEA6" w14:textId="77777777" w:rsidR="00557E64" w:rsidRPr="006A1683" w:rsidRDefault="00557E64" w:rsidP="00B6415B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14:paraId="7D7D4CF5" w14:textId="7E8EF179" w:rsidR="00557E64" w:rsidRPr="006A1683" w:rsidRDefault="002F75F9" w:rsidP="001F013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 </w:t>
            </w:r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removed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1B5E91C8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and PD status will be added 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for </w:t>
            </w:r>
            <w:r w:rsidR="003048F0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Eliquis Sprinkle capsule</w:t>
            </w:r>
            <w:r w:rsidR="003048F0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</w:t>
            </w:r>
            <w:r w:rsidR="003048F0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Eliquis tablet</w:t>
            </w:r>
            <w:r w:rsidR="00297DFE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for oral suspensio</w:t>
            </w:r>
            <w:r w:rsidR="00B4415D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</w:t>
            </w:r>
            <w:r w:rsidR="00E31358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0F3810" w:rsidRPr="006A1683" w14:paraId="41652E70" w14:textId="77777777" w:rsidTr="00447F3D">
        <w:trPr>
          <w:trHeight w:val="300"/>
        </w:trPr>
        <w:tc>
          <w:tcPr>
            <w:tcW w:w="2660" w:type="dxa"/>
          </w:tcPr>
          <w:p w14:paraId="7FF2F1CC" w14:textId="61B3675C" w:rsidR="000F3810" w:rsidRPr="006A1683" w:rsidRDefault="000F3810" w:rsidP="4DEF334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Antidiabetic Agents</w:t>
            </w:r>
          </w:p>
        </w:tc>
        <w:tc>
          <w:tcPr>
            <w:tcW w:w="2145" w:type="dxa"/>
          </w:tcPr>
          <w:p w14:paraId="6E46D194" w14:textId="1E700FD8" w:rsidR="64E2A2BF" w:rsidRPr="006A1683" w:rsidRDefault="64E2A2BF" w:rsidP="563EE2C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Cycloset</w:t>
            </w:r>
            <w:proofErr w:type="spellEnd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(bromocriptine 0.8 mg tablet)</w:t>
            </w:r>
          </w:p>
          <w:p w14:paraId="1CDBEDC3" w14:textId="641B4F8B" w:rsidR="000F3810" w:rsidRPr="006A1683" w:rsidRDefault="2B5CE623" w:rsidP="563EE2C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Kirsty </w:t>
            </w:r>
            <w:r w:rsidR="766053F5" w:rsidRPr="006A1683">
              <w:rPr>
                <w:rFonts w:ascii="Arial" w:eastAsia="Arial" w:hAnsi="Arial" w:cs="Arial"/>
                <w:sz w:val="22"/>
                <w:szCs w:val="22"/>
              </w:rPr>
              <w:t xml:space="preserve">(insulin </w:t>
            </w:r>
            <w:proofErr w:type="spellStart"/>
            <w:r w:rsidR="766053F5" w:rsidRPr="006A1683">
              <w:rPr>
                <w:rFonts w:ascii="Arial" w:eastAsia="Arial" w:hAnsi="Arial" w:cs="Arial"/>
                <w:sz w:val="22"/>
                <w:szCs w:val="22"/>
              </w:rPr>
              <w:t>aspart-xjhz</w:t>
            </w:r>
            <w:proofErr w:type="spellEnd"/>
            <w:r w:rsidR="766053F5" w:rsidRPr="006A1683"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—PA</w:t>
            </w:r>
          </w:p>
          <w:p w14:paraId="26332D1A" w14:textId="2D6BE9B2" w:rsidR="00011ECC" w:rsidRPr="006A1683" w:rsidRDefault="2B5CE623" w:rsidP="563EE2C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Merilog</w:t>
            </w:r>
            <w:proofErr w:type="spellEnd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3FE4FE50" w:rsidRPr="006A1683">
              <w:rPr>
                <w:rFonts w:ascii="Arial" w:eastAsia="Arial" w:hAnsi="Arial" w:cs="Arial"/>
                <w:sz w:val="22"/>
                <w:szCs w:val="22"/>
              </w:rPr>
              <w:t xml:space="preserve">(insulin </w:t>
            </w:r>
            <w:proofErr w:type="spellStart"/>
            <w:r w:rsidR="3FE4FE50" w:rsidRPr="006A1683">
              <w:rPr>
                <w:rFonts w:ascii="Arial" w:eastAsia="Arial" w:hAnsi="Arial" w:cs="Arial"/>
                <w:sz w:val="22"/>
                <w:szCs w:val="22"/>
              </w:rPr>
              <w:t>aspart-szjj</w:t>
            </w:r>
            <w:proofErr w:type="spellEnd"/>
            <w:r w:rsidR="3FE4FE50" w:rsidRPr="006A1683"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—PA</w:t>
            </w:r>
          </w:p>
        </w:tc>
        <w:tc>
          <w:tcPr>
            <w:tcW w:w="4677" w:type="dxa"/>
          </w:tcPr>
          <w:p w14:paraId="4A6A6E27" w14:textId="77777777" w:rsidR="0071409F" w:rsidRPr="006A1683" w:rsidRDefault="0071409F" w:rsidP="00AE47C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Semglee</w:t>
            </w:r>
            <w:proofErr w:type="spellEnd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(insulin glargine-</w:t>
            </w: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yfgn</w:t>
            </w:r>
            <w:proofErr w:type="spellEnd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Rezvoglar</w:t>
            </w:r>
            <w:proofErr w:type="spellEnd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(insulin glargine-</w:t>
            </w: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aglr</w:t>
            </w:r>
            <w:proofErr w:type="spellEnd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medical necessity criteria have been updated to require clinical rationale for use over insulin glargine prefilled syringe or vial (branded or unbranded Lantus </w:t>
            </w:r>
            <w:proofErr w:type="spellStart"/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SoloSTAR</w:t>
            </w:r>
            <w:proofErr w:type="spellEnd"/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 Lantus vial).</w:t>
            </w:r>
          </w:p>
          <w:p w14:paraId="61FB1CAF" w14:textId="00A23B1C" w:rsidR="00AA1DA6" w:rsidRPr="006A1683" w:rsidRDefault="00495F94" w:rsidP="00AA1DA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 </w:t>
            </w:r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added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</w:t>
            </w:r>
            <w:r w:rsidR="00822050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Humalog (insulin lispro 200 units/mL)</w:t>
            </w:r>
            <w:r w:rsidR="00272A4B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r w:rsidR="00822050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Novolin 70/30 (insulin NPH/regular insulin 70/30)</w:t>
            </w:r>
            <w:r w:rsidR="00272A4B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272A4B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Toujeo</w:t>
            </w:r>
            <w:proofErr w:type="spellEnd"/>
            <w:r w:rsidR="00272A4B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72A4B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and</w:t>
            </w:r>
            <w:r w:rsidR="00272A4B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Tresiba </w:t>
            </w:r>
          </w:p>
          <w:p w14:paraId="1455FA04" w14:textId="5F55372B" w:rsidR="000F3810" w:rsidRPr="006A1683" w:rsidRDefault="00AA1DA6" w:rsidP="00AA1DA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POS </w:t>
            </w:r>
            <w:r w:rsidR="00F77430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stability rule</w:t>
            </w:r>
            <w:r w:rsidR="00F77430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7D7BA8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has been added </w:t>
            </w:r>
            <w:r w:rsidR="00F77430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for </w:t>
            </w:r>
            <w:proofErr w:type="spellStart"/>
            <w:r w:rsidR="00F77430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Toujeo</w:t>
            </w:r>
            <w:proofErr w:type="spellEnd"/>
            <w:r w:rsidR="00F77430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</w:t>
            </w:r>
            <w:r w:rsidR="00F77430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Tresiba</w:t>
            </w:r>
            <w:r w:rsidR="00F77430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allow members </w:t>
            </w:r>
            <w:r w:rsidR="00F77430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already on medication to continue therapy</w:t>
            </w:r>
            <w:r w:rsidR="00783CBA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3D7767" w:rsidRPr="006A1683" w14:paraId="14516BF2" w14:textId="77777777" w:rsidTr="00447F3D">
        <w:trPr>
          <w:trHeight w:val="300"/>
        </w:trPr>
        <w:tc>
          <w:tcPr>
            <w:tcW w:w="2660" w:type="dxa"/>
          </w:tcPr>
          <w:p w14:paraId="40461F3D" w14:textId="6CC6D235" w:rsidR="003D7767" w:rsidRPr="006A1683" w:rsidRDefault="000738AA" w:rsidP="4DEF334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Antiemetics, Appetite Stimulants, and </w:t>
            </w:r>
            <w:proofErr w:type="spellStart"/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Anabolics</w:t>
            </w:r>
            <w:proofErr w:type="spellEnd"/>
          </w:p>
        </w:tc>
        <w:tc>
          <w:tcPr>
            <w:tcW w:w="2145" w:type="dxa"/>
          </w:tcPr>
          <w:p w14:paraId="5D294D49" w14:textId="77777777" w:rsidR="003D7767" w:rsidRPr="006A1683" w:rsidRDefault="003D7767" w:rsidP="00B6415B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14:paraId="511BA5A1" w14:textId="2F2203B0" w:rsidR="0096471C" w:rsidRPr="006A1683" w:rsidRDefault="278CC3FE" w:rsidP="001F013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QL</w:t>
            </w:r>
            <w:r w:rsidR="00832130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32130" w:rsidRPr="00AE47C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added</w:t>
            </w:r>
            <w:r w:rsidR="0096471C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</w:t>
            </w:r>
            <w:proofErr w:type="spellStart"/>
            <w:r w:rsidR="0096471C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Cinvanti</w:t>
            </w:r>
            <w:proofErr w:type="spellEnd"/>
            <w:r w:rsidR="00826E96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96471C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Sancus</w:t>
            </w:r>
            <w:r w:rsidR="00886246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</w:t>
            </w:r>
            <w:proofErr w:type="spellEnd"/>
            <w:r w:rsidR="00826E96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and </w:t>
            </w:r>
            <w:proofErr w:type="spellStart"/>
            <w:r w:rsidR="00826E96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Sustol</w:t>
            </w:r>
            <w:proofErr w:type="spellEnd"/>
            <w:r w:rsidR="00FD2E7A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96471C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5352DECD" w14:textId="27B890D9" w:rsidR="00274C74" w:rsidRPr="006A1683" w:rsidRDefault="00274C74" w:rsidP="001F013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E47CF">
              <w:rPr>
                <w:rFonts w:ascii="Arial" w:hAnsi="Arial" w:cs="Arial"/>
                <w:color w:val="000000" w:themeColor="text1"/>
                <w:sz w:val="22"/>
                <w:szCs w:val="22"/>
              </w:rPr>
              <w:t>Update</w:t>
            </w:r>
            <w:r w:rsidR="007D7BA8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criteria for </w:t>
            </w:r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Emend</w:t>
            </w:r>
            <w:r w:rsidR="00837D7A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</w:t>
            </w:r>
            <w:r w:rsidR="009D22C1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chemotherapy</w:t>
            </w:r>
            <w:r w:rsidR="008E0675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-induced nausea and vomiting (</w:t>
            </w:r>
            <w:r w:rsidR="00837D7A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CINV</w:t>
            </w:r>
            <w:r w:rsidR="008E0675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="00837D7A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indication to </w:t>
            </w:r>
            <w:r w:rsidR="0025730A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modify</w:t>
            </w:r>
            <w:r w:rsidR="00837D7A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D2EC5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LCA to generic equivalent</w:t>
            </w:r>
            <w:r w:rsidR="0025730A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67B48094" w14:textId="1592F368" w:rsidR="0025730A" w:rsidRPr="006A1683" w:rsidRDefault="00125D15" w:rsidP="001F013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E47CF">
              <w:rPr>
                <w:rFonts w:ascii="Arial" w:hAnsi="Arial" w:cs="Arial"/>
                <w:color w:val="000000" w:themeColor="text1"/>
                <w:sz w:val="22"/>
                <w:szCs w:val="22"/>
              </w:rPr>
              <w:t>Update</w:t>
            </w:r>
            <w:r w:rsidR="007D7BA8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granisetron</w:t>
            </w:r>
            <w:proofErr w:type="spellEnd"/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tablet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 CINV/</w:t>
            </w:r>
            <w:r w:rsidR="002502AE" w:rsidRPr="006A1683">
              <w:rPr>
                <w:rFonts w:ascii="Roboto" w:hAnsi="Roboto"/>
                <w:color w:val="0A0A0A"/>
                <w:shd w:val="clear" w:color="auto" w:fill="FFFFFF"/>
              </w:rPr>
              <w:t xml:space="preserve"> </w:t>
            </w:r>
            <w:r w:rsidR="009D22C1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radiotherapy</w:t>
            </w:r>
            <w:r w:rsidR="002502AE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-induced nausea and vomiting (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RINV</w:t>
            </w:r>
            <w:r w:rsidR="002502AE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373C1C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criteria </w:t>
            </w:r>
            <w:r w:rsidR="00E54DD5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to require inadequate response, adverse reaction, or contraindication to ondansetron oral tablets or ODT.</w:t>
            </w:r>
            <w:r w:rsidR="00820F84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Additionally, 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off-label use for </w:t>
            </w:r>
            <w:r w:rsidR="009D22C1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postoperative </w:t>
            </w:r>
            <w:r w:rsidR="00391730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nausea and vomiting</w:t>
            </w:r>
            <w:r w:rsidR="00391730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PONV</w:t>
            </w:r>
            <w:r w:rsidR="00391730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F26B0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require LCA of generic equivalent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486D977" w14:textId="41386EBA" w:rsidR="003D7767" w:rsidRPr="006A1683" w:rsidRDefault="002C79B6" w:rsidP="001F013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E47CF">
              <w:rPr>
                <w:rFonts w:ascii="Arial" w:hAnsi="Arial" w:cs="Arial"/>
                <w:color w:val="000000" w:themeColor="text1"/>
                <w:sz w:val="22"/>
                <w:szCs w:val="22"/>
              </w:rPr>
              <w:t>Update</w:t>
            </w:r>
            <w:r w:rsidR="007D7BA8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03BF4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Sustol</w:t>
            </w:r>
            <w:proofErr w:type="spellEnd"/>
            <w:r w:rsidR="00A267F5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45D2ED2A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 criteria </w:t>
            </w:r>
            <w:r w:rsidR="337BD306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to</w:t>
            </w:r>
            <w:r w:rsidR="00BE28BD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require</w:t>
            </w:r>
            <w:r w:rsidR="3161DA2D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BE28BD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step</w:t>
            </w:r>
            <w:r w:rsidR="0069727A">
              <w:rPr>
                <w:rFonts w:ascii="Arial" w:hAnsi="Arial" w:cs="Arial"/>
                <w:color w:val="000000" w:themeColor="text1"/>
                <w:sz w:val="22"/>
                <w:szCs w:val="22"/>
              </w:rPr>
              <w:t>ping</w:t>
            </w:r>
            <w:r w:rsid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BE28BD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through both </w:t>
            </w:r>
            <w:proofErr w:type="spellStart"/>
            <w:r w:rsidR="00BE28BD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granisetron</w:t>
            </w:r>
            <w:proofErr w:type="spellEnd"/>
            <w:r w:rsidR="00BE28BD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injection and </w:t>
            </w:r>
            <w:proofErr w:type="spellStart"/>
            <w:r w:rsidR="00BE28BD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Sancuso</w:t>
            </w:r>
            <w:proofErr w:type="spellEnd"/>
            <w:r w:rsidR="00BE28BD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0052303F" w:rsidRPr="006A1683" w14:paraId="2AF6E316" w14:textId="77777777" w:rsidTr="00447F3D">
        <w:trPr>
          <w:trHeight w:val="300"/>
        </w:trPr>
        <w:tc>
          <w:tcPr>
            <w:tcW w:w="2660" w:type="dxa"/>
          </w:tcPr>
          <w:p w14:paraId="42C99412" w14:textId="42FE0DBA" w:rsidR="001B740B" w:rsidRPr="006A1683" w:rsidRDefault="001B740B" w:rsidP="001B740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Antifungal Agents</w:t>
            </w:r>
            <w:r w:rsidR="0068389D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—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Topical</w:t>
            </w:r>
          </w:p>
          <w:p w14:paraId="29355607" w14:textId="77777777" w:rsidR="0052303F" w:rsidRPr="006A1683" w:rsidRDefault="0052303F" w:rsidP="4DEF334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45" w:type="dxa"/>
          </w:tcPr>
          <w:p w14:paraId="79A43624" w14:textId="36BABAFC" w:rsidR="00963ED0" w:rsidRPr="006A1683" w:rsidRDefault="001B740B" w:rsidP="00963ED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econazole 1% foam</w:t>
            </w:r>
            <w:r w:rsidR="00963ED0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—PA</w:t>
            </w:r>
          </w:p>
          <w:p w14:paraId="7E3211CC" w14:textId="75048424" w:rsidR="0052303F" w:rsidRPr="006A1683" w:rsidRDefault="3FF61658" w:rsidP="563EE2C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Ertaczo</w:t>
            </w:r>
            <w:proofErr w:type="spellEnd"/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51E9CF90" w:rsidRPr="006A1683"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 w:rsidR="51E9CF90" w:rsidRPr="006A1683">
              <w:rPr>
                <w:rFonts w:ascii="Arial" w:eastAsia="Arial" w:hAnsi="Arial" w:cs="Arial"/>
                <w:sz w:val="22"/>
                <w:szCs w:val="22"/>
              </w:rPr>
              <w:t>sertaconazole</w:t>
            </w:r>
            <w:proofErr w:type="spellEnd"/>
            <w:r w:rsidR="51E9CF90" w:rsidRPr="006A1683">
              <w:rPr>
                <w:rFonts w:ascii="Arial" w:eastAsia="Arial" w:hAnsi="Arial" w:cs="Arial"/>
                <w:sz w:val="22"/>
                <w:szCs w:val="22"/>
              </w:rPr>
              <w:t xml:space="preserve"> 2% cream)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—PA</w:t>
            </w:r>
          </w:p>
        </w:tc>
        <w:tc>
          <w:tcPr>
            <w:tcW w:w="4677" w:type="dxa"/>
          </w:tcPr>
          <w:p w14:paraId="61E1B558" w14:textId="77777777" w:rsidR="0052303F" w:rsidRPr="006A1683" w:rsidRDefault="0052303F" w:rsidP="008461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16F0D" w:rsidRPr="006A1683" w14:paraId="54CDBEFB" w14:textId="77777777" w:rsidTr="00447F3D">
        <w:trPr>
          <w:trHeight w:val="300"/>
        </w:trPr>
        <w:tc>
          <w:tcPr>
            <w:tcW w:w="2660" w:type="dxa"/>
          </w:tcPr>
          <w:p w14:paraId="2917EC5E" w14:textId="74247B85" w:rsidR="00516F0D" w:rsidRPr="006A1683" w:rsidRDefault="00516F0D" w:rsidP="001B740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Antipsychotics</w:t>
            </w:r>
          </w:p>
        </w:tc>
        <w:tc>
          <w:tcPr>
            <w:tcW w:w="2145" w:type="dxa"/>
          </w:tcPr>
          <w:p w14:paraId="15D39EA7" w14:textId="636261D5" w:rsidR="00516F0D" w:rsidRPr="006A1683" w:rsidRDefault="05A5AC2C" w:rsidP="563EE2C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Zyprexa </w:t>
            </w: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Zydis</w:t>
            </w:r>
            <w:proofErr w:type="spellEnd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(olanzapine orally disintegrating tablet)—PA</w:t>
            </w:r>
          </w:p>
        </w:tc>
        <w:tc>
          <w:tcPr>
            <w:tcW w:w="4677" w:type="dxa"/>
          </w:tcPr>
          <w:p w14:paraId="727A3199" w14:textId="632BC5C8" w:rsidR="00516F0D" w:rsidRPr="006A1683" w:rsidRDefault="5461DDD7" w:rsidP="001F013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E47CF">
              <w:rPr>
                <w:rFonts w:ascii="Arial" w:hAnsi="Arial" w:cs="Arial"/>
                <w:color w:val="000000" w:themeColor="text1"/>
                <w:sz w:val="22"/>
                <w:szCs w:val="22"/>
              </w:rPr>
              <w:t>Update</w:t>
            </w:r>
            <w:r w:rsidR="007D7BA8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12FE3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Cobenfy</w:t>
            </w:r>
            <w:proofErr w:type="spellEnd"/>
            <w:r w:rsidR="00A12FE3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polypharmacy criteria</w:t>
            </w:r>
            <w:r w:rsidR="19617B77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allow for cross-tapering from an antipsychotic</w:t>
            </w:r>
            <w:r w:rsidR="00356017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A2345B" w:rsidRPr="006A1683" w14:paraId="1F56F24F" w14:textId="77777777" w:rsidTr="00447F3D">
        <w:trPr>
          <w:trHeight w:val="645"/>
        </w:trPr>
        <w:tc>
          <w:tcPr>
            <w:tcW w:w="2660" w:type="dxa"/>
          </w:tcPr>
          <w:p w14:paraId="545F36A6" w14:textId="5C44226E" w:rsidR="00A2345B" w:rsidRPr="006A1683" w:rsidRDefault="00A2345B" w:rsidP="00A2345B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Antiretroviral/HIV Therapy</w:t>
            </w:r>
          </w:p>
        </w:tc>
        <w:tc>
          <w:tcPr>
            <w:tcW w:w="2145" w:type="dxa"/>
          </w:tcPr>
          <w:p w14:paraId="63C06388" w14:textId="03701663" w:rsidR="00A2345B" w:rsidRPr="006A1683" w:rsidRDefault="0565EB13" w:rsidP="563EE2C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Egrifta</w:t>
            </w:r>
            <w:proofErr w:type="spellEnd"/>
            <w:r w:rsidR="1FF777B0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WR </w:t>
            </w:r>
            <w:r w:rsidR="070FA287" w:rsidRPr="006A1683"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proofErr w:type="gramStart"/>
            <w:r w:rsidR="070FA287" w:rsidRPr="006A1683">
              <w:rPr>
                <w:rFonts w:ascii="Arial" w:eastAsia="Arial" w:hAnsi="Arial" w:cs="Arial"/>
                <w:sz w:val="22"/>
                <w:szCs w:val="22"/>
              </w:rPr>
              <w:t>tesamorelin</w:t>
            </w:r>
            <w:proofErr w:type="spellEnd"/>
            <w:r w:rsidR="070FA287" w:rsidRPr="006A1683"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="1FF777B0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—</w:t>
            </w:r>
            <w:proofErr w:type="gramEnd"/>
            <w:r w:rsidR="1FF777B0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PA</w:t>
            </w:r>
          </w:p>
        </w:tc>
        <w:tc>
          <w:tcPr>
            <w:tcW w:w="4677" w:type="dxa"/>
          </w:tcPr>
          <w:p w14:paraId="66B74174" w14:textId="77777777" w:rsidR="00A2345B" w:rsidRPr="006A1683" w:rsidRDefault="00A2345B" w:rsidP="0084617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563EE2C9" w:rsidRPr="006A1683" w14:paraId="4F210EEC" w14:textId="77777777" w:rsidTr="00447F3D">
        <w:trPr>
          <w:trHeight w:val="300"/>
        </w:trPr>
        <w:tc>
          <w:tcPr>
            <w:tcW w:w="2660" w:type="dxa"/>
          </w:tcPr>
          <w:p w14:paraId="2730333F" w14:textId="099BCD40" w:rsidR="3A4310FD" w:rsidRPr="006A1683" w:rsidRDefault="3A4310FD" w:rsidP="563EE2C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Cardiovascular Agents</w:t>
            </w:r>
          </w:p>
        </w:tc>
        <w:tc>
          <w:tcPr>
            <w:tcW w:w="2145" w:type="dxa"/>
          </w:tcPr>
          <w:p w14:paraId="6A44AEC2" w14:textId="58EF510C" w:rsidR="3A4310FD" w:rsidRPr="006A1683" w:rsidRDefault="3A4310FD" w:rsidP="563EE2C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Cardene</w:t>
            </w:r>
            <w:proofErr w:type="spellEnd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132F84EF" w:rsidRPr="006A1683">
              <w:rPr>
                <w:rFonts w:eastAsiaTheme="minorEastAsia"/>
                <w:color w:val="000000" w:themeColor="text1"/>
                <w:sz w:val="22"/>
                <w:szCs w:val="22"/>
              </w:rPr>
              <w:t>(nicardipine injection)—</w:t>
            </w:r>
            <w:r w:rsidR="132F84EF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MB</w:t>
            </w:r>
          </w:p>
        </w:tc>
        <w:tc>
          <w:tcPr>
            <w:tcW w:w="4677" w:type="dxa"/>
          </w:tcPr>
          <w:p w14:paraId="785AAEC4" w14:textId="6924E0AE" w:rsidR="563EE2C9" w:rsidRPr="006A1683" w:rsidRDefault="00AF741A" w:rsidP="563EE2C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B2488" w:rsidRPr="006A1683" w14:paraId="4C1C9AA5" w14:textId="77777777" w:rsidTr="00447F3D">
        <w:trPr>
          <w:trHeight w:val="300"/>
        </w:trPr>
        <w:tc>
          <w:tcPr>
            <w:tcW w:w="2660" w:type="dxa"/>
          </w:tcPr>
          <w:p w14:paraId="00658C87" w14:textId="1DF1E7D4" w:rsidR="003B2488" w:rsidRPr="006A1683" w:rsidRDefault="003B2488" w:rsidP="003B248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Hormones</w:t>
            </w:r>
            <w:r w:rsidR="0068389D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—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Gonadotropin-Releasing Hormone Analogs</w:t>
            </w:r>
          </w:p>
          <w:p w14:paraId="0DE81CC9" w14:textId="77777777" w:rsidR="003B2488" w:rsidRPr="006A1683" w:rsidRDefault="003B2488" w:rsidP="00A2345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45" w:type="dxa"/>
          </w:tcPr>
          <w:p w14:paraId="1CA4F2CF" w14:textId="77777777" w:rsidR="003B2488" w:rsidRPr="006A1683" w:rsidRDefault="003B2488" w:rsidP="00963ED0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77" w:type="dxa"/>
          </w:tcPr>
          <w:p w14:paraId="28193BC7" w14:textId="6C89A587" w:rsidR="003B2488" w:rsidRPr="006A1683" w:rsidRDefault="00997EB7" w:rsidP="00846173">
            <w:pPr>
              <w:rPr>
                <w:rFonts w:ascii="Arial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sz w:val="22"/>
                <w:szCs w:val="22"/>
              </w:rPr>
              <w:t xml:space="preserve">The following agent </w:t>
            </w:r>
            <w:r w:rsidR="00D754BD" w:rsidRPr="006A1683">
              <w:rPr>
                <w:rFonts w:ascii="Arial" w:hAnsi="Arial" w:cs="Arial"/>
                <w:sz w:val="22"/>
                <w:szCs w:val="22"/>
              </w:rPr>
              <w:t>is</w:t>
            </w:r>
            <w:r w:rsidRPr="006A1683">
              <w:rPr>
                <w:rFonts w:ascii="Arial" w:hAnsi="Arial" w:cs="Arial"/>
                <w:sz w:val="22"/>
                <w:szCs w:val="22"/>
              </w:rPr>
              <w:t xml:space="preserve"> no longer restricted to medical billing</w:t>
            </w:r>
            <w:r w:rsidR="00356017" w:rsidRPr="006A168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F03B3FB" w14:textId="0D2D9C87" w:rsidR="00997EB7" w:rsidRPr="006A1683" w:rsidRDefault="00997EB7" w:rsidP="001F013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Supprelin</w:t>
            </w:r>
            <w:proofErr w:type="spellEnd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LA</w:t>
            </w:r>
          </w:p>
        </w:tc>
      </w:tr>
      <w:tr w:rsidR="00091253" w:rsidRPr="006A1683" w14:paraId="6EE9F0D4" w14:textId="77777777" w:rsidTr="00447F3D">
        <w:trPr>
          <w:trHeight w:val="300"/>
        </w:trPr>
        <w:tc>
          <w:tcPr>
            <w:tcW w:w="2660" w:type="dxa"/>
          </w:tcPr>
          <w:p w14:paraId="01F899B5" w14:textId="1FC8EE1A" w:rsidR="00091253" w:rsidRPr="006A1683" w:rsidRDefault="00091253" w:rsidP="4DEF334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Immunological Agents</w:t>
            </w:r>
          </w:p>
        </w:tc>
        <w:tc>
          <w:tcPr>
            <w:tcW w:w="2145" w:type="dxa"/>
          </w:tcPr>
          <w:p w14:paraId="392D53ED" w14:textId="7CFA7D86" w:rsidR="00091253" w:rsidRPr="006A1683" w:rsidRDefault="58F6EB88" w:rsidP="563EE2C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Otezla XR</w:t>
            </w:r>
            <w:r w:rsidR="2798F2FF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2798F2FF" w:rsidRPr="006A1683">
              <w:rPr>
                <w:rFonts w:ascii="Arial" w:eastAsia="Arial" w:hAnsi="Arial" w:cs="Arial"/>
                <w:sz w:val="22"/>
                <w:szCs w:val="22"/>
              </w:rPr>
              <w:t>(apremilast extended-release)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—PA</w:t>
            </w:r>
          </w:p>
        </w:tc>
        <w:tc>
          <w:tcPr>
            <w:tcW w:w="4677" w:type="dxa"/>
          </w:tcPr>
          <w:p w14:paraId="51DCE043" w14:textId="46552887" w:rsidR="00533967" w:rsidRPr="006A1683" w:rsidRDefault="00AD1C35" w:rsidP="001F013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E47CF">
              <w:rPr>
                <w:rFonts w:ascii="Arial" w:hAnsi="Arial" w:cs="Arial"/>
                <w:color w:val="000000" w:themeColor="text1"/>
                <w:sz w:val="22"/>
                <w:szCs w:val="22"/>
              </w:rPr>
              <w:t>Update</w:t>
            </w:r>
            <w:r w:rsidR="00CB21A1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Zilretta</w:t>
            </w:r>
            <w:proofErr w:type="spellEnd"/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criteria to require clinical rationale for use over other comparable long-acting steroids</w:t>
            </w:r>
            <w:r w:rsidR="764BEEE9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allow trial of </w:t>
            </w:r>
            <w:r w:rsidR="000B5034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533967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methylprednisolone acetate (Depo-Medrol) </w:t>
            </w:r>
            <w:r w:rsidR="05F860F5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as an LCA trial</w:t>
            </w:r>
            <w:r w:rsidR="00356017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533967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AF97428" w14:textId="3CE072A9" w:rsidR="00E50324" w:rsidRPr="006A1683" w:rsidRDefault="00DC296D" w:rsidP="001F013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E47CF">
              <w:rPr>
                <w:rFonts w:ascii="Arial" w:hAnsi="Arial" w:cs="Arial"/>
                <w:sz w:val="22"/>
                <w:szCs w:val="22"/>
              </w:rPr>
              <w:t>Update</w:t>
            </w:r>
            <w:r w:rsidR="00CB21A1" w:rsidRPr="006A1683">
              <w:rPr>
                <w:rFonts w:ascii="Arial" w:hAnsi="Arial" w:cs="Arial"/>
                <w:sz w:val="22"/>
                <w:szCs w:val="22"/>
              </w:rPr>
              <w:t>d</w:t>
            </w:r>
            <w:r w:rsidRPr="006A16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A1683">
              <w:rPr>
                <w:rFonts w:ascii="Arial" w:hAnsi="Arial" w:cs="Arial"/>
                <w:b/>
                <w:bCs/>
                <w:sz w:val="22"/>
                <w:szCs w:val="22"/>
              </w:rPr>
              <w:t>Tremfya</w:t>
            </w:r>
            <w:r w:rsidRPr="006A1683">
              <w:rPr>
                <w:rFonts w:ascii="Arial" w:hAnsi="Arial" w:cs="Arial"/>
                <w:sz w:val="22"/>
                <w:szCs w:val="22"/>
              </w:rPr>
              <w:t xml:space="preserve"> criteria </w:t>
            </w:r>
            <w:r w:rsidR="00E50324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for </w:t>
            </w:r>
            <w:r w:rsidR="39B18B6D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expand</w:t>
            </w:r>
            <w:r w:rsidR="48F10780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ed use for</w:t>
            </w:r>
            <w:r w:rsidR="78B3E982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50324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plaque psoriasis</w:t>
            </w:r>
            <w:r w:rsidR="00356017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E50324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and psoriatic arthritis</w:t>
            </w:r>
            <w:r w:rsidR="6203C5BE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 pediatrics</w:t>
            </w:r>
            <w:r w:rsidR="00356017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6203C5BE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2797F" w:rsidRPr="006A1683" w14:paraId="3FAC0A33" w14:textId="77777777" w:rsidTr="00447F3D">
        <w:trPr>
          <w:trHeight w:val="300"/>
        </w:trPr>
        <w:tc>
          <w:tcPr>
            <w:tcW w:w="2660" w:type="dxa"/>
          </w:tcPr>
          <w:p w14:paraId="7805B371" w14:textId="4A43FB4F" w:rsidR="00A2797F" w:rsidRPr="006A1683" w:rsidRDefault="00716838" w:rsidP="4DEF334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Lipid-Lowering Agents</w:t>
            </w:r>
          </w:p>
        </w:tc>
        <w:tc>
          <w:tcPr>
            <w:tcW w:w="2145" w:type="dxa"/>
          </w:tcPr>
          <w:p w14:paraId="0DC1FAAD" w14:textId="381DC4E3" w:rsidR="00A2797F" w:rsidRPr="006A1683" w:rsidRDefault="3A0DBF49" w:rsidP="563EE2C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Redemp</w:t>
            </w:r>
            <w:r w:rsidR="02C40812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lo</w:t>
            </w:r>
            <w:proofErr w:type="spellEnd"/>
            <w:r w:rsidR="02C40812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4E12818C" w:rsidRPr="006A1683"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proofErr w:type="gramStart"/>
            <w:r w:rsidR="4E12818C" w:rsidRPr="006A1683">
              <w:rPr>
                <w:rFonts w:ascii="Arial" w:eastAsia="Arial" w:hAnsi="Arial" w:cs="Arial"/>
                <w:sz w:val="22"/>
                <w:szCs w:val="22"/>
              </w:rPr>
              <w:t>plozasiran</w:t>
            </w:r>
            <w:proofErr w:type="spellEnd"/>
            <w:r w:rsidR="4E12818C" w:rsidRPr="006A1683"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="02C40812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—</w:t>
            </w:r>
            <w:proofErr w:type="gramEnd"/>
            <w:r w:rsidR="02C40812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PA</w:t>
            </w:r>
          </w:p>
        </w:tc>
        <w:tc>
          <w:tcPr>
            <w:tcW w:w="4677" w:type="dxa"/>
          </w:tcPr>
          <w:p w14:paraId="65BA85CE" w14:textId="1FB1B0BA" w:rsidR="00A2797F" w:rsidRPr="006A1683" w:rsidRDefault="00E824F1" w:rsidP="005824D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E47CF">
              <w:rPr>
                <w:rFonts w:ascii="Arial" w:hAnsi="Arial" w:cs="Arial"/>
                <w:color w:val="000000" w:themeColor="text1"/>
                <w:sz w:val="22"/>
                <w:szCs w:val="22"/>
              </w:rPr>
              <w:t>Update</w:t>
            </w:r>
            <w:r w:rsidR="00CB21A1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Tryngolza</w:t>
            </w:r>
            <w:proofErr w:type="spellEnd"/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criteria</w:t>
            </w:r>
            <w:r w:rsidR="00681420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require step</w:t>
            </w:r>
            <w:r w:rsidR="0069727A">
              <w:rPr>
                <w:rFonts w:ascii="Arial" w:hAnsi="Arial" w:cs="Arial"/>
                <w:color w:val="000000" w:themeColor="text1"/>
                <w:sz w:val="22"/>
                <w:szCs w:val="22"/>
              </w:rPr>
              <w:t>ping</w:t>
            </w:r>
            <w:r w:rsid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681420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through </w:t>
            </w:r>
            <w:proofErr w:type="spellStart"/>
            <w:r w:rsidR="00681420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Redemplo</w:t>
            </w:r>
            <w:proofErr w:type="spellEnd"/>
            <w:r w:rsidR="00577C57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7C3B72" w:rsidRPr="006A1683" w14:paraId="7FDADA2B" w14:textId="77777777" w:rsidTr="00447F3D">
        <w:trPr>
          <w:trHeight w:val="300"/>
        </w:trPr>
        <w:tc>
          <w:tcPr>
            <w:tcW w:w="2660" w:type="dxa"/>
          </w:tcPr>
          <w:p w14:paraId="2E2086BC" w14:textId="015A9209" w:rsidR="007C3B72" w:rsidRPr="006A1683" w:rsidRDefault="007C3B72" w:rsidP="007C3B7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Neuromuscular Agents</w:t>
            </w:r>
            <w:r w:rsidR="0068389D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—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Duchenne Muscular Dystrophy and Spinal Muscular Atrophy</w:t>
            </w:r>
          </w:p>
          <w:p w14:paraId="5E444E81" w14:textId="77777777" w:rsidR="007C3B72" w:rsidRPr="006A1683" w:rsidRDefault="007C3B72" w:rsidP="4DEF334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45" w:type="dxa"/>
          </w:tcPr>
          <w:p w14:paraId="7D848FCA" w14:textId="60DE6B8A" w:rsidR="007C3B72" w:rsidRPr="006A1683" w:rsidRDefault="285CFB75" w:rsidP="563EE2C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Itvisma</w:t>
            </w:r>
            <w:proofErr w:type="spellEnd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6BC59D95" w:rsidRPr="006A1683"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r w:rsidR="6BC59D95" w:rsidRPr="006A1683">
              <w:rPr>
                <w:rFonts w:ascii="Arial" w:eastAsia="Arial" w:hAnsi="Arial" w:cs="Arial"/>
                <w:sz w:val="22"/>
                <w:szCs w:val="22"/>
              </w:rPr>
              <w:t>onasemnogene</w:t>
            </w:r>
            <w:proofErr w:type="spellEnd"/>
            <w:r w:rsidR="6BC59D95" w:rsidRPr="006A168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6BC59D95" w:rsidRPr="006A1683">
              <w:rPr>
                <w:rFonts w:ascii="Arial" w:eastAsia="Arial" w:hAnsi="Arial" w:cs="Arial"/>
                <w:sz w:val="22"/>
                <w:szCs w:val="22"/>
              </w:rPr>
              <w:t>abeparvovec-</w:t>
            </w:r>
            <w:proofErr w:type="gramStart"/>
            <w:r w:rsidR="6BC59D95" w:rsidRPr="006A1683">
              <w:rPr>
                <w:rFonts w:ascii="Arial" w:eastAsia="Arial" w:hAnsi="Arial" w:cs="Arial"/>
                <w:sz w:val="22"/>
                <w:szCs w:val="22"/>
              </w:rPr>
              <w:t>brve</w:t>
            </w:r>
            <w:proofErr w:type="spellEnd"/>
            <w:r w:rsidR="6BC59D95" w:rsidRPr="006A1683"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="006E79FF" w:rsidRPr="006A1683">
              <w:rPr>
                <w:rFonts w:ascii="Arial" w:eastAsia="Arial" w:hAnsi="Arial" w:cs="Arial"/>
                <w:sz w:val="22"/>
                <w:szCs w:val="22"/>
              </w:rPr>
              <w:t>—</w:t>
            </w:r>
            <w:proofErr w:type="gramEnd"/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PA</w:t>
            </w:r>
            <w:r w:rsidR="1F83CB7F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, CO, PD</w:t>
            </w:r>
          </w:p>
        </w:tc>
        <w:tc>
          <w:tcPr>
            <w:tcW w:w="4677" w:type="dxa"/>
          </w:tcPr>
          <w:p w14:paraId="502A2B78" w14:textId="110FE940" w:rsidR="001E52B6" w:rsidRPr="006A1683" w:rsidRDefault="001E52B6" w:rsidP="001F013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AE47CF">
              <w:rPr>
                <w:rFonts w:ascii="Arial" w:hAnsi="Arial" w:cs="Arial"/>
                <w:sz w:val="22"/>
                <w:szCs w:val="22"/>
              </w:rPr>
              <w:t>Update</w:t>
            </w:r>
            <w:r w:rsidR="00CB21A1" w:rsidRPr="006A1683">
              <w:rPr>
                <w:rFonts w:ascii="Arial" w:hAnsi="Arial" w:cs="Arial"/>
                <w:sz w:val="22"/>
                <w:szCs w:val="22"/>
              </w:rPr>
              <w:t>d</w:t>
            </w:r>
            <w:r w:rsidRPr="006A1683">
              <w:rPr>
                <w:rFonts w:ascii="Arial" w:hAnsi="Arial" w:cs="Arial"/>
                <w:sz w:val="22"/>
                <w:szCs w:val="22"/>
              </w:rPr>
              <w:t xml:space="preserve"> criteria to </w:t>
            </w:r>
            <w:r w:rsidR="527642CD" w:rsidRPr="006A1683">
              <w:rPr>
                <w:rFonts w:ascii="Arial" w:hAnsi="Arial" w:cs="Arial"/>
                <w:sz w:val="22"/>
                <w:szCs w:val="22"/>
              </w:rPr>
              <w:t xml:space="preserve">disallow use of </w:t>
            </w:r>
            <w:proofErr w:type="spellStart"/>
            <w:r w:rsidRPr="006A1683">
              <w:rPr>
                <w:rFonts w:ascii="Arial" w:hAnsi="Arial" w:cs="Arial"/>
                <w:b/>
                <w:bCs/>
                <w:sz w:val="22"/>
                <w:szCs w:val="22"/>
              </w:rPr>
              <w:t>Evrysdi</w:t>
            </w:r>
            <w:proofErr w:type="spellEnd"/>
            <w:r w:rsidRPr="006A1683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 w:rsidRPr="006A1683">
              <w:rPr>
                <w:rFonts w:ascii="Arial" w:hAnsi="Arial" w:cs="Arial"/>
                <w:b/>
                <w:bCs/>
                <w:sz w:val="22"/>
                <w:szCs w:val="22"/>
              </w:rPr>
              <w:t>Spinraza</w:t>
            </w:r>
            <w:proofErr w:type="spellEnd"/>
            <w:r w:rsidRPr="006A16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15CBE609" w:rsidRPr="006A1683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Pr="006A1683">
              <w:rPr>
                <w:rFonts w:ascii="Arial" w:hAnsi="Arial" w:cs="Arial"/>
                <w:sz w:val="22"/>
                <w:szCs w:val="22"/>
              </w:rPr>
              <w:t xml:space="preserve">members </w:t>
            </w:r>
            <w:r w:rsidR="76EDB4A6" w:rsidRPr="006A1683">
              <w:rPr>
                <w:rFonts w:ascii="Arial" w:hAnsi="Arial" w:cs="Arial"/>
                <w:sz w:val="22"/>
                <w:szCs w:val="22"/>
              </w:rPr>
              <w:t xml:space="preserve">previously treated with </w:t>
            </w:r>
            <w:r w:rsidRPr="006A1683">
              <w:rPr>
                <w:rFonts w:ascii="Arial" w:hAnsi="Arial" w:cs="Arial"/>
                <w:sz w:val="22"/>
                <w:szCs w:val="22"/>
              </w:rPr>
              <w:t>gene therapy for SMA</w:t>
            </w:r>
            <w:r w:rsidR="0068389D" w:rsidRPr="006A168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18D2BEC" w14:textId="2841BE04" w:rsidR="007C3B72" w:rsidRPr="006A1683" w:rsidRDefault="001E52B6" w:rsidP="001F013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AE47CF">
              <w:rPr>
                <w:rFonts w:ascii="Arial" w:hAnsi="Arial" w:cs="Arial"/>
                <w:sz w:val="22"/>
                <w:szCs w:val="22"/>
              </w:rPr>
              <w:t>Update</w:t>
            </w:r>
            <w:r w:rsidR="00CB21A1" w:rsidRPr="006A1683">
              <w:rPr>
                <w:rFonts w:ascii="Arial" w:hAnsi="Arial" w:cs="Arial"/>
                <w:sz w:val="22"/>
                <w:szCs w:val="22"/>
              </w:rPr>
              <w:t>d</w:t>
            </w:r>
            <w:r w:rsidRPr="006A1683">
              <w:rPr>
                <w:rFonts w:ascii="Arial" w:hAnsi="Arial" w:cs="Arial"/>
                <w:sz w:val="22"/>
                <w:szCs w:val="22"/>
              </w:rPr>
              <w:t xml:space="preserve"> recertification criteria to </w:t>
            </w:r>
            <w:r w:rsidR="1D95919C" w:rsidRPr="006A1683">
              <w:rPr>
                <w:rFonts w:ascii="Arial" w:hAnsi="Arial" w:cs="Arial"/>
                <w:sz w:val="22"/>
                <w:szCs w:val="22"/>
              </w:rPr>
              <w:t xml:space="preserve">clarify that </w:t>
            </w:r>
            <w:r w:rsidRPr="006A1683">
              <w:rPr>
                <w:rFonts w:ascii="Arial" w:hAnsi="Arial" w:cs="Arial"/>
                <w:sz w:val="22"/>
                <w:szCs w:val="22"/>
              </w:rPr>
              <w:t xml:space="preserve">updated functional test results </w:t>
            </w:r>
            <w:r w:rsidR="560C8138" w:rsidRPr="006A1683">
              <w:rPr>
                <w:rFonts w:ascii="Arial" w:hAnsi="Arial" w:cs="Arial"/>
                <w:sz w:val="22"/>
                <w:szCs w:val="22"/>
              </w:rPr>
              <w:t>are required for continuation of therapy to document positive response</w:t>
            </w:r>
            <w:r w:rsidR="00372E7D" w:rsidRPr="006A16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53594" w:rsidRPr="006A1683" w14:paraId="7B61676C" w14:textId="77777777" w:rsidTr="00447F3D">
        <w:trPr>
          <w:trHeight w:val="300"/>
        </w:trPr>
        <w:tc>
          <w:tcPr>
            <w:tcW w:w="2660" w:type="dxa"/>
          </w:tcPr>
          <w:p w14:paraId="7BDE956D" w14:textId="62C99F88" w:rsidR="00D53594" w:rsidRPr="006A1683" w:rsidRDefault="00D53594" w:rsidP="4DEF334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Oncology Agents</w:t>
            </w:r>
          </w:p>
        </w:tc>
        <w:tc>
          <w:tcPr>
            <w:tcW w:w="2145" w:type="dxa"/>
          </w:tcPr>
          <w:p w14:paraId="251782A4" w14:textId="5BE06752" w:rsidR="00D53594" w:rsidRPr="006A1683" w:rsidRDefault="768498DD" w:rsidP="563EE2C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Imkeldi </w:t>
            </w:r>
            <w:r w:rsidR="0DCF002D" w:rsidRPr="006A1683">
              <w:rPr>
                <w:rFonts w:ascii="Arial" w:eastAsia="Arial" w:hAnsi="Arial" w:cs="Arial"/>
                <w:sz w:val="22"/>
                <w:szCs w:val="22"/>
              </w:rPr>
              <w:t>(imatinib solution)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—PA</w:t>
            </w:r>
          </w:p>
        </w:tc>
        <w:tc>
          <w:tcPr>
            <w:tcW w:w="4677" w:type="dxa"/>
          </w:tcPr>
          <w:p w14:paraId="489A0FB8" w14:textId="083DB6A1" w:rsidR="00351744" w:rsidRPr="006A1683" w:rsidRDefault="00FA3748" w:rsidP="001F013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E47CF">
              <w:rPr>
                <w:rFonts w:ascii="Arial" w:hAnsi="Arial" w:cs="Arial"/>
                <w:sz w:val="22"/>
                <w:szCs w:val="22"/>
              </w:rPr>
              <w:t>Update</w:t>
            </w:r>
            <w:r w:rsidR="00CB21A1" w:rsidRPr="006A1683">
              <w:rPr>
                <w:rFonts w:ascii="Arial" w:hAnsi="Arial" w:cs="Arial"/>
                <w:sz w:val="22"/>
                <w:szCs w:val="22"/>
              </w:rPr>
              <w:t>d</w:t>
            </w:r>
            <w:r w:rsidRPr="006A16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A1683">
              <w:rPr>
                <w:rFonts w:ascii="Arial" w:hAnsi="Arial" w:cs="Arial"/>
                <w:b/>
                <w:bCs/>
                <w:sz w:val="22"/>
                <w:szCs w:val="22"/>
              </w:rPr>
              <w:t>Adcetris</w:t>
            </w:r>
            <w:proofErr w:type="spellEnd"/>
            <w:r w:rsidRPr="006A1683">
              <w:rPr>
                <w:rFonts w:ascii="Arial" w:hAnsi="Arial" w:cs="Arial"/>
                <w:sz w:val="22"/>
                <w:szCs w:val="22"/>
              </w:rPr>
              <w:t xml:space="preserve"> criteria to reflect</w:t>
            </w:r>
            <w:r w:rsidR="00372E7D" w:rsidRPr="006A1683">
              <w:rPr>
                <w:rFonts w:ascii="Arial" w:hAnsi="Arial" w:cs="Arial"/>
                <w:sz w:val="22"/>
                <w:szCs w:val="22"/>
              </w:rPr>
              <w:t xml:space="preserve"> the following. </w:t>
            </w:r>
            <w:r w:rsidRPr="006A16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5847186" w14:textId="77777777" w:rsidR="00351744" w:rsidRPr="006A1683" w:rsidRDefault="00351744" w:rsidP="001F013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6A1683">
              <w:rPr>
                <w:rFonts w:ascii="Arial" w:hAnsi="Arial" w:cs="Arial"/>
                <w:sz w:val="22"/>
                <w:szCs w:val="22"/>
              </w:rPr>
              <w:t>E</w:t>
            </w:r>
            <w:r w:rsidR="00FA3748" w:rsidRPr="006A1683">
              <w:rPr>
                <w:rFonts w:ascii="Arial" w:hAnsi="Arial" w:cs="Arial"/>
                <w:sz w:val="22"/>
                <w:szCs w:val="22"/>
              </w:rPr>
              <w:t xml:space="preserve">xpanded indication for relapsed/refractory </w:t>
            </w:r>
            <w:r w:rsidR="00AA5EF3" w:rsidRPr="006A1683">
              <w:rPr>
                <w:rFonts w:ascii="Arial" w:hAnsi="Arial" w:cs="Arial"/>
                <w:sz w:val="22"/>
                <w:szCs w:val="22"/>
              </w:rPr>
              <w:t>l</w:t>
            </w:r>
            <w:r w:rsidR="007A529F" w:rsidRPr="006A1683">
              <w:rPr>
                <w:rFonts w:ascii="Arial" w:hAnsi="Arial" w:cs="Arial"/>
                <w:sz w:val="22"/>
                <w:szCs w:val="22"/>
              </w:rPr>
              <w:t xml:space="preserve">arge </w:t>
            </w:r>
            <w:r w:rsidR="00FA3748" w:rsidRPr="006A1683">
              <w:rPr>
                <w:rFonts w:ascii="Arial" w:hAnsi="Arial" w:cs="Arial"/>
                <w:sz w:val="22"/>
                <w:szCs w:val="22"/>
              </w:rPr>
              <w:t>B</w:t>
            </w:r>
            <w:r w:rsidR="007A529F" w:rsidRPr="006A1683">
              <w:rPr>
                <w:rFonts w:ascii="Arial" w:hAnsi="Arial" w:cs="Arial"/>
                <w:sz w:val="22"/>
                <w:szCs w:val="22"/>
              </w:rPr>
              <w:t>-</w:t>
            </w:r>
            <w:r w:rsidR="00AA5EF3" w:rsidRPr="006A1683">
              <w:rPr>
                <w:rFonts w:ascii="Arial" w:hAnsi="Arial" w:cs="Arial"/>
                <w:sz w:val="22"/>
                <w:szCs w:val="22"/>
              </w:rPr>
              <w:t>c</w:t>
            </w:r>
            <w:r w:rsidR="007A529F" w:rsidRPr="006A1683">
              <w:rPr>
                <w:rFonts w:ascii="Arial" w:hAnsi="Arial" w:cs="Arial"/>
                <w:sz w:val="22"/>
                <w:szCs w:val="22"/>
              </w:rPr>
              <w:t xml:space="preserve">ell </w:t>
            </w:r>
            <w:r w:rsidR="00AA5EF3" w:rsidRPr="006A1683">
              <w:rPr>
                <w:rFonts w:ascii="Arial" w:hAnsi="Arial" w:cs="Arial"/>
                <w:sz w:val="22"/>
                <w:szCs w:val="22"/>
              </w:rPr>
              <w:t>l</w:t>
            </w:r>
            <w:r w:rsidR="007A529F" w:rsidRPr="006A1683">
              <w:rPr>
                <w:rFonts w:ascii="Arial" w:hAnsi="Arial" w:cs="Arial"/>
                <w:sz w:val="22"/>
                <w:szCs w:val="22"/>
              </w:rPr>
              <w:t>ymphoma (LBCL)</w:t>
            </w:r>
            <w:r w:rsidR="00FA3748" w:rsidRPr="006A1683">
              <w:rPr>
                <w:rFonts w:ascii="Arial" w:hAnsi="Arial" w:cs="Arial"/>
                <w:sz w:val="22"/>
                <w:szCs w:val="22"/>
              </w:rPr>
              <w:t xml:space="preserve">, including </w:t>
            </w:r>
            <w:r w:rsidR="00AA5EF3" w:rsidRPr="006A1683">
              <w:rPr>
                <w:rFonts w:ascii="Arial" w:hAnsi="Arial" w:cs="Arial"/>
                <w:sz w:val="22"/>
                <w:szCs w:val="22"/>
              </w:rPr>
              <w:t xml:space="preserve">diffuse large </w:t>
            </w:r>
            <w:r w:rsidR="00FA3748" w:rsidRPr="006A1683">
              <w:rPr>
                <w:rFonts w:ascii="Arial" w:hAnsi="Arial" w:cs="Arial"/>
                <w:sz w:val="22"/>
                <w:szCs w:val="22"/>
              </w:rPr>
              <w:t>B</w:t>
            </w:r>
            <w:r w:rsidR="00AA5EF3" w:rsidRPr="006A1683">
              <w:rPr>
                <w:rFonts w:ascii="Arial" w:hAnsi="Arial" w:cs="Arial"/>
                <w:sz w:val="22"/>
                <w:szCs w:val="22"/>
              </w:rPr>
              <w:t>-cell lymphoma</w:t>
            </w:r>
            <w:r w:rsidR="008967AD" w:rsidRPr="006A1683">
              <w:rPr>
                <w:rFonts w:ascii="Arial" w:hAnsi="Arial" w:cs="Arial"/>
                <w:sz w:val="22"/>
                <w:szCs w:val="22"/>
              </w:rPr>
              <w:t xml:space="preserve"> (DLBCL)</w:t>
            </w:r>
            <w:r w:rsidR="00FA3748" w:rsidRPr="006A168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880085" w14:textId="45E4F7B2" w:rsidR="00351744" w:rsidRPr="006A1683" w:rsidRDefault="00EA1BCB" w:rsidP="001F013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AE47CF">
              <w:rPr>
                <w:rFonts w:ascii="Arial" w:hAnsi="Arial" w:cs="Arial"/>
                <w:sz w:val="22"/>
                <w:szCs w:val="22"/>
              </w:rPr>
              <w:t>Update</w:t>
            </w:r>
            <w:r w:rsidR="00CB21A1" w:rsidRPr="006A1683">
              <w:rPr>
                <w:rFonts w:ascii="Arial" w:hAnsi="Arial" w:cs="Arial"/>
                <w:sz w:val="22"/>
                <w:szCs w:val="22"/>
              </w:rPr>
              <w:t>d</w:t>
            </w:r>
            <w:r w:rsidRPr="006A1683">
              <w:rPr>
                <w:rFonts w:ascii="Arial" w:hAnsi="Arial" w:cs="Arial"/>
                <w:sz w:val="22"/>
                <w:szCs w:val="22"/>
              </w:rPr>
              <w:t xml:space="preserve"> diagnosis language from Hodgkin lymphoma (HL) to classical Hodgkin lymphoma (</w:t>
            </w:r>
            <w:proofErr w:type="spellStart"/>
            <w:r w:rsidRPr="006A1683">
              <w:rPr>
                <w:rFonts w:ascii="Arial" w:hAnsi="Arial" w:cs="Arial"/>
                <w:sz w:val="22"/>
                <w:szCs w:val="22"/>
              </w:rPr>
              <w:t>cHL</w:t>
            </w:r>
            <w:proofErr w:type="spellEnd"/>
            <w:r w:rsidRPr="006A1683">
              <w:rPr>
                <w:rFonts w:ascii="Arial" w:hAnsi="Arial" w:cs="Arial"/>
                <w:sz w:val="22"/>
                <w:szCs w:val="22"/>
              </w:rPr>
              <w:t>).</w:t>
            </w:r>
            <w:r w:rsidR="001271B9" w:rsidRPr="006A16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340F89" w14:textId="21EB17A4" w:rsidR="00351744" w:rsidRPr="006A1683" w:rsidRDefault="001271B9" w:rsidP="001F013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AE47CF">
              <w:rPr>
                <w:rFonts w:ascii="Arial" w:hAnsi="Arial" w:cs="Arial"/>
                <w:sz w:val="22"/>
                <w:szCs w:val="22"/>
              </w:rPr>
              <w:t>R</w:t>
            </w:r>
            <w:r w:rsidR="00EA1BCB" w:rsidRPr="00AE47CF">
              <w:rPr>
                <w:rFonts w:ascii="Arial" w:hAnsi="Arial" w:cs="Arial"/>
                <w:sz w:val="22"/>
                <w:szCs w:val="22"/>
              </w:rPr>
              <w:t>emove</w:t>
            </w:r>
            <w:r w:rsidR="00E32756" w:rsidRPr="006A1683">
              <w:rPr>
                <w:rFonts w:ascii="Arial" w:hAnsi="Arial" w:cs="Arial"/>
                <w:sz w:val="22"/>
                <w:szCs w:val="22"/>
              </w:rPr>
              <w:t>d</w:t>
            </w:r>
            <w:r w:rsidR="00EA1BCB" w:rsidRPr="006A1683">
              <w:rPr>
                <w:rFonts w:ascii="Arial" w:hAnsi="Arial" w:cs="Arial"/>
                <w:sz w:val="22"/>
                <w:szCs w:val="22"/>
              </w:rPr>
              <w:t xml:space="preserve"> clinical rationale </w:t>
            </w:r>
            <w:r w:rsidR="006D0ECC" w:rsidRPr="006A1683">
              <w:rPr>
                <w:rFonts w:ascii="Arial" w:hAnsi="Arial" w:cs="Arial"/>
                <w:sz w:val="22"/>
                <w:szCs w:val="22"/>
              </w:rPr>
              <w:t>as to why the other available treatment regimens cannot be used</w:t>
            </w:r>
            <w:r w:rsidR="00EA1BCB" w:rsidRPr="006A1683">
              <w:rPr>
                <w:rFonts w:ascii="Arial" w:hAnsi="Arial" w:cs="Arial"/>
                <w:sz w:val="22"/>
                <w:szCs w:val="22"/>
              </w:rPr>
              <w:t>.</w:t>
            </w:r>
            <w:r w:rsidRPr="006A16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72961F8" w14:textId="2B24C506" w:rsidR="00351744" w:rsidRPr="006A1683" w:rsidRDefault="00146304" w:rsidP="001F013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AE47CF">
              <w:rPr>
                <w:rFonts w:ascii="Arial" w:hAnsi="Arial" w:cs="Arial"/>
                <w:sz w:val="22"/>
                <w:szCs w:val="22"/>
              </w:rPr>
              <w:t>Update</w:t>
            </w:r>
            <w:r w:rsidR="00E32756" w:rsidRPr="006A1683">
              <w:rPr>
                <w:rFonts w:ascii="Arial" w:hAnsi="Arial" w:cs="Arial"/>
                <w:sz w:val="22"/>
                <w:szCs w:val="22"/>
              </w:rPr>
              <w:t>d</w:t>
            </w:r>
            <w:r w:rsidRPr="006A1683">
              <w:rPr>
                <w:rFonts w:ascii="Arial" w:hAnsi="Arial" w:cs="Arial"/>
                <w:sz w:val="22"/>
                <w:szCs w:val="22"/>
              </w:rPr>
              <w:t xml:space="preserve"> relapsed/refractory </w:t>
            </w:r>
            <w:proofErr w:type="spellStart"/>
            <w:r w:rsidRPr="006A1683">
              <w:rPr>
                <w:rFonts w:ascii="Arial" w:hAnsi="Arial" w:cs="Arial"/>
                <w:sz w:val="22"/>
                <w:szCs w:val="22"/>
              </w:rPr>
              <w:t>cHL</w:t>
            </w:r>
            <w:proofErr w:type="spellEnd"/>
            <w:r w:rsidRPr="006A1683">
              <w:rPr>
                <w:rFonts w:ascii="Arial" w:hAnsi="Arial" w:cs="Arial"/>
                <w:sz w:val="22"/>
                <w:szCs w:val="22"/>
              </w:rPr>
              <w:t xml:space="preserve"> criteria to clarify post-auto-HSCT requirements</w:t>
            </w:r>
            <w:r w:rsidR="00372E7D" w:rsidRPr="006A1683">
              <w:rPr>
                <w:rFonts w:ascii="Arial" w:hAnsi="Arial" w:cs="Arial"/>
                <w:sz w:val="22"/>
                <w:szCs w:val="22"/>
              </w:rPr>
              <w:t>,</w:t>
            </w:r>
            <w:r w:rsidRPr="006A1683">
              <w:rPr>
                <w:rFonts w:ascii="Arial" w:hAnsi="Arial" w:cs="Arial"/>
                <w:sz w:val="22"/>
                <w:szCs w:val="22"/>
              </w:rPr>
              <w:t xml:space="preserve"> and to separate criteria for members who are not candidates for auto-HSCT and have had inadequate response or adverse reaction to two prior multi-agent chemotherapy regimens.</w:t>
            </w:r>
            <w:r w:rsidR="00FC4967" w:rsidRPr="006A16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1FB93CA" w14:textId="27C913B1" w:rsidR="00EA1BCB" w:rsidRPr="006A1683" w:rsidRDefault="00EA1BCB" w:rsidP="001F013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E47CF">
              <w:rPr>
                <w:rFonts w:ascii="Arial" w:hAnsi="Arial" w:cs="Arial"/>
                <w:sz w:val="22"/>
                <w:szCs w:val="22"/>
              </w:rPr>
              <w:t>Update</w:t>
            </w:r>
            <w:r w:rsidR="00E32756" w:rsidRPr="006A1683">
              <w:rPr>
                <w:rFonts w:ascii="Arial" w:hAnsi="Arial" w:cs="Arial"/>
                <w:sz w:val="22"/>
                <w:szCs w:val="22"/>
              </w:rPr>
              <w:t>d</w:t>
            </w:r>
            <w:r w:rsidR="00BC2C8B" w:rsidRPr="006A1683">
              <w:rPr>
                <w:rFonts w:ascii="Arial" w:hAnsi="Arial" w:cs="Arial"/>
                <w:sz w:val="22"/>
                <w:szCs w:val="22"/>
              </w:rPr>
              <w:t xml:space="preserve"> systemic anaplastic large </w:t>
            </w:r>
            <w:r w:rsidR="00171DE6" w:rsidRPr="006A1683">
              <w:rPr>
                <w:rFonts w:ascii="Arial" w:hAnsi="Arial" w:cs="Arial"/>
                <w:sz w:val="22"/>
                <w:szCs w:val="22"/>
              </w:rPr>
              <w:t>cell lymphoma</w:t>
            </w:r>
            <w:r w:rsidRPr="006A16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1DE6" w:rsidRPr="006A1683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6A1683">
              <w:rPr>
                <w:rFonts w:ascii="Arial" w:hAnsi="Arial" w:cs="Arial"/>
                <w:sz w:val="22"/>
                <w:szCs w:val="22"/>
              </w:rPr>
              <w:t>sALCL</w:t>
            </w:r>
            <w:proofErr w:type="spellEnd"/>
            <w:r w:rsidR="00171DE6" w:rsidRPr="006A1683">
              <w:rPr>
                <w:rFonts w:ascii="Arial" w:hAnsi="Arial" w:cs="Arial"/>
                <w:sz w:val="22"/>
                <w:szCs w:val="22"/>
              </w:rPr>
              <w:t>)</w:t>
            </w:r>
            <w:r w:rsidRPr="006A1683">
              <w:rPr>
                <w:rFonts w:ascii="Arial" w:hAnsi="Arial" w:cs="Arial"/>
                <w:sz w:val="22"/>
                <w:szCs w:val="22"/>
              </w:rPr>
              <w:t xml:space="preserve"> criteria to </w:t>
            </w:r>
            <w:r w:rsidR="2C7AE878" w:rsidRPr="006A1683">
              <w:rPr>
                <w:rFonts w:ascii="Arial" w:hAnsi="Arial" w:cs="Arial"/>
                <w:sz w:val="22"/>
                <w:szCs w:val="22"/>
              </w:rPr>
              <w:t>address</w:t>
            </w:r>
            <w:r w:rsidR="00372E7D" w:rsidRPr="006A16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44AB3C02" w:rsidRPr="006A1683">
              <w:rPr>
                <w:rFonts w:ascii="Arial" w:hAnsi="Arial" w:cs="Arial"/>
                <w:sz w:val="22"/>
                <w:szCs w:val="22"/>
              </w:rPr>
              <w:t>monotherapy</w:t>
            </w:r>
            <w:r w:rsidRPr="006A1683">
              <w:rPr>
                <w:rFonts w:ascii="Arial" w:hAnsi="Arial" w:cs="Arial"/>
                <w:sz w:val="22"/>
                <w:szCs w:val="22"/>
              </w:rPr>
              <w:t xml:space="preserve"> use.</w:t>
            </w:r>
          </w:p>
        </w:tc>
      </w:tr>
      <w:tr w:rsidR="563EE2C9" w:rsidRPr="006A1683" w14:paraId="1FE2B68B" w14:textId="77777777" w:rsidTr="00447F3D">
        <w:trPr>
          <w:trHeight w:val="300"/>
        </w:trPr>
        <w:tc>
          <w:tcPr>
            <w:tcW w:w="2660" w:type="dxa"/>
          </w:tcPr>
          <w:p w14:paraId="1874013C" w14:textId="5CBAD0A3" w:rsidR="14688D8E" w:rsidRPr="006A1683" w:rsidRDefault="14688D8E" w:rsidP="563EE2C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Ophthalmic Preparations</w:t>
            </w:r>
          </w:p>
        </w:tc>
        <w:tc>
          <w:tcPr>
            <w:tcW w:w="2145" w:type="dxa"/>
          </w:tcPr>
          <w:p w14:paraId="77223692" w14:textId="7A9F62D8" w:rsidR="14688D8E" w:rsidRPr="006A1683" w:rsidRDefault="14688D8E" w:rsidP="563EE2C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Visudyne</w:t>
            </w:r>
            <w:proofErr w:type="spellEnd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(verteporfin)</w:t>
            </w:r>
          </w:p>
        </w:tc>
        <w:tc>
          <w:tcPr>
            <w:tcW w:w="4677" w:type="dxa"/>
          </w:tcPr>
          <w:p w14:paraId="4A709C83" w14:textId="36DD5142" w:rsidR="563EE2C9" w:rsidRPr="006A1683" w:rsidRDefault="563EE2C9" w:rsidP="563EE2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563EE2C9" w:rsidRPr="006A1683" w14:paraId="02E7795D" w14:textId="77777777" w:rsidTr="00447F3D">
        <w:trPr>
          <w:trHeight w:val="300"/>
        </w:trPr>
        <w:tc>
          <w:tcPr>
            <w:tcW w:w="2660" w:type="dxa"/>
          </w:tcPr>
          <w:p w14:paraId="250CDB78" w14:textId="5EBF3732" w:rsidR="3F25994B" w:rsidRPr="006A1683" w:rsidRDefault="3F25994B" w:rsidP="563EE2C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Opioid and Analgesics</w:t>
            </w:r>
          </w:p>
        </w:tc>
        <w:tc>
          <w:tcPr>
            <w:tcW w:w="2145" w:type="dxa"/>
          </w:tcPr>
          <w:p w14:paraId="38E96C5F" w14:textId="4A772411" w:rsidR="3F25994B" w:rsidRPr="006A1683" w:rsidRDefault="3F25994B" w:rsidP="563EE2C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tapentadol</w:t>
            </w:r>
            <w:proofErr w:type="spellEnd"/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—PA</w:t>
            </w:r>
          </w:p>
          <w:p w14:paraId="4FDF07DA" w14:textId="3F32D041" w:rsidR="3F25994B" w:rsidRPr="006A1683" w:rsidRDefault="3F25994B" w:rsidP="563EE2C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tapentadol</w:t>
            </w:r>
            <w:proofErr w:type="spellEnd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extended release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—PA</w:t>
            </w:r>
          </w:p>
        </w:tc>
        <w:tc>
          <w:tcPr>
            <w:tcW w:w="4677" w:type="dxa"/>
          </w:tcPr>
          <w:p w14:paraId="6EDE81CE" w14:textId="4ADDE62A" w:rsidR="563EE2C9" w:rsidRPr="006A1683" w:rsidRDefault="563EE2C9" w:rsidP="563EE2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5D4C" w:rsidRPr="006A1683" w14:paraId="6A0C6DE6" w14:textId="77777777" w:rsidTr="00447F3D">
        <w:trPr>
          <w:trHeight w:val="300"/>
        </w:trPr>
        <w:tc>
          <w:tcPr>
            <w:tcW w:w="2660" w:type="dxa"/>
          </w:tcPr>
          <w:p w14:paraId="7E4F2971" w14:textId="79E0FA6D" w:rsidR="00D65D4C" w:rsidRPr="006A1683" w:rsidRDefault="00D65D4C" w:rsidP="4DEF334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Osteoporosis and Bone Metabolism Agents</w:t>
            </w:r>
          </w:p>
        </w:tc>
        <w:tc>
          <w:tcPr>
            <w:tcW w:w="2145" w:type="dxa"/>
          </w:tcPr>
          <w:p w14:paraId="37B77DF4" w14:textId="46E9E0A9" w:rsidR="00D65D4C" w:rsidRPr="006A1683" w:rsidRDefault="0AE33DFE" w:rsidP="563EE2C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Bildyos</w:t>
            </w:r>
            <w:proofErr w:type="spellEnd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4421BF6D" w:rsidRPr="006A1683">
              <w:rPr>
                <w:rFonts w:ascii="Arial" w:eastAsia="Arial" w:hAnsi="Arial" w:cs="Arial"/>
                <w:sz w:val="22"/>
                <w:szCs w:val="22"/>
              </w:rPr>
              <w:t>(denosumab-</w:t>
            </w:r>
            <w:proofErr w:type="spellStart"/>
            <w:r w:rsidR="4421BF6D" w:rsidRPr="006A1683">
              <w:rPr>
                <w:rFonts w:ascii="Arial" w:eastAsia="Arial" w:hAnsi="Arial" w:cs="Arial"/>
                <w:sz w:val="22"/>
                <w:szCs w:val="22"/>
              </w:rPr>
              <w:t>nxxp</w:t>
            </w:r>
            <w:proofErr w:type="spellEnd"/>
            <w:r w:rsidR="4421BF6D" w:rsidRPr="006A1683"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—PA</w:t>
            </w:r>
          </w:p>
          <w:p w14:paraId="2C356A24" w14:textId="7482326B" w:rsidR="005807F1" w:rsidRPr="006A1683" w:rsidRDefault="0AE33DFE" w:rsidP="563EE2C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Bilpre</w:t>
            </w:r>
            <w:r w:rsidR="308C7095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</w:t>
            </w:r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</w:t>
            </w:r>
            <w:proofErr w:type="spellEnd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7C131F4E" w:rsidRPr="006A1683">
              <w:rPr>
                <w:rFonts w:ascii="Arial" w:eastAsia="Arial" w:hAnsi="Arial" w:cs="Arial"/>
                <w:sz w:val="22"/>
                <w:szCs w:val="22"/>
              </w:rPr>
              <w:t>(denosumab-</w:t>
            </w:r>
            <w:proofErr w:type="spellStart"/>
            <w:r w:rsidR="7C131F4E" w:rsidRPr="006A1683">
              <w:rPr>
                <w:rFonts w:ascii="Arial" w:eastAsia="Arial" w:hAnsi="Arial" w:cs="Arial"/>
                <w:sz w:val="22"/>
                <w:szCs w:val="22"/>
              </w:rPr>
              <w:t>nxxp</w:t>
            </w:r>
            <w:proofErr w:type="spellEnd"/>
            <w:r w:rsidR="7C131F4E" w:rsidRPr="006A1683"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—PA</w:t>
            </w:r>
          </w:p>
          <w:p w14:paraId="7DECB442" w14:textId="3F11B18F" w:rsidR="007B6D01" w:rsidRPr="006A1683" w:rsidRDefault="049F8FB1" w:rsidP="563EE2C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Bonsity</w:t>
            </w:r>
            <w:proofErr w:type="spellEnd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2C4FA456" w:rsidRPr="006A1683"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gramStart"/>
            <w:r w:rsidR="2C4FA456" w:rsidRPr="006A1683">
              <w:rPr>
                <w:rFonts w:ascii="Arial" w:eastAsia="Arial" w:hAnsi="Arial" w:cs="Arial"/>
                <w:sz w:val="22"/>
                <w:szCs w:val="22"/>
              </w:rPr>
              <w:t>teriparatide)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—</w:t>
            </w:r>
            <w:proofErr w:type="gramEnd"/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PA</w:t>
            </w:r>
          </w:p>
          <w:p w14:paraId="3B6E6D37" w14:textId="2CD6E9A7" w:rsidR="005807F1" w:rsidRPr="006A1683" w:rsidRDefault="0AE33DFE" w:rsidP="563EE2C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Enoby</w:t>
            </w:r>
            <w:proofErr w:type="spellEnd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2DC585E7" w:rsidRPr="006A1683">
              <w:rPr>
                <w:rFonts w:ascii="Arial" w:eastAsia="Arial" w:hAnsi="Arial" w:cs="Arial"/>
                <w:sz w:val="22"/>
                <w:szCs w:val="22"/>
              </w:rPr>
              <w:t>(denosumab-</w:t>
            </w:r>
            <w:proofErr w:type="spellStart"/>
            <w:r w:rsidR="2DC585E7" w:rsidRPr="006A1683">
              <w:rPr>
                <w:rFonts w:ascii="Arial" w:eastAsia="Arial" w:hAnsi="Arial" w:cs="Arial"/>
                <w:sz w:val="22"/>
                <w:szCs w:val="22"/>
              </w:rPr>
              <w:t>qbde</w:t>
            </w:r>
            <w:proofErr w:type="spellEnd"/>
            <w:r w:rsidR="2DC585E7" w:rsidRPr="006A1683"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—PA</w:t>
            </w:r>
          </w:p>
          <w:p w14:paraId="3DF5CB43" w14:textId="5C3E6729" w:rsidR="005807F1" w:rsidRPr="006A1683" w:rsidRDefault="5F866E3D" w:rsidP="563EE2C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Xtre</w:t>
            </w:r>
            <w:r w:rsidR="0AE33DFE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nbo</w:t>
            </w:r>
            <w:proofErr w:type="spellEnd"/>
            <w:r w:rsidR="0AE33DFE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55363BDE" w:rsidRPr="006A1683">
              <w:rPr>
                <w:rFonts w:ascii="Arial" w:eastAsia="Arial" w:hAnsi="Arial" w:cs="Arial"/>
                <w:sz w:val="22"/>
                <w:szCs w:val="22"/>
              </w:rPr>
              <w:t>(denosumab-</w:t>
            </w:r>
            <w:proofErr w:type="spellStart"/>
            <w:r w:rsidR="55363BDE" w:rsidRPr="006A1683">
              <w:rPr>
                <w:rFonts w:ascii="Arial" w:eastAsia="Arial" w:hAnsi="Arial" w:cs="Arial"/>
                <w:sz w:val="22"/>
                <w:szCs w:val="22"/>
              </w:rPr>
              <w:t>qbde</w:t>
            </w:r>
            <w:proofErr w:type="spellEnd"/>
            <w:r w:rsidR="55363BDE" w:rsidRPr="006A1683"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="0AE33DFE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—PA</w:t>
            </w:r>
          </w:p>
        </w:tc>
        <w:tc>
          <w:tcPr>
            <w:tcW w:w="4677" w:type="dxa"/>
          </w:tcPr>
          <w:p w14:paraId="1D25744A" w14:textId="5F81CC6E" w:rsidR="005075B4" w:rsidRPr="006A1683" w:rsidRDefault="005075B4" w:rsidP="005075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AE47CF">
              <w:rPr>
                <w:rFonts w:ascii="Arial" w:hAnsi="Arial" w:cs="Arial"/>
                <w:sz w:val="22"/>
                <w:szCs w:val="22"/>
              </w:rPr>
              <w:lastRenderedPageBreak/>
              <w:t>Update</w:t>
            </w:r>
            <w:r w:rsidR="00E32756" w:rsidRPr="006A1683">
              <w:rPr>
                <w:rFonts w:ascii="Arial" w:hAnsi="Arial" w:cs="Arial"/>
                <w:sz w:val="22"/>
                <w:szCs w:val="22"/>
              </w:rPr>
              <w:t>d</w:t>
            </w:r>
            <w:r w:rsidRPr="006A1683">
              <w:rPr>
                <w:rFonts w:ascii="Arial" w:hAnsi="Arial" w:cs="Arial"/>
                <w:sz w:val="22"/>
                <w:szCs w:val="22"/>
              </w:rPr>
              <w:t xml:space="preserve"> criteria for Prolia and its biosimilars to require </w:t>
            </w:r>
            <w:proofErr w:type="spellStart"/>
            <w:r w:rsidRPr="006A1683">
              <w:rPr>
                <w:rFonts w:ascii="Arial" w:hAnsi="Arial" w:cs="Arial"/>
                <w:sz w:val="22"/>
                <w:szCs w:val="22"/>
              </w:rPr>
              <w:t>Enoby</w:t>
            </w:r>
            <w:proofErr w:type="spellEnd"/>
            <w:r w:rsidRPr="006A1683">
              <w:rPr>
                <w:rFonts w:ascii="Arial" w:hAnsi="Arial" w:cs="Arial"/>
                <w:sz w:val="22"/>
                <w:szCs w:val="22"/>
              </w:rPr>
              <w:t xml:space="preserve"> as an LCA trial</w:t>
            </w:r>
            <w:r w:rsidR="00C35DCE" w:rsidRPr="006A168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EB11BD" w14:textId="521F4DE1" w:rsidR="005075B4" w:rsidRPr="006A1683" w:rsidRDefault="005075B4" w:rsidP="005075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AE47CF">
              <w:rPr>
                <w:rFonts w:ascii="Arial" w:hAnsi="Arial" w:cs="Arial"/>
                <w:sz w:val="22"/>
                <w:szCs w:val="22"/>
              </w:rPr>
              <w:t>Update</w:t>
            </w:r>
            <w:r w:rsidR="00E32756" w:rsidRPr="006A1683">
              <w:rPr>
                <w:rFonts w:ascii="Arial" w:hAnsi="Arial" w:cs="Arial"/>
                <w:sz w:val="22"/>
                <w:szCs w:val="22"/>
              </w:rPr>
              <w:t>d</w:t>
            </w:r>
            <w:r w:rsidRPr="006A1683">
              <w:rPr>
                <w:rFonts w:ascii="Arial" w:hAnsi="Arial" w:cs="Arial"/>
                <w:sz w:val="22"/>
                <w:szCs w:val="22"/>
              </w:rPr>
              <w:t xml:space="preserve"> criteria for </w:t>
            </w:r>
            <w:proofErr w:type="spellStart"/>
            <w:r w:rsidRPr="006A1683">
              <w:rPr>
                <w:rFonts w:ascii="Arial" w:hAnsi="Arial" w:cs="Arial"/>
                <w:sz w:val="22"/>
                <w:szCs w:val="22"/>
              </w:rPr>
              <w:t>Xgeva</w:t>
            </w:r>
            <w:proofErr w:type="spellEnd"/>
            <w:r w:rsidRPr="006A1683">
              <w:rPr>
                <w:rFonts w:ascii="Arial" w:hAnsi="Arial" w:cs="Arial"/>
                <w:sz w:val="22"/>
                <w:szCs w:val="22"/>
              </w:rPr>
              <w:t xml:space="preserve"> and its biosimilars to require </w:t>
            </w:r>
            <w:proofErr w:type="spellStart"/>
            <w:r w:rsidRPr="006A1683">
              <w:rPr>
                <w:rFonts w:ascii="Arial" w:hAnsi="Arial" w:cs="Arial"/>
                <w:sz w:val="22"/>
                <w:szCs w:val="22"/>
              </w:rPr>
              <w:t>Xtrenbo</w:t>
            </w:r>
            <w:proofErr w:type="spellEnd"/>
            <w:r w:rsidRPr="006A1683">
              <w:rPr>
                <w:rFonts w:ascii="Arial" w:hAnsi="Arial" w:cs="Arial"/>
                <w:sz w:val="22"/>
                <w:szCs w:val="22"/>
              </w:rPr>
              <w:t xml:space="preserve"> as an LCA trial</w:t>
            </w:r>
            <w:r w:rsidR="00C35DCE" w:rsidRPr="006A168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B2256E1" w14:textId="0EFB46FC" w:rsidR="005075B4" w:rsidRPr="006A1683" w:rsidRDefault="005075B4" w:rsidP="005075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AE47CF">
              <w:rPr>
                <w:rFonts w:ascii="Arial" w:hAnsi="Arial" w:cs="Arial"/>
                <w:sz w:val="22"/>
                <w:szCs w:val="22"/>
              </w:rPr>
              <w:lastRenderedPageBreak/>
              <w:t>Update</w:t>
            </w:r>
            <w:r w:rsidR="00E32756" w:rsidRPr="006A1683">
              <w:rPr>
                <w:rFonts w:ascii="Arial" w:hAnsi="Arial" w:cs="Arial"/>
                <w:sz w:val="22"/>
                <w:szCs w:val="22"/>
              </w:rPr>
              <w:t>d</w:t>
            </w:r>
            <w:r w:rsidRPr="006A1683">
              <w:rPr>
                <w:rFonts w:ascii="Arial" w:hAnsi="Arial" w:cs="Arial"/>
                <w:sz w:val="22"/>
                <w:szCs w:val="22"/>
              </w:rPr>
              <w:t xml:space="preserve"> Prolia and </w:t>
            </w:r>
            <w:proofErr w:type="spellStart"/>
            <w:r w:rsidRPr="006A1683">
              <w:rPr>
                <w:rFonts w:ascii="Arial" w:hAnsi="Arial" w:cs="Arial"/>
                <w:sz w:val="22"/>
                <w:szCs w:val="22"/>
              </w:rPr>
              <w:t>Xgeva</w:t>
            </w:r>
            <w:proofErr w:type="spellEnd"/>
            <w:r w:rsidRPr="006A1683">
              <w:rPr>
                <w:rFonts w:ascii="Arial" w:hAnsi="Arial" w:cs="Arial"/>
                <w:sz w:val="22"/>
                <w:szCs w:val="22"/>
              </w:rPr>
              <w:t xml:space="preserve"> recertification requirements to align with new LCA trials</w:t>
            </w:r>
            <w:r w:rsidR="00C35DCE" w:rsidRPr="006A168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A1F640D" w14:textId="5A8E39E1" w:rsidR="005075B4" w:rsidRPr="006A1683" w:rsidRDefault="005075B4" w:rsidP="005075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AE47CF">
              <w:rPr>
                <w:rFonts w:ascii="Arial" w:hAnsi="Arial" w:cs="Arial"/>
                <w:sz w:val="22"/>
                <w:szCs w:val="22"/>
              </w:rPr>
              <w:t>Update</w:t>
            </w:r>
            <w:r w:rsidR="00E32756" w:rsidRPr="006A1683">
              <w:rPr>
                <w:rFonts w:ascii="Arial" w:hAnsi="Arial" w:cs="Arial"/>
                <w:sz w:val="22"/>
                <w:szCs w:val="22"/>
              </w:rPr>
              <w:t>d</w:t>
            </w:r>
            <w:r w:rsidRPr="006A1683">
              <w:rPr>
                <w:rFonts w:ascii="Arial" w:hAnsi="Arial" w:cs="Arial"/>
                <w:sz w:val="22"/>
                <w:szCs w:val="22"/>
              </w:rPr>
              <w:t xml:space="preserve"> criteria for all agents to accept claims history for LCA trials (except LCA trials of bisphosphonates)</w:t>
            </w:r>
            <w:r w:rsidR="00C35DCE" w:rsidRPr="006A168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05268F6" w14:textId="20176358" w:rsidR="005075B4" w:rsidRPr="006A1683" w:rsidRDefault="005075B4" w:rsidP="005075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AE47CF">
              <w:rPr>
                <w:rFonts w:ascii="Arial" w:hAnsi="Arial" w:cs="Arial"/>
                <w:sz w:val="22"/>
                <w:szCs w:val="22"/>
              </w:rPr>
              <w:t>Update</w:t>
            </w:r>
            <w:r w:rsidR="00E32756" w:rsidRPr="006A1683">
              <w:rPr>
                <w:rFonts w:ascii="Arial" w:hAnsi="Arial" w:cs="Arial"/>
                <w:sz w:val="22"/>
                <w:szCs w:val="22"/>
              </w:rPr>
              <w:t>d</w:t>
            </w:r>
            <w:r w:rsidRPr="006A16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1683" w:rsidRPr="00B37190">
              <w:rPr>
                <w:rFonts w:ascii="Arial" w:hAnsi="Arial" w:cs="Arial"/>
                <w:sz w:val="22"/>
                <w:szCs w:val="22"/>
              </w:rPr>
              <w:t xml:space="preserve">criteria </w:t>
            </w:r>
            <w:r w:rsidRPr="006A1683">
              <w:rPr>
                <w:rFonts w:ascii="Arial" w:hAnsi="Arial" w:cs="Arial"/>
                <w:sz w:val="22"/>
                <w:szCs w:val="22"/>
              </w:rPr>
              <w:t>to remove teriparatide 620 mcg formulation</w:t>
            </w:r>
            <w:r w:rsidR="00C35DCE" w:rsidRPr="006A168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2E393F5" w14:textId="282E4B34" w:rsidR="005075B4" w:rsidRPr="006A1683" w:rsidRDefault="005075B4" w:rsidP="005075B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AE47CF">
              <w:rPr>
                <w:rFonts w:ascii="Arial" w:hAnsi="Arial" w:cs="Arial"/>
                <w:sz w:val="22"/>
                <w:szCs w:val="22"/>
              </w:rPr>
              <w:t>Update</w:t>
            </w:r>
            <w:r w:rsidR="00E32756" w:rsidRPr="006A1683">
              <w:rPr>
                <w:rFonts w:ascii="Arial" w:hAnsi="Arial" w:cs="Arial"/>
                <w:sz w:val="22"/>
                <w:szCs w:val="22"/>
              </w:rPr>
              <w:t>d</w:t>
            </w:r>
            <w:r w:rsidRPr="006A1683">
              <w:rPr>
                <w:rFonts w:ascii="Arial" w:hAnsi="Arial" w:cs="Arial"/>
                <w:sz w:val="22"/>
                <w:szCs w:val="22"/>
              </w:rPr>
              <w:t xml:space="preserve"> criteria for teriparatide, calcitonin salmon injection, </w:t>
            </w:r>
            <w:proofErr w:type="spellStart"/>
            <w:r w:rsidRPr="006A1683">
              <w:rPr>
                <w:rFonts w:ascii="Arial" w:hAnsi="Arial" w:cs="Arial"/>
                <w:sz w:val="22"/>
                <w:szCs w:val="22"/>
              </w:rPr>
              <w:t>Evenity</w:t>
            </w:r>
            <w:proofErr w:type="spellEnd"/>
            <w:r w:rsidRPr="006A1683">
              <w:rPr>
                <w:rFonts w:ascii="Arial" w:hAnsi="Arial" w:cs="Arial"/>
                <w:sz w:val="22"/>
                <w:szCs w:val="22"/>
              </w:rPr>
              <w:t xml:space="preserve">, and </w:t>
            </w:r>
            <w:proofErr w:type="spellStart"/>
            <w:r w:rsidRPr="006A1683">
              <w:rPr>
                <w:rFonts w:ascii="Arial" w:hAnsi="Arial" w:cs="Arial"/>
                <w:sz w:val="22"/>
                <w:szCs w:val="22"/>
              </w:rPr>
              <w:t>Tymlos</w:t>
            </w:r>
            <w:proofErr w:type="spellEnd"/>
            <w:r w:rsidRPr="006A1683">
              <w:rPr>
                <w:rFonts w:ascii="Arial" w:hAnsi="Arial" w:cs="Arial"/>
                <w:sz w:val="22"/>
                <w:szCs w:val="22"/>
              </w:rPr>
              <w:t xml:space="preserve"> to remove “prevention" from indication of osteoporosis</w:t>
            </w:r>
            <w:r w:rsidR="005D6E28" w:rsidRPr="006A168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983A2E2" w14:textId="7A23E951" w:rsidR="00D65D4C" w:rsidRPr="006A1683" w:rsidRDefault="005075B4" w:rsidP="005824DF">
            <w:pPr>
              <w:pStyle w:val="ListParagraph"/>
              <w:numPr>
                <w:ilvl w:val="0"/>
                <w:numId w:val="4"/>
              </w:numPr>
            </w:pPr>
            <w:r w:rsidRPr="00AE47CF">
              <w:rPr>
                <w:rFonts w:ascii="Arial" w:hAnsi="Arial" w:cs="Arial"/>
                <w:sz w:val="22"/>
                <w:szCs w:val="22"/>
              </w:rPr>
              <w:t>Update</w:t>
            </w:r>
            <w:r w:rsidR="00E32756" w:rsidRPr="006A1683">
              <w:rPr>
                <w:rFonts w:ascii="Arial" w:hAnsi="Arial" w:cs="Arial"/>
                <w:sz w:val="22"/>
                <w:szCs w:val="22"/>
              </w:rPr>
              <w:t>d</w:t>
            </w:r>
            <w:r w:rsidRPr="006A1683">
              <w:rPr>
                <w:rFonts w:ascii="Arial" w:hAnsi="Arial" w:cs="Arial"/>
                <w:sz w:val="22"/>
                <w:szCs w:val="22"/>
              </w:rPr>
              <w:t xml:space="preserve"> criteria for teriparatide for indication of </w:t>
            </w:r>
            <w:r w:rsidR="0083686D" w:rsidRPr="006A1683">
              <w:rPr>
                <w:rFonts w:ascii="Arial" w:hAnsi="Arial" w:cs="Arial"/>
                <w:sz w:val="22"/>
                <w:szCs w:val="22"/>
              </w:rPr>
              <w:t>p</w:t>
            </w:r>
            <w:r w:rsidRPr="006A1683">
              <w:rPr>
                <w:rFonts w:ascii="Arial" w:hAnsi="Arial" w:cs="Arial"/>
                <w:sz w:val="22"/>
                <w:szCs w:val="22"/>
              </w:rPr>
              <w:t>revention of glucocorticoid induced osteoporosis</w:t>
            </w:r>
            <w:r w:rsidRPr="006A1683">
              <w:rPr>
                <w:color w:val="000000" w:themeColor="text1"/>
              </w:rPr>
              <w:t>.</w:t>
            </w:r>
          </w:p>
        </w:tc>
      </w:tr>
      <w:tr w:rsidR="0041687C" w:rsidRPr="006A1683" w14:paraId="5230DBD5" w14:textId="77777777" w:rsidTr="00447F3D">
        <w:trPr>
          <w:trHeight w:val="300"/>
        </w:trPr>
        <w:tc>
          <w:tcPr>
            <w:tcW w:w="2660" w:type="dxa"/>
          </w:tcPr>
          <w:p w14:paraId="299453AF" w14:textId="64577FF6" w:rsidR="0041687C" w:rsidRPr="006A1683" w:rsidRDefault="000802BD" w:rsidP="4DEF334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Respiratory Agents</w:t>
            </w:r>
            <w:r w:rsidR="00AE47CF">
              <w:rPr>
                <w:rFonts w:ascii="Arial" w:hAnsi="Arial" w:cs="Arial"/>
                <w:color w:val="000000" w:themeColor="text1"/>
                <w:sz w:val="22"/>
                <w:szCs w:val="22"/>
              </w:rPr>
              <w:t>—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Oral</w:t>
            </w:r>
          </w:p>
        </w:tc>
        <w:tc>
          <w:tcPr>
            <w:tcW w:w="2145" w:type="dxa"/>
          </w:tcPr>
          <w:p w14:paraId="3A5B33BF" w14:textId="6905492F" w:rsidR="0041687C" w:rsidRPr="006A1683" w:rsidRDefault="09840151" w:rsidP="563EE2C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Jascayd</w:t>
            </w:r>
            <w:proofErr w:type="spellEnd"/>
            <w:r w:rsidR="11FDE4E6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7CB3EBD4" w:rsidRPr="006A1683"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proofErr w:type="gramStart"/>
            <w:r w:rsidR="7CB3EBD4" w:rsidRPr="006A1683">
              <w:rPr>
                <w:rFonts w:ascii="Arial" w:eastAsia="Arial" w:hAnsi="Arial" w:cs="Arial"/>
                <w:sz w:val="22"/>
                <w:szCs w:val="22"/>
              </w:rPr>
              <w:t>nerandomilast</w:t>
            </w:r>
            <w:proofErr w:type="spellEnd"/>
            <w:r w:rsidR="7CB3EBD4" w:rsidRPr="006A1683"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="11FDE4E6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—</w:t>
            </w:r>
            <w:proofErr w:type="gramEnd"/>
            <w:r w:rsidR="11FDE4E6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PA</w:t>
            </w:r>
          </w:p>
        </w:tc>
        <w:tc>
          <w:tcPr>
            <w:tcW w:w="4677" w:type="dxa"/>
          </w:tcPr>
          <w:p w14:paraId="57DCF1B0" w14:textId="77777777" w:rsidR="0041687C" w:rsidRPr="006A1683" w:rsidRDefault="0041687C" w:rsidP="00E734B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E734BA" w:rsidRPr="006A1683" w14:paraId="2B2B2030" w14:textId="77777777" w:rsidTr="00447F3D">
        <w:trPr>
          <w:trHeight w:val="300"/>
        </w:trPr>
        <w:tc>
          <w:tcPr>
            <w:tcW w:w="2660" w:type="dxa"/>
          </w:tcPr>
          <w:p w14:paraId="27668242" w14:textId="79639A64" w:rsidR="00E734BA" w:rsidRPr="006A1683" w:rsidRDefault="003C06F3" w:rsidP="4DEF334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Thrombocytopenic Agents</w:t>
            </w:r>
          </w:p>
        </w:tc>
        <w:tc>
          <w:tcPr>
            <w:tcW w:w="2145" w:type="dxa"/>
          </w:tcPr>
          <w:p w14:paraId="229FF2DF" w14:textId="1A3F7999" w:rsidR="00E734BA" w:rsidRPr="006A1683" w:rsidRDefault="716CF8D8" w:rsidP="563EE2C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Wayrilz</w:t>
            </w:r>
            <w:proofErr w:type="spellEnd"/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55B3D70B" w:rsidRPr="006A1683">
              <w:rPr>
                <w:rFonts w:ascii="Arial" w:eastAsia="Arial" w:hAnsi="Arial" w:cs="Arial"/>
                <w:sz w:val="22"/>
                <w:szCs w:val="22"/>
              </w:rPr>
              <w:t>(</w:t>
            </w:r>
            <w:proofErr w:type="spellStart"/>
            <w:proofErr w:type="gramStart"/>
            <w:r w:rsidR="55B3D70B" w:rsidRPr="006A1683">
              <w:rPr>
                <w:rFonts w:ascii="Arial" w:eastAsia="Arial" w:hAnsi="Arial" w:cs="Arial"/>
                <w:sz w:val="22"/>
                <w:szCs w:val="22"/>
              </w:rPr>
              <w:t>rilzabrutinib</w:t>
            </w:r>
            <w:proofErr w:type="spellEnd"/>
            <w:r w:rsidR="55B3D70B" w:rsidRPr="006A1683">
              <w:rPr>
                <w:rFonts w:ascii="Arial" w:eastAsia="Arial" w:hAnsi="Arial" w:cs="Arial"/>
                <w:sz w:val="22"/>
                <w:szCs w:val="22"/>
              </w:rPr>
              <w:t>)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—</w:t>
            </w:r>
            <w:proofErr w:type="gramEnd"/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PA</w:t>
            </w:r>
          </w:p>
        </w:tc>
        <w:tc>
          <w:tcPr>
            <w:tcW w:w="4677" w:type="dxa"/>
          </w:tcPr>
          <w:p w14:paraId="3A6CF8B6" w14:textId="23D3913C" w:rsidR="008154FD" w:rsidRPr="006A1683" w:rsidRDefault="00FB1022" w:rsidP="001F013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AE47CF">
              <w:rPr>
                <w:rFonts w:ascii="Arial" w:hAnsi="Arial" w:cs="Arial"/>
                <w:sz w:val="22"/>
                <w:szCs w:val="22"/>
              </w:rPr>
              <w:t>Update</w:t>
            </w:r>
            <w:r w:rsidR="00E32756" w:rsidRPr="006A1683">
              <w:rPr>
                <w:rFonts w:ascii="Arial" w:hAnsi="Arial" w:cs="Arial"/>
                <w:sz w:val="22"/>
                <w:szCs w:val="22"/>
              </w:rPr>
              <w:t>d</w:t>
            </w:r>
            <w:r w:rsidRPr="006A16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A1683">
              <w:rPr>
                <w:rFonts w:ascii="Arial" w:hAnsi="Arial" w:cs="Arial"/>
                <w:b/>
                <w:bCs/>
                <w:sz w:val="22"/>
                <w:szCs w:val="22"/>
              </w:rPr>
              <w:t>Promacta</w:t>
            </w:r>
            <w:proofErr w:type="spellEnd"/>
            <w:r w:rsidRPr="006A1683">
              <w:rPr>
                <w:rFonts w:ascii="Arial" w:hAnsi="Arial" w:cs="Arial"/>
                <w:sz w:val="22"/>
                <w:szCs w:val="22"/>
              </w:rPr>
              <w:t xml:space="preserve"> criteria to require </w:t>
            </w:r>
            <w:r w:rsidR="0082749D" w:rsidRPr="00AE47CF">
              <w:rPr>
                <w:rFonts w:ascii="Arial" w:hAnsi="Arial" w:cs="Arial"/>
                <w:sz w:val="22"/>
                <w:szCs w:val="22"/>
              </w:rPr>
              <w:t>step</w:t>
            </w:r>
            <w:r w:rsidR="0069727A">
              <w:rPr>
                <w:rFonts w:ascii="Arial" w:hAnsi="Arial" w:cs="Arial"/>
                <w:sz w:val="22"/>
                <w:szCs w:val="22"/>
              </w:rPr>
              <w:t xml:space="preserve">ping </w:t>
            </w:r>
            <w:proofErr w:type="gramStart"/>
            <w:r w:rsidR="0082749D" w:rsidRPr="00AE47CF">
              <w:rPr>
                <w:rFonts w:ascii="Arial" w:hAnsi="Arial" w:cs="Arial"/>
                <w:sz w:val="22"/>
                <w:szCs w:val="22"/>
              </w:rPr>
              <w:t>through</w:t>
            </w:r>
            <w:r w:rsidR="0082749D" w:rsidRPr="006A1683">
              <w:rPr>
                <w:rFonts w:ascii="Arial" w:hAnsi="Arial" w:cs="Arial"/>
                <w:sz w:val="22"/>
                <w:szCs w:val="22"/>
              </w:rPr>
              <w:t xml:space="preserve"> of</w:t>
            </w:r>
            <w:proofErr w:type="gramEnd"/>
            <w:r w:rsidR="0082749D" w:rsidRPr="006A16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2749D" w:rsidRPr="006A1683">
              <w:rPr>
                <w:rFonts w:ascii="Arial" w:hAnsi="Arial" w:cs="Arial"/>
                <w:b/>
                <w:bCs/>
                <w:sz w:val="22"/>
                <w:szCs w:val="22"/>
              </w:rPr>
              <w:t>Alvaiz</w:t>
            </w:r>
            <w:proofErr w:type="spellEnd"/>
            <w:r w:rsidR="0082749D" w:rsidRPr="006A1683">
              <w:rPr>
                <w:rFonts w:ascii="Arial" w:hAnsi="Arial" w:cs="Arial"/>
                <w:sz w:val="22"/>
                <w:szCs w:val="22"/>
              </w:rPr>
              <w:t xml:space="preserve"> for members ≥ 6 years of age</w:t>
            </w:r>
            <w:r w:rsidR="005D6E28" w:rsidRPr="006A1683">
              <w:rPr>
                <w:rFonts w:ascii="Arial" w:hAnsi="Arial" w:cs="Arial"/>
                <w:sz w:val="22"/>
                <w:szCs w:val="22"/>
              </w:rPr>
              <w:t>.</w:t>
            </w:r>
            <w:r w:rsidR="0082749D" w:rsidRPr="006A16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352721" w14:textId="506A3F59" w:rsidR="00E734BA" w:rsidRPr="006A1683" w:rsidRDefault="00394E2D" w:rsidP="001F013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AE47CF">
              <w:rPr>
                <w:rFonts w:ascii="Arial" w:hAnsi="Arial" w:cs="Arial"/>
                <w:sz w:val="22"/>
                <w:szCs w:val="22"/>
              </w:rPr>
              <w:t>Update</w:t>
            </w:r>
            <w:r w:rsidR="0083686D" w:rsidRPr="006A1683">
              <w:rPr>
                <w:rFonts w:ascii="Arial" w:hAnsi="Arial" w:cs="Arial"/>
                <w:sz w:val="22"/>
                <w:szCs w:val="22"/>
              </w:rPr>
              <w:t>d</w:t>
            </w:r>
            <w:r w:rsidRPr="006A168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6A1683">
              <w:rPr>
                <w:rFonts w:ascii="Arial" w:hAnsi="Arial" w:cs="Arial"/>
                <w:b/>
                <w:bCs/>
                <w:sz w:val="22"/>
                <w:szCs w:val="22"/>
              </w:rPr>
              <w:t>Doptelet</w:t>
            </w:r>
            <w:proofErr w:type="spellEnd"/>
            <w:r w:rsidRPr="006A1683">
              <w:rPr>
                <w:rFonts w:ascii="Arial" w:hAnsi="Arial" w:cs="Arial"/>
                <w:sz w:val="22"/>
                <w:szCs w:val="22"/>
              </w:rPr>
              <w:t xml:space="preserve"> tablet and </w:t>
            </w:r>
            <w:proofErr w:type="spellStart"/>
            <w:r w:rsidRPr="006A1683">
              <w:rPr>
                <w:rFonts w:ascii="Arial" w:hAnsi="Arial" w:cs="Arial"/>
                <w:b/>
                <w:bCs/>
                <w:sz w:val="22"/>
                <w:szCs w:val="22"/>
              </w:rPr>
              <w:t>Cablivi</w:t>
            </w:r>
            <w:proofErr w:type="spellEnd"/>
            <w:r w:rsidRPr="006A1683">
              <w:rPr>
                <w:rFonts w:ascii="Arial" w:hAnsi="Arial" w:cs="Arial"/>
                <w:sz w:val="22"/>
                <w:szCs w:val="22"/>
              </w:rPr>
              <w:t xml:space="preserve"> criteria to reflect expanded age indications.</w:t>
            </w:r>
          </w:p>
        </w:tc>
      </w:tr>
    </w:tbl>
    <w:p w14:paraId="3BFC2F70" w14:textId="1ED46F28" w:rsidR="78541CD9" w:rsidRPr="006A1683" w:rsidRDefault="78541CD9" w:rsidP="78541CD9">
      <w:pPr>
        <w:spacing w:after="0"/>
        <w:rPr>
          <w:rFonts w:ascii="Arial" w:hAnsi="Arial" w:cs="Arial"/>
          <w:sz w:val="22"/>
          <w:szCs w:val="22"/>
        </w:rPr>
      </w:pPr>
    </w:p>
    <w:p w14:paraId="54D2DD46" w14:textId="650897E0" w:rsidR="00246FC3" w:rsidRPr="006A1683" w:rsidRDefault="00246FC3" w:rsidP="007A00D0">
      <w:pPr>
        <w:spacing w:after="0"/>
        <w:rPr>
          <w:rFonts w:ascii="Arial" w:hAnsi="Arial" w:cs="Arial"/>
          <w:bCs/>
          <w:sz w:val="22"/>
          <w:szCs w:val="22"/>
        </w:rPr>
      </w:pPr>
      <w:r w:rsidRPr="006A1683">
        <w:rPr>
          <w:rFonts w:ascii="Arial" w:hAnsi="Arial" w:cs="Arial"/>
          <w:bCs/>
          <w:sz w:val="22"/>
          <w:szCs w:val="22"/>
        </w:rPr>
        <w:t>The MassHealth Over-the-Counter Drug List has been updated to reflect recent changes to the MassHealth Drug List.</w:t>
      </w:r>
    </w:p>
    <w:tbl>
      <w:tblPr>
        <w:tblStyle w:val="TableGrid"/>
        <w:tblW w:w="9482" w:type="dxa"/>
        <w:tblLook w:val="04A0" w:firstRow="1" w:lastRow="0" w:firstColumn="1" w:lastColumn="0" w:noHBand="0" w:noVBand="1"/>
      </w:tblPr>
      <w:tblGrid>
        <w:gridCol w:w="2716"/>
        <w:gridCol w:w="2139"/>
        <w:gridCol w:w="4627"/>
      </w:tblGrid>
      <w:tr w:rsidR="0055160E" w:rsidRPr="006A1683" w14:paraId="198538A0" w14:textId="77777777" w:rsidTr="00447F3D">
        <w:trPr>
          <w:trHeight w:val="300"/>
        </w:trPr>
        <w:tc>
          <w:tcPr>
            <w:tcW w:w="2716" w:type="dxa"/>
          </w:tcPr>
          <w:p w14:paraId="3726CE37" w14:textId="0BD4F94E" w:rsidR="0055160E" w:rsidRPr="006A1683" w:rsidRDefault="0055160E" w:rsidP="000B1D6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Over </w:t>
            </w:r>
            <w:r w:rsidR="00902CE6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="00902CE6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he 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Counter</w:t>
            </w:r>
          </w:p>
        </w:tc>
        <w:tc>
          <w:tcPr>
            <w:tcW w:w="2139" w:type="dxa"/>
          </w:tcPr>
          <w:p w14:paraId="4C1C759D" w14:textId="4BFE3B8D" w:rsidR="00CD17D8" w:rsidRPr="006A1683" w:rsidRDefault="00CD17D8" w:rsidP="00CD17D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following drug </w:t>
            </w:r>
            <w:r w:rsidR="00D754BD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is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added</w:t>
            </w:r>
            <w:r w:rsidR="00547DC1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66C1E80C" w14:textId="77777777" w:rsidR="0055160E" w:rsidRPr="006A1683" w:rsidRDefault="0055160E" w:rsidP="006A1683">
            <w:pPr>
              <w:pStyle w:val="ListParagraph"/>
              <w:numPr>
                <w:ilvl w:val="0"/>
                <w:numId w:val="10"/>
              </w:numPr>
              <w:ind w:left="326" w:hanging="326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butenafine</w:t>
            </w:r>
          </w:p>
        </w:tc>
        <w:tc>
          <w:tcPr>
            <w:tcW w:w="4627" w:type="dxa"/>
          </w:tcPr>
          <w:p w14:paraId="37F00CEB" w14:textId="0468D12E" w:rsidR="0055160E" w:rsidRPr="006A1683" w:rsidRDefault="0055160E" w:rsidP="000B1D6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following drugs </w:t>
            </w:r>
            <w:r w:rsidR="00D754BD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are</w:t>
            </w:r>
            <w:r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removed from coverage</w:t>
            </w:r>
            <w:r w:rsidR="00547DC1" w:rsidRPr="006A168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0F2C772E" w14:textId="767B3303" w:rsidR="0055160E" w:rsidRPr="006A1683" w:rsidRDefault="0055160E" w:rsidP="000B1D6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Cod liver </w:t>
            </w:r>
            <w:r w:rsidR="00547DC1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oil</w:t>
            </w:r>
          </w:p>
          <w:p w14:paraId="37E4D117" w14:textId="77777777" w:rsidR="0055160E" w:rsidRPr="006A1683" w:rsidRDefault="0055160E" w:rsidP="000B1D6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Magaldrate</w:t>
            </w:r>
          </w:p>
          <w:p w14:paraId="60362DBB" w14:textId="0B5B31E3" w:rsidR="0055160E" w:rsidRPr="006A1683" w:rsidRDefault="0055160E" w:rsidP="000B1D6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Witch </w:t>
            </w:r>
            <w:r w:rsidR="00547DC1" w:rsidRPr="006A168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hazel</w:t>
            </w:r>
          </w:p>
        </w:tc>
      </w:tr>
    </w:tbl>
    <w:p w14:paraId="62F048E7" w14:textId="71A549F3" w:rsidR="78541CD9" w:rsidRPr="006A1683" w:rsidRDefault="78541CD9" w:rsidP="78541CD9">
      <w:pPr>
        <w:spacing w:after="0"/>
        <w:rPr>
          <w:rFonts w:ascii="Arial" w:hAnsi="Arial" w:cs="Arial"/>
          <w:sz w:val="22"/>
          <w:szCs w:val="22"/>
        </w:rPr>
      </w:pPr>
    </w:p>
    <w:p w14:paraId="734EBFBC" w14:textId="02CABE21" w:rsidR="00256044" w:rsidRPr="006A1683" w:rsidRDefault="00256044" w:rsidP="008D1791">
      <w:pPr>
        <w:pStyle w:val="Heading2"/>
      </w:pPr>
      <w:r w:rsidRPr="006A1683">
        <w:t>Abbreviations</w:t>
      </w:r>
      <w:r w:rsidR="00EC5596" w:rsidRPr="006A1683">
        <w:t xml:space="preserve">, </w:t>
      </w:r>
      <w:r w:rsidRPr="006A1683">
        <w:t>Acronyms</w:t>
      </w:r>
      <w:r w:rsidR="00EC5596" w:rsidRPr="006A1683">
        <w:t>, and Definitions</w:t>
      </w:r>
    </w:p>
    <w:p w14:paraId="2F1E8649" w14:textId="3F3CF30F" w:rsidR="00256044" w:rsidRPr="006A1683" w:rsidRDefault="423DE388" w:rsidP="4DEF334B">
      <w:pPr>
        <w:spacing w:after="0" w:line="240" w:lineRule="auto"/>
        <w:ind w:left="360" w:right="547"/>
        <w:rPr>
          <w:rFonts w:ascii="Arial" w:hAnsi="Arial" w:cs="Arial"/>
          <w:sz w:val="18"/>
          <w:szCs w:val="18"/>
        </w:rPr>
      </w:pPr>
      <w:r w:rsidRPr="006A1683">
        <w:rPr>
          <w:rFonts w:ascii="Arial" w:hAnsi="Arial" w:cs="Arial"/>
          <w:b/>
          <w:bCs/>
          <w:sz w:val="18"/>
          <w:szCs w:val="18"/>
        </w:rPr>
        <w:t>BP</w:t>
      </w:r>
      <w:r w:rsidRPr="006A1683">
        <w:rPr>
          <w:rFonts w:ascii="Arial" w:hAnsi="Arial" w:cs="Arial"/>
          <w:sz w:val="18"/>
          <w:szCs w:val="18"/>
        </w:rPr>
        <w:t xml:space="preserve"> Brand </w:t>
      </w:r>
      <w:proofErr w:type="gramStart"/>
      <w:r w:rsidR="000F4E0A" w:rsidRPr="006A1683">
        <w:rPr>
          <w:rFonts w:ascii="Arial" w:hAnsi="Arial" w:cs="Arial"/>
          <w:sz w:val="18"/>
          <w:szCs w:val="18"/>
        </w:rPr>
        <w:t xml:space="preserve">preferred </w:t>
      </w:r>
      <w:r w:rsidRPr="006A1683">
        <w:rPr>
          <w:rFonts w:ascii="Arial" w:hAnsi="Arial" w:cs="Arial"/>
          <w:sz w:val="18"/>
          <w:szCs w:val="18"/>
        </w:rPr>
        <w:t>over</w:t>
      </w:r>
      <w:proofErr w:type="gramEnd"/>
      <w:r w:rsidRPr="006A1683">
        <w:rPr>
          <w:rFonts w:ascii="Arial" w:hAnsi="Arial" w:cs="Arial"/>
          <w:sz w:val="18"/>
          <w:szCs w:val="18"/>
        </w:rPr>
        <w:t xml:space="preserve"> generic equivalents.</w:t>
      </w:r>
      <w:r w:rsidR="000F4E0A" w:rsidRPr="006A1683">
        <w:rPr>
          <w:rFonts w:ascii="Arial" w:hAnsi="Arial" w:cs="Arial"/>
          <w:sz w:val="18"/>
          <w:szCs w:val="18"/>
        </w:rPr>
        <w:t xml:space="preserve"> </w:t>
      </w:r>
      <w:r w:rsidRPr="006A1683">
        <w:rPr>
          <w:rFonts w:ascii="Arial" w:hAnsi="Arial" w:cs="Arial"/>
          <w:sz w:val="18"/>
          <w:szCs w:val="18"/>
        </w:rPr>
        <w:t>In general, MassHealth requires a trial of the preferred drug or clinical rationale for prescribing the non-preferred drug generic equivalent.</w:t>
      </w:r>
    </w:p>
    <w:p w14:paraId="2C76A1B1" w14:textId="399FA533" w:rsidR="00113C96" w:rsidRPr="006A1683" w:rsidRDefault="00113C96" w:rsidP="4DEF334B">
      <w:pPr>
        <w:spacing w:after="0" w:line="240" w:lineRule="auto"/>
        <w:ind w:left="360" w:right="547"/>
        <w:rPr>
          <w:rFonts w:ascii="Arial" w:hAnsi="Arial" w:cs="Arial"/>
          <w:sz w:val="18"/>
          <w:szCs w:val="18"/>
        </w:rPr>
      </w:pPr>
      <w:r w:rsidRPr="006A1683">
        <w:rPr>
          <w:rFonts w:ascii="Arial" w:hAnsi="Arial" w:cs="Arial"/>
          <w:b/>
          <w:bCs/>
          <w:sz w:val="18"/>
          <w:szCs w:val="18"/>
        </w:rPr>
        <w:t xml:space="preserve">CO </w:t>
      </w:r>
      <w:r w:rsidRPr="006A1683">
        <w:rPr>
          <w:rFonts w:ascii="Arial" w:hAnsi="Arial" w:cs="Arial"/>
          <w:sz w:val="18"/>
          <w:szCs w:val="18"/>
        </w:rPr>
        <w:t>Carve-Out. This agent is listed on the Acute Hospital Carve-Out Drugs List and is subject to additional monitoring and billing requirements.</w:t>
      </w:r>
      <w:r w:rsidRPr="006A1683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1126314" w14:textId="33833648" w:rsidR="00256044" w:rsidRPr="006A1683" w:rsidRDefault="423DE388" w:rsidP="4DEF334B">
      <w:pPr>
        <w:spacing w:after="0" w:line="240" w:lineRule="auto"/>
        <w:ind w:left="360" w:right="547"/>
        <w:rPr>
          <w:rFonts w:ascii="Arial" w:hAnsi="Arial" w:cs="Arial"/>
          <w:sz w:val="18"/>
          <w:szCs w:val="18"/>
        </w:rPr>
      </w:pPr>
      <w:r w:rsidRPr="006A1683">
        <w:rPr>
          <w:rFonts w:ascii="Arial" w:hAnsi="Arial" w:cs="Arial"/>
          <w:b/>
          <w:bCs/>
          <w:sz w:val="18"/>
          <w:szCs w:val="18"/>
        </w:rPr>
        <w:t>M90</w:t>
      </w:r>
      <w:r w:rsidRPr="006A1683">
        <w:rPr>
          <w:rFonts w:ascii="Arial" w:hAnsi="Arial" w:cs="Arial"/>
          <w:sz w:val="18"/>
          <w:szCs w:val="18"/>
        </w:rPr>
        <w:t xml:space="preserve"> Mandatory 90-day supply. After dispensing up to a 30-day supply initial fill, dispensing in a 90-day supply is required. May not include all strengths or formulations. Quantity limits and other restrictions may also apply. </w:t>
      </w:r>
    </w:p>
    <w:p w14:paraId="0221EE78" w14:textId="5C3208A6" w:rsidR="0005449F" w:rsidRPr="006A1683" w:rsidRDefault="70FDBC42" w:rsidP="4DEF334B">
      <w:pPr>
        <w:spacing w:after="0" w:line="240" w:lineRule="auto"/>
        <w:ind w:left="360" w:right="547"/>
        <w:rPr>
          <w:rFonts w:ascii="Arial" w:hAnsi="Arial" w:cs="Arial"/>
          <w:b/>
          <w:bCs/>
          <w:sz w:val="18"/>
          <w:szCs w:val="18"/>
        </w:rPr>
      </w:pPr>
      <w:r w:rsidRPr="006A1683">
        <w:rPr>
          <w:rFonts w:ascii="Arial" w:hAnsi="Arial" w:cs="Arial"/>
          <w:b/>
          <w:bCs/>
          <w:sz w:val="18"/>
          <w:szCs w:val="18"/>
        </w:rPr>
        <w:t xml:space="preserve">MB </w:t>
      </w:r>
      <w:r w:rsidR="6E936861" w:rsidRPr="006A1683">
        <w:rPr>
          <w:rFonts w:ascii="Arial" w:hAnsi="Arial" w:cs="Arial"/>
          <w:sz w:val="18"/>
          <w:szCs w:val="18"/>
        </w:rPr>
        <w:t>Drug is r</w:t>
      </w:r>
      <w:r w:rsidRPr="006A1683">
        <w:rPr>
          <w:rFonts w:ascii="Arial" w:hAnsi="Arial" w:cs="Arial"/>
          <w:sz w:val="18"/>
          <w:szCs w:val="18"/>
        </w:rPr>
        <w:t>estricted to medical billing</w:t>
      </w:r>
      <w:r w:rsidRPr="006A1683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96FD7D2" w14:textId="1D5B6D49" w:rsidR="00256044" w:rsidRPr="006A1683" w:rsidRDefault="423DE388" w:rsidP="4DEF334B">
      <w:pPr>
        <w:spacing w:after="0" w:line="240" w:lineRule="auto"/>
        <w:ind w:left="360" w:right="547"/>
        <w:rPr>
          <w:rFonts w:ascii="Arial" w:hAnsi="Arial" w:cs="Arial"/>
          <w:sz w:val="18"/>
          <w:szCs w:val="18"/>
        </w:rPr>
      </w:pPr>
      <w:r w:rsidRPr="006A1683">
        <w:rPr>
          <w:rFonts w:ascii="Arial" w:hAnsi="Arial" w:cs="Arial"/>
          <w:b/>
          <w:bCs/>
          <w:sz w:val="18"/>
          <w:szCs w:val="18"/>
        </w:rPr>
        <w:t>LCA</w:t>
      </w:r>
      <w:r w:rsidRPr="006A1683">
        <w:rPr>
          <w:rFonts w:ascii="Arial" w:hAnsi="Arial" w:cs="Arial"/>
          <w:sz w:val="18"/>
          <w:szCs w:val="18"/>
        </w:rPr>
        <w:t xml:space="preserve"> Lower</w:t>
      </w:r>
      <w:r w:rsidR="000F4E0A" w:rsidRPr="006A1683">
        <w:rPr>
          <w:rFonts w:ascii="Arial" w:hAnsi="Arial" w:cs="Arial"/>
          <w:sz w:val="18"/>
          <w:szCs w:val="18"/>
        </w:rPr>
        <w:t>-c</w:t>
      </w:r>
      <w:r w:rsidRPr="006A1683">
        <w:rPr>
          <w:rFonts w:ascii="Arial" w:hAnsi="Arial" w:cs="Arial"/>
          <w:sz w:val="18"/>
          <w:szCs w:val="18"/>
        </w:rPr>
        <w:t xml:space="preserve">ost </w:t>
      </w:r>
      <w:r w:rsidR="000F4E0A" w:rsidRPr="006A1683">
        <w:rPr>
          <w:rFonts w:ascii="Arial" w:hAnsi="Arial" w:cs="Arial"/>
          <w:sz w:val="18"/>
          <w:szCs w:val="18"/>
        </w:rPr>
        <w:t xml:space="preserve">alternative </w:t>
      </w:r>
    </w:p>
    <w:p w14:paraId="64BC7BE2" w14:textId="77777777" w:rsidR="00256044" w:rsidRPr="006A1683" w:rsidRDefault="423DE388" w:rsidP="4DEF334B">
      <w:pPr>
        <w:spacing w:after="0" w:line="240" w:lineRule="auto"/>
        <w:ind w:left="360" w:right="547"/>
        <w:rPr>
          <w:rFonts w:ascii="Arial" w:hAnsi="Arial" w:cs="Arial"/>
          <w:sz w:val="18"/>
          <w:szCs w:val="18"/>
        </w:rPr>
      </w:pPr>
      <w:r w:rsidRPr="006A1683">
        <w:rPr>
          <w:rFonts w:ascii="Arial" w:hAnsi="Arial" w:cs="Arial"/>
          <w:b/>
          <w:bCs/>
          <w:sz w:val="18"/>
          <w:szCs w:val="18"/>
        </w:rPr>
        <w:t xml:space="preserve">PA </w:t>
      </w:r>
      <w:r w:rsidRPr="006A1683">
        <w:rPr>
          <w:rFonts w:ascii="Arial" w:hAnsi="Arial" w:cs="Arial"/>
          <w:sz w:val="18"/>
          <w:szCs w:val="18"/>
        </w:rPr>
        <w:t>Prior authorization</w:t>
      </w:r>
    </w:p>
    <w:p w14:paraId="1047217C" w14:textId="52B7C3DD" w:rsidR="00F91A52" w:rsidRPr="006A1683" w:rsidRDefault="00F91A52" w:rsidP="4DEF334B">
      <w:pPr>
        <w:spacing w:after="0" w:line="240" w:lineRule="auto"/>
        <w:ind w:left="360" w:right="547"/>
        <w:rPr>
          <w:rFonts w:ascii="Arial" w:hAnsi="Arial" w:cs="Arial"/>
          <w:sz w:val="18"/>
          <w:szCs w:val="18"/>
        </w:rPr>
      </w:pPr>
      <w:r w:rsidRPr="006A1683">
        <w:rPr>
          <w:rFonts w:ascii="Arial" w:hAnsi="Arial" w:cs="Arial"/>
          <w:b/>
          <w:bCs/>
          <w:sz w:val="18"/>
          <w:szCs w:val="18"/>
        </w:rPr>
        <w:t xml:space="preserve">PD </w:t>
      </w:r>
      <w:r w:rsidRPr="006A1683">
        <w:rPr>
          <w:rFonts w:ascii="Arial" w:hAnsi="Arial" w:cs="Arial"/>
          <w:sz w:val="18"/>
          <w:szCs w:val="18"/>
        </w:rPr>
        <w:t>Preferred Drug</w:t>
      </w:r>
      <w:r w:rsidR="00FA0648" w:rsidRPr="006A1683">
        <w:rPr>
          <w:rFonts w:ascii="Arial" w:hAnsi="Arial" w:cs="Arial"/>
          <w:sz w:val="18"/>
          <w:szCs w:val="18"/>
        </w:rPr>
        <w:t>. In general, MassHealth requires a trial of the preferred drug or clinical rationale for prescribing a non-preferred drug within a therapeutic class.</w:t>
      </w:r>
    </w:p>
    <w:p w14:paraId="2DE988E2" w14:textId="577C5007" w:rsidR="00256044" w:rsidRPr="006A1683" w:rsidRDefault="423DE388" w:rsidP="4DEF334B">
      <w:pPr>
        <w:spacing w:after="0" w:line="240" w:lineRule="auto"/>
        <w:ind w:left="360" w:right="547"/>
        <w:rPr>
          <w:rFonts w:ascii="Arial" w:hAnsi="Arial" w:cs="Arial"/>
          <w:sz w:val="18"/>
          <w:szCs w:val="18"/>
        </w:rPr>
      </w:pPr>
      <w:r w:rsidRPr="006A1683">
        <w:rPr>
          <w:rFonts w:ascii="Arial" w:hAnsi="Arial" w:cs="Arial"/>
          <w:b/>
          <w:bCs/>
          <w:sz w:val="18"/>
          <w:szCs w:val="18"/>
        </w:rPr>
        <w:t>QL</w:t>
      </w:r>
      <w:r w:rsidRPr="006A1683">
        <w:rPr>
          <w:rFonts w:ascii="Arial" w:hAnsi="Arial" w:cs="Arial"/>
          <w:sz w:val="18"/>
          <w:szCs w:val="18"/>
        </w:rPr>
        <w:t xml:space="preserve"> Quantity </w:t>
      </w:r>
      <w:r w:rsidR="000F4E0A" w:rsidRPr="006A1683">
        <w:rPr>
          <w:rFonts w:ascii="Arial" w:hAnsi="Arial" w:cs="Arial"/>
          <w:sz w:val="18"/>
          <w:szCs w:val="18"/>
        </w:rPr>
        <w:t>limit</w:t>
      </w:r>
    </w:p>
    <w:p w14:paraId="2903CAE7" w14:textId="519345DB" w:rsidR="0013330D" w:rsidRPr="00332F5E" w:rsidRDefault="423DE388" w:rsidP="4DEF334B">
      <w:pPr>
        <w:spacing w:after="0" w:line="240" w:lineRule="auto"/>
        <w:ind w:left="360" w:right="547"/>
        <w:rPr>
          <w:rFonts w:ascii="Arial" w:hAnsi="Arial" w:cs="Arial"/>
          <w:sz w:val="18"/>
          <w:szCs w:val="18"/>
        </w:rPr>
      </w:pPr>
      <w:r w:rsidRPr="006A1683">
        <w:rPr>
          <w:rFonts w:ascii="Arial" w:hAnsi="Arial" w:cs="Arial"/>
          <w:b/>
          <w:bCs/>
          <w:sz w:val="18"/>
          <w:szCs w:val="18"/>
        </w:rPr>
        <w:t xml:space="preserve">Non-rebate criteria </w:t>
      </w:r>
      <w:r w:rsidRPr="006A1683">
        <w:rPr>
          <w:rFonts w:ascii="Arial" w:hAnsi="Arial" w:cs="Arial"/>
          <w:sz w:val="18"/>
          <w:szCs w:val="18"/>
        </w:rPr>
        <w:t xml:space="preserve">Please refer to the </w:t>
      </w:r>
      <w:hyperlink r:id="rId8">
        <w:r w:rsidRPr="006A1683">
          <w:rPr>
            <w:rStyle w:val="Hyperlink"/>
            <w:rFonts w:ascii="Arial" w:hAnsi="Arial" w:cs="Arial"/>
            <w:sz w:val="18"/>
            <w:szCs w:val="18"/>
          </w:rPr>
          <w:t>M</w:t>
        </w:r>
        <w:r w:rsidR="3F1F9FFB" w:rsidRPr="006A1683">
          <w:rPr>
            <w:rStyle w:val="Hyperlink"/>
            <w:rFonts w:ascii="Arial" w:hAnsi="Arial" w:cs="Arial"/>
            <w:sz w:val="18"/>
            <w:szCs w:val="18"/>
          </w:rPr>
          <w:t>assHealth Pharmacy Operational Page</w:t>
        </w:r>
      </w:hyperlink>
      <w:r w:rsidRPr="006A1683">
        <w:rPr>
          <w:rFonts w:ascii="Arial" w:hAnsi="Arial" w:cs="Arial"/>
          <w:sz w:val="18"/>
          <w:szCs w:val="18"/>
        </w:rPr>
        <w:t xml:space="preserve"> </w:t>
      </w:r>
      <w:r w:rsidR="5E7F03EF" w:rsidRPr="006A1683">
        <w:rPr>
          <w:rFonts w:ascii="Arial" w:hAnsi="Arial" w:cs="Arial"/>
          <w:sz w:val="18"/>
          <w:szCs w:val="18"/>
        </w:rPr>
        <w:t xml:space="preserve">for </w:t>
      </w:r>
      <w:r w:rsidRPr="006A1683">
        <w:rPr>
          <w:rFonts w:ascii="Arial" w:hAnsi="Arial" w:cs="Arial"/>
          <w:sz w:val="18"/>
          <w:szCs w:val="18"/>
        </w:rPr>
        <w:t>non-rebate drugs</w:t>
      </w:r>
      <w:r w:rsidR="23BD9629" w:rsidRPr="006A1683">
        <w:rPr>
          <w:rFonts w:ascii="Arial" w:hAnsi="Arial" w:cs="Arial"/>
          <w:sz w:val="18"/>
          <w:szCs w:val="18"/>
        </w:rPr>
        <w:t xml:space="preserve"> and biologics criteria</w:t>
      </w:r>
      <w:r w:rsidR="000F4E0A" w:rsidRPr="006A1683">
        <w:rPr>
          <w:rFonts w:ascii="Arial" w:hAnsi="Arial" w:cs="Arial"/>
          <w:sz w:val="18"/>
          <w:szCs w:val="18"/>
        </w:rPr>
        <w:t>.</w:t>
      </w:r>
    </w:p>
    <w:sectPr w:rsidR="0013330D" w:rsidRPr="00332F5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572A5" w14:textId="77777777" w:rsidR="00715772" w:rsidRDefault="00715772" w:rsidP="00C340BD">
      <w:pPr>
        <w:spacing w:after="0" w:line="240" w:lineRule="auto"/>
      </w:pPr>
      <w:r>
        <w:separator/>
      </w:r>
    </w:p>
  </w:endnote>
  <w:endnote w:type="continuationSeparator" w:id="0">
    <w:p w14:paraId="2E951E10" w14:textId="77777777" w:rsidR="00715772" w:rsidRDefault="00715772" w:rsidP="00C34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FB37" w14:textId="09633AFC" w:rsidR="00C340BD" w:rsidRPr="00E34504" w:rsidRDefault="78541CD9" w:rsidP="00C340BD">
    <w:pPr>
      <w:pStyle w:val="Footer"/>
      <w:rPr>
        <w:rFonts w:ascii="Arial" w:hAnsi="Arial" w:cs="Arial"/>
        <w:sz w:val="22"/>
        <w:szCs w:val="22"/>
      </w:rPr>
    </w:pPr>
    <w:r w:rsidRPr="78541CD9">
      <w:rPr>
        <w:rFonts w:ascii="Arial" w:hAnsi="Arial" w:cs="Arial"/>
        <w:i/>
        <w:iCs/>
        <w:sz w:val="20"/>
        <w:szCs w:val="20"/>
      </w:rPr>
      <w:t>This document reflects information current as of</w:t>
    </w:r>
    <w:r w:rsidR="00C53612">
      <w:rPr>
        <w:rFonts w:ascii="Arial" w:hAnsi="Arial" w:cs="Arial"/>
        <w:i/>
        <w:iCs/>
        <w:sz w:val="20"/>
        <w:szCs w:val="20"/>
      </w:rPr>
      <w:t xml:space="preserve"> April</w:t>
    </w:r>
    <w:r w:rsidR="00AE794D">
      <w:rPr>
        <w:rFonts w:ascii="Arial" w:hAnsi="Arial" w:cs="Arial"/>
        <w:i/>
        <w:iCs/>
        <w:sz w:val="20"/>
        <w:szCs w:val="20"/>
      </w:rPr>
      <w:t xml:space="preserve"> </w:t>
    </w:r>
    <w:r w:rsidR="00C53612">
      <w:rPr>
        <w:rFonts w:ascii="Arial" w:hAnsi="Arial" w:cs="Arial"/>
        <w:i/>
        <w:iCs/>
        <w:sz w:val="20"/>
        <w:szCs w:val="20"/>
      </w:rPr>
      <w:t>29</w:t>
    </w:r>
    <w:r w:rsidR="00AE794D">
      <w:rPr>
        <w:rFonts w:ascii="Arial" w:hAnsi="Arial" w:cs="Arial"/>
        <w:i/>
        <w:iCs/>
        <w:sz w:val="20"/>
        <w:szCs w:val="20"/>
      </w:rPr>
      <w:t xml:space="preserve">, </w:t>
    </w:r>
    <w:r w:rsidRPr="78541CD9">
      <w:rPr>
        <w:rFonts w:ascii="Arial" w:hAnsi="Arial" w:cs="Arial"/>
        <w:i/>
        <w:iCs/>
        <w:sz w:val="20"/>
        <w:szCs w:val="20"/>
      </w:rPr>
      <w:t xml:space="preserve">2026. Formulary status, coverage criteria, and </w:t>
    </w:r>
    <w:r w:rsidR="00AE794D">
      <w:rPr>
        <w:rFonts w:ascii="Arial" w:hAnsi="Arial" w:cs="Arial"/>
        <w:i/>
        <w:iCs/>
        <w:sz w:val="20"/>
        <w:szCs w:val="20"/>
      </w:rPr>
      <w:t>PA</w:t>
    </w:r>
    <w:r w:rsidRPr="78541CD9">
      <w:rPr>
        <w:rFonts w:ascii="Arial" w:hAnsi="Arial" w:cs="Arial"/>
        <w:i/>
        <w:iCs/>
        <w:sz w:val="20"/>
        <w:szCs w:val="20"/>
      </w:rPr>
      <w:t xml:space="preserve"> requirements are subject to change. Please refer to the MassHealth Drug List for final updates and additional information.</w:t>
    </w:r>
    <w:r w:rsidRPr="78541CD9">
      <w:rPr>
        <w:rFonts w:ascii="Arial" w:hAnsi="Arial" w:cs="Arial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D3AA0" w14:textId="77777777" w:rsidR="00715772" w:rsidRDefault="00715772" w:rsidP="00C340BD">
      <w:pPr>
        <w:spacing w:after="0" w:line="240" w:lineRule="auto"/>
      </w:pPr>
      <w:r>
        <w:separator/>
      </w:r>
    </w:p>
  </w:footnote>
  <w:footnote w:type="continuationSeparator" w:id="0">
    <w:p w14:paraId="2B5FFF5E" w14:textId="77777777" w:rsidR="00715772" w:rsidRDefault="00715772" w:rsidP="00C34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EAD"/>
    <w:multiLevelType w:val="hybridMultilevel"/>
    <w:tmpl w:val="D278F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228A"/>
    <w:multiLevelType w:val="hybridMultilevel"/>
    <w:tmpl w:val="A5F2C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A39A9"/>
    <w:multiLevelType w:val="hybridMultilevel"/>
    <w:tmpl w:val="10A02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8807DE"/>
    <w:multiLevelType w:val="hybridMultilevel"/>
    <w:tmpl w:val="FFFFFFFF"/>
    <w:lvl w:ilvl="0" w:tplc="94503A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E86D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64870B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9EB3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24413A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AF69C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2430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C8BB9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8EAB6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F65288"/>
    <w:multiLevelType w:val="hybridMultilevel"/>
    <w:tmpl w:val="E25688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BACA8C"/>
    <w:multiLevelType w:val="hybridMultilevel"/>
    <w:tmpl w:val="FFFFFFFF"/>
    <w:lvl w:ilvl="0" w:tplc="B8F407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50B4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9233E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22A2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CA8184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CE14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F42D2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5C6C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67439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5459C8"/>
    <w:multiLevelType w:val="hybridMultilevel"/>
    <w:tmpl w:val="515A4096"/>
    <w:lvl w:ilvl="0" w:tplc="B5C03EF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A2F82"/>
    <w:multiLevelType w:val="hybridMultilevel"/>
    <w:tmpl w:val="9EDAB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BA5EC3"/>
    <w:multiLevelType w:val="hybridMultilevel"/>
    <w:tmpl w:val="709682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59FF65"/>
    <w:multiLevelType w:val="hybridMultilevel"/>
    <w:tmpl w:val="0B82D1D2"/>
    <w:lvl w:ilvl="0" w:tplc="B5C03EF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930C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A8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E9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06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81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C0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C0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23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675805">
    <w:abstractNumId w:val="5"/>
  </w:num>
  <w:num w:numId="2" w16cid:durableId="296227621">
    <w:abstractNumId w:val="3"/>
  </w:num>
  <w:num w:numId="3" w16cid:durableId="45958435">
    <w:abstractNumId w:val="9"/>
  </w:num>
  <w:num w:numId="4" w16cid:durableId="462428718">
    <w:abstractNumId w:val="2"/>
  </w:num>
  <w:num w:numId="5" w16cid:durableId="852106170">
    <w:abstractNumId w:val="7"/>
  </w:num>
  <w:num w:numId="6" w16cid:durableId="259409429">
    <w:abstractNumId w:val="8"/>
  </w:num>
  <w:num w:numId="7" w16cid:durableId="1132479473">
    <w:abstractNumId w:val="4"/>
  </w:num>
  <w:num w:numId="8" w16cid:durableId="524831757">
    <w:abstractNumId w:val="6"/>
  </w:num>
  <w:num w:numId="9" w16cid:durableId="230508011">
    <w:abstractNumId w:val="0"/>
  </w:num>
  <w:num w:numId="10" w16cid:durableId="4738918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44"/>
    <w:rsid w:val="00000824"/>
    <w:rsid w:val="00002DE3"/>
    <w:rsid w:val="00003BF4"/>
    <w:rsid w:val="000056BF"/>
    <w:rsid w:val="00006983"/>
    <w:rsid w:val="00011ECC"/>
    <w:rsid w:val="0001385B"/>
    <w:rsid w:val="00017D9A"/>
    <w:rsid w:val="0003036E"/>
    <w:rsid w:val="00030A57"/>
    <w:rsid w:val="00032405"/>
    <w:rsid w:val="00032DA3"/>
    <w:rsid w:val="000352D9"/>
    <w:rsid w:val="00045461"/>
    <w:rsid w:val="00045FE6"/>
    <w:rsid w:val="000506AB"/>
    <w:rsid w:val="00052D87"/>
    <w:rsid w:val="00052E4C"/>
    <w:rsid w:val="00053AFF"/>
    <w:rsid w:val="0005449F"/>
    <w:rsid w:val="0005555F"/>
    <w:rsid w:val="00060851"/>
    <w:rsid w:val="000617B4"/>
    <w:rsid w:val="0006236C"/>
    <w:rsid w:val="00067A73"/>
    <w:rsid w:val="000738AA"/>
    <w:rsid w:val="000739A6"/>
    <w:rsid w:val="0007495A"/>
    <w:rsid w:val="00074F81"/>
    <w:rsid w:val="00075FD5"/>
    <w:rsid w:val="000802BD"/>
    <w:rsid w:val="0008072A"/>
    <w:rsid w:val="00082DF5"/>
    <w:rsid w:val="0008368B"/>
    <w:rsid w:val="00086A05"/>
    <w:rsid w:val="00090A2B"/>
    <w:rsid w:val="00090AD2"/>
    <w:rsid w:val="00091253"/>
    <w:rsid w:val="00092A93"/>
    <w:rsid w:val="000A48E6"/>
    <w:rsid w:val="000A4A7B"/>
    <w:rsid w:val="000B5034"/>
    <w:rsid w:val="000B7439"/>
    <w:rsid w:val="000C796B"/>
    <w:rsid w:val="000D2EC5"/>
    <w:rsid w:val="000D7CF3"/>
    <w:rsid w:val="000E2B83"/>
    <w:rsid w:val="000E4960"/>
    <w:rsid w:val="000F03CD"/>
    <w:rsid w:val="000F31D5"/>
    <w:rsid w:val="000F33D0"/>
    <w:rsid w:val="000F3810"/>
    <w:rsid w:val="000F447F"/>
    <w:rsid w:val="000F4E0A"/>
    <w:rsid w:val="000F7E7E"/>
    <w:rsid w:val="00100FF0"/>
    <w:rsid w:val="0010296E"/>
    <w:rsid w:val="0011161A"/>
    <w:rsid w:val="00113C96"/>
    <w:rsid w:val="00115CF9"/>
    <w:rsid w:val="00123418"/>
    <w:rsid w:val="001246E8"/>
    <w:rsid w:val="00125D15"/>
    <w:rsid w:val="001271B9"/>
    <w:rsid w:val="001274F7"/>
    <w:rsid w:val="00132DC5"/>
    <w:rsid w:val="0013330D"/>
    <w:rsid w:val="00134E18"/>
    <w:rsid w:val="00135954"/>
    <w:rsid w:val="0014185A"/>
    <w:rsid w:val="00146304"/>
    <w:rsid w:val="0014674C"/>
    <w:rsid w:val="00147296"/>
    <w:rsid w:val="0015108D"/>
    <w:rsid w:val="0015108F"/>
    <w:rsid w:val="00152427"/>
    <w:rsid w:val="00153B61"/>
    <w:rsid w:val="0016061C"/>
    <w:rsid w:val="00163F45"/>
    <w:rsid w:val="0016561D"/>
    <w:rsid w:val="00171DE6"/>
    <w:rsid w:val="00172D07"/>
    <w:rsid w:val="001816C4"/>
    <w:rsid w:val="00184584"/>
    <w:rsid w:val="001848D3"/>
    <w:rsid w:val="00187EAB"/>
    <w:rsid w:val="00190897"/>
    <w:rsid w:val="0019365C"/>
    <w:rsid w:val="0019760B"/>
    <w:rsid w:val="001A0AA5"/>
    <w:rsid w:val="001A0EBB"/>
    <w:rsid w:val="001A3859"/>
    <w:rsid w:val="001A5580"/>
    <w:rsid w:val="001A7F16"/>
    <w:rsid w:val="001B1AB3"/>
    <w:rsid w:val="001B3441"/>
    <w:rsid w:val="001B3FDE"/>
    <w:rsid w:val="001B5FD1"/>
    <w:rsid w:val="001B740B"/>
    <w:rsid w:val="001C0CDE"/>
    <w:rsid w:val="001C2F3F"/>
    <w:rsid w:val="001C442F"/>
    <w:rsid w:val="001D01C4"/>
    <w:rsid w:val="001D071E"/>
    <w:rsid w:val="001E1050"/>
    <w:rsid w:val="001E294A"/>
    <w:rsid w:val="001E52B6"/>
    <w:rsid w:val="001E542D"/>
    <w:rsid w:val="001F013D"/>
    <w:rsid w:val="001F14F7"/>
    <w:rsid w:val="001F16BF"/>
    <w:rsid w:val="00201DEE"/>
    <w:rsid w:val="00205C32"/>
    <w:rsid w:val="00205FB6"/>
    <w:rsid w:val="00211590"/>
    <w:rsid w:val="00212436"/>
    <w:rsid w:val="00212EFE"/>
    <w:rsid w:val="0021531A"/>
    <w:rsid w:val="00222595"/>
    <w:rsid w:val="00223FC4"/>
    <w:rsid w:val="00227341"/>
    <w:rsid w:val="002303F3"/>
    <w:rsid w:val="00230834"/>
    <w:rsid w:val="00231989"/>
    <w:rsid w:val="00241A08"/>
    <w:rsid w:val="00242940"/>
    <w:rsid w:val="00246FC3"/>
    <w:rsid w:val="00247A84"/>
    <w:rsid w:val="002502AE"/>
    <w:rsid w:val="00252337"/>
    <w:rsid w:val="00254BF7"/>
    <w:rsid w:val="00256044"/>
    <w:rsid w:val="0025730A"/>
    <w:rsid w:val="0026017E"/>
    <w:rsid w:val="00262C6B"/>
    <w:rsid w:val="0026373F"/>
    <w:rsid w:val="00263C74"/>
    <w:rsid w:val="00264D50"/>
    <w:rsid w:val="002662CA"/>
    <w:rsid w:val="00267524"/>
    <w:rsid w:val="00271F03"/>
    <w:rsid w:val="00272A4B"/>
    <w:rsid w:val="00273B36"/>
    <w:rsid w:val="00274C74"/>
    <w:rsid w:val="00286CD7"/>
    <w:rsid w:val="00292D09"/>
    <w:rsid w:val="00296339"/>
    <w:rsid w:val="00297DFE"/>
    <w:rsid w:val="002A2445"/>
    <w:rsid w:val="002A369A"/>
    <w:rsid w:val="002A4552"/>
    <w:rsid w:val="002B18E2"/>
    <w:rsid w:val="002B6405"/>
    <w:rsid w:val="002C222A"/>
    <w:rsid w:val="002C4409"/>
    <w:rsid w:val="002C4F45"/>
    <w:rsid w:val="002C79B6"/>
    <w:rsid w:val="002D099D"/>
    <w:rsid w:val="002D1060"/>
    <w:rsid w:val="002D203B"/>
    <w:rsid w:val="002D36C2"/>
    <w:rsid w:val="002E0F51"/>
    <w:rsid w:val="002E5F5F"/>
    <w:rsid w:val="002F26B0"/>
    <w:rsid w:val="002F4767"/>
    <w:rsid w:val="002F75F9"/>
    <w:rsid w:val="003048F0"/>
    <w:rsid w:val="00312067"/>
    <w:rsid w:val="0031317D"/>
    <w:rsid w:val="00313BCA"/>
    <w:rsid w:val="00314774"/>
    <w:rsid w:val="00321480"/>
    <w:rsid w:val="00321CF5"/>
    <w:rsid w:val="00324B66"/>
    <w:rsid w:val="00332874"/>
    <w:rsid w:val="00332F5E"/>
    <w:rsid w:val="0033417E"/>
    <w:rsid w:val="00341799"/>
    <w:rsid w:val="003429D0"/>
    <w:rsid w:val="003450FB"/>
    <w:rsid w:val="003510C1"/>
    <w:rsid w:val="00351744"/>
    <w:rsid w:val="00352057"/>
    <w:rsid w:val="00354839"/>
    <w:rsid w:val="00356017"/>
    <w:rsid w:val="003572A6"/>
    <w:rsid w:val="00361C01"/>
    <w:rsid w:val="003646E1"/>
    <w:rsid w:val="0037158C"/>
    <w:rsid w:val="00372C1B"/>
    <w:rsid w:val="00372E7D"/>
    <w:rsid w:val="00373C1C"/>
    <w:rsid w:val="00376C9D"/>
    <w:rsid w:val="003772EE"/>
    <w:rsid w:val="00380EAD"/>
    <w:rsid w:val="00382644"/>
    <w:rsid w:val="0038295F"/>
    <w:rsid w:val="0038355F"/>
    <w:rsid w:val="00385D38"/>
    <w:rsid w:val="0039110E"/>
    <w:rsid w:val="00391730"/>
    <w:rsid w:val="00393ED1"/>
    <w:rsid w:val="00394E2D"/>
    <w:rsid w:val="003A356D"/>
    <w:rsid w:val="003A4635"/>
    <w:rsid w:val="003A6525"/>
    <w:rsid w:val="003A6A29"/>
    <w:rsid w:val="003A6CC0"/>
    <w:rsid w:val="003A7E07"/>
    <w:rsid w:val="003B014C"/>
    <w:rsid w:val="003B1264"/>
    <w:rsid w:val="003B2488"/>
    <w:rsid w:val="003C06F3"/>
    <w:rsid w:val="003C13F6"/>
    <w:rsid w:val="003C6C7C"/>
    <w:rsid w:val="003D5498"/>
    <w:rsid w:val="003D7767"/>
    <w:rsid w:val="003E2CBC"/>
    <w:rsid w:val="003E3D3F"/>
    <w:rsid w:val="003F376C"/>
    <w:rsid w:val="003F38A6"/>
    <w:rsid w:val="003F436E"/>
    <w:rsid w:val="003F4872"/>
    <w:rsid w:val="003F51AC"/>
    <w:rsid w:val="004000AF"/>
    <w:rsid w:val="004004FC"/>
    <w:rsid w:val="004007B1"/>
    <w:rsid w:val="00407703"/>
    <w:rsid w:val="00412C6A"/>
    <w:rsid w:val="00415041"/>
    <w:rsid w:val="00415104"/>
    <w:rsid w:val="0041687C"/>
    <w:rsid w:val="00417385"/>
    <w:rsid w:val="004174BF"/>
    <w:rsid w:val="00422D32"/>
    <w:rsid w:val="00426B04"/>
    <w:rsid w:val="00430F63"/>
    <w:rsid w:val="00435B9A"/>
    <w:rsid w:val="00436C0D"/>
    <w:rsid w:val="00447F3D"/>
    <w:rsid w:val="00451354"/>
    <w:rsid w:val="0045537E"/>
    <w:rsid w:val="00456528"/>
    <w:rsid w:val="00457B83"/>
    <w:rsid w:val="00457E7F"/>
    <w:rsid w:val="004637D8"/>
    <w:rsid w:val="0046507C"/>
    <w:rsid w:val="0048272C"/>
    <w:rsid w:val="004849A7"/>
    <w:rsid w:val="00492EF3"/>
    <w:rsid w:val="00495F94"/>
    <w:rsid w:val="004A6082"/>
    <w:rsid w:val="004C2985"/>
    <w:rsid w:val="004D0B34"/>
    <w:rsid w:val="004D3FF2"/>
    <w:rsid w:val="004D60B8"/>
    <w:rsid w:val="004E4D13"/>
    <w:rsid w:val="004F39E5"/>
    <w:rsid w:val="004F6EAA"/>
    <w:rsid w:val="004F7E30"/>
    <w:rsid w:val="00504BB1"/>
    <w:rsid w:val="0050510E"/>
    <w:rsid w:val="00506C5B"/>
    <w:rsid w:val="005075B4"/>
    <w:rsid w:val="00514B5C"/>
    <w:rsid w:val="00516F0D"/>
    <w:rsid w:val="005203BE"/>
    <w:rsid w:val="0052303F"/>
    <w:rsid w:val="00523B01"/>
    <w:rsid w:val="00524341"/>
    <w:rsid w:val="0052553D"/>
    <w:rsid w:val="00527F34"/>
    <w:rsid w:val="00533967"/>
    <w:rsid w:val="00534D15"/>
    <w:rsid w:val="00536691"/>
    <w:rsid w:val="00536719"/>
    <w:rsid w:val="00541C63"/>
    <w:rsid w:val="00543C9F"/>
    <w:rsid w:val="00545202"/>
    <w:rsid w:val="00545905"/>
    <w:rsid w:val="00547DC1"/>
    <w:rsid w:val="00550D6E"/>
    <w:rsid w:val="0055160E"/>
    <w:rsid w:val="00551846"/>
    <w:rsid w:val="00554A41"/>
    <w:rsid w:val="005566BD"/>
    <w:rsid w:val="00556D19"/>
    <w:rsid w:val="00557E64"/>
    <w:rsid w:val="00560D1A"/>
    <w:rsid w:val="00561DC0"/>
    <w:rsid w:val="00562968"/>
    <w:rsid w:val="00570454"/>
    <w:rsid w:val="00571634"/>
    <w:rsid w:val="00573947"/>
    <w:rsid w:val="0057412D"/>
    <w:rsid w:val="00575ACD"/>
    <w:rsid w:val="0057638C"/>
    <w:rsid w:val="00577C57"/>
    <w:rsid w:val="00577D15"/>
    <w:rsid w:val="005807F1"/>
    <w:rsid w:val="005824DF"/>
    <w:rsid w:val="00582D2E"/>
    <w:rsid w:val="00583FD9"/>
    <w:rsid w:val="00585D94"/>
    <w:rsid w:val="00586220"/>
    <w:rsid w:val="00593B34"/>
    <w:rsid w:val="005950E9"/>
    <w:rsid w:val="005A10DF"/>
    <w:rsid w:val="005A2E8F"/>
    <w:rsid w:val="005A2FE5"/>
    <w:rsid w:val="005A3F6E"/>
    <w:rsid w:val="005B699A"/>
    <w:rsid w:val="005C02F9"/>
    <w:rsid w:val="005C0823"/>
    <w:rsid w:val="005C61EC"/>
    <w:rsid w:val="005D0172"/>
    <w:rsid w:val="005D6E28"/>
    <w:rsid w:val="005E1D1D"/>
    <w:rsid w:val="005E23B8"/>
    <w:rsid w:val="005F31D0"/>
    <w:rsid w:val="00600D7F"/>
    <w:rsid w:val="00600E4F"/>
    <w:rsid w:val="00602F13"/>
    <w:rsid w:val="00605F9B"/>
    <w:rsid w:val="00606CAE"/>
    <w:rsid w:val="00625390"/>
    <w:rsid w:val="00633B22"/>
    <w:rsid w:val="006343E3"/>
    <w:rsid w:val="00635D69"/>
    <w:rsid w:val="006422A9"/>
    <w:rsid w:val="006446D5"/>
    <w:rsid w:val="00652BEE"/>
    <w:rsid w:val="00660983"/>
    <w:rsid w:val="006629C7"/>
    <w:rsid w:val="00662DAB"/>
    <w:rsid w:val="00666B09"/>
    <w:rsid w:val="0067051C"/>
    <w:rsid w:val="00671024"/>
    <w:rsid w:val="006727CA"/>
    <w:rsid w:val="006736E5"/>
    <w:rsid w:val="00676595"/>
    <w:rsid w:val="00681420"/>
    <w:rsid w:val="00681973"/>
    <w:rsid w:val="006828AE"/>
    <w:rsid w:val="0068389D"/>
    <w:rsid w:val="00684FE5"/>
    <w:rsid w:val="00685880"/>
    <w:rsid w:val="00685EF5"/>
    <w:rsid w:val="00690E5E"/>
    <w:rsid w:val="006917D3"/>
    <w:rsid w:val="0069727A"/>
    <w:rsid w:val="00697EB5"/>
    <w:rsid w:val="006A1683"/>
    <w:rsid w:val="006A216F"/>
    <w:rsid w:val="006A362D"/>
    <w:rsid w:val="006AB6D6"/>
    <w:rsid w:val="006B60FC"/>
    <w:rsid w:val="006B71D0"/>
    <w:rsid w:val="006C292E"/>
    <w:rsid w:val="006C6D7C"/>
    <w:rsid w:val="006CFDDE"/>
    <w:rsid w:val="006D0C85"/>
    <w:rsid w:val="006D0E10"/>
    <w:rsid w:val="006D0ECC"/>
    <w:rsid w:val="006D37CB"/>
    <w:rsid w:val="006D7756"/>
    <w:rsid w:val="006E06CF"/>
    <w:rsid w:val="006E1940"/>
    <w:rsid w:val="006E2DA8"/>
    <w:rsid w:val="006E79FF"/>
    <w:rsid w:val="006F0A4B"/>
    <w:rsid w:val="006F0FA8"/>
    <w:rsid w:val="007007E0"/>
    <w:rsid w:val="00705256"/>
    <w:rsid w:val="00705E33"/>
    <w:rsid w:val="00706522"/>
    <w:rsid w:val="007079D9"/>
    <w:rsid w:val="0071409F"/>
    <w:rsid w:val="00715772"/>
    <w:rsid w:val="007167EB"/>
    <w:rsid w:val="00716838"/>
    <w:rsid w:val="0071E19C"/>
    <w:rsid w:val="00721562"/>
    <w:rsid w:val="007239F9"/>
    <w:rsid w:val="007251D4"/>
    <w:rsid w:val="00730C7A"/>
    <w:rsid w:val="00732090"/>
    <w:rsid w:val="00733444"/>
    <w:rsid w:val="00735473"/>
    <w:rsid w:val="00736C8F"/>
    <w:rsid w:val="00740FEB"/>
    <w:rsid w:val="0074128C"/>
    <w:rsid w:val="00746987"/>
    <w:rsid w:val="00752611"/>
    <w:rsid w:val="00753DB9"/>
    <w:rsid w:val="00754102"/>
    <w:rsid w:val="007545D2"/>
    <w:rsid w:val="007556C0"/>
    <w:rsid w:val="00765D58"/>
    <w:rsid w:val="00765DDD"/>
    <w:rsid w:val="007664D6"/>
    <w:rsid w:val="00771378"/>
    <w:rsid w:val="00771C57"/>
    <w:rsid w:val="00772988"/>
    <w:rsid w:val="00772A84"/>
    <w:rsid w:val="00775B35"/>
    <w:rsid w:val="007802A2"/>
    <w:rsid w:val="00783CBA"/>
    <w:rsid w:val="00795731"/>
    <w:rsid w:val="007A00D0"/>
    <w:rsid w:val="007A0FF0"/>
    <w:rsid w:val="007A4086"/>
    <w:rsid w:val="007A529F"/>
    <w:rsid w:val="007B1E04"/>
    <w:rsid w:val="007B3759"/>
    <w:rsid w:val="007B6AA7"/>
    <w:rsid w:val="007B6D01"/>
    <w:rsid w:val="007B77A1"/>
    <w:rsid w:val="007C3326"/>
    <w:rsid w:val="007C3B72"/>
    <w:rsid w:val="007D5A0B"/>
    <w:rsid w:val="007D7BA8"/>
    <w:rsid w:val="007E2A53"/>
    <w:rsid w:val="007F2732"/>
    <w:rsid w:val="007F34A0"/>
    <w:rsid w:val="007F5B27"/>
    <w:rsid w:val="00801472"/>
    <w:rsid w:val="00803711"/>
    <w:rsid w:val="008051BD"/>
    <w:rsid w:val="008053C7"/>
    <w:rsid w:val="0080633E"/>
    <w:rsid w:val="00806ECA"/>
    <w:rsid w:val="008072D5"/>
    <w:rsid w:val="008107EC"/>
    <w:rsid w:val="00811AC6"/>
    <w:rsid w:val="00813A9F"/>
    <w:rsid w:val="00813C5F"/>
    <w:rsid w:val="008140F8"/>
    <w:rsid w:val="008154FD"/>
    <w:rsid w:val="00815696"/>
    <w:rsid w:val="008203DF"/>
    <w:rsid w:val="00820F84"/>
    <w:rsid w:val="00822050"/>
    <w:rsid w:val="00826E96"/>
    <w:rsid w:val="0082749D"/>
    <w:rsid w:val="00832130"/>
    <w:rsid w:val="0083686D"/>
    <w:rsid w:val="00837D7A"/>
    <w:rsid w:val="00840ABB"/>
    <w:rsid w:val="00840C51"/>
    <w:rsid w:val="00841CD3"/>
    <w:rsid w:val="008458B3"/>
    <w:rsid w:val="00846173"/>
    <w:rsid w:val="00847811"/>
    <w:rsid w:val="00847EB8"/>
    <w:rsid w:val="00861E91"/>
    <w:rsid w:val="00863418"/>
    <w:rsid w:val="0086642E"/>
    <w:rsid w:val="0086720C"/>
    <w:rsid w:val="0086759D"/>
    <w:rsid w:val="00867713"/>
    <w:rsid w:val="0087517A"/>
    <w:rsid w:val="00875B20"/>
    <w:rsid w:val="00880285"/>
    <w:rsid w:val="008844D1"/>
    <w:rsid w:val="008847D7"/>
    <w:rsid w:val="00886246"/>
    <w:rsid w:val="0088689D"/>
    <w:rsid w:val="00887E84"/>
    <w:rsid w:val="008920B7"/>
    <w:rsid w:val="008923DB"/>
    <w:rsid w:val="00893B15"/>
    <w:rsid w:val="008967AD"/>
    <w:rsid w:val="008968AC"/>
    <w:rsid w:val="00897071"/>
    <w:rsid w:val="008A1CD4"/>
    <w:rsid w:val="008B2462"/>
    <w:rsid w:val="008C2323"/>
    <w:rsid w:val="008C2777"/>
    <w:rsid w:val="008C4101"/>
    <w:rsid w:val="008D1791"/>
    <w:rsid w:val="008D63B5"/>
    <w:rsid w:val="008D6DFC"/>
    <w:rsid w:val="008E0675"/>
    <w:rsid w:val="008E0EA2"/>
    <w:rsid w:val="008E4743"/>
    <w:rsid w:val="008E510B"/>
    <w:rsid w:val="008E74D3"/>
    <w:rsid w:val="008E777D"/>
    <w:rsid w:val="008F2672"/>
    <w:rsid w:val="008F56C6"/>
    <w:rsid w:val="008F6DFC"/>
    <w:rsid w:val="008F71FD"/>
    <w:rsid w:val="008F793B"/>
    <w:rsid w:val="00902CE6"/>
    <w:rsid w:val="009046F3"/>
    <w:rsid w:val="009058B2"/>
    <w:rsid w:val="0090613C"/>
    <w:rsid w:val="009147B7"/>
    <w:rsid w:val="00915364"/>
    <w:rsid w:val="009213AD"/>
    <w:rsid w:val="00921E31"/>
    <w:rsid w:val="00923706"/>
    <w:rsid w:val="00923A03"/>
    <w:rsid w:val="00933445"/>
    <w:rsid w:val="00936A37"/>
    <w:rsid w:val="009375B7"/>
    <w:rsid w:val="009434F4"/>
    <w:rsid w:val="0095637C"/>
    <w:rsid w:val="009610C0"/>
    <w:rsid w:val="00961E5D"/>
    <w:rsid w:val="00962D33"/>
    <w:rsid w:val="00963ED0"/>
    <w:rsid w:val="0096471C"/>
    <w:rsid w:val="00965AF6"/>
    <w:rsid w:val="00966962"/>
    <w:rsid w:val="00970CE5"/>
    <w:rsid w:val="009718AF"/>
    <w:rsid w:val="00977DF5"/>
    <w:rsid w:val="00983FFA"/>
    <w:rsid w:val="00985744"/>
    <w:rsid w:val="00986A1C"/>
    <w:rsid w:val="00991C6C"/>
    <w:rsid w:val="00997EB7"/>
    <w:rsid w:val="009A532F"/>
    <w:rsid w:val="009A5402"/>
    <w:rsid w:val="009A552C"/>
    <w:rsid w:val="009A61CD"/>
    <w:rsid w:val="009A6323"/>
    <w:rsid w:val="009B2D5D"/>
    <w:rsid w:val="009B5401"/>
    <w:rsid w:val="009B5F41"/>
    <w:rsid w:val="009B78F9"/>
    <w:rsid w:val="009C0F21"/>
    <w:rsid w:val="009C460D"/>
    <w:rsid w:val="009C6AC1"/>
    <w:rsid w:val="009D22C1"/>
    <w:rsid w:val="009D23E3"/>
    <w:rsid w:val="009E0CD2"/>
    <w:rsid w:val="009E1DC2"/>
    <w:rsid w:val="009E30A8"/>
    <w:rsid w:val="009F163B"/>
    <w:rsid w:val="009F2AA4"/>
    <w:rsid w:val="009F7853"/>
    <w:rsid w:val="00A01D87"/>
    <w:rsid w:val="00A03A6B"/>
    <w:rsid w:val="00A058CE"/>
    <w:rsid w:val="00A12FE3"/>
    <w:rsid w:val="00A13E77"/>
    <w:rsid w:val="00A16584"/>
    <w:rsid w:val="00A20B74"/>
    <w:rsid w:val="00A220D4"/>
    <w:rsid w:val="00A221CF"/>
    <w:rsid w:val="00A2345B"/>
    <w:rsid w:val="00A243A3"/>
    <w:rsid w:val="00A25E86"/>
    <w:rsid w:val="00A267F5"/>
    <w:rsid w:val="00A26E79"/>
    <w:rsid w:val="00A2797F"/>
    <w:rsid w:val="00A30674"/>
    <w:rsid w:val="00A3247D"/>
    <w:rsid w:val="00A416D1"/>
    <w:rsid w:val="00A46CED"/>
    <w:rsid w:val="00A50321"/>
    <w:rsid w:val="00A5693F"/>
    <w:rsid w:val="00A61C5A"/>
    <w:rsid w:val="00A62103"/>
    <w:rsid w:val="00A6469D"/>
    <w:rsid w:val="00A67B78"/>
    <w:rsid w:val="00A771CE"/>
    <w:rsid w:val="00A81F7C"/>
    <w:rsid w:val="00A8257C"/>
    <w:rsid w:val="00A853E8"/>
    <w:rsid w:val="00A95044"/>
    <w:rsid w:val="00A96A84"/>
    <w:rsid w:val="00AA1DA6"/>
    <w:rsid w:val="00AA5B58"/>
    <w:rsid w:val="00AA5EF3"/>
    <w:rsid w:val="00AA780A"/>
    <w:rsid w:val="00AB1B43"/>
    <w:rsid w:val="00AC4698"/>
    <w:rsid w:val="00AD1488"/>
    <w:rsid w:val="00AD1C35"/>
    <w:rsid w:val="00AD305B"/>
    <w:rsid w:val="00AD4C0E"/>
    <w:rsid w:val="00AE020C"/>
    <w:rsid w:val="00AE1B48"/>
    <w:rsid w:val="00AE47CF"/>
    <w:rsid w:val="00AE5BE0"/>
    <w:rsid w:val="00AE7666"/>
    <w:rsid w:val="00AE794D"/>
    <w:rsid w:val="00AF0E2E"/>
    <w:rsid w:val="00AF273A"/>
    <w:rsid w:val="00AF63DA"/>
    <w:rsid w:val="00AF741A"/>
    <w:rsid w:val="00B0193A"/>
    <w:rsid w:val="00B05C2E"/>
    <w:rsid w:val="00B0657C"/>
    <w:rsid w:val="00B070BB"/>
    <w:rsid w:val="00B07296"/>
    <w:rsid w:val="00B07D8A"/>
    <w:rsid w:val="00B10A14"/>
    <w:rsid w:val="00B114C1"/>
    <w:rsid w:val="00B1698B"/>
    <w:rsid w:val="00B21E23"/>
    <w:rsid w:val="00B25D76"/>
    <w:rsid w:val="00B27D57"/>
    <w:rsid w:val="00B32479"/>
    <w:rsid w:val="00B33D0D"/>
    <w:rsid w:val="00B42C77"/>
    <w:rsid w:val="00B43F12"/>
    <w:rsid w:val="00B4415D"/>
    <w:rsid w:val="00B44AD0"/>
    <w:rsid w:val="00B4793E"/>
    <w:rsid w:val="00B50948"/>
    <w:rsid w:val="00B51B5D"/>
    <w:rsid w:val="00B556FB"/>
    <w:rsid w:val="00B5E7AE"/>
    <w:rsid w:val="00B62B5C"/>
    <w:rsid w:val="00B6415B"/>
    <w:rsid w:val="00B702A5"/>
    <w:rsid w:val="00B74FC7"/>
    <w:rsid w:val="00B7584C"/>
    <w:rsid w:val="00B80DF7"/>
    <w:rsid w:val="00B81751"/>
    <w:rsid w:val="00B819D4"/>
    <w:rsid w:val="00B94D32"/>
    <w:rsid w:val="00B9792D"/>
    <w:rsid w:val="00BA06D6"/>
    <w:rsid w:val="00BA08C3"/>
    <w:rsid w:val="00BA3744"/>
    <w:rsid w:val="00BB4AF1"/>
    <w:rsid w:val="00BC2C8B"/>
    <w:rsid w:val="00BD0AD5"/>
    <w:rsid w:val="00BD3CC0"/>
    <w:rsid w:val="00BD4C07"/>
    <w:rsid w:val="00BD4E1A"/>
    <w:rsid w:val="00BD51BA"/>
    <w:rsid w:val="00BD5438"/>
    <w:rsid w:val="00BD75DC"/>
    <w:rsid w:val="00BD7BFC"/>
    <w:rsid w:val="00BE02D7"/>
    <w:rsid w:val="00BE10F3"/>
    <w:rsid w:val="00BE10FD"/>
    <w:rsid w:val="00BE28BD"/>
    <w:rsid w:val="00BE2DA0"/>
    <w:rsid w:val="00BE2F07"/>
    <w:rsid w:val="00BE370C"/>
    <w:rsid w:val="00BE5A98"/>
    <w:rsid w:val="00BF03AE"/>
    <w:rsid w:val="00C00046"/>
    <w:rsid w:val="00C106DB"/>
    <w:rsid w:val="00C1264D"/>
    <w:rsid w:val="00C15479"/>
    <w:rsid w:val="00C16D83"/>
    <w:rsid w:val="00C255C4"/>
    <w:rsid w:val="00C3252A"/>
    <w:rsid w:val="00C330B5"/>
    <w:rsid w:val="00C340BD"/>
    <w:rsid w:val="00C35DCE"/>
    <w:rsid w:val="00C36BFE"/>
    <w:rsid w:val="00C44434"/>
    <w:rsid w:val="00C50AFC"/>
    <w:rsid w:val="00C53612"/>
    <w:rsid w:val="00C546D5"/>
    <w:rsid w:val="00C66EE9"/>
    <w:rsid w:val="00C74B73"/>
    <w:rsid w:val="00C756F0"/>
    <w:rsid w:val="00C77C4F"/>
    <w:rsid w:val="00C803BD"/>
    <w:rsid w:val="00C848F1"/>
    <w:rsid w:val="00C84F49"/>
    <w:rsid w:val="00C85FEC"/>
    <w:rsid w:val="00C928B4"/>
    <w:rsid w:val="00CA2E46"/>
    <w:rsid w:val="00CB01DF"/>
    <w:rsid w:val="00CB0791"/>
    <w:rsid w:val="00CB21A1"/>
    <w:rsid w:val="00CB2372"/>
    <w:rsid w:val="00CB3195"/>
    <w:rsid w:val="00CC17AA"/>
    <w:rsid w:val="00CC36CE"/>
    <w:rsid w:val="00CC3E43"/>
    <w:rsid w:val="00CC782F"/>
    <w:rsid w:val="00CD17D8"/>
    <w:rsid w:val="00CD32C1"/>
    <w:rsid w:val="00CD4585"/>
    <w:rsid w:val="00CD7FD6"/>
    <w:rsid w:val="00CE205B"/>
    <w:rsid w:val="00CE362E"/>
    <w:rsid w:val="00CE4225"/>
    <w:rsid w:val="00D023A3"/>
    <w:rsid w:val="00D11B62"/>
    <w:rsid w:val="00D208A7"/>
    <w:rsid w:val="00D2339D"/>
    <w:rsid w:val="00D26F82"/>
    <w:rsid w:val="00D3788D"/>
    <w:rsid w:val="00D433B3"/>
    <w:rsid w:val="00D440E7"/>
    <w:rsid w:val="00D5074C"/>
    <w:rsid w:val="00D51EAB"/>
    <w:rsid w:val="00D53594"/>
    <w:rsid w:val="00D543B2"/>
    <w:rsid w:val="00D54519"/>
    <w:rsid w:val="00D55C8A"/>
    <w:rsid w:val="00D5622D"/>
    <w:rsid w:val="00D57758"/>
    <w:rsid w:val="00D623BD"/>
    <w:rsid w:val="00D62F27"/>
    <w:rsid w:val="00D6442A"/>
    <w:rsid w:val="00D65D4C"/>
    <w:rsid w:val="00D673F3"/>
    <w:rsid w:val="00D727FA"/>
    <w:rsid w:val="00D73D48"/>
    <w:rsid w:val="00D754BD"/>
    <w:rsid w:val="00D842FC"/>
    <w:rsid w:val="00D96419"/>
    <w:rsid w:val="00D96737"/>
    <w:rsid w:val="00D97E6F"/>
    <w:rsid w:val="00DA0B47"/>
    <w:rsid w:val="00DA3C49"/>
    <w:rsid w:val="00DA6582"/>
    <w:rsid w:val="00DA6D18"/>
    <w:rsid w:val="00DB107B"/>
    <w:rsid w:val="00DB522B"/>
    <w:rsid w:val="00DB53BD"/>
    <w:rsid w:val="00DB6FFE"/>
    <w:rsid w:val="00DC23C4"/>
    <w:rsid w:val="00DC296D"/>
    <w:rsid w:val="00DD1028"/>
    <w:rsid w:val="00DD1B6C"/>
    <w:rsid w:val="00DD3F38"/>
    <w:rsid w:val="00DD4620"/>
    <w:rsid w:val="00DD56F9"/>
    <w:rsid w:val="00DD5AC2"/>
    <w:rsid w:val="00DE1A2E"/>
    <w:rsid w:val="00DE2B22"/>
    <w:rsid w:val="00DE4AE2"/>
    <w:rsid w:val="00DE55F9"/>
    <w:rsid w:val="00DF0A31"/>
    <w:rsid w:val="00DF1F3C"/>
    <w:rsid w:val="00DF6D2C"/>
    <w:rsid w:val="00E01248"/>
    <w:rsid w:val="00E01FF8"/>
    <w:rsid w:val="00E03A71"/>
    <w:rsid w:val="00E05E6D"/>
    <w:rsid w:val="00E13C10"/>
    <w:rsid w:val="00E16560"/>
    <w:rsid w:val="00E228CE"/>
    <w:rsid w:val="00E25E3D"/>
    <w:rsid w:val="00E26BEE"/>
    <w:rsid w:val="00E275E6"/>
    <w:rsid w:val="00E30121"/>
    <w:rsid w:val="00E31358"/>
    <w:rsid w:val="00E32756"/>
    <w:rsid w:val="00E33D16"/>
    <w:rsid w:val="00E34504"/>
    <w:rsid w:val="00E35C17"/>
    <w:rsid w:val="00E374FD"/>
    <w:rsid w:val="00E4038B"/>
    <w:rsid w:val="00E4277D"/>
    <w:rsid w:val="00E50324"/>
    <w:rsid w:val="00E54DD5"/>
    <w:rsid w:val="00E60D5E"/>
    <w:rsid w:val="00E616E1"/>
    <w:rsid w:val="00E618BC"/>
    <w:rsid w:val="00E621BA"/>
    <w:rsid w:val="00E62B81"/>
    <w:rsid w:val="00E62C44"/>
    <w:rsid w:val="00E62E59"/>
    <w:rsid w:val="00E64ED5"/>
    <w:rsid w:val="00E70650"/>
    <w:rsid w:val="00E734BA"/>
    <w:rsid w:val="00E824F1"/>
    <w:rsid w:val="00E8498B"/>
    <w:rsid w:val="00E86D7D"/>
    <w:rsid w:val="00E9154B"/>
    <w:rsid w:val="00E97E0C"/>
    <w:rsid w:val="00EA1BCB"/>
    <w:rsid w:val="00EA7A41"/>
    <w:rsid w:val="00EB096F"/>
    <w:rsid w:val="00EB386D"/>
    <w:rsid w:val="00EB4C62"/>
    <w:rsid w:val="00EB5182"/>
    <w:rsid w:val="00EC024D"/>
    <w:rsid w:val="00EC086E"/>
    <w:rsid w:val="00EC2574"/>
    <w:rsid w:val="00EC5596"/>
    <w:rsid w:val="00EC6C36"/>
    <w:rsid w:val="00ED27E8"/>
    <w:rsid w:val="00ED3DEE"/>
    <w:rsid w:val="00ED6F76"/>
    <w:rsid w:val="00F01790"/>
    <w:rsid w:val="00F0254F"/>
    <w:rsid w:val="00F05EA2"/>
    <w:rsid w:val="00F07CC4"/>
    <w:rsid w:val="00F1084C"/>
    <w:rsid w:val="00F148D6"/>
    <w:rsid w:val="00F169AB"/>
    <w:rsid w:val="00F21E4F"/>
    <w:rsid w:val="00F24888"/>
    <w:rsid w:val="00F2789B"/>
    <w:rsid w:val="00F278DA"/>
    <w:rsid w:val="00F327A3"/>
    <w:rsid w:val="00F37EAB"/>
    <w:rsid w:val="00F41CDE"/>
    <w:rsid w:val="00F44FEB"/>
    <w:rsid w:val="00F46F28"/>
    <w:rsid w:val="00F50347"/>
    <w:rsid w:val="00F54EC0"/>
    <w:rsid w:val="00F564C4"/>
    <w:rsid w:val="00F57581"/>
    <w:rsid w:val="00F6139F"/>
    <w:rsid w:val="00F64FDA"/>
    <w:rsid w:val="00F6562C"/>
    <w:rsid w:val="00F77430"/>
    <w:rsid w:val="00F82CA6"/>
    <w:rsid w:val="00F85E40"/>
    <w:rsid w:val="00F908A9"/>
    <w:rsid w:val="00F91A52"/>
    <w:rsid w:val="00F95135"/>
    <w:rsid w:val="00FA0648"/>
    <w:rsid w:val="00FA3748"/>
    <w:rsid w:val="00FA39DA"/>
    <w:rsid w:val="00FA5C4D"/>
    <w:rsid w:val="00FB1022"/>
    <w:rsid w:val="00FB11E7"/>
    <w:rsid w:val="00FB2B57"/>
    <w:rsid w:val="00FB787B"/>
    <w:rsid w:val="00FC364F"/>
    <w:rsid w:val="00FC4967"/>
    <w:rsid w:val="00FC4E63"/>
    <w:rsid w:val="00FC606B"/>
    <w:rsid w:val="00FD2E7A"/>
    <w:rsid w:val="00FD37DF"/>
    <w:rsid w:val="00FD3AF9"/>
    <w:rsid w:val="00FD4188"/>
    <w:rsid w:val="00FD42D0"/>
    <w:rsid w:val="00FD4B70"/>
    <w:rsid w:val="00FE0E12"/>
    <w:rsid w:val="00FE1B3A"/>
    <w:rsid w:val="00FE6885"/>
    <w:rsid w:val="00FE728F"/>
    <w:rsid w:val="00FF0A0E"/>
    <w:rsid w:val="00FF483F"/>
    <w:rsid w:val="00FF4CB6"/>
    <w:rsid w:val="00FF721A"/>
    <w:rsid w:val="010BBEBF"/>
    <w:rsid w:val="014E4232"/>
    <w:rsid w:val="0159C1B4"/>
    <w:rsid w:val="017FCA30"/>
    <w:rsid w:val="01ADC363"/>
    <w:rsid w:val="01B6AC86"/>
    <w:rsid w:val="01BA6E14"/>
    <w:rsid w:val="01D82A5F"/>
    <w:rsid w:val="01DB8F10"/>
    <w:rsid w:val="0232EC61"/>
    <w:rsid w:val="0262482D"/>
    <w:rsid w:val="02C40812"/>
    <w:rsid w:val="030FD3F4"/>
    <w:rsid w:val="0317167A"/>
    <w:rsid w:val="03548866"/>
    <w:rsid w:val="03B4178A"/>
    <w:rsid w:val="03B6E092"/>
    <w:rsid w:val="03C2965D"/>
    <w:rsid w:val="041F8162"/>
    <w:rsid w:val="045B8D3B"/>
    <w:rsid w:val="0475AEFC"/>
    <w:rsid w:val="049F8FB1"/>
    <w:rsid w:val="04BA3ED4"/>
    <w:rsid w:val="04E3DED7"/>
    <w:rsid w:val="04EAB354"/>
    <w:rsid w:val="053C15F5"/>
    <w:rsid w:val="0546CF57"/>
    <w:rsid w:val="055368C0"/>
    <w:rsid w:val="0565EB13"/>
    <w:rsid w:val="056A9010"/>
    <w:rsid w:val="05865425"/>
    <w:rsid w:val="0595B75D"/>
    <w:rsid w:val="05A34C7A"/>
    <w:rsid w:val="05A5AC2C"/>
    <w:rsid w:val="05A8E801"/>
    <w:rsid w:val="05B6F2F4"/>
    <w:rsid w:val="05B995E8"/>
    <w:rsid w:val="05E95554"/>
    <w:rsid w:val="05F860F5"/>
    <w:rsid w:val="05F9D1D7"/>
    <w:rsid w:val="06001055"/>
    <w:rsid w:val="0610A8C2"/>
    <w:rsid w:val="06411231"/>
    <w:rsid w:val="0655BC0B"/>
    <w:rsid w:val="069E6F5F"/>
    <w:rsid w:val="070FA287"/>
    <w:rsid w:val="07476D7E"/>
    <w:rsid w:val="075F5359"/>
    <w:rsid w:val="07676257"/>
    <w:rsid w:val="08514877"/>
    <w:rsid w:val="0854E91B"/>
    <w:rsid w:val="08675623"/>
    <w:rsid w:val="08BD9D42"/>
    <w:rsid w:val="08D7AF9F"/>
    <w:rsid w:val="08E46C08"/>
    <w:rsid w:val="090BDEF0"/>
    <w:rsid w:val="09840151"/>
    <w:rsid w:val="0A1D812E"/>
    <w:rsid w:val="0AAFC54D"/>
    <w:rsid w:val="0AB6B2D4"/>
    <w:rsid w:val="0AB8C7C7"/>
    <w:rsid w:val="0AD871F8"/>
    <w:rsid w:val="0ADB50DB"/>
    <w:rsid w:val="0AE2A9A4"/>
    <w:rsid w:val="0AE33DFE"/>
    <w:rsid w:val="0AEC0FEC"/>
    <w:rsid w:val="0B33B12C"/>
    <w:rsid w:val="0B73D021"/>
    <w:rsid w:val="0B8A685E"/>
    <w:rsid w:val="0B91B471"/>
    <w:rsid w:val="0B9866E1"/>
    <w:rsid w:val="0BAC9C56"/>
    <w:rsid w:val="0BEA1B79"/>
    <w:rsid w:val="0BF3FD4C"/>
    <w:rsid w:val="0C025CE3"/>
    <w:rsid w:val="0C0EDEF1"/>
    <w:rsid w:val="0C5B5C89"/>
    <w:rsid w:val="0C67C586"/>
    <w:rsid w:val="0CACD02F"/>
    <w:rsid w:val="0CB9D896"/>
    <w:rsid w:val="0CC14257"/>
    <w:rsid w:val="0D212FFF"/>
    <w:rsid w:val="0D902D81"/>
    <w:rsid w:val="0D95310D"/>
    <w:rsid w:val="0DBA1A6A"/>
    <w:rsid w:val="0DCF002D"/>
    <w:rsid w:val="0DDD8C99"/>
    <w:rsid w:val="0DE454DB"/>
    <w:rsid w:val="0E369C3D"/>
    <w:rsid w:val="0E544CF1"/>
    <w:rsid w:val="0E6595FA"/>
    <w:rsid w:val="0E7D7768"/>
    <w:rsid w:val="0E9621D4"/>
    <w:rsid w:val="0EAC61C0"/>
    <w:rsid w:val="0ED64108"/>
    <w:rsid w:val="0EE25FB3"/>
    <w:rsid w:val="0EF36390"/>
    <w:rsid w:val="0F0EBA3A"/>
    <w:rsid w:val="0F264168"/>
    <w:rsid w:val="0F736F00"/>
    <w:rsid w:val="0FC44DC1"/>
    <w:rsid w:val="0FC63DE2"/>
    <w:rsid w:val="0FD341B8"/>
    <w:rsid w:val="0FF27A08"/>
    <w:rsid w:val="100C84F5"/>
    <w:rsid w:val="106ACFE6"/>
    <w:rsid w:val="1088C6C1"/>
    <w:rsid w:val="108AB765"/>
    <w:rsid w:val="1098FD57"/>
    <w:rsid w:val="10CC3E99"/>
    <w:rsid w:val="10D9945B"/>
    <w:rsid w:val="1102C08A"/>
    <w:rsid w:val="11623230"/>
    <w:rsid w:val="118B6F30"/>
    <w:rsid w:val="11B6FEDD"/>
    <w:rsid w:val="11D9828F"/>
    <w:rsid w:val="11E494AC"/>
    <w:rsid w:val="11FDE4E6"/>
    <w:rsid w:val="1216D242"/>
    <w:rsid w:val="1224E19E"/>
    <w:rsid w:val="123024C7"/>
    <w:rsid w:val="127E2EC1"/>
    <w:rsid w:val="129B1B2A"/>
    <w:rsid w:val="12BF0C96"/>
    <w:rsid w:val="12C02A68"/>
    <w:rsid w:val="12E313A7"/>
    <w:rsid w:val="12EB1880"/>
    <w:rsid w:val="131D0D47"/>
    <w:rsid w:val="132F84EF"/>
    <w:rsid w:val="13626B0C"/>
    <w:rsid w:val="13E35360"/>
    <w:rsid w:val="13F4938F"/>
    <w:rsid w:val="142EB5A4"/>
    <w:rsid w:val="1451739F"/>
    <w:rsid w:val="145A487B"/>
    <w:rsid w:val="145B4B08"/>
    <w:rsid w:val="145FB0CA"/>
    <w:rsid w:val="14688D8E"/>
    <w:rsid w:val="147CE6DE"/>
    <w:rsid w:val="1491D466"/>
    <w:rsid w:val="14C909ED"/>
    <w:rsid w:val="150BC24B"/>
    <w:rsid w:val="1578AF69"/>
    <w:rsid w:val="158A884D"/>
    <w:rsid w:val="15A0B295"/>
    <w:rsid w:val="15CBE609"/>
    <w:rsid w:val="161883AE"/>
    <w:rsid w:val="16583E70"/>
    <w:rsid w:val="16693720"/>
    <w:rsid w:val="1683DFC8"/>
    <w:rsid w:val="16A3E428"/>
    <w:rsid w:val="16B9F19D"/>
    <w:rsid w:val="1749F7F7"/>
    <w:rsid w:val="17AEEFE8"/>
    <w:rsid w:val="18054B10"/>
    <w:rsid w:val="181F542E"/>
    <w:rsid w:val="1822A608"/>
    <w:rsid w:val="1846AD46"/>
    <w:rsid w:val="186FE19F"/>
    <w:rsid w:val="18AA74B8"/>
    <w:rsid w:val="18B3863F"/>
    <w:rsid w:val="18BCB459"/>
    <w:rsid w:val="18E85085"/>
    <w:rsid w:val="18FB9E6C"/>
    <w:rsid w:val="190F746D"/>
    <w:rsid w:val="19617B77"/>
    <w:rsid w:val="1964DBCE"/>
    <w:rsid w:val="19BE1B2E"/>
    <w:rsid w:val="19DD9646"/>
    <w:rsid w:val="1A055DB4"/>
    <w:rsid w:val="1A5BE400"/>
    <w:rsid w:val="1A7D216B"/>
    <w:rsid w:val="1A7DBF1B"/>
    <w:rsid w:val="1A8FF0B1"/>
    <w:rsid w:val="1AEBB42C"/>
    <w:rsid w:val="1AF2116C"/>
    <w:rsid w:val="1B05E651"/>
    <w:rsid w:val="1B5624AB"/>
    <w:rsid w:val="1B5E91C8"/>
    <w:rsid w:val="1B66096F"/>
    <w:rsid w:val="1B6CDB08"/>
    <w:rsid w:val="1B802ABD"/>
    <w:rsid w:val="1B811B96"/>
    <w:rsid w:val="1BC120F2"/>
    <w:rsid w:val="1C06001B"/>
    <w:rsid w:val="1C54BBD1"/>
    <w:rsid w:val="1C581DDE"/>
    <w:rsid w:val="1C5BE280"/>
    <w:rsid w:val="1CABEBF1"/>
    <w:rsid w:val="1CDDBE3C"/>
    <w:rsid w:val="1D0922CE"/>
    <w:rsid w:val="1D265370"/>
    <w:rsid w:val="1D6B8C1D"/>
    <w:rsid w:val="1D834398"/>
    <w:rsid w:val="1D888875"/>
    <w:rsid w:val="1D95919C"/>
    <w:rsid w:val="1DACB8D2"/>
    <w:rsid w:val="1E6ADEBC"/>
    <w:rsid w:val="1E999A89"/>
    <w:rsid w:val="1F3A8222"/>
    <w:rsid w:val="1F83CB7F"/>
    <w:rsid w:val="1F936540"/>
    <w:rsid w:val="1FF777B0"/>
    <w:rsid w:val="201009DD"/>
    <w:rsid w:val="201B4836"/>
    <w:rsid w:val="203AB695"/>
    <w:rsid w:val="204734CC"/>
    <w:rsid w:val="20AFFD64"/>
    <w:rsid w:val="20F3E9B8"/>
    <w:rsid w:val="2160F13D"/>
    <w:rsid w:val="2182EF9C"/>
    <w:rsid w:val="21946CAB"/>
    <w:rsid w:val="21DFA7EB"/>
    <w:rsid w:val="224F400A"/>
    <w:rsid w:val="228F874C"/>
    <w:rsid w:val="22A59B36"/>
    <w:rsid w:val="22E29F01"/>
    <w:rsid w:val="22F1A097"/>
    <w:rsid w:val="23327125"/>
    <w:rsid w:val="233357E3"/>
    <w:rsid w:val="23659784"/>
    <w:rsid w:val="23675323"/>
    <w:rsid w:val="23731039"/>
    <w:rsid w:val="2387C747"/>
    <w:rsid w:val="23BD9629"/>
    <w:rsid w:val="23F68B05"/>
    <w:rsid w:val="24037ADC"/>
    <w:rsid w:val="24799C0F"/>
    <w:rsid w:val="24A6A994"/>
    <w:rsid w:val="24AD291C"/>
    <w:rsid w:val="24D5CF37"/>
    <w:rsid w:val="24D5EDFC"/>
    <w:rsid w:val="25003967"/>
    <w:rsid w:val="2516D9AF"/>
    <w:rsid w:val="2521F6D5"/>
    <w:rsid w:val="25CC999F"/>
    <w:rsid w:val="25DB029D"/>
    <w:rsid w:val="25F28D02"/>
    <w:rsid w:val="261DD5FD"/>
    <w:rsid w:val="2630C434"/>
    <w:rsid w:val="26774CA8"/>
    <w:rsid w:val="26D02391"/>
    <w:rsid w:val="272CFD56"/>
    <w:rsid w:val="273F79B3"/>
    <w:rsid w:val="274291CB"/>
    <w:rsid w:val="27697771"/>
    <w:rsid w:val="278589FE"/>
    <w:rsid w:val="278CC3FE"/>
    <w:rsid w:val="2798F2FF"/>
    <w:rsid w:val="27995B21"/>
    <w:rsid w:val="27A0FCC7"/>
    <w:rsid w:val="27FC47A0"/>
    <w:rsid w:val="28009420"/>
    <w:rsid w:val="28282A94"/>
    <w:rsid w:val="285CFB75"/>
    <w:rsid w:val="2906898B"/>
    <w:rsid w:val="2906F7BD"/>
    <w:rsid w:val="29386693"/>
    <w:rsid w:val="29575CAE"/>
    <w:rsid w:val="298C9844"/>
    <w:rsid w:val="2994CD35"/>
    <w:rsid w:val="29B3A3FF"/>
    <w:rsid w:val="29B44520"/>
    <w:rsid w:val="29D34AFB"/>
    <w:rsid w:val="29F49225"/>
    <w:rsid w:val="2A0DD107"/>
    <w:rsid w:val="2A27CD76"/>
    <w:rsid w:val="2A683A42"/>
    <w:rsid w:val="2AA71985"/>
    <w:rsid w:val="2AA92D98"/>
    <w:rsid w:val="2B5CE623"/>
    <w:rsid w:val="2B5FBDD3"/>
    <w:rsid w:val="2B84E408"/>
    <w:rsid w:val="2B8C947F"/>
    <w:rsid w:val="2C347784"/>
    <w:rsid w:val="2C436C09"/>
    <w:rsid w:val="2C4FA456"/>
    <w:rsid w:val="2C66D4EB"/>
    <w:rsid w:val="2C6DA4F7"/>
    <w:rsid w:val="2C7AE878"/>
    <w:rsid w:val="2CF6A396"/>
    <w:rsid w:val="2D65528E"/>
    <w:rsid w:val="2D678E00"/>
    <w:rsid w:val="2D938C3B"/>
    <w:rsid w:val="2DC585E7"/>
    <w:rsid w:val="2E26A193"/>
    <w:rsid w:val="2E6A5450"/>
    <w:rsid w:val="2E71990E"/>
    <w:rsid w:val="2E7892B9"/>
    <w:rsid w:val="2E9F18AD"/>
    <w:rsid w:val="2EA8065A"/>
    <w:rsid w:val="2EBB831B"/>
    <w:rsid w:val="2EC49B8E"/>
    <w:rsid w:val="2EF6AA63"/>
    <w:rsid w:val="2F09A500"/>
    <w:rsid w:val="2F12C973"/>
    <w:rsid w:val="2F566D95"/>
    <w:rsid w:val="2F57BC14"/>
    <w:rsid w:val="2F6645F5"/>
    <w:rsid w:val="2F6C5894"/>
    <w:rsid w:val="2F7CF9F8"/>
    <w:rsid w:val="2F8A8BAA"/>
    <w:rsid w:val="2FAB7096"/>
    <w:rsid w:val="300580B2"/>
    <w:rsid w:val="300D8E3C"/>
    <w:rsid w:val="308C7095"/>
    <w:rsid w:val="309919BC"/>
    <w:rsid w:val="30ABA463"/>
    <w:rsid w:val="30EF4542"/>
    <w:rsid w:val="3100385A"/>
    <w:rsid w:val="3150F784"/>
    <w:rsid w:val="3161DA2D"/>
    <w:rsid w:val="3201797D"/>
    <w:rsid w:val="3249E019"/>
    <w:rsid w:val="32856419"/>
    <w:rsid w:val="328CCE84"/>
    <w:rsid w:val="32EB7688"/>
    <w:rsid w:val="32F4ABCD"/>
    <w:rsid w:val="32F4FAC1"/>
    <w:rsid w:val="32FEB8BB"/>
    <w:rsid w:val="33015DF7"/>
    <w:rsid w:val="336ED9F1"/>
    <w:rsid w:val="337BD306"/>
    <w:rsid w:val="338BC3B7"/>
    <w:rsid w:val="33D3B318"/>
    <w:rsid w:val="33D4C6AA"/>
    <w:rsid w:val="33E3DD80"/>
    <w:rsid w:val="342CB6AA"/>
    <w:rsid w:val="346F9754"/>
    <w:rsid w:val="349B6796"/>
    <w:rsid w:val="34A026B3"/>
    <w:rsid w:val="34EDAEAB"/>
    <w:rsid w:val="34EF9F61"/>
    <w:rsid w:val="34F3EE7E"/>
    <w:rsid w:val="34F52AD5"/>
    <w:rsid w:val="350877FA"/>
    <w:rsid w:val="352B59C7"/>
    <w:rsid w:val="352DA47E"/>
    <w:rsid w:val="35910808"/>
    <w:rsid w:val="35912B0C"/>
    <w:rsid w:val="35C414B9"/>
    <w:rsid w:val="35C73106"/>
    <w:rsid w:val="3600885B"/>
    <w:rsid w:val="3607EC39"/>
    <w:rsid w:val="362AA641"/>
    <w:rsid w:val="369AD400"/>
    <w:rsid w:val="36AA022C"/>
    <w:rsid w:val="36C29287"/>
    <w:rsid w:val="36E1A16A"/>
    <w:rsid w:val="36E9FF46"/>
    <w:rsid w:val="3755D95B"/>
    <w:rsid w:val="376841E8"/>
    <w:rsid w:val="378FFCED"/>
    <w:rsid w:val="37AB6049"/>
    <w:rsid w:val="380727B3"/>
    <w:rsid w:val="382F26DC"/>
    <w:rsid w:val="38797710"/>
    <w:rsid w:val="38A02A22"/>
    <w:rsid w:val="38A02AD4"/>
    <w:rsid w:val="38A0F044"/>
    <w:rsid w:val="392133F1"/>
    <w:rsid w:val="394324AE"/>
    <w:rsid w:val="399D84AC"/>
    <w:rsid w:val="39A53005"/>
    <w:rsid w:val="39B18B6D"/>
    <w:rsid w:val="39FFA327"/>
    <w:rsid w:val="3A0DBF49"/>
    <w:rsid w:val="3A4310FD"/>
    <w:rsid w:val="3AC2F003"/>
    <w:rsid w:val="3ADE0E26"/>
    <w:rsid w:val="3AE07BAC"/>
    <w:rsid w:val="3B0097CF"/>
    <w:rsid w:val="3B3B22C8"/>
    <w:rsid w:val="3B6E66F6"/>
    <w:rsid w:val="3B6E852C"/>
    <w:rsid w:val="3B9308EB"/>
    <w:rsid w:val="3B9F1541"/>
    <w:rsid w:val="3BC6FFE1"/>
    <w:rsid w:val="3BD217FE"/>
    <w:rsid w:val="3BF29C57"/>
    <w:rsid w:val="3C382BD0"/>
    <w:rsid w:val="3C58615B"/>
    <w:rsid w:val="3C765852"/>
    <w:rsid w:val="3C9E5C3E"/>
    <w:rsid w:val="3CB88AF2"/>
    <w:rsid w:val="3CD34E99"/>
    <w:rsid w:val="3CE43D48"/>
    <w:rsid w:val="3DFD71C6"/>
    <w:rsid w:val="3E348E52"/>
    <w:rsid w:val="3E77EE77"/>
    <w:rsid w:val="3E9A699E"/>
    <w:rsid w:val="3EA0C6BE"/>
    <w:rsid w:val="3ECA2C7D"/>
    <w:rsid w:val="3F1F9FFB"/>
    <w:rsid w:val="3F25994B"/>
    <w:rsid w:val="3F887864"/>
    <w:rsid w:val="3FA9773B"/>
    <w:rsid w:val="3FE4FE50"/>
    <w:rsid w:val="3FF61658"/>
    <w:rsid w:val="400C1F75"/>
    <w:rsid w:val="4012FD1D"/>
    <w:rsid w:val="4032CB74"/>
    <w:rsid w:val="404211BE"/>
    <w:rsid w:val="405F3803"/>
    <w:rsid w:val="40626E66"/>
    <w:rsid w:val="4084119A"/>
    <w:rsid w:val="409EB668"/>
    <w:rsid w:val="4113B3FD"/>
    <w:rsid w:val="417C13CE"/>
    <w:rsid w:val="417F7716"/>
    <w:rsid w:val="418B8908"/>
    <w:rsid w:val="4206F41E"/>
    <w:rsid w:val="423DE388"/>
    <w:rsid w:val="4271F440"/>
    <w:rsid w:val="42766683"/>
    <w:rsid w:val="42AD64A1"/>
    <w:rsid w:val="42FFACDE"/>
    <w:rsid w:val="434D458D"/>
    <w:rsid w:val="438345DA"/>
    <w:rsid w:val="43AEFA7E"/>
    <w:rsid w:val="4421BF6D"/>
    <w:rsid w:val="44A9F42A"/>
    <w:rsid w:val="44AB3C02"/>
    <w:rsid w:val="44C8BD18"/>
    <w:rsid w:val="44F186E4"/>
    <w:rsid w:val="4549F290"/>
    <w:rsid w:val="457697F1"/>
    <w:rsid w:val="457804DC"/>
    <w:rsid w:val="45B1B494"/>
    <w:rsid w:val="45D2ED2A"/>
    <w:rsid w:val="45ECB862"/>
    <w:rsid w:val="46125ECD"/>
    <w:rsid w:val="466689B8"/>
    <w:rsid w:val="46A7003A"/>
    <w:rsid w:val="46AFEB1B"/>
    <w:rsid w:val="46C5E777"/>
    <w:rsid w:val="46E4646D"/>
    <w:rsid w:val="4715FB29"/>
    <w:rsid w:val="472E618F"/>
    <w:rsid w:val="473FCF16"/>
    <w:rsid w:val="474A3F68"/>
    <w:rsid w:val="47726DB5"/>
    <w:rsid w:val="477C29FC"/>
    <w:rsid w:val="477D4E9B"/>
    <w:rsid w:val="478662A7"/>
    <w:rsid w:val="47DFC49F"/>
    <w:rsid w:val="480E1985"/>
    <w:rsid w:val="4881C95C"/>
    <w:rsid w:val="4892571B"/>
    <w:rsid w:val="489D4803"/>
    <w:rsid w:val="48F10780"/>
    <w:rsid w:val="4912BAEE"/>
    <w:rsid w:val="4939D78B"/>
    <w:rsid w:val="49409210"/>
    <w:rsid w:val="49477C1B"/>
    <w:rsid w:val="49853845"/>
    <w:rsid w:val="4986E491"/>
    <w:rsid w:val="498C3F7F"/>
    <w:rsid w:val="49B452FB"/>
    <w:rsid w:val="49C3184E"/>
    <w:rsid w:val="4A415898"/>
    <w:rsid w:val="4A79E0C4"/>
    <w:rsid w:val="4A8BC523"/>
    <w:rsid w:val="4A90BE7A"/>
    <w:rsid w:val="4A9D6605"/>
    <w:rsid w:val="4AD7F7CB"/>
    <w:rsid w:val="4B4C6A76"/>
    <w:rsid w:val="4BBC35E5"/>
    <w:rsid w:val="4BD1F43B"/>
    <w:rsid w:val="4BD26306"/>
    <w:rsid w:val="4C4EC506"/>
    <w:rsid w:val="4C65A0AA"/>
    <w:rsid w:val="4CBEF68E"/>
    <w:rsid w:val="4D1C75E8"/>
    <w:rsid w:val="4D3E686F"/>
    <w:rsid w:val="4D904334"/>
    <w:rsid w:val="4D9248A2"/>
    <w:rsid w:val="4DADA435"/>
    <w:rsid w:val="4DDE088B"/>
    <w:rsid w:val="4DEF334B"/>
    <w:rsid w:val="4DF719E4"/>
    <w:rsid w:val="4E12818C"/>
    <w:rsid w:val="4E3A7CD6"/>
    <w:rsid w:val="4E7BBC0F"/>
    <w:rsid w:val="4EAD9134"/>
    <w:rsid w:val="4EE0B324"/>
    <w:rsid w:val="4EEB6221"/>
    <w:rsid w:val="4EF38B43"/>
    <w:rsid w:val="4F3F456E"/>
    <w:rsid w:val="4F574AA4"/>
    <w:rsid w:val="509E8F45"/>
    <w:rsid w:val="50B13B7A"/>
    <w:rsid w:val="515DC2A1"/>
    <w:rsid w:val="515F20F5"/>
    <w:rsid w:val="519F6722"/>
    <w:rsid w:val="51BC1FED"/>
    <w:rsid w:val="51C2F286"/>
    <w:rsid w:val="51C47344"/>
    <w:rsid w:val="51E9CF90"/>
    <w:rsid w:val="52683127"/>
    <w:rsid w:val="527642CD"/>
    <w:rsid w:val="528A1257"/>
    <w:rsid w:val="5292CBC3"/>
    <w:rsid w:val="52BDF384"/>
    <w:rsid w:val="52E86978"/>
    <w:rsid w:val="53105D77"/>
    <w:rsid w:val="5353B142"/>
    <w:rsid w:val="535BF2C1"/>
    <w:rsid w:val="537A9FBD"/>
    <w:rsid w:val="5380802D"/>
    <w:rsid w:val="539295C9"/>
    <w:rsid w:val="53AE68F9"/>
    <w:rsid w:val="53D30BF4"/>
    <w:rsid w:val="53DC349E"/>
    <w:rsid w:val="5441691E"/>
    <w:rsid w:val="544B39C8"/>
    <w:rsid w:val="5461DDD7"/>
    <w:rsid w:val="5475E866"/>
    <w:rsid w:val="547CA49E"/>
    <w:rsid w:val="54CA8861"/>
    <w:rsid w:val="5502E0DC"/>
    <w:rsid w:val="55363BDE"/>
    <w:rsid w:val="5544D570"/>
    <w:rsid w:val="55450B68"/>
    <w:rsid w:val="55695B93"/>
    <w:rsid w:val="558A4FF4"/>
    <w:rsid w:val="55A38408"/>
    <w:rsid w:val="55B3D70B"/>
    <w:rsid w:val="55C4F284"/>
    <w:rsid w:val="55C55405"/>
    <w:rsid w:val="55E02FAA"/>
    <w:rsid w:val="55F5060F"/>
    <w:rsid w:val="56029861"/>
    <w:rsid w:val="560C8138"/>
    <w:rsid w:val="5637F449"/>
    <w:rsid w:val="563EE2C9"/>
    <w:rsid w:val="56C13B7C"/>
    <w:rsid w:val="56CCF25F"/>
    <w:rsid w:val="56E16137"/>
    <w:rsid w:val="5721D48D"/>
    <w:rsid w:val="574867BF"/>
    <w:rsid w:val="57516B02"/>
    <w:rsid w:val="576B6BD0"/>
    <w:rsid w:val="57B02B45"/>
    <w:rsid w:val="57F74BF3"/>
    <w:rsid w:val="583132B5"/>
    <w:rsid w:val="5840B9C9"/>
    <w:rsid w:val="586D46FB"/>
    <w:rsid w:val="588133BC"/>
    <w:rsid w:val="589178D2"/>
    <w:rsid w:val="58ACF6F1"/>
    <w:rsid w:val="58B7B05D"/>
    <w:rsid w:val="58F6EB88"/>
    <w:rsid w:val="590C006D"/>
    <w:rsid w:val="590D0DB4"/>
    <w:rsid w:val="5976B463"/>
    <w:rsid w:val="599D7220"/>
    <w:rsid w:val="59AF3039"/>
    <w:rsid w:val="5A643549"/>
    <w:rsid w:val="5A6C297F"/>
    <w:rsid w:val="5A76B10D"/>
    <w:rsid w:val="5A9A62D8"/>
    <w:rsid w:val="5AA991DD"/>
    <w:rsid w:val="5AD5041B"/>
    <w:rsid w:val="5AEC62A6"/>
    <w:rsid w:val="5B6664B2"/>
    <w:rsid w:val="5BEE22F2"/>
    <w:rsid w:val="5C49CBB4"/>
    <w:rsid w:val="5C4E60E2"/>
    <w:rsid w:val="5CAC7564"/>
    <w:rsid w:val="5D07767F"/>
    <w:rsid w:val="5D0E43AC"/>
    <w:rsid w:val="5E108204"/>
    <w:rsid w:val="5E4EE600"/>
    <w:rsid w:val="5E76740D"/>
    <w:rsid w:val="5E7F03EF"/>
    <w:rsid w:val="5EB1188B"/>
    <w:rsid w:val="5EBA2E75"/>
    <w:rsid w:val="5F03B9A4"/>
    <w:rsid w:val="5F23146B"/>
    <w:rsid w:val="5F866E3D"/>
    <w:rsid w:val="5FA13A8B"/>
    <w:rsid w:val="6002D048"/>
    <w:rsid w:val="600A1EE3"/>
    <w:rsid w:val="60237344"/>
    <w:rsid w:val="6033A8A0"/>
    <w:rsid w:val="6065794A"/>
    <w:rsid w:val="60A4F990"/>
    <w:rsid w:val="60DFDD64"/>
    <w:rsid w:val="6130EF39"/>
    <w:rsid w:val="618D9200"/>
    <w:rsid w:val="61B0332A"/>
    <w:rsid w:val="61CC0024"/>
    <w:rsid w:val="6203C5BE"/>
    <w:rsid w:val="627FF4C7"/>
    <w:rsid w:val="62BBD495"/>
    <w:rsid w:val="62DB1D52"/>
    <w:rsid w:val="636E2BF6"/>
    <w:rsid w:val="63B60496"/>
    <w:rsid w:val="63C2E711"/>
    <w:rsid w:val="63C6322C"/>
    <w:rsid w:val="63D09377"/>
    <w:rsid w:val="63DA7997"/>
    <w:rsid w:val="63E2C202"/>
    <w:rsid w:val="63FB90C0"/>
    <w:rsid w:val="640394F5"/>
    <w:rsid w:val="645DBA4B"/>
    <w:rsid w:val="645F59B4"/>
    <w:rsid w:val="64CD5FE5"/>
    <w:rsid w:val="64D6F5FE"/>
    <w:rsid w:val="64E2A2BF"/>
    <w:rsid w:val="64FB6E30"/>
    <w:rsid w:val="65134EDC"/>
    <w:rsid w:val="6518F46B"/>
    <w:rsid w:val="65617CD5"/>
    <w:rsid w:val="656D5662"/>
    <w:rsid w:val="65716016"/>
    <w:rsid w:val="658EE3ED"/>
    <w:rsid w:val="65B617F7"/>
    <w:rsid w:val="65D5F42B"/>
    <w:rsid w:val="662FF31D"/>
    <w:rsid w:val="66322A25"/>
    <w:rsid w:val="66581945"/>
    <w:rsid w:val="665AADC5"/>
    <w:rsid w:val="66C70C09"/>
    <w:rsid w:val="66D820D7"/>
    <w:rsid w:val="66F15C75"/>
    <w:rsid w:val="673B7B45"/>
    <w:rsid w:val="67561370"/>
    <w:rsid w:val="679D7CB2"/>
    <w:rsid w:val="67DD3EB5"/>
    <w:rsid w:val="67EF2377"/>
    <w:rsid w:val="6898E50D"/>
    <w:rsid w:val="68D2AD74"/>
    <w:rsid w:val="68F34E8F"/>
    <w:rsid w:val="69430587"/>
    <w:rsid w:val="694370F0"/>
    <w:rsid w:val="6984CDD4"/>
    <w:rsid w:val="69A3D210"/>
    <w:rsid w:val="69EE9829"/>
    <w:rsid w:val="6A0F0414"/>
    <w:rsid w:val="6A554A41"/>
    <w:rsid w:val="6A8AFCAB"/>
    <w:rsid w:val="6A95D201"/>
    <w:rsid w:val="6AC21363"/>
    <w:rsid w:val="6B0168A5"/>
    <w:rsid w:val="6B48E5F0"/>
    <w:rsid w:val="6B5708ED"/>
    <w:rsid w:val="6BAE4AF6"/>
    <w:rsid w:val="6BC59D95"/>
    <w:rsid w:val="6BFF1D41"/>
    <w:rsid w:val="6C39D1CD"/>
    <w:rsid w:val="6CA0612E"/>
    <w:rsid w:val="6CCB45FA"/>
    <w:rsid w:val="6CD86B5A"/>
    <w:rsid w:val="6D03BF59"/>
    <w:rsid w:val="6D462ADC"/>
    <w:rsid w:val="6DDD591B"/>
    <w:rsid w:val="6E936861"/>
    <w:rsid w:val="6EAAF71D"/>
    <w:rsid w:val="6EB0950C"/>
    <w:rsid w:val="6F214947"/>
    <w:rsid w:val="6F23CC93"/>
    <w:rsid w:val="6F283EA3"/>
    <w:rsid w:val="704719FE"/>
    <w:rsid w:val="7048EAA8"/>
    <w:rsid w:val="70AEC1C4"/>
    <w:rsid w:val="70FDBC42"/>
    <w:rsid w:val="715E250E"/>
    <w:rsid w:val="716CF8D8"/>
    <w:rsid w:val="71CE3677"/>
    <w:rsid w:val="721A509C"/>
    <w:rsid w:val="731BA177"/>
    <w:rsid w:val="74145802"/>
    <w:rsid w:val="74739C3C"/>
    <w:rsid w:val="748B633E"/>
    <w:rsid w:val="74A7C29B"/>
    <w:rsid w:val="74AB82D1"/>
    <w:rsid w:val="74FA5863"/>
    <w:rsid w:val="750EFB94"/>
    <w:rsid w:val="751F895C"/>
    <w:rsid w:val="7557F244"/>
    <w:rsid w:val="75920950"/>
    <w:rsid w:val="75AAC80F"/>
    <w:rsid w:val="763BB7F6"/>
    <w:rsid w:val="764BEEE9"/>
    <w:rsid w:val="766053F5"/>
    <w:rsid w:val="767392F2"/>
    <w:rsid w:val="768498DD"/>
    <w:rsid w:val="76B5FD68"/>
    <w:rsid w:val="76B9D981"/>
    <w:rsid w:val="76EDB4A6"/>
    <w:rsid w:val="76F07540"/>
    <w:rsid w:val="771B8274"/>
    <w:rsid w:val="7737993B"/>
    <w:rsid w:val="775E98C1"/>
    <w:rsid w:val="7775E7B2"/>
    <w:rsid w:val="77AB5D5A"/>
    <w:rsid w:val="77C07ED5"/>
    <w:rsid w:val="780C0275"/>
    <w:rsid w:val="783B4E31"/>
    <w:rsid w:val="7843D85D"/>
    <w:rsid w:val="78541CD9"/>
    <w:rsid w:val="78A23BC8"/>
    <w:rsid w:val="78A7784B"/>
    <w:rsid w:val="78B3E982"/>
    <w:rsid w:val="78D692AC"/>
    <w:rsid w:val="78FBB1DD"/>
    <w:rsid w:val="79260B9C"/>
    <w:rsid w:val="794D715B"/>
    <w:rsid w:val="79C54965"/>
    <w:rsid w:val="79DC19BF"/>
    <w:rsid w:val="79DE8E1F"/>
    <w:rsid w:val="7A9AB623"/>
    <w:rsid w:val="7AC8283D"/>
    <w:rsid w:val="7B9B7ED5"/>
    <w:rsid w:val="7BB56F88"/>
    <w:rsid w:val="7BB5FC34"/>
    <w:rsid w:val="7BC1C13E"/>
    <w:rsid w:val="7C0AD3EC"/>
    <w:rsid w:val="7C131F4E"/>
    <w:rsid w:val="7C1FAF17"/>
    <w:rsid w:val="7C4B55AA"/>
    <w:rsid w:val="7CB3EBD4"/>
    <w:rsid w:val="7D087A76"/>
    <w:rsid w:val="7D31B1DA"/>
    <w:rsid w:val="7DB9AEA2"/>
    <w:rsid w:val="7E2779AF"/>
    <w:rsid w:val="7E57B6F6"/>
    <w:rsid w:val="7ED1EDA4"/>
    <w:rsid w:val="7ED7643A"/>
    <w:rsid w:val="7F1099F0"/>
    <w:rsid w:val="7F219AD6"/>
    <w:rsid w:val="7F387F6D"/>
    <w:rsid w:val="7F839D3D"/>
    <w:rsid w:val="7F858D9A"/>
    <w:rsid w:val="7F93B578"/>
    <w:rsid w:val="7F9AEFCF"/>
    <w:rsid w:val="7FAB6897"/>
    <w:rsid w:val="7FBFCD08"/>
    <w:rsid w:val="7FE14181"/>
    <w:rsid w:val="7FE98461"/>
    <w:rsid w:val="7FF3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8CF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044"/>
  </w:style>
  <w:style w:type="paragraph" w:styleId="Heading1">
    <w:name w:val="heading 1"/>
    <w:basedOn w:val="Normal"/>
    <w:next w:val="Normal"/>
    <w:link w:val="Heading1Char"/>
    <w:uiPriority w:val="9"/>
    <w:qFormat/>
    <w:rsid w:val="00256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6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6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6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0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6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6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13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4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0BD"/>
  </w:style>
  <w:style w:type="paragraph" w:styleId="Footer">
    <w:name w:val="footer"/>
    <w:basedOn w:val="Normal"/>
    <w:link w:val="FooterChar"/>
    <w:uiPriority w:val="99"/>
    <w:unhideWhenUsed/>
    <w:rsid w:val="00C34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0BD"/>
  </w:style>
  <w:style w:type="character" w:styleId="Hyperlink">
    <w:name w:val="Hyperlink"/>
    <w:basedOn w:val="DefaultParagraphFont"/>
    <w:uiPriority w:val="99"/>
    <w:unhideWhenUsed/>
    <w:rsid w:val="748B633E"/>
    <w:rPr>
      <w:color w:val="467886"/>
      <w:u w:val="single"/>
    </w:rPr>
  </w:style>
  <w:style w:type="paragraph" w:styleId="Revision">
    <w:name w:val="Revision"/>
    <w:hidden/>
    <w:uiPriority w:val="99"/>
    <w:semiHidden/>
    <w:rsid w:val="00082DF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82DF5"/>
    <w:rPr>
      <w:color w:val="96607D" w:themeColor="followedHyperlink"/>
      <w:u w:val="single"/>
    </w:rPr>
  </w:style>
  <w:style w:type="paragraph" w:customStyle="1" w:styleId="Default">
    <w:name w:val="Default"/>
    <w:rsid w:val="00561D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40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hdl.pharmacy.services.conduent.com/MHDL/pubdownloadpdfwelcome.do?docId=528&amp;fileType=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46935-322D-4FA1-9166-BAAC50BD1C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Links>
    <vt:vector size="6" baseType="variant">
      <vt:variant>
        <vt:i4>4456474</vt:i4>
      </vt:variant>
      <vt:variant>
        <vt:i4>0</vt:i4>
      </vt:variant>
      <vt:variant>
        <vt:i4>0</vt:i4>
      </vt:variant>
      <vt:variant>
        <vt:i4>5</vt:i4>
      </vt:variant>
      <vt:variant>
        <vt:lpwstr>https://mhdl.pharmacy.services.conduent.com/MHDL/pubdownloadpdfwelcome.do?docId=528&amp;fileType=PDF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2026-05-11T15:23:00Z</dcterms:created>
  <dcterms:modified xsi:type="dcterms:W3CDTF">2026-05-11T15:23:00Z</dcterms:modified>
</cp:coreProperties>
</file>