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543" w14:textId="02FA5D1E" w:rsidR="00AD42BB" w:rsidRPr="008B7E48" w:rsidRDefault="005851F1" w:rsidP="005A232B">
      <w:pPr>
        <w:pStyle w:val="Heading2"/>
        <w:rPr>
          <w:rFonts w:ascii="Trebuchet MS" w:hAnsi="Trebuchet MS" w:cs="Times New Roman"/>
          <w:bCs w:val="0"/>
          <w:sz w:val="18"/>
          <w:szCs w:val="18"/>
          <w:lang w:val="en"/>
        </w:rPr>
      </w:pPr>
      <w:r>
        <w:rPr>
          <w:noProof/>
        </w:rPr>
        <w:drawing>
          <wp:anchor distT="0" distB="0" distL="114300" distR="114300" simplePos="0" relativeHeight="251658240"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br w:type="textWrapping" w:clear="all"/>
      </w:r>
      <w:r w:rsidR="46A8F6D0" w:rsidRPr="008B7E48">
        <w:rPr>
          <w:rFonts w:ascii="Trebuchet MS" w:hAnsi="Trebuchet MS" w:cs="Times New Roman"/>
          <w:bCs w:val="0"/>
          <w:sz w:val="18"/>
          <w:szCs w:val="18"/>
          <w:lang w:val="en"/>
        </w:rPr>
        <w:t>V</w:t>
      </w:r>
      <w:r w:rsidR="46FA81C3" w:rsidRPr="008B7E48">
        <w:rPr>
          <w:rFonts w:ascii="Trebuchet MS" w:hAnsi="Trebuchet MS" w:cs="Times New Roman"/>
          <w:bCs w:val="0"/>
          <w:sz w:val="18"/>
          <w:szCs w:val="18"/>
          <w:lang w:val="en"/>
        </w:rPr>
        <w:t xml:space="preserve">olume </w:t>
      </w:r>
      <w:r w:rsidR="603CF1CA" w:rsidRPr="008B7E48">
        <w:rPr>
          <w:rFonts w:ascii="Trebuchet MS" w:hAnsi="Trebuchet MS" w:cs="Times New Roman"/>
          <w:bCs w:val="0"/>
          <w:sz w:val="18"/>
          <w:szCs w:val="18"/>
          <w:lang w:val="en"/>
        </w:rPr>
        <w:t>15</w:t>
      </w:r>
      <w:r w:rsidR="46FA81C3" w:rsidRPr="008B7E48">
        <w:rPr>
          <w:rFonts w:ascii="Trebuchet MS" w:hAnsi="Trebuchet MS" w:cs="Times New Roman"/>
          <w:bCs w:val="0"/>
          <w:sz w:val="18"/>
          <w:szCs w:val="18"/>
          <w:lang w:val="en"/>
        </w:rPr>
        <w:t xml:space="preserve">, Issue </w:t>
      </w:r>
      <w:r w:rsidR="008B7E48">
        <w:rPr>
          <w:rFonts w:ascii="Trebuchet MS" w:hAnsi="Trebuchet MS" w:cs="Times New Roman"/>
          <w:bCs w:val="0"/>
          <w:sz w:val="18"/>
          <w:szCs w:val="18"/>
          <w:lang w:val="en"/>
        </w:rPr>
        <w:t>23</w:t>
      </w:r>
      <w:r w:rsidR="35436150" w:rsidRPr="008B7E48">
        <w:rPr>
          <w:rFonts w:ascii="Trebuchet MS" w:hAnsi="Trebuchet MS" w:cs="Times New Roman"/>
          <w:bCs w:val="0"/>
          <w:sz w:val="18"/>
          <w:szCs w:val="18"/>
          <w:lang w:val="en"/>
        </w:rPr>
        <w:t xml:space="preserve">, </w:t>
      </w:r>
      <w:r w:rsidR="56F8D82A" w:rsidRPr="008B7E48">
        <w:rPr>
          <w:rFonts w:ascii="Trebuchet MS" w:hAnsi="Trebuchet MS" w:cs="Times New Roman"/>
          <w:bCs w:val="0"/>
          <w:sz w:val="18"/>
          <w:szCs w:val="18"/>
          <w:lang w:val="en"/>
        </w:rPr>
        <w:t>December</w:t>
      </w:r>
      <w:r w:rsidR="78349FBF" w:rsidRPr="008B7E48">
        <w:rPr>
          <w:rFonts w:ascii="Trebuchet MS" w:hAnsi="Trebuchet MS" w:cs="Times New Roman"/>
          <w:bCs w:val="0"/>
          <w:sz w:val="18"/>
          <w:szCs w:val="18"/>
          <w:lang w:val="en"/>
        </w:rPr>
        <w:t xml:space="preserve"> 2025</w:t>
      </w:r>
      <w:r w:rsidR="40A6F1F6" w:rsidRPr="008B7E48">
        <w:rPr>
          <w:rFonts w:ascii="Trebuchet MS" w:hAnsi="Trebuchet MS" w:cs="Times New Roman"/>
          <w:bCs w:val="0"/>
          <w:sz w:val="18"/>
          <w:szCs w:val="18"/>
          <w:lang w:val="en"/>
        </w:rPr>
        <w:t xml:space="preserve"> </w:t>
      </w:r>
    </w:p>
    <w:p w14:paraId="597B9300" w14:textId="77777777" w:rsidR="00C656AF" w:rsidRPr="008B7E48" w:rsidRDefault="00C656AF" w:rsidP="00F808EC">
      <w:pPr>
        <w:tabs>
          <w:tab w:val="left" w:pos="5841"/>
        </w:tabs>
        <w:rPr>
          <w:rFonts w:ascii="Trebuchet MS" w:hAnsi="Trebuchet MS"/>
          <w:b/>
          <w:color w:val="auto"/>
          <w:sz w:val="18"/>
          <w:szCs w:val="18"/>
          <w:lang w:val="en"/>
        </w:rPr>
        <w:sectPr w:rsidR="00C656AF" w:rsidRPr="008B7E48" w:rsidSect="00DA302D">
          <w:headerReference w:type="even" r:id="rId12"/>
          <w:headerReference w:type="default" r:id="rId13"/>
          <w:footerReference w:type="even" r:id="rId14"/>
          <w:footerReference w:type="default" r:id="rId15"/>
          <w:pgSz w:w="12240" w:h="15840" w:code="1"/>
          <w:pgMar w:top="180" w:right="720" w:bottom="259" w:left="907" w:header="187" w:footer="540" w:gutter="0"/>
          <w:cols w:space="720"/>
          <w:docGrid w:linePitch="360"/>
        </w:sectPr>
      </w:pPr>
    </w:p>
    <w:p w14:paraId="74C343FC" w14:textId="77777777" w:rsidR="00FF3E05" w:rsidRDefault="00FF3E05" w:rsidP="00F808EC">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C587CD5" w:rsidR="00FF3E05" w:rsidRDefault="00FF3E05" w:rsidP="00F808EC"/>
    <w:p w14:paraId="603CFB18" w14:textId="7CFA00CE" w:rsidR="5C708057" w:rsidRDefault="5C708057" w:rsidP="5C708057">
      <w:pPr>
        <w:pStyle w:val="Heading2"/>
        <w:spacing w:before="360" w:after="0" w:line="240" w:lineRule="auto"/>
      </w:pPr>
    </w:p>
    <w:p w14:paraId="59590382" w14:textId="77777777" w:rsidR="00DC2BDD" w:rsidRDefault="00DC2BDD" w:rsidP="2F2D2F68">
      <w:pPr>
        <w:pStyle w:val="Heading2"/>
        <w:spacing w:before="360" w:after="0" w:line="240" w:lineRule="auto"/>
      </w:pPr>
    </w:p>
    <w:p w14:paraId="7E5F04F1" w14:textId="03F1410B" w:rsidR="5C708057" w:rsidRDefault="5C58A684" w:rsidP="00DC2BDD">
      <w:pPr>
        <w:pStyle w:val="Heading2"/>
        <w:spacing w:after="0" w:line="240" w:lineRule="auto"/>
      </w:pPr>
      <w:r>
        <w:t>U</w:t>
      </w:r>
      <w:r w:rsidR="1CCCC087">
        <w:t xml:space="preserve">pdated </w:t>
      </w:r>
      <w:r>
        <w:t xml:space="preserve">Changes to the Health Safety Net Formulary – Effective January 12, 2026 </w:t>
      </w:r>
    </w:p>
    <w:p w14:paraId="095D4169" w14:textId="53648A0B" w:rsidR="2F2D2F68" w:rsidRDefault="2F2D2F68" w:rsidP="2F2D2F68"/>
    <w:p w14:paraId="48E43D90" w14:textId="57195758" w:rsidR="29DC2B6A" w:rsidRDefault="29DC2B6A" w:rsidP="072C1B6A">
      <w:pPr>
        <w:spacing w:line="276" w:lineRule="auto"/>
      </w:pPr>
      <w:hyperlink r:id="rId16" w:history="1">
        <w:r w:rsidRPr="00374B6D">
          <w:rPr>
            <w:rStyle w:val="Hyperlink"/>
            <w:rFonts w:ascii="Arial" w:eastAsia="Arial" w:hAnsi="Arial" w:cs="Arial"/>
            <w:sz w:val="22"/>
            <w:szCs w:val="22"/>
          </w:rPr>
          <w:t>Pharmacy Facts 258</w:t>
        </w:r>
      </w:hyperlink>
      <w:r w:rsidRPr="072C1B6A">
        <w:rPr>
          <w:rFonts w:ascii="Arial" w:eastAsia="Arial" w:hAnsi="Arial" w:cs="Arial"/>
          <w:color w:val="000000" w:themeColor="text1"/>
          <w:sz w:val="22"/>
          <w:szCs w:val="22"/>
        </w:rPr>
        <w:t xml:space="preserve"> provided an initial overview of important changes to reimbursable Health Safety Net Program (HSN) pharmacy services. </w:t>
      </w:r>
    </w:p>
    <w:p w14:paraId="0FE39D10" w14:textId="5B8C763F" w:rsidR="29DC2B6A" w:rsidRDefault="29DC2B6A" w:rsidP="072C1B6A">
      <w:pPr>
        <w:spacing w:line="276" w:lineRule="auto"/>
      </w:pPr>
      <w:r w:rsidRPr="072C1B6A">
        <w:rPr>
          <w:rFonts w:ascii="Arial" w:eastAsia="Arial" w:hAnsi="Arial" w:cs="Arial"/>
          <w:color w:val="000000" w:themeColor="text1"/>
          <w:sz w:val="22"/>
          <w:szCs w:val="22"/>
        </w:rPr>
        <w:t xml:space="preserve"> </w:t>
      </w:r>
    </w:p>
    <w:p w14:paraId="772CD64D" w14:textId="320E0920" w:rsidR="29DC2B6A" w:rsidRDefault="29DC2B6A" w:rsidP="072C1B6A">
      <w:pPr>
        <w:spacing w:line="276" w:lineRule="auto"/>
      </w:pPr>
      <w:r w:rsidRPr="2F2D2F68">
        <w:rPr>
          <w:rFonts w:ascii="Arial" w:eastAsia="Arial" w:hAnsi="Arial" w:cs="Arial"/>
          <w:color w:val="000000" w:themeColor="text1"/>
          <w:sz w:val="22"/>
          <w:szCs w:val="22"/>
        </w:rPr>
        <w:t xml:space="preserve">In addition to the changes outlined in </w:t>
      </w:r>
      <w:hyperlink r:id="rId17" w:anchor="2025-">
        <w:r w:rsidRPr="2F2D2F68">
          <w:rPr>
            <w:rStyle w:val="Hyperlink"/>
            <w:rFonts w:ascii="Arial" w:eastAsia="Arial" w:hAnsi="Arial" w:cs="Arial"/>
            <w:sz w:val="22"/>
            <w:szCs w:val="22"/>
          </w:rPr>
          <w:t>Pharmacy Facts 258</w:t>
        </w:r>
      </w:hyperlink>
      <w:r w:rsidRPr="2F2D2F68">
        <w:rPr>
          <w:rFonts w:ascii="Arial" w:eastAsia="Arial" w:hAnsi="Arial" w:cs="Arial"/>
          <w:color w:val="000000" w:themeColor="text1"/>
          <w:sz w:val="22"/>
          <w:szCs w:val="22"/>
        </w:rPr>
        <w:t>, the following changes will also apply</w:t>
      </w:r>
      <w:r w:rsidR="00374B6D">
        <w:rPr>
          <w:rFonts w:ascii="Arial" w:eastAsia="Arial" w:hAnsi="Arial" w:cs="Arial"/>
          <w:color w:val="000000" w:themeColor="text1"/>
          <w:sz w:val="22"/>
          <w:szCs w:val="22"/>
        </w:rPr>
        <w:t>.</w:t>
      </w:r>
    </w:p>
    <w:p w14:paraId="5982257B" w14:textId="7F1F6805" w:rsidR="29DC2B6A" w:rsidRDefault="29DC2B6A" w:rsidP="072C1B6A">
      <w:pPr>
        <w:pStyle w:val="ListParagraph"/>
        <w:numPr>
          <w:ilvl w:val="0"/>
          <w:numId w:val="5"/>
        </w:numPr>
        <w:spacing w:line="276" w:lineRule="auto"/>
        <w:rPr>
          <w:rFonts w:ascii="Arial" w:eastAsia="Arial" w:hAnsi="Arial" w:cs="Arial"/>
          <w:color w:val="000000" w:themeColor="text1"/>
          <w:sz w:val="22"/>
          <w:szCs w:val="22"/>
        </w:rPr>
      </w:pPr>
      <w:r w:rsidRPr="072C1B6A">
        <w:rPr>
          <w:rFonts w:ascii="Arial" w:eastAsia="Arial" w:hAnsi="Arial" w:cs="Arial"/>
          <w:color w:val="000000" w:themeColor="text1"/>
          <w:sz w:val="22"/>
          <w:szCs w:val="22"/>
        </w:rPr>
        <w:t xml:space="preserve">The HSN Program will continue to </w:t>
      </w:r>
      <w:proofErr w:type="gramStart"/>
      <w:r w:rsidRPr="072C1B6A">
        <w:rPr>
          <w:rFonts w:ascii="Arial" w:eastAsia="Arial" w:hAnsi="Arial" w:cs="Arial"/>
          <w:color w:val="000000" w:themeColor="text1"/>
          <w:sz w:val="22"/>
          <w:szCs w:val="22"/>
        </w:rPr>
        <w:t>reimburse for</w:t>
      </w:r>
      <w:proofErr w:type="gramEnd"/>
      <w:r w:rsidRPr="072C1B6A">
        <w:rPr>
          <w:rFonts w:ascii="Arial" w:eastAsia="Arial" w:hAnsi="Arial" w:cs="Arial"/>
          <w:color w:val="000000" w:themeColor="text1"/>
          <w:sz w:val="22"/>
          <w:szCs w:val="22"/>
        </w:rPr>
        <w:t xml:space="preserve"> brand antiretrovirals </w:t>
      </w:r>
      <w:r w:rsidR="4723AA45" w:rsidRPr="072C1B6A">
        <w:rPr>
          <w:rFonts w:ascii="Arial" w:eastAsia="Arial" w:hAnsi="Arial" w:cs="Arial"/>
          <w:color w:val="000000" w:themeColor="text1"/>
          <w:sz w:val="22"/>
          <w:szCs w:val="22"/>
        </w:rPr>
        <w:t xml:space="preserve">with no generic equivalent and generic antiretroviral agents </w:t>
      </w:r>
      <w:r w:rsidRPr="072C1B6A">
        <w:rPr>
          <w:rFonts w:ascii="Arial" w:eastAsia="Arial" w:hAnsi="Arial" w:cs="Arial"/>
          <w:color w:val="000000" w:themeColor="text1"/>
          <w:sz w:val="22"/>
          <w:szCs w:val="22"/>
        </w:rPr>
        <w:t xml:space="preserve">without prior authorization (PA) until further notice. </w:t>
      </w:r>
    </w:p>
    <w:p w14:paraId="3739ADFB" w14:textId="45E60D05" w:rsidR="29DC2B6A" w:rsidRDefault="29DC2B6A" w:rsidP="072C1B6A">
      <w:pPr>
        <w:pStyle w:val="ListParagraph"/>
        <w:numPr>
          <w:ilvl w:val="0"/>
          <w:numId w:val="5"/>
        </w:numPr>
        <w:spacing w:line="276" w:lineRule="auto"/>
        <w:rPr>
          <w:rFonts w:ascii="Arial" w:eastAsia="Arial" w:hAnsi="Arial" w:cs="Arial"/>
          <w:color w:val="000000" w:themeColor="text1"/>
          <w:sz w:val="22"/>
          <w:szCs w:val="22"/>
        </w:rPr>
      </w:pPr>
      <w:r w:rsidRPr="072C1B6A">
        <w:rPr>
          <w:rFonts w:ascii="Arial" w:eastAsia="Arial" w:hAnsi="Arial" w:cs="Arial"/>
          <w:color w:val="000000" w:themeColor="text1"/>
          <w:sz w:val="22"/>
          <w:szCs w:val="22"/>
        </w:rPr>
        <w:t xml:space="preserve">Existing PAs for preferred non-drug products (e.g., continuous glucose monitors, continuous subcutaneous insulin infusion devices, preferred test strips over quantity limits) will not be terminated and will be honored for the duration of the existing prior authorization. </w:t>
      </w:r>
    </w:p>
    <w:p w14:paraId="73481D16" w14:textId="77777777" w:rsidR="00E82A61" w:rsidRDefault="00E82A61" w:rsidP="00E82A61">
      <w:pPr>
        <w:spacing w:line="276" w:lineRule="auto"/>
        <w:rPr>
          <w:rFonts w:ascii="Arial" w:eastAsia="Arial" w:hAnsi="Arial" w:cs="Arial"/>
          <w:color w:val="000000" w:themeColor="text1"/>
          <w:sz w:val="22"/>
          <w:szCs w:val="22"/>
        </w:rPr>
      </w:pPr>
    </w:p>
    <w:p w14:paraId="6D8B6A9C" w14:textId="4A9FE605" w:rsidR="29DC2B6A" w:rsidRPr="00E82A61" w:rsidRDefault="29DC2B6A" w:rsidP="00E82A61">
      <w:pPr>
        <w:spacing w:line="276" w:lineRule="auto"/>
        <w:rPr>
          <w:rFonts w:ascii="Arial" w:eastAsia="Arial" w:hAnsi="Arial" w:cs="Arial"/>
          <w:color w:val="000000" w:themeColor="text1"/>
          <w:sz w:val="22"/>
          <w:szCs w:val="22"/>
        </w:rPr>
      </w:pPr>
      <w:r w:rsidRPr="00E82A61">
        <w:rPr>
          <w:rFonts w:ascii="Arial" w:eastAsia="Arial" w:hAnsi="Arial" w:cs="Arial"/>
          <w:color w:val="000000" w:themeColor="text1"/>
          <w:sz w:val="22"/>
          <w:szCs w:val="22"/>
        </w:rPr>
        <w:t>Please see updated summary table</w:t>
      </w:r>
      <w:r w:rsidR="1232D6E4" w:rsidRPr="00E82A61">
        <w:rPr>
          <w:rFonts w:ascii="Arial" w:eastAsia="Arial" w:hAnsi="Arial" w:cs="Arial"/>
          <w:color w:val="000000" w:themeColor="text1"/>
          <w:sz w:val="22"/>
          <w:szCs w:val="22"/>
        </w:rPr>
        <w:t xml:space="preserve"> below</w:t>
      </w:r>
      <w:r w:rsidRPr="00E82A61">
        <w:rPr>
          <w:rFonts w:ascii="Arial" w:eastAsia="Arial" w:hAnsi="Arial" w:cs="Arial"/>
          <w:color w:val="000000" w:themeColor="text1"/>
          <w:sz w:val="22"/>
          <w:szCs w:val="22"/>
        </w:rPr>
        <w:t>.</w:t>
      </w:r>
    </w:p>
    <w:p w14:paraId="0DF9B44F" w14:textId="4EDCABE6" w:rsidR="29DC2B6A" w:rsidRDefault="29DC2B6A" w:rsidP="072C1B6A">
      <w:pPr>
        <w:spacing w:line="276" w:lineRule="auto"/>
      </w:pPr>
      <w:r w:rsidRPr="072C1B6A">
        <w:rPr>
          <w:rFonts w:ascii="Arial" w:eastAsia="Arial" w:hAnsi="Arial" w:cs="Arial"/>
          <w:color w:val="000000" w:themeColor="text1"/>
          <w:sz w:val="22"/>
          <w:szCs w:val="22"/>
        </w:rPr>
        <w:t xml:space="preserve"> </w:t>
      </w:r>
    </w:p>
    <w:p w14:paraId="1D05E14D" w14:textId="5F80D51C" w:rsidR="29DC2B6A" w:rsidRDefault="29DC2B6A" w:rsidP="072C1B6A">
      <w:pPr>
        <w:spacing w:line="276" w:lineRule="auto"/>
      </w:pPr>
      <w:r w:rsidRPr="072C1B6A">
        <w:rPr>
          <w:rFonts w:ascii="Arial" w:eastAsia="Arial" w:hAnsi="Arial" w:cs="Arial"/>
          <w:b/>
          <w:bCs/>
          <w:color w:val="000000" w:themeColor="text1"/>
          <w:sz w:val="22"/>
          <w:szCs w:val="22"/>
        </w:rPr>
        <w:t xml:space="preserve">HSN Formulary – Effective January 12, 2026 </w:t>
      </w:r>
    </w:p>
    <w:tbl>
      <w:tblPr>
        <w:tblStyle w:val="TableGrid"/>
        <w:tblW w:w="0" w:type="auto"/>
        <w:tblLook w:val="04A0" w:firstRow="1" w:lastRow="0" w:firstColumn="1" w:lastColumn="0" w:noHBand="0" w:noVBand="1"/>
      </w:tblPr>
      <w:tblGrid>
        <w:gridCol w:w="6088"/>
        <w:gridCol w:w="3677"/>
      </w:tblGrid>
      <w:tr w:rsidR="072C1B6A" w14:paraId="2B871A46" w14:textId="77777777" w:rsidTr="072C1B6A">
        <w:trPr>
          <w:trHeight w:val="285"/>
        </w:trPr>
        <w:tc>
          <w:tcPr>
            <w:tcW w:w="6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5" w:type="dxa"/>
              <w:right w:w="105" w:type="dxa"/>
            </w:tcMar>
          </w:tcPr>
          <w:p w14:paraId="2C442626" w14:textId="040C992F" w:rsidR="072C1B6A" w:rsidRDefault="072C1B6A" w:rsidP="072C1B6A">
            <w:r w:rsidRPr="072C1B6A">
              <w:rPr>
                <w:rFonts w:ascii="Arial" w:eastAsia="Arial" w:hAnsi="Arial" w:cs="Arial"/>
                <w:color w:val="000000" w:themeColor="text1"/>
                <w:sz w:val="22"/>
                <w:szCs w:val="22"/>
              </w:rPr>
              <w:t xml:space="preserve">Generally reimbursable </w:t>
            </w:r>
            <w:r w:rsidRPr="072C1B6A">
              <w:rPr>
                <w:rFonts w:ascii="Arial" w:eastAsia="Arial" w:hAnsi="Arial" w:cs="Arial"/>
                <w:b/>
                <w:bCs/>
                <w:color w:val="000000" w:themeColor="text1"/>
                <w:sz w:val="22"/>
                <w:szCs w:val="22"/>
              </w:rPr>
              <w:t>without PA:</w:t>
            </w:r>
            <w:r w:rsidRPr="072C1B6A">
              <w:rPr>
                <w:rFonts w:ascii="Arial" w:eastAsia="Arial" w:hAnsi="Arial" w:cs="Arial"/>
                <w:color w:val="000000" w:themeColor="text1"/>
                <w:sz w:val="22"/>
                <w:szCs w:val="22"/>
              </w:rPr>
              <w:t xml:space="preserve"> </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5" w:type="dxa"/>
              <w:right w:w="105" w:type="dxa"/>
            </w:tcMar>
          </w:tcPr>
          <w:p w14:paraId="0E2F9079" w14:textId="1041350D" w:rsidR="072C1B6A" w:rsidRDefault="072C1B6A" w:rsidP="072C1B6A">
            <w:r w:rsidRPr="072C1B6A">
              <w:rPr>
                <w:rFonts w:ascii="Arial" w:eastAsia="Arial" w:hAnsi="Arial" w:cs="Arial"/>
                <w:color w:val="000000" w:themeColor="text1"/>
                <w:sz w:val="22"/>
                <w:szCs w:val="22"/>
              </w:rPr>
              <w:t xml:space="preserve">Generally reimbursable </w:t>
            </w:r>
            <w:r w:rsidRPr="072C1B6A">
              <w:rPr>
                <w:rFonts w:ascii="Arial" w:eastAsia="Arial" w:hAnsi="Arial" w:cs="Arial"/>
                <w:b/>
                <w:bCs/>
                <w:color w:val="000000" w:themeColor="text1"/>
                <w:sz w:val="22"/>
                <w:szCs w:val="22"/>
              </w:rPr>
              <w:t>with PA:</w:t>
            </w:r>
            <w:r w:rsidRPr="072C1B6A">
              <w:rPr>
                <w:rFonts w:ascii="Arial" w:eastAsia="Arial" w:hAnsi="Arial" w:cs="Arial"/>
                <w:color w:val="000000" w:themeColor="text1"/>
                <w:sz w:val="22"/>
                <w:szCs w:val="22"/>
              </w:rPr>
              <w:t xml:space="preserve"> </w:t>
            </w:r>
          </w:p>
        </w:tc>
      </w:tr>
      <w:tr w:rsidR="072C1B6A" w14:paraId="5B3FBA11" w14:textId="77777777" w:rsidTr="072C1B6A">
        <w:trPr>
          <w:trHeight w:val="1740"/>
        </w:trPr>
        <w:tc>
          <w:tcPr>
            <w:tcW w:w="6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FA2A39B" w14:textId="697447BF" w:rsidR="072C1B6A" w:rsidRDefault="072C1B6A" w:rsidP="072C1B6A">
            <w:pPr>
              <w:pStyle w:val="ListParagraph"/>
              <w:numPr>
                <w:ilvl w:val="0"/>
                <w:numId w:val="4"/>
              </w:numPr>
              <w:ind w:left="330" w:hanging="330"/>
              <w:rPr>
                <w:rFonts w:ascii="Arial" w:eastAsia="Arial" w:hAnsi="Arial" w:cs="Arial"/>
                <w:color w:val="000000" w:themeColor="text1"/>
                <w:sz w:val="21"/>
                <w:szCs w:val="21"/>
              </w:rPr>
            </w:pPr>
            <w:r w:rsidRPr="072C1B6A">
              <w:rPr>
                <w:rFonts w:ascii="Arial" w:eastAsia="Arial" w:hAnsi="Arial" w:cs="Arial"/>
                <w:color w:val="000000" w:themeColor="text1"/>
                <w:sz w:val="21"/>
                <w:szCs w:val="21"/>
              </w:rPr>
              <w:t xml:space="preserve">Generic medications (including unbranded biosimilars) </w:t>
            </w:r>
          </w:p>
          <w:p w14:paraId="4315BD6F" w14:textId="6BE4ED35" w:rsidR="072C1B6A" w:rsidRDefault="072C1B6A" w:rsidP="072C1B6A">
            <w:pPr>
              <w:pStyle w:val="ListParagraph"/>
              <w:numPr>
                <w:ilvl w:val="0"/>
                <w:numId w:val="4"/>
              </w:numPr>
              <w:ind w:left="330" w:hanging="330"/>
              <w:rPr>
                <w:rFonts w:ascii="Arial" w:eastAsia="Arial" w:hAnsi="Arial" w:cs="Arial"/>
                <w:color w:val="000000" w:themeColor="text1"/>
                <w:sz w:val="21"/>
                <w:szCs w:val="21"/>
              </w:rPr>
            </w:pPr>
            <w:r w:rsidRPr="072C1B6A">
              <w:rPr>
                <w:rFonts w:ascii="Arial" w:eastAsia="Arial" w:hAnsi="Arial" w:cs="Arial"/>
                <w:color w:val="000000" w:themeColor="text1"/>
                <w:sz w:val="21"/>
                <w:szCs w:val="21"/>
              </w:rPr>
              <w:t>Select brand medications including:</w:t>
            </w:r>
          </w:p>
          <w:p w14:paraId="0D461FBA" w14:textId="06A2202B" w:rsidR="072C1B6A" w:rsidRDefault="072C1B6A" w:rsidP="072C1B6A">
            <w:pPr>
              <w:pStyle w:val="ListParagraph"/>
              <w:numPr>
                <w:ilvl w:val="1"/>
                <w:numId w:val="4"/>
              </w:numPr>
              <w:ind w:left="697"/>
              <w:rPr>
                <w:rFonts w:ascii="Arial" w:eastAsia="Arial" w:hAnsi="Arial" w:cs="Arial"/>
                <w:color w:val="000000" w:themeColor="text1"/>
                <w:sz w:val="21"/>
                <w:szCs w:val="21"/>
              </w:rPr>
            </w:pPr>
            <w:r w:rsidRPr="072C1B6A">
              <w:rPr>
                <w:rFonts w:ascii="Arial" w:eastAsia="Arial" w:hAnsi="Arial" w:cs="Arial"/>
                <w:color w:val="000000" w:themeColor="text1"/>
                <w:sz w:val="21"/>
                <w:szCs w:val="21"/>
              </w:rPr>
              <w:t>Most drugs on the MassHealth Brand Preferred Over Generic List (BOGL)</w:t>
            </w:r>
          </w:p>
          <w:p w14:paraId="14A69C56" w14:textId="60E4A21E" w:rsidR="072C1B6A" w:rsidRDefault="072C1B6A" w:rsidP="072C1B6A">
            <w:pPr>
              <w:pStyle w:val="ListParagraph"/>
              <w:numPr>
                <w:ilvl w:val="1"/>
                <w:numId w:val="4"/>
              </w:numPr>
              <w:ind w:left="697"/>
              <w:rPr>
                <w:rFonts w:ascii="Arial" w:eastAsia="Arial" w:hAnsi="Arial" w:cs="Arial"/>
                <w:color w:val="000000" w:themeColor="text1"/>
                <w:sz w:val="21"/>
                <w:szCs w:val="21"/>
              </w:rPr>
            </w:pPr>
            <w:r w:rsidRPr="072C1B6A">
              <w:rPr>
                <w:rFonts w:ascii="Arial" w:eastAsia="Arial" w:hAnsi="Arial" w:cs="Arial"/>
                <w:color w:val="000000" w:themeColor="text1"/>
                <w:sz w:val="21"/>
                <w:szCs w:val="21"/>
              </w:rPr>
              <w:t xml:space="preserve">Brand antiretrovirals with no generic equivalent </w:t>
            </w:r>
          </w:p>
          <w:p w14:paraId="1B78776B" w14:textId="595ADE0E" w:rsidR="072C1B6A" w:rsidRDefault="072C1B6A" w:rsidP="072C1B6A">
            <w:pPr>
              <w:pStyle w:val="ListParagraph"/>
              <w:numPr>
                <w:ilvl w:val="0"/>
                <w:numId w:val="4"/>
              </w:numPr>
              <w:ind w:left="330" w:hanging="330"/>
              <w:rPr>
                <w:rFonts w:ascii="Arial" w:eastAsia="Arial" w:hAnsi="Arial" w:cs="Arial"/>
                <w:color w:val="000000" w:themeColor="text1"/>
                <w:sz w:val="21"/>
                <w:szCs w:val="21"/>
              </w:rPr>
            </w:pPr>
            <w:r w:rsidRPr="072C1B6A">
              <w:rPr>
                <w:rFonts w:ascii="Arial" w:eastAsia="Arial" w:hAnsi="Arial" w:cs="Arial"/>
                <w:color w:val="000000" w:themeColor="text1"/>
                <w:sz w:val="21"/>
                <w:szCs w:val="21"/>
              </w:rPr>
              <w:t xml:space="preserve">Select non-drug products (i.e., alcohol swabs, ketone test strips, lancets, pen needles, syringes, urine glucose test strips) </w:t>
            </w:r>
          </w:p>
          <w:p w14:paraId="6D54B3C9" w14:textId="719B9AED" w:rsidR="072C1B6A" w:rsidRDefault="072C1B6A" w:rsidP="072C1B6A">
            <w:pPr>
              <w:pStyle w:val="ListParagraph"/>
              <w:numPr>
                <w:ilvl w:val="0"/>
                <w:numId w:val="4"/>
              </w:numPr>
              <w:ind w:left="330" w:hanging="330"/>
              <w:rPr>
                <w:rFonts w:ascii="Arial" w:eastAsia="Arial" w:hAnsi="Arial" w:cs="Arial"/>
                <w:color w:val="000000" w:themeColor="text1"/>
                <w:sz w:val="21"/>
                <w:szCs w:val="21"/>
              </w:rPr>
            </w:pPr>
            <w:r w:rsidRPr="072C1B6A">
              <w:rPr>
                <w:rFonts w:ascii="Arial" w:eastAsia="Arial" w:hAnsi="Arial" w:cs="Arial"/>
                <w:color w:val="000000" w:themeColor="text1"/>
                <w:sz w:val="21"/>
                <w:szCs w:val="21"/>
              </w:rPr>
              <w:t xml:space="preserve">Preferred test strips within quantity limits </w:t>
            </w:r>
          </w:p>
          <w:p w14:paraId="17AE77C9" w14:textId="14873623" w:rsidR="072C1B6A" w:rsidRDefault="072C1B6A" w:rsidP="072C1B6A">
            <w:pPr>
              <w:pStyle w:val="ListParagraph"/>
              <w:numPr>
                <w:ilvl w:val="0"/>
                <w:numId w:val="4"/>
              </w:numPr>
              <w:ind w:left="330" w:hanging="330"/>
              <w:rPr>
                <w:rFonts w:ascii="Arial" w:eastAsia="Arial" w:hAnsi="Arial" w:cs="Arial"/>
                <w:color w:val="000000" w:themeColor="text1"/>
                <w:sz w:val="21"/>
                <w:szCs w:val="21"/>
              </w:rPr>
            </w:pPr>
            <w:r w:rsidRPr="072C1B6A">
              <w:rPr>
                <w:rFonts w:ascii="Arial" w:eastAsia="Arial" w:hAnsi="Arial" w:cs="Arial"/>
                <w:color w:val="000000" w:themeColor="text1"/>
                <w:sz w:val="21"/>
                <w:szCs w:val="21"/>
              </w:rPr>
              <w:t>Vaccines</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A94C67" w14:textId="6A57FEEB" w:rsidR="072C1B6A" w:rsidRDefault="072C1B6A" w:rsidP="072C1B6A">
            <w:pPr>
              <w:pStyle w:val="ListParagraph"/>
              <w:numPr>
                <w:ilvl w:val="0"/>
                <w:numId w:val="4"/>
              </w:numPr>
              <w:ind w:left="348" w:hanging="348"/>
              <w:rPr>
                <w:rFonts w:ascii="Arial" w:eastAsia="Arial" w:hAnsi="Arial" w:cs="Arial"/>
                <w:color w:val="000000" w:themeColor="text1"/>
                <w:sz w:val="21"/>
                <w:szCs w:val="21"/>
              </w:rPr>
            </w:pPr>
            <w:r w:rsidRPr="072C1B6A">
              <w:rPr>
                <w:rFonts w:ascii="Arial" w:eastAsia="Arial" w:hAnsi="Arial" w:cs="Arial"/>
                <w:color w:val="000000" w:themeColor="text1"/>
                <w:sz w:val="21"/>
                <w:szCs w:val="21"/>
              </w:rPr>
              <w:t xml:space="preserve">Preferred non-drug products (e.g., continuous glucose monitors, continuous subcutaneous insulin infusion devices, preferred test strips over quantity limits) </w:t>
            </w:r>
          </w:p>
          <w:p w14:paraId="55673818" w14:textId="789D18AC" w:rsidR="072C1B6A" w:rsidRDefault="072C1B6A" w:rsidP="072C1B6A">
            <w:pPr>
              <w:pStyle w:val="ListParagraph"/>
              <w:numPr>
                <w:ilvl w:val="0"/>
                <w:numId w:val="4"/>
              </w:numPr>
              <w:ind w:left="348" w:hanging="348"/>
              <w:rPr>
                <w:rFonts w:ascii="Arial" w:eastAsia="Arial" w:hAnsi="Arial" w:cs="Arial"/>
                <w:color w:val="000000" w:themeColor="text1"/>
                <w:sz w:val="21"/>
                <w:szCs w:val="21"/>
              </w:rPr>
            </w:pPr>
            <w:r w:rsidRPr="072C1B6A">
              <w:rPr>
                <w:rFonts w:ascii="Arial" w:eastAsia="Arial" w:hAnsi="Arial" w:cs="Arial"/>
                <w:color w:val="000000" w:themeColor="text1"/>
                <w:sz w:val="21"/>
                <w:szCs w:val="21"/>
              </w:rPr>
              <w:t>Most brand medications not listed on the MassHealth BOGL</w:t>
            </w:r>
          </w:p>
          <w:p w14:paraId="54AF44CE" w14:textId="5DB338C3" w:rsidR="072C1B6A" w:rsidRDefault="072C1B6A" w:rsidP="072C1B6A">
            <w:pPr>
              <w:pStyle w:val="ListParagraph"/>
              <w:numPr>
                <w:ilvl w:val="0"/>
                <w:numId w:val="4"/>
              </w:numPr>
              <w:ind w:left="348" w:hanging="348"/>
              <w:rPr>
                <w:rFonts w:ascii="Arial" w:eastAsia="Arial" w:hAnsi="Arial" w:cs="Arial"/>
                <w:color w:val="000000" w:themeColor="text1"/>
                <w:sz w:val="21"/>
                <w:szCs w:val="21"/>
              </w:rPr>
            </w:pPr>
            <w:r w:rsidRPr="072C1B6A">
              <w:rPr>
                <w:rFonts w:ascii="Arial" w:eastAsia="Arial" w:hAnsi="Arial" w:cs="Arial"/>
                <w:color w:val="000000" w:themeColor="text1"/>
                <w:sz w:val="21"/>
                <w:szCs w:val="21"/>
              </w:rPr>
              <w:t>Other medications when clinically necessary</w:t>
            </w:r>
          </w:p>
        </w:tc>
      </w:tr>
    </w:tbl>
    <w:p w14:paraId="08D9A2A9" w14:textId="77777777" w:rsidR="00ED4605" w:rsidRDefault="29DC2B6A" w:rsidP="00ED4605">
      <w:pPr>
        <w:spacing w:before="360" w:line="276" w:lineRule="auto"/>
        <w:rPr>
          <w:rFonts w:ascii="Arial" w:hAnsi="Arial" w:cs="Arial"/>
          <w:b/>
          <w:bCs/>
          <w:color w:val="auto"/>
          <w:sz w:val="26"/>
          <w:szCs w:val="26"/>
        </w:rPr>
      </w:pPr>
      <w:r w:rsidRPr="00031635">
        <w:rPr>
          <w:rFonts w:ascii="Arial" w:hAnsi="Arial" w:cs="Arial"/>
          <w:b/>
          <w:bCs/>
          <w:color w:val="auto"/>
          <w:sz w:val="26"/>
          <w:szCs w:val="26"/>
        </w:rPr>
        <w:t>Submitting Prior Authorization Requests</w:t>
      </w:r>
    </w:p>
    <w:p w14:paraId="24BC057D" w14:textId="4C9B9CC2" w:rsidR="29DC2B6A" w:rsidRDefault="29DC2B6A" w:rsidP="00ED4605">
      <w:pPr>
        <w:spacing w:line="276" w:lineRule="auto"/>
      </w:pPr>
      <w:r w:rsidRPr="00031635">
        <w:rPr>
          <w:rFonts w:ascii="Arial" w:hAnsi="Arial" w:cs="Arial"/>
          <w:b/>
          <w:bCs/>
          <w:color w:val="auto"/>
          <w:sz w:val="26"/>
          <w:szCs w:val="26"/>
        </w:rPr>
        <w:t xml:space="preserve"> </w:t>
      </w:r>
    </w:p>
    <w:p w14:paraId="360838D2" w14:textId="20CF5375" w:rsidR="29DC2B6A" w:rsidRDefault="29DC2B6A" w:rsidP="0DC226BC">
      <w:pPr>
        <w:spacing w:line="276" w:lineRule="auto"/>
        <w:rPr>
          <w:rFonts w:ascii="Arial" w:eastAsia="Arial" w:hAnsi="Arial" w:cs="Arial"/>
          <w:color w:val="000000" w:themeColor="text1"/>
          <w:sz w:val="22"/>
          <w:szCs w:val="22"/>
        </w:rPr>
      </w:pPr>
      <w:r w:rsidRPr="0DC226BC">
        <w:rPr>
          <w:rFonts w:ascii="Arial" w:eastAsia="Arial" w:hAnsi="Arial" w:cs="Arial"/>
          <w:color w:val="000000" w:themeColor="text1"/>
          <w:sz w:val="22"/>
          <w:szCs w:val="22"/>
        </w:rPr>
        <w:t xml:space="preserve">As a reminder, all currently approved PAs for medications will be terminated </w:t>
      </w:r>
      <w:proofErr w:type="gramStart"/>
      <w:r w:rsidRPr="0DC226BC">
        <w:rPr>
          <w:rFonts w:ascii="Arial" w:eastAsia="Arial" w:hAnsi="Arial" w:cs="Arial"/>
          <w:color w:val="000000" w:themeColor="text1"/>
          <w:sz w:val="22"/>
          <w:szCs w:val="22"/>
        </w:rPr>
        <w:t>effective</w:t>
      </w:r>
      <w:proofErr w:type="gramEnd"/>
      <w:r w:rsidRPr="0DC226BC">
        <w:rPr>
          <w:rFonts w:ascii="Arial" w:eastAsia="Arial" w:hAnsi="Arial" w:cs="Arial"/>
          <w:color w:val="000000" w:themeColor="text1"/>
          <w:sz w:val="22"/>
          <w:szCs w:val="22"/>
        </w:rPr>
        <w:t xml:space="preserve"> January 12, 2026. Requests for brand medications not on the BOGL will be evaluated for appropriate diagnosis, trial(s) with all clinically appropriate generic and BOGL alternatives, medical necessity, and </w:t>
      </w:r>
      <w:r w:rsidRPr="0DC226BC">
        <w:rPr>
          <w:rFonts w:ascii="Arial" w:eastAsia="Arial" w:hAnsi="Arial" w:cs="Arial"/>
          <w:b/>
          <w:bCs/>
          <w:color w:val="000000" w:themeColor="text1"/>
          <w:sz w:val="22"/>
          <w:szCs w:val="22"/>
        </w:rPr>
        <w:t>documentation of application to manufacturer patient assistance program</w:t>
      </w:r>
      <w:r w:rsidRPr="0DC226BC">
        <w:rPr>
          <w:rFonts w:ascii="Arial" w:eastAsia="Arial" w:hAnsi="Arial" w:cs="Arial"/>
          <w:color w:val="000000" w:themeColor="text1"/>
          <w:sz w:val="22"/>
          <w:szCs w:val="22"/>
        </w:rPr>
        <w:t xml:space="preserve"> (if available).  </w:t>
      </w:r>
    </w:p>
    <w:p w14:paraId="325145C2" w14:textId="06806B91" w:rsidR="29DC2B6A" w:rsidRDefault="29DC2B6A" w:rsidP="072C1B6A">
      <w:pPr>
        <w:tabs>
          <w:tab w:val="left" w:pos="9990"/>
        </w:tabs>
        <w:spacing w:line="276" w:lineRule="auto"/>
      </w:pPr>
      <w:r w:rsidRPr="072C1B6A">
        <w:rPr>
          <w:rFonts w:ascii="Arial" w:eastAsia="Arial" w:hAnsi="Arial" w:cs="Arial"/>
          <w:b/>
          <w:bCs/>
          <w:color w:val="000000" w:themeColor="text1"/>
          <w:sz w:val="22"/>
          <w:szCs w:val="22"/>
        </w:rPr>
        <w:t xml:space="preserve"> </w:t>
      </w:r>
    </w:p>
    <w:p w14:paraId="742EE11A" w14:textId="5748BFDF" w:rsidR="29DC2B6A" w:rsidRDefault="29DC2B6A" w:rsidP="77AC82B0">
      <w:pPr>
        <w:spacing w:line="276" w:lineRule="auto"/>
        <w:rPr>
          <w:rFonts w:ascii="Arial" w:eastAsia="Arial" w:hAnsi="Arial" w:cs="Arial"/>
          <w:sz w:val="22"/>
          <w:szCs w:val="22"/>
        </w:rPr>
      </w:pPr>
      <w:r w:rsidRPr="77AC82B0">
        <w:rPr>
          <w:rFonts w:ascii="Arial" w:eastAsia="Arial" w:hAnsi="Arial" w:cs="Arial"/>
          <w:b/>
          <w:bCs/>
          <w:sz w:val="22"/>
          <w:szCs w:val="22"/>
        </w:rPr>
        <w:t xml:space="preserve">Providers may begin submitting PA requests for HSN patients ahead of January 12, 2026, using the new HSN specific PA form </w:t>
      </w:r>
      <w:r w:rsidR="10E86C7F" w:rsidRPr="77AC82B0">
        <w:rPr>
          <w:rFonts w:ascii="Arial" w:eastAsia="Arial" w:hAnsi="Arial" w:cs="Arial"/>
          <w:b/>
          <w:bCs/>
          <w:sz w:val="22"/>
          <w:szCs w:val="22"/>
        </w:rPr>
        <w:t xml:space="preserve">available on the </w:t>
      </w:r>
      <w:hyperlink r:id="rId18">
        <w:r w:rsidR="10E86C7F" w:rsidRPr="77AC82B0">
          <w:rPr>
            <w:rStyle w:val="Hyperlink"/>
            <w:rFonts w:ascii="Arial" w:eastAsia="Arial" w:hAnsi="Arial" w:cs="Arial"/>
            <w:b/>
            <w:bCs/>
            <w:sz w:val="22"/>
            <w:szCs w:val="22"/>
          </w:rPr>
          <w:t>HSN Formulary Page</w:t>
        </w:r>
      </w:hyperlink>
      <w:r w:rsidR="10E86C7F" w:rsidRPr="77AC82B0">
        <w:rPr>
          <w:rFonts w:ascii="Arial" w:eastAsia="Arial" w:hAnsi="Arial" w:cs="Arial"/>
          <w:b/>
          <w:bCs/>
          <w:sz w:val="22"/>
          <w:szCs w:val="22"/>
        </w:rPr>
        <w:t xml:space="preserve"> of the MassHealth Drug List. </w:t>
      </w:r>
      <w:r w:rsidRPr="77AC82B0">
        <w:rPr>
          <w:rFonts w:ascii="Arial" w:eastAsia="Arial" w:hAnsi="Arial" w:cs="Arial"/>
          <w:sz w:val="22"/>
          <w:szCs w:val="22"/>
        </w:rPr>
        <w:t xml:space="preserve">All requests submitted on this form will be evaluated against the HSN clinical criteria going into effect on January 12, 2026, as outlined above. </w:t>
      </w:r>
    </w:p>
    <w:p w14:paraId="1709FA1D" w14:textId="7C8B9C77" w:rsidR="29DC2B6A" w:rsidRDefault="29DC2B6A" w:rsidP="072C1B6A">
      <w:pPr>
        <w:pStyle w:val="ListParagraph"/>
        <w:numPr>
          <w:ilvl w:val="0"/>
          <w:numId w:val="3"/>
        </w:numPr>
        <w:spacing w:line="276" w:lineRule="auto"/>
        <w:rPr>
          <w:rFonts w:ascii="Arial" w:eastAsia="Arial" w:hAnsi="Arial" w:cs="Arial"/>
          <w:sz w:val="22"/>
          <w:szCs w:val="22"/>
        </w:rPr>
      </w:pPr>
      <w:r w:rsidRPr="072C1B6A">
        <w:rPr>
          <w:rFonts w:ascii="Arial" w:eastAsia="Arial" w:hAnsi="Arial" w:cs="Arial"/>
          <w:sz w:val="22"/>
          <w:szCs w:val="22"/>
        </w:rPr>
        <w:t>If the PA is approvable under HSN PA criteria effective January 12, 2026</w:t>
      </w:r>
      <w:r w:rsidR="00FB4B08">
        <w:rPr>
          <w:rFonts w:ascii="Arial" w:eastAsia="Arial" w:hAnsi="Arial" w:cs="Arial"/>
          <w:sz w:val="22"/>
          <w:szCs w:val="22"/>
        </w:rPr>
        <w:t>,</w:t>
      </w:r>
      <w:r w:rsidRPr="072C1B6A">
        <w:rPr>
          <w:rFonts w:ascii="Arial" w:eastAsia="Arial" w:hAnsi="Arial" w:cs="Arial"/>
          <w:sz w:val="22"/>
          <w:szCs w:val="22"/>
        </w:rPr>
        <w:t xml:space="preserve"> </w:t>
      </w:r>
      <w:r w:rsidR="00FB4B08">
        <w:rPr>
          <w:rFonts w:ascii="Arial" w:eastAsia="Arial" w:hAnsi="Arial" w:cs="Arial"/>
          <w:sz w:val="22"/>
          <w:szCs w:val="22"/>
        </w:rPr>
        <w:t>t</w:t>
      </w:r>
      <w:r w:rsidRPr="072C1B6A">
        <w:rPr>
          <w:rFonts w:ascii="Arial" w:eastAsia="Arial" w:hAnsi="Arial" w:cs="Arial"/>
          <w:sz w:val="22"/>
          <w:szCs w:val="22"/>
        </w:rPr>
        <w:t>he PA will be approved with a start date of January 12</w:t>
      </w:r>
      <w:r w:rsidR="27B603BF" w:rsidRPr="072C1B6A">
        <w:rPr>
          <w:rFonts w:ascii="Arial" w:eastAsia="Arial" w:hAnsi="Arial" w:cs="Arial"/>
          <w:sz w:val="22"/>
          <w:szCs w:val="22"/>
        </w:rPr>
        <w:t>,</w:t>
      </w:r>
      <w:r w:rsidRPr="072C1B6A">
        <w:rPr>
          <w:rFonts w:ascii="Arial" w:eastAsia="Arial" w:hAnsi="Arial" w:cs="Arial"/>
          <w:sz w:val="22"/>
          <w:szCs w:val="22"/>
        </w:rPr>
        <w:t xml:space="preserve"> 2026.  </w:t>
      </w:r>
    </w:p>
    <w:p w14:paraId="5559B2D3" w14:textId="4839D6C3" w:rsidR="29DC2B6A" w:rsidRDefault="29DC2B6A" w:rsidP="072C1B6A">
      <w:pPr>
        <w:pStyle w:val="ListParagraph"/>
        <w:numPr>
          <w:ilvl w:val="0"/>
          <w:numId w:val="2"/>
        </w:numPr>
        <w:spacing w:line="276" w:lineRule="auto"/>
        <w:rPr>
          <w:rFonts w:ascii="Arial" w:eastAsia="Arial" w:hAnsi="Arial" w:cs="Arial"/>
          <w:sz w:val="22"/>
          <w:szCs w:val="22"/>
        </w:rPr>
      </w:pPr>
      <w:r w:rsidRPr="072C1B6A">
        <w:rPr>
          <w:rFonts w:ascii="Arial" w:eastAsia="Arial" w:hAnsi="Arial" w:cs="Arial"/>
          <w:sz w:val="22"/>
          <w:szCs w:val="22"/>
        </w:rPr>
        <w:lastRenderedPageBreak/>
        <w:t>If the PA is not approvable under HSN PA criteria effective January 12, 2026</w:t>
      </w:r>
      <w:r w:rsidR="00FB4B08">
        <w:rPr>
          <w:rFonts w:ascii="Arial" w:eastAsia="Arial" w:hAnsi="Arial" w:cs="Arial"/>
          <w:sz w:val="22"/>
          <w:szCs w:val="22"/>
        </w:rPr>
        <w:t>,</w:t>
      </w:r>
      <w:r w:rsidRPr="072C1B6A">
        <w:rPr>
          <w:rFonts w:ascii="Arial" w:eastAsia="Arial" w:hAnsi="Arial" w:cs="Arial"/>
          <w:sz w:val="22"/>
          <w:szCs w:val="22"/>
        </w:rPr>
        <w:t xml:space="preserve"> </w:t>
      </w:r>
      <w:r w:rsidR="00FB4B08">
        <w:rPr>
          <w:rFonts w:ascii="Arial" w:eastAsia="Arial" w:hAnsi="Arial" w:cs="Arial"/>
          <w:sz w:val="22"/>
          <w:szCs w:val="22"/>
        </w:rPr>
        <w:t>t</w:t>
      </w:r>
      <w:r w:rsidRPr="072C1B6A">
        <w:rPr>
          <w:rFonts w:ascii="Arial" w:eastAsia="Arial" w:hAnsi="Arial" w:cs="Arial"/>
          <w:sz w:val="22"/>
          <w:szCs w:val="22"/>
        </w:rPr>
        <w:t xml:space="preserve">he request will be returned with an explanation that the patient does not meet the future criteria. </w:t>
      </w:r>
    </w:p>
    <w:p w14:paraId="2D7BA426" w14:textId="491B4C42" w:rsidR="29DC2B6A" w:rsidRDefault="29DC2B6A" w:rsidP="072C1B6A">
      <w:pPr>
        <w:pStyle w:val="ListParagraph"/>
        <w:numPr>
          <w:ilvl w:val="0"/>
          <w:numId w:val="1"/>
        </w:numPr>
        <w:rPr>
          <w:rFonts w:ascii="Arial" w:eastAsia="Arial" w:hAnsi="Arial" w:cs="Arial"/>
          <w:sz w:val="22"/>
          <w:szCs w:val="22"/>
        </w:rPr>
      </w:pPr>
      <w:r w:rsidRPr="072C1B6A">
        <w:rPr>
          <w:rFonts w:ascii="Arial" w:eastAsia="Arial" w:hAnsi="Arial" w:cs="Arial"/>
          <w:sz w:val="22"/>
          <w:szCs w:val="22"/>
        </w:rPr>
        <w:t xml:space="preserve">If providers are seeking prior authorization under the current HSN formulary, providers may submit the request using the appropriate MassHealth/HSN PA form for review under the current MassHealth/HSN PA criteria. </w:t>
      </w:r>
    </w:p>
    <w:p w14:paraId="784C997C" w14:textId="7E93B621" w:rsidR="29DC2B6A" w:rsidRDefault="29DC2B6A" w:rsidP="072C1B6A">
      <w:pPr>
        <w:spacing w:line="276" w:lineRule="auto"/>
      </w:pPr>
      <w:r w:rsidRPr="072C1B6A">
        <w:rPr>
          <w:sz w:val="24"/>
          <w:szCs w:val="24"/>
        </w:rPr>
        <w:t xml:space="preserve"> </w:t>
      </w:r>
    </w:p>
    <w:p w14:paraId="76650BD6" w14:textId="7B696EEC" w:rsidR="29DC2B6A" w:rsidRDefault="29DC2B6A" w:rsidP="072C1B6A">
      <w:pPr>
        <w:spacing w:line="276" w:lineRule="auto"/>
      </w:pPr>
      <w:r w:rsidRPr="072C1B6A">
        <w:rPr>
          <w:rFonts w:ascii="Arial" w:eastAsia="Arial" w:hAnsi="Arial" w:cs="Arial"/>
          <w:color w:val="000000" w:themeColor="text1"/>
          <w:sz w:val="22"/>
          <w:szCs w:val="22"/>
        </w:rPr>
        <w:t xml:space="preserve">Prescribers who have questions regarding a HSN PA may contact the Drug Utilization Review Program at (800) 745-7318. </w:t>
      </w:r>
    </w:p>
    <w:p w14:paraId="18F54B46" w14:textId="3F791382" w:rsidR="072C1B6A" w:rsidRDefault="072C1B6A"/>
    <w:p w14:paraId="674F52EC" w14:textId="76D29422" w:rsidR="29DC2B6A" w:rsidRDefault="29DC2B6A" w:rsidP="072C1B6A">
      <w:pPr>
        <w:spacing w:line="276" w:lineRule="auto"/>
      </w:pPr>
      <w:r w:rsidRPr="072C1B6A">
        <w:rPr>
          <w:rFonts w:ascii="Arial" w:eastAsia="Arial" w:hAnsi="Arial" w:cs="Arial"/>
          <w:color w:val="000000" w:themeColor="text1"/>
        </w:rPr>
        <w:t xml:space="preserve"> </w:t>
      </w:r>
    </w:p>
    <w:p w14:paraId="2A4213BE" w14:textId="683F6EE4" w:rsidR="29DC2B6A" w:rsidRDefault="29DC2B6A" w:rsidP="072C1B6A">
      <w:pPr>
        <w:spacing w:line="276" w:lineRule="auto"/>
      </w:pPr>
      <w:r w:rsidRPr="072C1B6A">
        <w:rPr>
          <w:rFonts w:ascii="Arial" w:eastAsia="Arial" w:hAnsi="Arial" w:cs="Arial"/>
          <w:color w:val="000000" w:themeColor="text1"/>
        </w:rPr>
        <w:t xml:space="preserve"> </w:t>
      </w:r>
    </w:p>
    <w:p w14:paraId="377AB99E" w14:textId="723CE5B1" w:rsidR="29DC2B6A" w:rsidRDefault="29DC2B6A" w:rsidP="072C1B6A">
      <w:pPr>
        <w:spacing w:line="276" w:lineRule="auto"/>
      </w:pPr>
      <w:r w:rsidRPr="072C1B6A">
        <w:rPr>
          <w:rFonts w:ascii="Arial" w:eastAsia="Arial" w:hAnsi="Arial" w:cs="Arial"/>
          <w:color w:val="000000" w:themeColor="text1"/>
        </w:rPr>
        <w:t xml:space="preserve"> </w:t>
      </w:r>
    </w:p>
    <w:p w14:paraId="50CDA851" w14:textId="6AD7F4AA" w:rsidR="072C1B6A" w:rsidRDefault="072C1B6A" w:rsidP="072C1B6A"/>
    <w:p w14:paraId="23A57829" w14:textId="757673C9" w:rsidR="072C1B6A" w:rsidRDefault="072C1B6A" w:rsidP="072C1B6A">
      <w:pPr>
        <w:rPr>
          <w:rFonts w:ascii="Arial" w:eastAsia="Arial" w:hAnsi="Arial" w:cs="Arial"/>
          <w:color w:val="000000" w:themeColor="text1"/>
          <w:sz w:val="22"/>
          <w:szCs w:val="22"/>
        </w:rPr>
      </w:pPr>
    </w:p>
    <w:p w14:paraId="7B099E8F" w14:textId="2C812956" w:rsidR="00AE483E" w:rsidRDefault="006558AB" w:rsidP="00B4765F">
      <w:pPr>
        <w:spacing w:before="3240"/>
        <w:jc w:val="center"/>
        <w:rPr>
          <w:rFonts w:ascii="Arial" w:hAnsi="Arial" w:cs="Arial"/>
        </w:rPr>
      </w:pPr>
      <w:r w:rsidRPr="528C05F2">
        <w:rPr>
          <w:rFonts w:ascii="Arial" w:hAnsi="Arial" w:cs="Arial"/>
        </w:rPr>
        <w:t>The Prescriber e-Letter is an update designed to enhance the transparency and efficiency of the MassHealth</w:t>
      </w:r>
      <w:r w:rsidR="0004685E" w:rsidRPr="528C05F2">
        <w:rPr>
          <w:rFonts w:ascii="Arial" w:hAnsi="Arial" w:cs="Arial"/>
        </w:rPr>
        <w:t xml:space="preserve"> </w:t>
      </w:r>
      <w:r w:rsidRPr="528C05F2">
        <w:rPr>
          <w:rFonts w:ascii="Arial" w:hAnsi="Arial" w:cs="Arial"/>
        </w:rPr>
        <w:t>drug prior-authorization (PA) process and the MassHealth Drug List. Each issue highlights key clinical</w:t>
      </w:r>
      <w:r w:rsidR="0004685E" w:rsidRPr="528C05F2">
        <w:rPr>
          <w:rFonts w:ascii="Arial" w:hAnsi="Arial" w:cs="Arial"/>
        </w:rPr>
        <w:t xml:space="preserve"> </w:t>
      </w:r>
      <w:r w:rsidRPr="528C05F2">
        <w:rPr>
          <w:rFonts w:ascii="Arial" w:hAnsi="Arial" w:cs="Arial"/>
        </w:rPr>
        <w:t>information and updates to the MassHealth Drug List. The Prescriber E-Letter was prepared by the</w:t>
      </w:r>
      <w:r w:rsidR="0004685E" w:rsidRPr="528C05F2">
        <w:rPr>
          <w:rFonts w:ascii="Arial" w:hAnsi="Arial" w:cs="Arial"/>
        </w:rPr>
        <w:t xml:space="preserve"> </w:t>
      </w:r>
      <w:r w:rsidRPr="528C05F2">
        <w:rPr>
          <w:rFonts w:ascii="Arial" w:hAnsi="Arial" w:cs="Arial"/>
        </w:rPr>
        <w:t>MassHealth Drug Utilization Review Program</w:t>
      </w:r>
      <w:r w:rsidR="4A3E229A" w:rsidRPr="528C05F2">
        <w:rPr>
          <w:rFonts w:ascii="Arial" w:hAnsi="Arial" w:cs="Arial"/>
        </w:rPr>
        <w:t xml:space="preserve">, </w:t>
      </w:r>
      <w:r w:rsidRPr="528C05F2">
        <w:rPr>
          <w:rFonts w:ascii="Arial" w:hAnsi="Arial" w:cs="Arial"/>
        </w:rPr>
        <w:t>the MassHealth Pharmacy Program</w:t>
      </w:r>
      <w:r w:rsidR="6ACCEF35" w:rsidRPr="528C05F2">
        <w:rPr>
          <w:rFonts w:ascii="Arial" w:hAnsi="Arial" w:cs="Arial"/>
        </w:rPr>
        <w:t>.</w:t>
      </w:r>
    </w:p>
    <w:p w14:paraId="3D122A8E" w14:textId="77777777" w:rsidR="005D1137" w:rsidRDefault="005D1137" w:rsidP="00F808EC">
      <w:pPr>
        <w:jc w:val="center"/>
        <w:rPr>
          <w:rFonts w:ascii="Arial" w:hAnsi="Arial" w:cs="Arial"/>
        </w:rPr>
      </w:pPr>
    </w:p>
    <w:p w14:paraId="198A7F0E" w14:textId="77777777" w:rsidR="005D1137" w:rsidRDefault="005D1137" w:rsidP="00F808EC">
      <w:pPr>
        <w:jc w:val="center"/>
        <w:rPr>
          <w:rFonts w:ascii="Arial" w:hAnsi="Arial" w:cs="Arial"/>
        </w:rPr>
      </w:pPr>
    </w:p>
    <w:p w14:paraId="5F7B3412" w14:textId="096B7984" w:rsidR="0095197C" w:rsidRDefault="0095197C" w:rsidP="00725EDC">
      <w:pPr>
        <w:spacing w:before="3840" w:line="276" w:lineRule="auto"/>
        <w:jc w:val="center"/>
        <w:rPr>
          <w:rFonts w:ascii="Arial" w:hAnsi="Arial" w:cs="Arial"/>
        </w:rPr>
      </w:pPr>
      <w:r>
        <w:rPr>
          <w:rFonts w:ascii="Arial" w:hAnsi="Arial" w:cs="Arial"/>
        </w:rPr>
        <w:t>___________________________________________________________________________________________</w:t>
      </w:r>
    </w:p>
    <w:p w14:paraId="148983B6" w14:textId="77777777" w:rsidR="0095197C" w:rsidRPr="002C4ECF" w:rsidRDefault="0095197C" w:rsidP="0095197C">
      <w:pPr>
        <w:tabs>
          <w:tab w:val="left" w:pos="4650"/>
        </w:tabs>
        <w:jc w:val="center"/>
        <w:rPr>
          <w:rFonts w:ascii="Arial" w:hAnsi="Arial" w:cs="Arial"/>
        </w:rPr>
      </w:pPr>
      <w:r>
        <w:rPr>
          <w:lang w:val="en"/>
        </w:rPr>
        <w:t xml:space="preserve">Please send any </w:t>
      </w:r>
      <w:r>
        <w:rPr>
          <w:b/>
          <w:bCs/>
          <w:lang w:val="en"/>
        </w:rPr>
        <w:t xml:space="preserve">suggestions </w:t>
      </w:r>
      <w:r>
        <w:rPr>
          <w:lang w:val="en"/>
        </w:rPr>
        <w:t xml:space="preserve">or </w:t>
      </w:r>
      <w:r>
        <w:rPr>
          <w:b/>
          <w:bCs/>
          <w:lang w:val="en"/>
        </w:rPr>
        <w:t xml:space="preserve">comments </w:t>
      </w:r>
      <w:r>
        <w:rPr>
          <w:lang w:val="en"/>
        </w:rPr>
        <w:t xml:space="preserve">to </w:t>
      </w:r>
      <w:hyperlink r:id="rId19" w:history="1">
        <w:r w:rsidRPr="003B17DC">
          <w:rPr>
            <w:rStyle w:val="Hyperlink"/>
            <w:lang w:val="en"/>
          </w:rPr>
          <w:t>prescribereletter@massmail.state.ma.us</w:t>
        </w:r>
      </w:hyperlink>
    </w:p>
    <w:p w14:paraId="197DA978" w14:textId="77777777" w:rsidR="005D1137" w:rsidRDefault="005D1137" w:rsidP="00F808EC">
      <w:pPr>
        <w:jc w:val="center"/>
        <w:rPr>
          <w:rFonts w:ascii="Arial" w:hAnsi="Arial" w:cs="Arial"/>
        </w:rPr>
      </w:pPr>
    </w:p>
    <w:sectPr w:rsidR="005D1137" w:rsidSect="0076283C">
      <w:headerReference w:type="default" r:id="rId20"/>
      <w:footerReference w:type="even" r:id="rId21"/>
      <w:footerReference w:type="default" r:id="rId22"/>
      <w:type w:val="continuous"/>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AFE8" w14:textId="77777777" w:rsidR="008C0789" w:rsidRDefault="008C0789">
      <w:r>
        <w:separator/>
      </w:r>
    </w:p>
  </w:endnote>
  <w:endnote w:type="continuationSeparator" w:id="0">
    <w:p w14:paraId="545F94BF" w14:textId="77777777" w:rsidR="008C0789" w:rsidRDefault="008C0789">
      <w:r>
        <w:continuationSeparator/>
      </w:r>
    </w:p>
  </w:endnote>
  <w:endnote w:type="continuationNotice" w:id="1">
    <w:p w14:paraId="5C26AED8" w14:textId="77777777" w:rsidR="008C0789" w:rsidRDefault="008C0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2FEB" w14:textId="77777777" w:rsidR="008C0789" w:rsidRDefault="008C0789">
      <w:r>
        <w:separator/>
      </w:r>
    </w:p>
  </w:footnote>
  <w:footnote w:type="continuationSeparator" w:id="0">
    <w:p w14:paraId="085A3B5F" w14:textId="77777777" w:rsidR="008C0789" w:rsidRDefault="008C0789">
      <w:r>
        <w:continuationSeparator/>
      </w:r>
    </w:p>
  </w:footnote>
  <w:footnote w:type="continuationNotice" w:id="1">
    <w:p w14:paraId="2247BF54" w14:textId="77777777" w:rsidR="008C0789" w:rsidRDefault="008C0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521B" w14:textId="3AEEC19B" w:rsidR="00556960" w:rsidRPr="0046520A" w:rsidRDefault="00556960" w:rsidP="00556960">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 xml:space="preserve">Volume </w:t>
    </w:r>
    <w:r w:rsidR="00D61FB0">
      <w:rPr>
        <w:rFonts w:ascii="Trebuchet MS" w:hAnsi="Trebuchet MS"/>
        <w:b/>
        <w:sz w:val="18"/>
        <w:szCs w:val="18"/>
        <w:lang w:val="en"/>
      </w:rPr>
      <w:t>15</w:t>
    </w:r>
    <w:r w:rsidRPr="008967CE">
      <w:rPr>
        <w:rFonts w:ascii="Trebuchet MS" w:hAnsi="Trebuchet MS"/>
        <w:b/>
        <w:sz w:val="18"/>
        <w:szCs w:val="18"/>
        <w:lang w:val="en"/>
      </w:rPr>
      <w:t xml:space="preserve">, Issue </w:t>
    </w:r>
    <w:r w:rsidR="0095197C">
      <w:rPr>
        <w:rFonts w:ascii="Trebuchet MS" w:hAnsi="Trebuchet MS"/>
        <w:b/>
        <w:sz w:val="18"/>
        <w:szCs w:val="18"/>
        <w:lang w:val="en"/>
      </w:rPr>
      <w:t>23</w:t>
    </w:r>
    <w:r>
      <w:rPr>
        <w:rFonts w:ascii="Trebuchet MS" w:hAnsi="Trebuchet MS"/>
        <w:b/>
        <w:sz w:val="18"/>
        <w:szCs w:val="18"/>
        <w:lang w:val="en"/>
      </w:rPr>
      <w:t xml:space="preserve">, </w:t>
    </w:r>
    <w:r w:rsidR="0095197C">
      <w:rPr>
        <w:rFonts w:ascii="Trebuchet MS" w:hAnsi="Trebuchet MS"/>
        <w:b/>
        <w:sz w:val="18"/>
        <w:szCs w:val="18"/>
        <w:lang w:val="en"/>
      </w:rPr>
      <w:t>December</w:t>
    </w:r>
    <w:r w:rsidR="00D61FB0">
      <w:rPr>
        <w:rFonts w:ascii="Trebuchet MS" w:hAnsi="Trebuchet MS"/>
        <w:b/>
        <w:sz w:val="18"/>
        <w:szCs w:val="18"/>
        <w:lang w:val="en"/>
      </w:rPr>
      <w:t xml:space="preserve"> 2025</w:t>
    </w:r>
  </w:p>
  <w:p w14:paraId="099E7E15" w14:textId="77777777" w:rsidR="00F56604" w:rsidRPr="00F56604" w:rsidRDefault="00F56604" w:rsidP="00F5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090F"/>
    <w:multiLevelType w:val="hybridMultilevel"/>
    <w:tmpl w:val="20DE3714"/>
    <w:lvl w:ilvl="0" w:tplc="5A20FDB4">
      <w:start w:val="1"/>
      <w:numFmt w:val="bullet"/>
      <w:lvlText w:val="·"/>
      <w:lvlJc w:val="left"/>
      <w:pPr>
        <w:ind w:left="720" w:hanging="360"/>
      </w:pPr>
      <w:rPr>
        <w:rFonts w:ascii="Symbol" w:hAnsi="Symbol" w:hint="default"/>
      </w:rPr>
    </w:lvl>
    <w:lvl w:ilvl="1" w:tplc="A89C0BCC">
      <w:start w:val="1"/>
      <w:numFmt w:val="bullet"/>
      <w:lvlText w:val="o"/>
      <w:lvlJc w:val="left"/>
      <w:pPr>
        <w:ind w:left="1440" w:hanging="360"/>
      </w:pPr>
      <w:rPr>
        <w:rFonts w:ascii="Courier New" w:hAnsi="Courier New" w:hint="default"/>
      </w:rPr>
    </w:lvl>
    <w:lvl w:ilvl="2" w:tplc="08702A5E">
      <w:start w:val="1"/>
      <w:numFmt w:val="bullet"/>
      <w:lvlText w:val=""/>
      <w:lvlJc w:val="left"/>
      <w:pPr>
        <w:ind w:left="2160" w:hanging="360"/>
      </w:pPr>
      <w:rPr>
        <w:rFonts w:ascii="Wingdings" w:hAnsi="Wingdings" w:hint="default"/>
      </w:rPr>
    </w:lvl>
    <w:lvl w:ilvl="3" w:tplc="AB9CF66E">
      <w:start w:val="1"/>
      <w:numFmt w:val="bullet"/>
      <w:lvlText w:val=""/>
      <w:lvlJc w:val="left"/>
      <w:pPr>
        <w:ind w:left="2880" w:hanging="360"/>
      </w:pPr>
      <w:rPr>
        <w:rFonts w:ascii="Symbol" w:hAnsi="Symbol" w:hint="default"/>
      </w:rPr>
    </w:lvl>
    <w:lvl w:ilvl="4" w:tplc="6F6A9BFC">
      <w:start w:val="1"/>
      <w:numFmt w:val="bullet"/>
      <w:lvlText w:val="o"/>
      <w:lvlJc w:val="left"/>
      <w:pPr>
        <w:ind w:left="3600" w:hanging="360"/>
      </w:pPr>
      <w:rPr>
        <w:rFonts w:ascii="Courier New" w:hAnsi="Courier New" w:hint="default"/>
      </w:rPr>
    </w:lvl>
    <w:lvl w:ilvl="5" w:tplc="8BF47E30">
      <w:start w:val="1"/>
      <w:numFmt w:val="bullet"/>
      <w:lvlText w:val=""/>
      <w:lvlJc w:val="left"/>
      <w:pPr>
        <w:ind w:left="4320" w:hanging="360"/>
      </w:pPr>
      <w:rPr>
        <w:rFonts w:ascii="Wingdings" w:hAnsi="Wingdings" w:hint="default"/>
      </w:rPr>
    </w:lvl>
    <w:lvl w:ilvl="6" w:tplc="554E1FD2">
      <w:start w:val="1"/>
      <w:numFmt w:val="bullet"/>
      <w:lvlText w:val=""/>
      <w:lvlJc w:val="left"/>
      <w:pPr>
        <w:ind w:left="5040" w:hanging="360"/>
      </w:pPr>
      <w:rPr>
        <w:rFonts w:ascii="Symbol" w:hAnsi="Symbol" w:hint="default"/>
      </w:rPr>
    </w:lvl>
    <w:lvl w:ilvl="7" w:tplc="25D258CC">
      <w:start w:val="1"/>
      <w:numFmt w:val="bullet"/>
      <w:lvlText w:val="o"/>
      <w:lvlJc w:val="left"/>
      <w:pPr>
        <w:ind w:left="5760" w:hanging="360"/>
      </w:pPr>
      <w:rPr>
        <w:rFonts w:ascii="Courier New" w:hAnsi="Courier New" w:hint="default"/>
      </w:rPr>
    </w:lvl>
    <w:lvl w:ilvl="8" w:tplc="23503868">
      <w:start w:val="1"/>
      <w:numFmt w:val="bullet"/>
      <w:lvlText w:val=""/>
      <w:lvlJc w:val="left"/>
      <w:pPr>
        <w:ind w:left="6480" w:hanging="360"/>
      </w:pPr>
      <w:rPr>
        <w:rFonts w:ascii="Wingdings" w:hAnsi="Wingdings" w:hint="default"/>
      </w:rPr>
    </w:lvl>
  </w:abstractNum>
  <w:abstractNum w:abstractNumId="2" w15:restartNumberingAfterBreak="0">
    <w:nsid w:val="1DE10333"/>
    <w:multiLevelType w:val="hybridMultilevel"/>
    <w:tmpl w:val="259C2C76"/>
    <w:lvl w:ilvl="0" w:tplc="FB4AD208">
      <w:start w:val="1"/>
      <w:numFmt w:val="bullet"/>
      <w:lvlText w:val="·"/>
      <w:lvlJc w:val="left"/>
      <w:pPr>
        <w:ind w:left="720" w:hanging="360"/>
      </w:pPr>
      <w:rPr>
        <w:rFonts w:ascii="Symbol" w:hAnsi="Symbol" w:hint="default"/>
      </w:rPr>
    </w:lvl>
    <w:lvl w:ilvl="1" w:tplc="16A87E9E">
      <w:start w:val="1"/>
      <w:numFmt w:val="bullet"/>
      <w:lvlText w:val="o"/>
      <w:lvlJc w:val="left"/>
      <w:pPr>
        <w:ind w:left="1440" w:hanging="360"/>
      </w:pPr>
      <w:rPr>
        <w:rFonts w:ascii="Symbol" w:hAnsi="Symbol" w:hint="default"/>
      </w:rPr>
    </w:lvl>
    <w:lvl w:ilvl="2" w:tplc="ECF2C130">
      <w:start w:val="1"/>
      <w:numFmt w:val="bullet"/>
      <w:lvlText w:val=""/>
      <w:lvlJc w:val="left"/>
      <w:pPr>
        <w:ind w:left="2160" w:hanging="360"/>
      </w:pPr>
      <w:rPr>
        <w:rFonts w:ascii="Wingdings" w:hAnsi="Wingdings" w:hint="default"/>
      </w:rPr>
    </w:lvl>
    <w:lvl w:ilvl="3" w:tplc="0812DC06">
      <w:start w:val="1"/>
      <w:numFmt w:val="bullet"/>
      <w:lvlText w:val=""/>
      <w:lvlJc w:val="left"/>
      <w:pPr>
        <w:ind w:left="2880" w:hanging="360"/>
      </w:pPr>
      <w:rPr>
        <w:rFonts w:ascii="Symbol" w:hAnsi="Symbol" w:hint="default"/>
      </w:rPr>
    </w:lvl>
    <w:lvl w:ilvl="4" w:tplc="54F6F66A">
      <w:start w:val="1"/>
      <w:numFmt w:val="bullet"/>
      <w:lvlText w:val="o"/>
      <w:lvlJc w:val="left"/>
      <w:pPr>
        <w:ind w:left="3600" w:hanging="360"/>
      </w:pPr>
      <w:rPr>
        <w:rFonts w:ascii="Courier New" w:hAnsi="Courier New" w:hint="default"/>
      </w:rPr>
    </w:lvl>
    <w:lvl w:ilvl="5" w:tplc="C9B4A574">
      <w:start w:val="1"/>
      <w:numFmt w:val="bullet"/>
      <w:lvlText w:val=""/>
      <w:lvlJc w:val="left"/>
      <w:pPr>
        <w:ind w:left="4320" w:hanging="360"/>
      </w:pPr>
      <w:rPr>
        <w:rFonts w:ascii="Wingdings" w:hAnsi="Wingdings" w:hint="default"/>
      </w:rPr>
    </w:lvl>
    <w:lvl w:ilvl="6" w:tplc="C394B83C">
      <w:start w:val="1"/>
      <w:numFmt w:val="bullet"/>
      <w:lvlText w:val=""/>
      <w:lvlJc w:val="left"/>
      <w:pPr>
        <w:ind w:left="5040" w:hanging="360"/>
      </w:pPr>
      <w:rPr>
        <w:rFonts w:ascii="Symbol" w:hAnsi="Symbol" w:hint="default"/>
      </w:rPr>
    </w:lvl>
    <w:lvl w:ilvl="7" w:tplc="51C0C854">
      <w:start w:val="1"/>
      <w:numFmt w:val="bullet"/>
      <w:lvlText w:val="o"/>
      <w:lvlJc w:val="left"/>
      <w:pPr>
        <w:ind w:left="5760" w:hanging="360"/>
      </w:pPr>
      <w:rPr>
        <w:rFonts w:ascii="Courier New" w:hAnsi="Courier New" w:hint="default"/>
      </w:rPr>
    </w:lvl>
    <w:lvl w:ilvl="8" w:tplc="D1E4A44A">
      <w:start w:val="1"/>
      <w:numFmt w:val="bullet"/>
      <w:lvlText w:val=""/>
      <w:lvlJc w:val="left"/>
      <w:pPr>
        <w:ind w:left="6480" w:hanging="360"/>
      </w:pPr>
      <w:rPr>
        <w:rFonts w:ascii="Wingdings" w:hAnsi="Wingdings" w:hint="default"/>
      </w:rPr>
    </w:lvl>
  </w:abstractNum>
  <w:abstractNum w:abstractNumId="3" w15:restartNumberingAfterBreak="0">
    <w:nsid w:val="4B3BFF9A"/>
    <w:multiLevelType w:val="hybridMultilevel"/>
    <w:tmpl w:val="83223D12"/>
    <w:lvl w:ilvl="0" w:tplc="4176CEA6">
      <w:start w:val="1"/>
      <w:numFmt w:val="bullet"/>
      <w:lvlText w:val="·"/>
      <w:lvlJc w:val="left"/>
      <w:pPr>
        <w:ind w:left="720" w:hanging="360"/>
      </w:pPr>
      <w:rPr>
        <w:rFonts w:ascii="Symbol" w:hAnsi="Symbol" w:hint="default"/>
      </w:rPr>
    </w:lvl>
    <w:lvl w:ilvl="1" w:tplc="481E35A8">
      <w:start w:val="1"/>
      <w:numFmt w:val="bullet"/>
      <w:lvlText w:val="o"/>
      <w:lvlJc w:val="left"/>
      <w:pPr>
        <w:ind w:left="1440" w:hanging="360"/>
      </w:pPr>
      <w:rPr>
        <w:rFonts w:ascii="Courier New" w:hAnsi="Courier New" w:hint="default"/>
      </w:rPr>
    </w:lvl>
    <w:lvl w:ilvl="2" w:tplc="F37C70BA">
      <w:start w:val="1"/>
      <w:numFmt w:val="bullet"/>
      <w:lvlText w:val=""/>
      <w:lvlJc w:val="left"/>
      <w:pPr>
        <w:ind w:left="2160" w:hanging="360"/>
      </w:pPr>
      <w:rPr>
        <w:rFonts w:ascii="Wingdings" w:hAnsi="Wingdings" w:hint="default"/>
      </w:rPr>
    </w:lvl>
    <w:lvl w:ilvl="3" w:tplc="1FE02BD2">
      <w:start w:val="1"/>
      <w:numFmt w:val="bullet"/>
      <w:lvlText w:val=""/>
      <w:lvlJc w:val="left"/>
      <w:pPr>
        <w:ind w:left="2880" w:hanging="360"/>
      </w:pPr>
      <w:rPr>
        <w:rFonts w:ascii="Symbol" w:hAnsi="Symbol" w:hint="default"/>
      </w:rPr>
    </w:lvl>
    <w:lvl w:ilvl="4" w:tplc="8886E18A">
      <w:start w:val="1"/>
      <w:numFmt w:val="bullet"/>
      <w:lvlText w:val="o"/>
      <w:lvlJc w:val="left"/>
      <w:pPr>
        <w:ind w:left="3600" w:hanging="360"/>
      </w:pPr>
      <w:rPr>
        <w:rFonts w:ascii="Courier New" w:hAnsi="Courier New" w:hint="default"/>
      </w:rPr>
    </w:lvl>
    <w:lvl w:ilvl="5" w:tplc="147E8712">
      <w:start w:val="1"/>
      <w:numFmt w:val="bullet"/>
      <w:lvlText w:val=""/>
      <w:lvlJc w:val="left"/>
      <w:pPr>
        <w:ind w:left="4320" w:hanging="360"/>
      </w:pPr>
      <w:rPr>
        <w:rFonts w:ascii="Wingdings" w:hAnsi="Wingdings" w:hint="default"/>
      </w:rPr>
    </w:lvl>
    <w:lvl w:ilvl="6" w:tplc="2FAC34BC">
      <w:start w:val="1"/>
      <w:numFmt w:val="bullet"/>
      <w:lvlText w:val=""/>
      <w:lvlJc w:val="left"/>
      <w:pPr>
        <w:ind w:left="5040" w:hanging="360"/>
      </w:pPr>
      <w:rPr>
        <w:rFonts w:ascii="Symbol" w:hAnsi="Symbol" w:hint="default"/>
      </w:rPr>
    </w:lvl>
    <w:lvl w:ilvl="7" w:tplc="9B18988C">
      <w:start w:val="1"/>
      <w:numFmt w:val="bullet"/>
      <w:lvlText w:val="o"/>
      <w:lvlJc w:val="left"/>
      <w:pPr>
        <w:ind w:left="5760" w:hanging="360"/>
      </w:pPr>
      <w:rPr>
        <w:rFonts w:ascii="Courier New" w:hAnsi="Courier New" w:hint="default"/>
      </w:rPr>
    </w:lvl>
    <w:lvl w:ilvl="8" w:tplc="B2BEA91C">
      <w:start w:val="1"/>
      <w:numFmt w:val="bullet"/>
      <w:lvlText w:val=""/>
      <w:lvlJc w:val="left"/>
      <w:pPr>
        <w:ind w:left="6480" w:hanging="360"/>
      </w:pPr>
      <w:rPr>
        <w:rFonts w:ascii="Wingdings" w:hAnsi="Wingdings" w:hint="default"/>
      </w:rPr>
    </w:lvl>
  </w:abstractNum>
  <w:abstractNum w:abstractNumId="4" w15:restartNumberingAfterBreak="0">
    <w:nsid w:val="62B38EA0"/>
    <w:multiLevelType w:val="hybridMultilevel"/>
    <w:tmpl w:val="90548DC6"/>
    <w:lvl w:ilvl="0" w:tplc="7ECE328E">
      <w:start w:val="1"/>
      <w:numFmt w:val="bullet"/>
      <w:lvlText w:val="·"/>
      <w:lvlJc w:val="left"/>
      <w:pPr>
        <w:ind w:left="720" w:hanging="360"/>
      </w:pPr>
      <w:rPr>
        <w:rFonts w:ascii="Symbol" w:hAnsi="Symbol" w:hint="default"/>
      </w:rPr>
    </w:lvl>
    <w:lvl w:ilvl="1" w:tplc="B776B402">
      <w:start w:val="1"/>
      <w:numFmt w:val="bullet"/>
      <w:lvlText w:val="o"/>
      <w:lvlJc w:val="left"/>
      <w:pPr>
        <w:ind w:left="1440" w:hanging="360"/>
      </w:pPr>
      <w:rPr>
        <w:rFonts w:ascii="Courier New" w:hAnsi="Courier New" w:hint="default"/>
      </w:rPr>
    </w:lvl>
    <w:lvl w:ilvl="2" w:tplc="2EC49EC2">
      <w:start w:val="1"/>
      <w:numFmt w:val="bullet"/>
      <w:lvlText w:val=""/>
      <w:lvlJc w:val="left"/>
      <w:pPr>
        <w:ind w:left="2160" w:hanging="360"/>
      </w:pPr>
      <w:rPr>
        <w:rFonts w:ascii="Wingdings" w:hAnsi="Wingdings" w:hint="default"/>
      </w:rPr>
    </w:lvl>
    <w:lvl w:ilvl="3" w:tplc="233C0082">
      <w:start w:val="1"/>
      <w:numFmt w:val="bullet"/>
      <w:lvlText w:val=""/>
      <w:lvlJc w:val="left"/>
      <w:pPr>
        <w:ind w:left="2880" w:hanging="360"/>
      </w:pPr>
      <w:rPr>
        <w:rFonts w:ascii="Symbol" w:hAnsi="Symbol" w:hint="default"/>
      </w:rPr>
    </w:lvl>
    <w:lvl w:ilvl="4" w:tplc="B648931E">
      <w:start w:val="1"/>
      <w:numFmt w:val="bullet"/>
      <w:lvlText w:val="o"/>
      <w:lvlJc w:val="left"/>
      <w:pPr>
        <w:ind w:left="3600" w:hanging="360"/>
      </w:pPr>
      <w:rPr>
        <w:rFonts w:ascii="Courier New" w:hAnsi="Courier New" w:hint="default"/>
      </w:rPr>
    </w:lvl>
    <w:lvl w:ilvl="5" w:tplc="651C3CAC">
      <w:start w:val="1"/>
      <w:numFmt w:val="bullet"/>
      <w:lvlText w:val=""/>
      <w:lvlJc w:val="left"/>
      <w:pPr>
        <w:ind w:left="4320" w:hanging="360"/>
      </w:pPr>
      <w:rPr>
        <w:rFonts w:ascii="Wingdings" w:hAnsi="Wingdings" w:hint="default"/>
      </w:rPr>
    </w:lvl>
    <w:lvl w:ilvl="6" w:tplc="11A64BCE">
      <w:start w:val="1"/>
      <w:numFmt w:val="bullet"/>
      <w:lvlText w:val=""/>
      <w:lvlJc w:val="left"/>
      <w:pPr>
        <w:ind w:left="5040" w:hanging="360"/>
      </w:pPr>
      <w:rPr>
        <w:rFonts w:ascii="Symbol" w:hAnsi="Symbol" w:hint="default"/>
      </w:rPr>
    </w:lvl>
    <w:lvl w:ilvl="7" w:tplc="8700AC0C">
      <w:start w:val="1"/>
      <w:numFmt w:val="bullet"/>
      <w:lvlText w:val="o"/>
      <w:lvlJc w:val="left"/>
      <w:pPr>
        <w:ind w:left="5760" w:hanging="360"/>
      </w:pPr>
      <w:rPr>
        <w:rFonts w:ascii="Courier New" w:hAnsi="Courier New" w:hint="default"/>
      </w:rPr>
    </w:lvl>
    <w:lvl w:ilvl="8" w:tplc="F95280D4">
      <w:start w:val="1"/>
      <w:numFmt w:val="bullet"/>
      <w:lvlText w:val=""/>
      <w:lvlJc w:val="left"/>
      <w:pPr>
        <w:ind w:left="6480" w:hanging="360"/>
      </w:pPr>
      <w:rPr>
        <w:rFonts w:ascii="Wingdings" w:hAnsi="Wingdings" w:hint="default"/>
      </w:rPr>
    </w:lvl>
  </w:abstractNum>
  <w:abstractNum w:abstractNumId="5" w15:restartNumberingAfterBreak="0">
    <w:nsid w:val="6C65EA90"/>
    <w:multiLevelType w:val="hybridMultilevel"/>
    <w:tmpl w:val="76F03824"/>
    <w:lvl w:ilvl="0" w:tplc="4C829376">
      <w:start w:val="1"/>
      <w:numFmt w:val="bullet"/>
      <w:lvlText w:val="·"/>
      <w:lvlJc w:val="left"/>
      <w:pPr>
        <w:ind w:left="720" w:hanging="360"/>
      </w:pPr>
      <w:rPr>
        <w:rFonts w:ascii="Symbol" w:hAnsi="Symbol" w:hint="default"/>
      </w:rPr>
    </w:lvl>
    <w:lvl w:ilvl="1" w:tplc="8F74CB46">
      <w:start w:val="1"/>
      <w:numFmt w:val="bullet"/>
      <w:lvlText w:val="o"/>
      <w:lvlJc w:val="left"/>
      <w:pPr>
        <w:ind w:left="1440" w:hanging="360"/>
      </w:pPr>
      <w:rPr>
        <w:rFonts w:ascii="Courier New" w:hAnsi="Courier New" w:hint="default"/>
      </w:rPr>
    </w:lvl>
    <w:lvl w:ilvl="2" w:tplc="F118BC54">
      <w:start w:val="1"/>
      <w:numFmt w:val="bullet"/>
      <w:lvlText w:val=""/>
      <w:lvlJc w:val="left"/>
      <w:pPr>
        <w:ind w:left="2160" w:hanging="360"/>
      </w:pPr>
      <w:rPr>
        <w:rFonts w:ascii="Wingdings" w:hAnsi="Wingdings" w:hint="default"/>
      </w:rPr>
    </w:lvl>
    <w:lvl w:ilvl="3" w:tplc="9A786E40">
      <w:start w:val="1"/>
      <w:numFmt w:val="bullet"/>
      <w:lvlText w:val=""/>
      <w:lvlJc w:val="left"/>
      <w:pPr>
        <w:ind w:left="2880" w:hanging="360"/>
      </w:pPr>
      <w:rPr>
        <w:rFonts w:ascii="Symbol" w:hAnsi="Symbol" w:hint="default"/>
      </w:rPr>
    </w:lvl>
    <w:lvl w:ilvl="4" w:tplc="1CEAC3A2">
      <w:start w:val="1"/>
      <w:numFmt w:val="bullet"/>
      <w:lvlText w:val="o"/>
      <w:lvlJc w:val="left"/>
      <w:pPr>
        <w:ind w:left="3600" w:hanging="360"/>
      </w:pPr>
      <w:rPr>
        <w:rFonts w:ascii="Courier New" w:hAnsi="Courier New" w:hint="default"/>
      </w:rPr>
    </w:lvl>
    <w:lvl w:ilvl="5" w:tplc="D9842B3E">
      <w:start w:val="1"/>
      <w:numFmt w:val="bullet"/>
      <w:lvlText w:val=""/>
      <w:lvlJc w:val="left"/>
      <w:pPr>
        <w:ind w:left="4320" w:hanging="360"/>
      </w:pPr>
      <w:rPr>
        <w:rFonts w:ascii="Wingdings" w:hAnsi="Wingdings" w:hint="default"/>
      </w:rPr>
    </w:lvl>
    <w:lvl w:ilvl="6" w:tplc="46FCA662">
      <w:start w:val="1"/>
      <w:numFmt w:val="bullet"/>
      <w:lvlText w:val=""/>
      <w:lvlJc w:val="left"/>
      <w:pPr>
        <w:ind w:left="5040" w:hanging="360"/>
      </w:pPr>
      <w:rPr>
        <w:rFonts w:ascii="Symbol" w:hAnsi="Symbol" w:hint="default"/>
      </w:rPr>
    </w:lvl>
    <w:lvl w:ilvl="7" w:tplc="B14A1A20">
      <w:start w:val="1"/>
      <w:numFmt w:val="bullet"/>
      <w:lvlText w:val="o"/>
      <w:lvlJc w:val="left"/>
      <w:pPr>
        <w:ind w:left="5760" w:hanging="360"/>
      </w:pPr>
      <w:rPr>
        <w:rFonts w:ascii="Courier New" w:hAnsi="Courier New" w:hint="default"/>
      </w:rPr>
    </w:lvl>
    <w:lvl w:ilvl="8" w:tplc="7BD2AC72">
      <w:start w:val="1"/>
      <w:numFmt w:val="bullet"/>
      <w:lvlText w:val=""/>
      <w:lvlJc w:val="left"/>
      <w:pPr>
        <w:ind w:left="6480" w:hanging="360"/>
      </w:pPr>
      <w:rPr>
        <w:rFonts w:ascii="Wingdings" w:hAnsi="Wingdings" w:hint="default"/>
      </w:rPr>
    </w:lvl>
  </w:abstractNum>
  <w:num w:numId="1" w16cid:durableId="1080324841">
    <w:abstractNumId w:val="1"/>
  </w:num>
  <w:num w:numId="2" w16cid:durableId="727265282">
    <w:abstractNumId w:val="3"/>
  </w:num>
  <w:num w:numId="3" w16cid:durableId="1153058630">
    <w:abstractNumId w:val="4"/>
  </w:num>
  <w:num w:numId="4" w16cid:durableId="825587770">
    <w:abstractNumId w:val="2"/>
  </w:num>
  <w:num w:numId="5" w16cid:durableId="1522158884">
    <w:abstractNumId w:val="5"/>
  </w:num>
  <w:num w:numId="6" w16cid:durableId="6599653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2300"/>
    <w:rsid w:val="00002C5A"/>
    <w:rsid w:val="0000582A"/>
    <w:rsid w:val="0000622F"/>
    <w:rsid w:val="00006A42"/>
    <w:rsid w:val="00011E35"/>
    <w:rsid w:val="0001242D"/>
    <w:rsid w:val="000172B8"/>
    <w:rsid w:val="0001A9F2"/>
    <w:rsid w:val="00022CA5"/>
    <w:rsid w:val="00025049"/>
    <w:rsid w:val="00031635"/>
    <w:rsid w:val="00032571"/>
    <w:rsid w:val="00034CE8"/>
    <w:rsid w:val="00041A1A"/>
    <w:rsid w:val="00041F7C"/>
    <w:rsid w:val="00042FD6"/>
    <w:rsid w:val="0004346A"/>
    <w:rsid w:val="00043912"/>
    <w:rsid w:val="00043DB1"/>
    <w:rsid w:val="00045863"/>
    <w:rsid w:val="0004685E"/>
    <w:rsid w:val="000513E8"/>
    <w:rsid w:val="00051E6C"/>
    <w:rsid w:val="0005230D"/>
    <w:rsid w:val="00055E2A"/>
    <w:rsid w:val="00057562"/>
    <w:rsid w:val="00062FC6"/>
    <w:rsid w:val="00066FFE"/>
    <w:rsid w:val="00070C8D"/>
    <w:rsid w:val="00074014"/>
    <w:rsid w:val="00076469"/>
    <w:rsid w:val="00076A4D"/>
    <w:rsid w:val="00080A76"/>
    <w:rsid w:val="000814C3"/>
    <w:rsid w:val="000838BF"/>
    <w:rsid w:val="00093BBF"/>
    <w:rsid w:val="00094194"/>
    <w:rsid w:val="000A26B3"/>
    <w:rsid w:val="000A35BB"/>
    <w:rsid w:val="000A4222"/>
    <w:rsid w:val="000A6C99"/>
    <w:rsid w:val="000B2E30"/>
    <w:rsid w:val="000B4487"/>
    <w:rsid w:val="000C15E5"/>
    <w:rsid w:val="000C2AEE"/>
    <w:rsid w:val="000D7704"/>
    <w:rsid w:val="000E5134"/>
    <w:rsid w:val="000E515F"/>
    <w:rsid w:val="000F145D"/>
    <w:rsid w:val="000F19D2"/>
    <w:rsid w:val="000F3BCA"/>
    <w:rsid w:val="000F6586"/>
    <w:rsid w:val="001003DC"/>
    <w:rsid w:val="00101872"/>
    <w:rsid w:val="001038B4"/>
    <w:rsid w:val="001049C6"/>
    <w:rsid w:val="00107080"/>
    <w:rsid w:val="00107CA4"/>
    <w:rsid w:val="00111360"/>
    <w:rsid w:val="00112E05"/>
    <w:rsid w:val="00113A33"/>
    <w:rsid w:val="00122201"/>
    <w:rsid w:val="00125EA6"/>
    <w:rsid w:val="00137002"/>
    <w:rsid w:val="00143EFF"/>
    <w:rsid w:val="00146E96"/>
    <w:rsid w:val="00150639"/>
    <w:rsid w:val="00161B6A"/>
    <w:rsid w:val="0016598C"/>
    <w:rsid w:val="00165FB0"/>
    <w:rsid w:val="0017504B"/>
    <w:rsid w:val="00175316"/>
    <w:rsid w:val="00175C12"/>
    <w:rsid w:val="00180CAA"/>
    <w:rsid w:val="00182385"/>
    <w:rsid w:val="0018276D"/>
    <w:rsid w:val="0018680A"/>
    <w:rsid w:val="0019219C"/>
    <w:rsid w:val="001978CB"/>
    <w:rsid w:val="001A4C38"/>
    <w:rsid w:val="001A6565"/>
    <w:rsid w:val="001B2DED"/>
    <w:rsid w:val="001B4E72"/>
    <w:rsid w:val="001B58F6"/>
    <w:rsid w:val="001B712E"/>
    <w:rsid w:val="001C1FAD"/>
    <w:rsid w:val="001C2E84"/>
    <w:rsid w:val="001C4E25"/>
    <w:rsid w:val="001D1993"/>
    <w:rsid w:val="001D2A7B"/>
    <w:rsid w:val="001D5124"/>
    <w:rsid w:val="001D7759"/>
    <w:rsid w:val="001E3620"/>
    <w:rsid w:val="001E762D"/>
    <w:rsid w:val="001E7935"/>
    <w:rsid w:val="00204BD4"/>
    <w:rsid w:val="00205E56"/>
    <w:rsid w:val="0020F349"/>
    <w:rsid w:val="00215133"/>
    <w:rsid w:val="00215FB5"/>
    <w:rsid w:val="002172A7"/>
    <w:rsid w:val="0021775D"/>
    <w:rsid w:val="0022143C"/>
    <w:rsid w:val="00221D0D"/>
    <w:rsid w:val="00223B7D"/>
    <w:rsid w:val="002244BD"/>
    <w:rsid w:val="00227174"/>
    <w:rsid w:val="002400F6"/>
    <w:rsid w:val="00242480"/>
    <w:rsid w:val="00242A52"/>
    <w:rsid w:val="00246894"/>
    <w:rsid w:val="002520E7"/>
    <w:rsid w:val="002559B8"/>
    <w:rsid w:val="00256962"/>
    <w:rsid w:val="002668FC"/>
    <w:rsid w:val="00266C9D"/>
    <w:rsid w:val="00267C87"/>
    <w:rsid w:val="002712BE"/>
    <w:rsid w:val="00272F9F"/>
    <w:rsid w:val="00273E75"/>
    <w:rsid w:val="0027618E"/>
    <w:rsid w:val="00283746"/>
    <w:rsid w:val="00283CFD"/>
    <w:rsid w:val="00287929"/>
    <w:rsid w:val="00287F60"/>
    <w:rsid w:val="002959F0"/>
    <w:rsid w:val="002A35C4"/>
    <w:rsid w:val="002A566F"/>
    <w:rsid w:val="002B16E1"/>
    <w:rsid w:val="002B4B60"/>
    <w:rsid w:val="002C14BD"/>
    <w:rsid w:val="002C261E"/>
    <w:rsid w:val="002C326C"/>
    <w:rsid w:val="002C554F"/>
    <w:rsid w:val="002D087E"/>
    <w:rsid w:val="002D1920"/>
    <w:rsid w:val="002D1C5C"/>
    <w:rsid w:val="002D23E0"/>
    <w:rsid w:val="002D6F34"/>
    <w:rsid w:val="002E55F8"/>
    <w:rsid w:val="002E67FA"/>
    <w:rsid w:val="002E6DD1"/>
    <w:rsid w:val="002E75D3"/>
    <w:rsid w:val="002E7AEC"/>
    <w:rsid w:val="002F154A"/>
    <w:rsid w:val="002F1A78"/>
    <w:rsid w:val="002F3AAD"/>
    <w:rsid w:val="002F4A95"/>
    <w:rsid w:val="00302F58"/>
    <w:rsid w:val="003064EC"/>
    <w:rsid w:val="0031009A"/>
    <w:rsid w:val="00311223"/>
    <w:rsid w:val="003125A4"/>
    <w:rsid w:val="003128F3"/>
    <w:rsid w:val="00313BD7"/>
    <w:rsid w:val="0031549E"/>
    <w:rsid w:val="003159D1"/>
    <w:rsid w:val="00316A86"/>
    <w:rsid w:val="0031728E"/>
    <w:rsid w:val="0031DDFA"/>
    <w:rsid w:val="00322234"/>
    <w:rsid w:val="00325D8F"/>
    <w:rsid w:val="00330FB0"/>
    <w:rsid w:val="003310A0"/>
    <w:rsid w:val="00337677"/>
    <w:rsid w:val="00344037"/>
    <w:rsid w:val="0034440C"/>
    <w:rsid w:val="00344A88"/>
    <w:rsid w:val="00351AE5"/>
    <w:rsid w:val="00353AD3"/>
    <w:rsid w:val="00360A40"/>
    <w:rsid w:val="00365B4B"/>
    <w:rsid w:val="00366132"/>
    <w:rsid w:val="00366BAA"/>
    <w:rsid w:val="00367696"/>
    <w:rsid w:val="00371601"/>
    <w:rsid w:val="003729DE"/>
    <w:rsid w:val="00373275"/>
    <w:rsid w:val="00374B6D"/>
    <w:rsid w:val="00377A75"/>
    <w:rsid w:val="00380F5D"/>
    <w:rsid w:val="00385FB3"/>
    <w:rsid w:val="00391D58"/>
    <w:rsid w:val="00392B5B"/>
    <w:rsid w:val="00394194"/>
    <w:rsid w:val="003971CE"/>
    <w:rsid w:val="00397377"/>
    <w:rsid w:val="003A17FB"/>
    <w:rsid w:val="003A670A"/>
    <w:rsid w:val="003A76A8"/>
    <w:rsid w:val="003B04A3"/>
    <w:rsid w:val="003B251D"/>
    <w:rsid w:val="003C0161"/>
    <w:rsid w:val="003C15F6"/>
    <w:rsid w:val="003D177D"/>
    <w:rsid w:val="003D7087"/>
    <w:rsid w:val="003E4545"/>
    <w:rsid w:val="003E7380"/>
    <w:rsid w:val="003F63B1"/>
    <w:rsid w:val="003F7F93"/>
    <w:rsid w:val="0040022A"/>
    <w:rsid w:val="00401354"/>
    <w:rsid w:val="00410458"/>
    <w:rsid w:val="00411059"/>
    <w:rsid w:val="00411C19"/>
    <w:rsid w:val="0041665A"/>
    <w:rsid w:val="00424615"/>
    <w:rsid w:val="004248B8"/>
    <w:rsid w:val="00425560"/>
    <w:rsid w:val="00427D00"/>
    <w:rsid w:val="00427D34"/>
    <w:rsid w:val="0043215B"/>
    <w:rsid w:val="00433649"/>
    <w:rsid w:val="0044614E"/>
    <w:rsid w:val="00446350"/>
    <w:rsid w:val="00447C97"/>
    <w:rsid w:val="004504B6"/>
    <w:rsid w:val="004515F1"/>
    <w:rsid w:val="00453F8F"/>
    <w:rsid w:val="004564C8"/>
    <w:rsid w:val="00456BB4"/>
    <w:rsid w:val="004607BC"/>
    <w:rsid w:val="00463AE8"/>
    <w:rsid w:val="004650A7"/>
    <w:rsid w:val="0046520A"/>
    <w:rsid w:val="0046671A"/>
    <w:rsid w:val="00466F1E"/>
    <w:rsid w:val="00467BD4"/>
    <w:rsid w:val="00470D66"/>
    <w:rsid w:val="00470FE2"/>
    <w:rsid w:val="0047213A"/>
    <w:rsid w:val="00472672"/>
    <w:rsid w:val="004733F0"/>
    <w:rsid w:val="004749FF"/>
    <w:rsid w:val="00475809"/>
    <w:rsid w:val="0047627E"/>
    <w:rsid w:val="00477057"/>
    <w:rsid w:val="0048197D"/>
    <w:rsid w:val="004834FA"/>
    <w:rsid w:val="004836B9"/>
    <w:rsid w:val="00485E86"/>
    <w:rsid w:val="0048644B"/>
    <w:rsid w:val="0049555F"/>
    <w:rsid w:val="0049734F"/>
    <w:rsid w:val="004A58A3"/>
    <w:rsid w:val="004A5933"/>
    <w:rsid w:val="004A6A02"/>
    <w:rsid w:val="004B0A9F"/>
    <w:rsid w:val="004B24F7"/>
    <w:rsid w:val="004B4369"/>
    <w:rsid w:val="004B77A9"/>
    <w:rsid w:val="004C0C22"/>
    <w:rsid w:val="004D493F"/>
    <w:rsid w:val="004D7846"/>
    <w:rsid w:val="004E42DD"/>
    <w:rsid w:val="004E58D0"/>
    <w:rsid w:val="004E6787"/>
    <w:rsid w:val="004F3FB4"/>
    <w:rsid w:val="004F5803"/>
    <w:rsid w:val="004F635C"/>
    <w:rsid w:val="004F7630"/>
    <w:rsid w:val="00502B92"/>
    <w:rsid w:val="00503035"/>
    <w:rsid w:val="00503932"/>
    <w:rsid w:val="00505053"/>
    <w:rsid w:val="0050687D"/>
    <w:rsid w:val="0051247B"/>
    <w:rsid w:val="005175F7"/>
    <w:rsid w:val="00523813"/>
    <w:rsid w:val="00532641"/>
    <w:rsid w:val="00533C5E"/>
    <w:rsid w:val="005345EF"/>
    <w:rsid w:val="00536EBB"/>
    <w:rsid w:val="0053769F"/>
    <w:rsid w:val="00537BC0"/>
    <w:rsid w:val="0055653E"/>
    <w:rsid w:val="005566B0"/>
    <w:rsid w:val="00556960"/>
    <w:rsid w:val="00560C47"/>
    <w:rsid w:val="005639B0"/>
    <w:rsid w:val="00567B9D"/>
    <w:rsid w:val="005704FB"/>
    <w:rsid w:val="00571C6C"/>
    <w:rsid w:val="0057278E"/>
    <w:rsid w:val="0057504E"/>
    <w:rsid w:val="00576DC3"/>
    <w:rsid w:val="00577FEC"/>
    <w:rsid w:val="0058085C"/>
    <w:rsid w:val="00580E97"/>
    <w:rsid w:val="00581E50"/>
    <w:rsid w:val="00583A96"/>
    <w:rsid w:val="005842A0"/>
    <w:rsid w:val="005851F1"/>
    <w:rsid w:val="00591187"/>
    <w:rsid w:val="0059122F"/>
    <w:rsid w:val="005924C3"/>
    <w:rsid w:val="00592C98"/>
    <w:rsid w:val="0059487B"/>
    <w:rsid w:val="005A21DB"/>
    <w:rsid w:val="005A232B"/>
    <w:rsid w:val="005A74DA"/>
    <w:rsid w:val="005B1D40"/>
    <w:rsid w:val="005B3507"/>
    <w:rsid w:val="005B3AE9"/>
    <w:rsid w:val="005B621C"/>
    <w:rsid w:val="005B73A3"/>
    <w:rsid w:val="005C05FA"/>
    <w:rsid w:val="005C2D58"/>
    <w:rsid w:val="005D1137"/>
    <w:rsid w:val="005D3CAF"/>
    <w:rsid w:val="005D506B"/>
    <w:rsid w:val="005D56B2"/>
    <w:rsid w:val="005D5D14"/>
    <w:rsid w:val="005E0ED5"/>
    <w:rsid w:val="005E52FC"/>
    <w:rsid w:val="005E576E"/>
    <w:rsid w:val="005E5A4A"/>
    <w:rsid w:val="005E7B03"/>
    <w:rsid w:val="005F3118"/>
    <w:rsid w:val="005F35CD"/>
    <w:rsid w:val="0060397B"/>
    <w:rsid w:val="006048AE"/>
    <w:rsid w:val="00610115"/>
    <w:rsid w:val="00612A59"/>
    <w:rsid w:val="00612B60"/>
    <w:rsid w:val="00616159"/>
    <w:rsid w:val="00616E8B"/>
    <w:rsid w:val="00622404"/>
    <w:rsid w:val="0062336E"/>
    <w:rsid w:val="0062529B"/>
    <w:rsid w:val="00626A67"/>
    <w:rsid w:val="00633A40"/>
    <w:rsid w:val="0064259B"/>
    <w:rsid w:val="0064266F"/>
    <w:rsid w:val="006470AB"/>
    <w:rsid w:val="00650CB2"/>
    <w:rsid w:val="00653EAC"/>
    <w:rsid w:val="006558AB"/>
    <w:rsid w:val="00661B53"/>
    <w:rsid w:val="00664FA3"/>
    <w:rsid w:val="0067107B"/>
    <w:rsid w:val="006729F0"/>
    <w:rsid w:val="00680C86"/>
    <w:rsid w:val="00690023"/>
    <w:rsid w:val="0069031E"/>
    <w:rsid w:val="00694015"/>
    <w:rsid w:val="006A2278"/>
    <w:rsid w:val="006A28CD"/>
    <w:rsid w:val="006A777A"/>
    <w:rsid w:val="006B207B"/>
    <w:rsid w:val="006B20D5"/>
    <w:rsid w:val="006B30F0"/>
    <w:rsid w:val="006B7613"/>
    <w:rsid w:val="006C3B50"/>
    <w:rsid w:val="006D70E0"/>
    <w:rsid w:val="006E0362"/>
    <w:rsid w:val="006E3B68"/>
    <w:rsid w:val="006E598C"/>
    <w:rsid w:val="00702546"/>
    <w:rsid w:val="00711113"/>
    <w:rsid w:val="00717A1C"/>
    <w:rsid w:val="00721778"/>
    <w:rsid w:val="007243D7"/>
    <w:rsid w:val="00725EDC"/>
    <w:rsid w:val="007311C3"/>
    <w:rsid w:val="00735EE2"/>
    <w:rsid w:val="00740595"/>
    <w:rsid w:val="00744991"/>
    <w:rsid w:val="007459B2"/>
    <w:rsid w:val="00745C93"/>
    <w:rsid w:val="00750611"/>
    <w:rsid w:val="007524A6"/>
    <w:rsid w:val="00752617"/>
    <w:rsid w:val="007534E1"/>
    <w:rsid w:val="0076283C"/>
    <w:rsid w:val="00762B83"/>
    <w:rsid w:val="00767D6F"/>
    <w:rsid w:val="00770CB5"/>
    <w:rsid w:val="007736F7"/>
    <w:rsid w:val="00775CAA"/>
    <w:rsid w:val="00776346"/>
    <w:rsid w:val="00781F1C"/>
    <w:rsid w:val="00785C9F"/>
    <w:rsid w:val="0078683C"/>
    <w:rsid w:val="0079312B"/>
    <w:rsid w:val="007947FB"/>
    <w:rsid w:val="00795A7C"/>
    <w:rsid w:val="00796800"/>
    <w:rsid w:val="007A01ED"/>
    <w:rsid w:val="007A18C0"/>
    <w:rsid w:val="007A2C73"/>
    <w:rsid w:val="007A3DAF"/>
    <w:rsid w:val="007A715F"/>
    <w:rsid w:val="007C51E8"/>
    <w:rsid w:val="007D0631"/>
    <w:rsid w:val="007E4CAE"/>
    <w:rsid w:val="007E5DD2"/>
    <w:rsid w:val="007E77D7"/>
    <w:rsid w:val="007F2D62"/>
    <w:rsid w:val="007F2F1F"/>
    <w:rsid w:val="007F3988"/>
    <w:rsid w:val="007F5B53"/>
    <w:rsid w:val="00800DFB"/>
    <w:rsid w:val="0080707E"/>
    <w:rsid w:val="0080735F"/>
    <w:rsid w:val="00807E9F"/>
    <w:rsid w:val="0081228A"/>
    <w:rsid w:val="00816B7A"/>
    <w:rsid w:val="00821F5B"/>
    <w:rsid w:val="00822B62"/>
    <w:rsid w:val="00823288"/>
    <w:rsid w:val="00823F8D"/>
    <w:rsid w:val="00836169"/>
    <w:rsid w:val="008403CA"/>
    <w:rsid w:val="00840D1F"/>
    <w:rsid w:val="0084212C"/>
    <w:rsid w:val="00844307"/>
    <w:rsid w:val="00844A19"/>
    <w:rsid w:val="0084544F"/>
    <w:rsid w:val="00851F56"/>
    <w:rsid w:val="00852ADF"/>
    <w:rsid w:val="0085378A"/>
    <w:rsid w:val="0085390E"/>
    <w:rsid w:val="00855FB1"/>
    <w:rsid w:val="00860511"/>
    <w:rsid w:val="00860BA1"/>
    <w:rsid w:val="00861741"/>
    <w:rsid w:val="00862590"/>
    <w:rsid w:val="00862D04"/>
    <w:rsid w:val="00863B1E"/>
    <w:rsid w:val="00865AEA"/>
    <w:rsid w:val="008675EE"/>
    <w:rsid w:val="00870CBF"/>
    <w:rsid w:val="008712F8"/>
    <w:rsid w:val="008722AE"/>
    <w:rsid w:val="00872E7F"/>
    <w:rsid w:val="00873BEF"/>
    <w:rsid w:val="00875B78"/>
    <w:rsid w:val="008762B2"/>
    <w:rsid w:val="00876A71"/>
    <w:rsid w:val="008819EB"/>
    <w:rsid w:val="0088325C"/>
    <w:rsid w:val="00885729"/>
    <w:rsid w:val="00887E1E"/>
    <w:rsid w:val="008911F3"/>
    <w:rsid w:val="00892205"/>
    <w:rsid w:val="00893826"/>
    <w:rsid w:val="00893E85"/>
    <w:rsid w:val="00894622"/>
    <w:rsid w:val="008946E9"/>
    <w:rsid w:val="008967CE"/>
    <w:rsid w:val="008A0D5F"/>
    <w:rsid w:val="008A1B35"/>
    <w:rsid w:val="008A4DFB"/>
    <w:rsid w:val="008B0999"/>
    <w:rsid w:val="008B221F"/>
    <w:rsid w:val="008B56EF"/>
    <w:rsid w:val="008B7E48"/>
    <w:rsid w:val="008C0789"/>
    <w:rsid w:val="008C07DE"/>
    <w:rsid w:val="008C0B95"/>
    <w:rsid w:val="008C1B83"/>
    <w:rsid w:val="008C4642"/>
    <w:rsid w:val="008C4C45"/>
    <w:rsid w:val="008C77B0"/>
    <w:rsid w:val="008D0313"/>
    <w:rsid w:val="008D2E70"/>
    <w:rsid w:val="008E1D15"/>
    <w:rsid w:val="008E5183"/>
    <w:rsid w:val="008E79B3"/>
    <w:rsid w:val="008F25B4"/>
    <w:rsid w:val="008F38D1"/>
    <w:rsid w:val="00901DC2"/>
    <w:rsid w:val="00905998"/>
    <w:rsid w:val="00915088"/>
    <w:rsid w:val="00917BB8"/>
    <w:rsid w:val="00922C53"/>
    <w:rsid w:val="00923341"/>
    <w:rsid w:val="0092494A"/>
    <w:rsid w:val="00926086"/>
    <w:rsid w:val="00927CAB"/>
    <w:rsid w:val="00930132"/>
    <w:rsid w:val="00945E02"/>
    <w:rsid w:val="00947F70"/>
    <w:rsid w:val="00950233"/>
    <w:rsid w:val="0095197C"/>
    <w:rsid w:val="00951B23"/>
    <w:rsid w:val="009555A8"/>
    <w:rsid w:val="00956812"/>
    <w:rsid w:val="0097C34C"/>
    <w:rsid w:val="00980B18"/>
    <w:rsid w:val="009813DC"/>
    <w:rsid w:val="00982128"/>
    <w:rsid w:val="00986130"/>
    <w:rsid w:val="00986205"/>
    <w:rsid w:val="00986AF3"/>
    <w:rsid w:val="009876BA"/>
    <w:rsid w:val="009913AF"/>
    <w:rsid w:val="00992143"/>
    <w:rsid w:val="009934DF"/>
    <w:rsid w:val="00994BDB"/>
    <w:rsid w:val="00996266"/>
    <w:rsid w:val="00996A5D"/>
    <w:rsid w:val="00996DE6"/>
    <w:rsid w:val="009A2A6E"/>
    <w:rsid w:val="009A332C"/>
    <w:rsid w:val="009A3763"/>
    <w:rsid w:val="009A4123"/>
    <w:rsid w:val="009A4366"/>
    <w:rsid w:val="009B1AAF"/>
    <w:rsid w:val="009B2ABA"/>
    <w:rsid w:val="009C17D8"/>
    <w:rsid w:val="009D1E1C"/>
    <w:rsid w:val="009D2B0C"/>
    <w:rsid w:val="009D453B"/>
    <w:rsid w:val="009E00CE"/>
    <w:rsid w:val="009E2313"/>
    <w:rsid w:val="009E405F"/>
    <w:rsid w:val="009E47B0"/>
    <w:rsid w:val="009F029A"/>
    <w:rsid w:val="009F04D6"/>
    <w:rsid w:val="009F4F9B"/>
    <w:rsid w:val="00A100FF"/>
    <w:rsid w:val="00A128B9"/>
    <w:rsid w:val="00A12B49"/>
    <w:rsid w:val="00A13579"/>
    <w:rsid w:val="00A26095"/>
    <w:rsid w:val="00A2758A"/>
    <w:rsid w:val="00A27F90"/>
    <w:rsid w:val="00A324E7"/>
    <w:rsid w:val="00A36FA0"/>
    <w:rsid w:val="00A37691"/>
    <w:rsid w:val="00A4231C"/>
    <w:rsid w:val="00A54558"/>
    <w:rsid w:val="00A55336"/>
    <w:rsid w:val="00A63EE0"/>
    <w:rsid w:val="00A649E1"/>
    <w:rsid w:val="00A65E97"/>
    <w:rsid w:val="00A7341D"/>
    <w:rsid w:val="00A82D27"/>
    <w:rsid w:val="00A83962"/>
    <w:rsid w:val="00A84104"/>
    <w:rsid w:val="00A856E6"/>
    <w:rsid w:val="00A94C73"/>
    <w:rsid w:val="00A95432"/>
    <w:rsid w:val="00A96772"/>
    <w:rsid w:val="00AA0399"/>
    <w:rsid w:val="00AA55F0"/>
    <w:rsid w:val="00AA6F20"/>
    <w:rsid w:val="00AB088B"/>
    <w:rsid w:val="00AB304D"/>
    <w:rsid w:val="00AB48E3"/>
    <w:rsid w:val="00AC546E"/>
    <w:rsid w:val="00AD42BB"/>
    <w:rsid w:val="00AD55D4"/>
    <w:rsid w:val="00AD5A76"/>
    <w:rsid w:val="00AE2F33"/>
    <w:rsid w:val="00AE483E"/>
    <w:rsid w:val="00AF3BAA"/>
    <w:rsid w:val="00B10C3E"/>
    <w:rsid w:val="00B13074"/>
    <w:rsid w:val="00B20840"/>
    <w:rsid w:val="00B22287"/>
    <w:rsid w:val="00B30E77"/>
    <w:rsid w:val="00B31AF2"/>
    <w:rsid w:val="00B44DE1"/>
    <w:rsid w:val="00B4765F"/>
    <w:rsid w:val="00B50BBA"/>
    <w:rsid w:val="00B529FF"/>
    <w:rsid w:val="00B5390A"/>
    <w:rsid w:val="00B54AB5"/>
    <w:rsid w:val="00B65AEA"/>
    <w:rsid w:val="00B6651C"/>
    <w:rsid w:val="00B7453A"/>
    <w:rsid w:val="00B745C9"/>
    <w:rsid w:val="00B76225"/>
    <w:rsid w:val="00B77E6F"/>
    <w:rsid w:val="00B96C06"/>
    <w:rsid w:val="00BA140F"/>
    <w:rsid w:val="00BA36C0"/>
    <w:rsid w:val="00BA69EB"/>
    <w:rsid w:val="00BA736F"/>
    <w:rsid w:val="00BB03D3"/>
    <w:rsid w:val="00BB15B2"/>
    <w:rsid w:val="00BB3940"/>
    <w:rsid w:val="00BC0E48"/>
    <w:rsid w:val="00BD0118"/>
    <w:rsid w:val="00BD36A1"/>
    <w:rsid w:val="00BD7648"/>
    <w:rsid w:val="00BE09BF"/>
    <w:rsid w:val="00BE3CCD"/>
    <w:rsid w:val="00BE46A7"/>
    <w:rsid w:val="00BF043F"/>
    <w:rsid w:val="00BF0A3D"/>
    <w:rsid w:val="00BF173A"/>
    <w:rsid w:val="00BF4A81"/>
    <w:rsid w:val="00BF73BB"/>
    <w:rsid w:val="00C0073C"/>
    <w:rsid w:val="00C009F8"/>
    <w:rsid w:val="00C03DAA"/>
    <w:rsid w:val="00C04A9A"/>
    <w:rsid w:val="00C07931"/>
    <w:rsid w:val="00C12CC7"/>
    <w:rsid w:val="00C1722B"/>
    <w:rsid w:val="00C208B7"/>
    <w:rsid w:val="00C21F71"/>
    <w:rsid w:val="00C24050"/>
    <w:rsid w:val="00C25B35"/>
    <w:rsid w:val="00C26785"/>
    <w:rsid w:val="00C27699"/>
    <w:rsid w:val="00C27C92"/>
    <w:rsid w:val="00C27D9C"/>
    <w:rsid w:val="00C34328"/>
    <w:rsid w:val="00C35B94"/>
    <w:rsid w:val="00C36A10"/>
    <w:rsid w:val="00C37980"/>
    <w:rsid w:val="00C40059"/>
    <w:rsid w:val="00C4079D"/>
    <w:rsid w:val="00C408F1"/>
    <w:rsid w:val="00C409B3"/>
    <w:rsid w:val="00C4587F"/>
    <w:rsid w:val="00C50054"/>
    <w:rsid w:val="00C5259C"/>
    <w:rsid w:val="00C52E18"/>
    <w:rsid w:val="00C53002"/>
    <w:rsid w:val="00C54D38"/>
    <w:rsid w:val="00C556DB"/>
    <w:rsid w:val="00C57237"/>
    <w:rsid w:val="00C578AB"/>
    <w:rsid w:val="00C578C7"/>
    <w:rsid w:val="00C605B1"/>
    <w:rsid w:val="00C618A8"/>
    <w:rsid w:val="00C62A5E"/>
    <w:rsid w:val="00C646A1"/>
    <w:rsid w:val="00C65650"/>
    <w:rsid w:val="00C656AF"/>
    <w:rsid w:val="00C722FE"/>
    <w:rsid w:val="00C76762"/>
    <w:rsid w:val="00C82355"/>
    <w:rsid w:val="00C833EF"/>
    <w:rsid w:val="00C8396F"/>
    <w:rsid w:val="00C863E7"/>
    <w:rsid w:val="00C92FCC"/>
    <w:rsid w:val="00C97787"/>
    <w:rsid w:val="00CA0313"/>
    <w:rsid w:val="00CA0669"/>
    <w:rsid w:val="00CA1D66"/>
    <w:rsid w:val="00CA1ED5"/>
    <w:rsid w:val="00CA3E4B"/>
    <w:rsid w:val="00CA44AF"/>
    <w:rsid w:val="00CA49B9"/>
    <w:rsid w:val="00CA4BAC"/>
    <w:rsid w:val="00CA4C28"/>
    <w:rsid w:val="00CA6B6E"/>
    <w:rsid w:val="00CB1524"/>
    <w:rsid w:val="00CC539D"/>
    <w:rsid w:val="00CC6A4B"/>
    <w:rsid w:val="00CD0660"/>
    <w:rsid w:val="00CD1B3A"/>
    <w:rsid w:val="00CD37CB"/>
    <w:rsid w:val="00CD3DE6"/>
    <w:rsid w:val="00CD65CB"/>
    <w:rsid w:val="00CD7211"/>
    <w:rsid w:val="00CD751D"/>
    <w:rsid w:val="00CD7C0E"/>
    <w:rsid w:val="00CE27E7"/>
    <w:rsid w:val="00CE36C1"/>
    <w:rsid w:val="00CE3820"/>
    <w:rsid w:val="00CE4848"/>
    <w:rsid w:val="00CF2078"/>
    <w:rsid w:val="00CF48E3"/>
    <w:rsid w:val="00CF77EE"/>
    <w:rsid w:val="00D05D9C"/>
    <w:rsid w:val="00D115B8"/>
    <w:rsid w:val="00D14BBD"/>
    <w:rsid w:val="00D15F4A"/>
    <w:rsid w:val="00D201C0"/>
    <w:rsid w:val="00D21FA6"/>
    <w:rsid w:val="00D245EF"/>
    <w:rsid w:val="00D2695E"/>
    <w:rsid w:val="00D3373D"/>
    <w:rsid w:val="00D46531"/>
    <w:rsid w:val="00D475C5"/>
    <w:rsid w:val="00D61DBA"/>
    <w:rsid w:val="00D61FB0"/>
    <w:rsid w:val="00D6785D"/>
    <w:rsid w:val="00D726DF"/>
    <w:rsid w:val="00D743DD"/>
    <w:rsid w:val="00D757B8"/>
    <w:rsid w:val="00D77884"/>
    <w:rsid w:val="00D779C3"/>
    <w:rsid w:val="00D77C8E"/>
    <w:rsid w:val="00D807B6"/>
    <w:rsid w:val="00D821A9"/>
    <w:rsid w:val="00D86896"/>
    <w:rsid w:val="00D91F34"/>
    <w:rsid w:val="00D97D27"/>
    <w:rsid w:val="00DA302D"/>
    <w:rsid w:val="00DA4328"/>
    <w:rsid w:val="00DA4388"/>
    <w:rsid w:val="00DA621F"/>
    <w:rsid w:val="00DA6D62"/>
    <w:rsid w:val="00DA6F20"/>
    <w:rsid w:val="00DA6F85"/>
    <w:rsid w:val="00DA7FE7"/>
    <w:rsid w:val="00DB2EE5"/>
    <w:rsid w:val="00DB3BB6"/>
    <w:rsid w:val="00DB79AB"/>
    <w:rsid w:val="00DC0E97"/>
    <w:rsid w:val="00DC1ACC"/>
    <w:rsid w:val="00DC2BDD"/>
    <w:rsid w:val="00DC7F7B"/>
    <w:rsid w:val="00DD0636"/>
    <w:rsid w:val="00DD19C0"/>
    <w:rsid w:val="00DD2187"/>
    <w:rsid w:val="00DE5C94"/>
    <w:rsid w:val="00DE6B6F"/>
    <w:rsid w:val="00DF0968"/>
    <w:rsid w:val="00DF2CCE"/>
    <w:rsid w:val="00DF3DD3"/>
    <w:rsid w:val="00DF3E53"/>
    <w:rsid w:val="00E009F7"/>
    <w:rsid w:val="00E042B3"/>
    <w:rsid w:val="00E06D78"/>
    <w:rsid w:val="00E1027A"/>
    <w:rsid w:val="00E1320E"/>
    <w:rsid w:val="00E2339F"/>
    <w:rsid w:val="00E23CEA"/>
    <w:rsid w:val="00E243FF"/>
    <w:rsid w:val="00E25FFD"/>
    <w:rsid w:val="00E31AED"/>
    <w:rsid w:val="00E31CAE"/>
    <w:rsid w:val="00E32112"/>
    <w:rsid w:val="00E35E0F"/>
    <w:rsid w:val="00E35EF3"/>
    <w:rsid w:val="00E370BD"/>
    <w:rsid w:val="00E401E3"/>
    <w:rsid w:val="00E43B88"/>
    <w:rsid w:val="00E61DD5"/>
    <w:rsid w:val="00E679DA"/>
    <w:rsid w:val="00E71DE9"/>
    <w:rsid w:val="00E71F47"/>
    <w:rsid w:val="00E82A61"/>
    <w:rsid w:val="00E831CE"/>
    <w:rsid w:val="00E83B3E"/>
    <w:rsid w:val="00E83C2D"/>
    <w:rsid w:val="00E840F4"/>
    <w:rsid w:val="00E90319"/>
    <w:rsid w:val="00E91AFD"/>
    <w:rsid w:val="00E9521B"/>
    <w:rsid w:val="00EA3B9F"/>
    <w:rsid w:val="00EA7F76"/>
    <w:rsid w:val="00EB0E73"/>
    <w:rsid w:val="00EB5FE2"/>
    <w:rsid w:val="00EB7784"/>
    <w:rsid w:val="00EC08AC"/>
    <w:rsid w:val="00EC2A51"/>
    <w:rsid w:val="00EC3C7F"/>
    <w:rsid w:val="00ED4605"/>
    <w:rsid w:val="00EE1090"/>
    <w:rsid w:val="00EE333C"/>
    <w:rsid w:val="00EE46DF"/>
    <w:rsid w:val="00EE67F4"/>
    <w:rsid w:val="00EE74FF"/>
    <w:rsid w:val="00EF3241"/>
    <w:rsid w:val="00EF4FB2"/>
    <w:rsid w:val="00EF5603"/>
    <w:rsid w:val="00EF5CA4"/>
    <w:rsid w:val="00EF76E8"/>
    <w:rsid w:val="00F01FFC"/>
    <w:rsid w:val="00F12167"/>
    <w:rsid w:val="00F12206"/>
    <w:rsid w:val="00F264CE"/>
    <w:rsid w:val="00F302A9"/>
    <w:rsid w:val="00F33CB0"/>
    <w:rsid w:val="00F42C2D"/>
    <w:rsid w:val="00F51B4F"/>
    <w:rsid w:val="00F53ADA"/>
    <w:rsid w:val="00F53DA0"/>
    <w:rsid w:val="00F53FFB"/>
    <w:rsid w:val="00F56604"/>
    <w:rsid w:val="00F600AD"/>
    <w:rsid w:val="00F636E3"/>
    <w:rsid w:val="00F64E0B"/>
    <w:rsid w:val="00F66EB8"/>
    <w:rsid w:val="00F673A6"/>
    <w:rsid w:val="00F67537"/>
    <w:rsid w:val="00F67D45"/>
    <w:rsid w:val="00F67E08"/>
    <w:rsid w:val="00F71CC7"/>
    <w:rsid w:val="00F808EC"/>
    <w:rsid w:val="00F85E0D"/>
    <w:rsid w:val="00F9023B"/>
    <w:rsid w:val="00F9792D"/>
    <w:rsid w:val="00FA5787"/>
    <w:rsid w:val="00FA5B7B"/>
    <w:rsid w:val="00FA5C34"/>
    <w:rsid w:val="00FA657B"/>
    <w:rsid w:val="00FB19E7"/>
    <w:rsid w:val="00FB4B08"/>
    <w:rsid w:val="00FB53EC"/>
    <w:rsid w:val="00FB7719"/>
    <w:rsid w:val="00FC407B"/>
    <w:rsid w:val="00FC47F1"/>
    <w:rsid w:val="00FC575E"/>
    <w:rsid w:val="00FC626B"/>
    <w:rsid w:val="00FC76DE"/>
    <w:rsid w:val="00FD5009"/>
    <w:rsid w:val="00FD5CE5"/>
    <w:rsid w:val="00FE5EA4"/>
    <w:rsid w:val="00FF17E3"/>
    <w:rsid w:val="00FF1A2E"/>
    <w:rsid w:val="00FF20CF"/>
    <w:rsid w:val="00FF3E05"/>
    <w:rsid w:val="0106BDFB"/>
    <w:rsid w:val="02287F43"/>
    <w:rsid w:val="022FF002"/>
    <w:rsid w:val="03DF69B4"/>
    <w:rsid w:val="03F2525E"/>
    <w:rsid w:val="043BA760"/>
    <w:rsid w:val="04B6C374"/>
    <w:rsid w:val="04C44DBA"/>
    <w:rsid w:val="05256340"/>
    <w:rsid w:val="05397C1B"/>
    <w:rsid w:val="0661B209"/>
    <w:rsid w:val="067C237D"/>
    <w:rsid w:val="06908FB5"/>
    <w:rsid w:val="0691F6E7"/>
    <w:rsid w:val="069A497C"/>
    <w:rsid w:val="072C1B6A"/>
    <w:rsid w:val="07EBFA4F"/>
    <w:rsid w:val="08F5896C"/>
    <w:rsid w:val="097F67C4"/>
    <w:rsid w:val="0986BFF7"/>
    <w:rsid w:val="0A06D507"/>
    <w:rsid w:val="0A778A52"/>
    <w:rsid w:val="0A841CC5"/>
    <w:rsid w:val="0AB4AAF6"/>
    <w:rsid w:val="0B3A21E3"/>
    <w:rsid w:val="0B57EDB7"/>
    <w:rsid w:val="0B7CB2B7"/>
    <w:rsid w:val="0C34B38F"/>
    <w:rsid w:val="0C87E6F2"/>
    <w:rsid w:val="0DC226BC"/>
    <w:rsid w:val="0F0ECD24"/>
    <w:rsid w:val="0F167F97"/>
    <w:rsid w:val="0F46D9DA"/>
    <w:rsid w:val="0F68C9BA"/>
    <w:rsid w:val="0F9B1B85"/>
    <w:rsid w:val="0FF6847F"/>
    <w:rsid w:val="10026099"/>
    <w:rsid w:val="104670BD"/>
    <w:rsid w:val="1059D02D"/>
    <w:rsid w:val="106F8E12"/>
    <w:rsid w:val="107A61AA"/>
    <w:rsid w:val="10E86C7F"/>
    <w:rsid w:val="11B08848"/>
    <w:rsid w:val="122441F3"/>
    <w:rsid w:val="1232D6E4"/>
    <w:rsid w:val="12D46210"/>
    <w:rsid w:val="146866A3"/>
    <w:rsid w:val="14CF05B1"/>
    <w:rsid w:val="14E332F3"/>
    <w:rsid w:val="15E78F64"/>
    <w:rsid w:val="1630B14E"/>
    <w:rsid w:val="166AAEDD"/>
    <w:rsid w:val="167C312C"/>
    <w:rsid w:val="16BF161D"/>
    <w:rsid w:val="16D28049"/>
    <w:rsid w:val="1735600B"/>
    <w:rsid w:val="173A3DA1"/>
    <w:rsid w:val="17FD0F89"/>
    <w:rsid w:val="191F651A"/>
    <w:rsid w:val="19A5DEE1"/>
    <w:rsid w:val="1C6688C9"/>
    <w:rsid w:val="1C90D31F"/>
    <w:rsid w:val="1CCCC087"/>
    <w:rsid w:val="1D1B2C85"/>
    <w:rsid w:val="1D4441DF"/>
    <w:rsid w:val="1DBB9CDC"/>
    <w:rsid w:val="1DCBC7A6"/>
    <w:rsid w:val="1DD7A535"/>
    <w:rsid w:val="1E2B88B4"/>
    <w:rsid w:val="1ED9704C"/>
    <w:rsid w:val="1F1F4FC1"/>
    <w:rsid w:val="1FA39DF1"/>
    <w:rsid w:val="2017FAFB"/>
    <w:rsid w:val="20921733"/>
    <w:rsid w:val="20B894E7"/>
    <w:rsid w:val="20F14127"/>
    <w:rsid w:val="227669F2"/>
    <w:rsid w:val="22FF26F8"/>
    <w:rsid w:val="23D3E82A"/>
    <w:rsid w:val="24432CE1"/>
    <w:rsid w:val="2467C1A3"/>
    <w:rsid w:val="246ACED6"/>
    <w:rsid w:val="24A14A1E"/>
    <w:rsid w:val="25383E34"/>
    <w:rsid w:val="256F3948"/>
    <w:rsid w:val="25A29128"/>
    <w:rsid w:val="2616DE62"/>
    <w:rsid w:val="262DE867"/>
    <w:rsid w:val="26AD122A"/>
    <w:rsid w:val="27AD7817"/>
    <w:rsid w:val="27B603BF"/>
    <w:rsid w:val="27E24DC8"/>
    <w:rsid w:val="281EE30D"/>
    <w:rsid w:val="2865B88D"/>
    <w:rsid w:val="28D62ED5"/>
    <w:rsid w:val="298867CF"/>
    <w:rsid w:val="29DC2B6A"/>
    <w:rsid w:val="2B0ACE2A"/>
    <w:rsid w:val="2BBD65B2"/>
    <w:rsid w:val="2C97B890"/>
    <w:rsid w:val="2CE76F1B"/>
    <w:rsid w:val="2D0B6F84"/>
    <w:rsid w:val="2D1EA7FE"/>
    <w:rsid w:val="2D344B7A"/>
    <w:rsid w:val="2DB1A6E3"/>
    <w:rsid w:val="2DD029DB"/>
    <w:rsid w:val="2E0B14A4"/>
    <w:rsid w:val="2E97956F"/>
    <w:rsid w:val="2EA3D170"/>
    <w:rsid w:val="2F2D2F68"/>
    <w:rsid w:val="303E1473"/>
    <w:rsid w:val="322E749C"/>
    <w:rsid w:val="3305716D"/>
    <w:rsid w:val="33E49AF5"/>
    <w:rsid w:val="3424FAD3"/>
    <w:rsid w:val="34A23A25"/>
    <w:rsid w:val="35436150"/>
    <w:rsid w:val="35AEE496"/>
    <w:rsid w:val="36091EBF"/>
    <w:rsid w:val="36B6FC31"/>
    <w:rsid w:val="36F8E977"/>
    <w:rsid w:val="376A3B89"/>
    <w:rsid w:val="382212E5"/>
    <w:rsid w:val="383C2E67"/>
    <w:rsid w:val="383E5F99"/>
    <w:rsid w:val="385B2154"/>
    <w:rsid w:val="3ABF64E5"/>
    <w:rsid w:val="3B8BDFE1"/>
    <w:rsid w:val="3B9CD341"/>
    <w:rsid w:val="3CD397D2"/>
    <w:rsid w:val="3D533A8B"/>
    <w:rsid w:val="3F5D6173"/>
    <w:rsid w:val="3FD9519D"/>
    <w:rsid w:val="3FE2E60C"/>
    <w:rsid w:val="4042BB8F"/>
    <w:rsid w:val="40A6F1F6"/>
    <w:rsid w:val="40B0134E"/>
    <w:rsid w:val="40F81109"/>
    <w:rsid w:val="41154DDB"/>
    <w:rsid w:val="411C3523"/>
    <w:rsid w:val="411C9F3D"/>
    <w:rsid w:val="4151BD4E"/>
    <w:rsid w:val="41BA34C9"/>
    <w:rsid w:val="422DB0DC"/>
    <w:rsid w:val="42AC508F"/>
    <w:rsid w:val="42CBB4F6"/>
    <w:rsid w:val="431E4E42"/>
    <w:rsid w:val="44D715E7"/>
    <w:rsid w:val="44EF7DDA"/>
    <w:rsid w:val="45878147"/>
    <w:rsid w:val="462DCD6E"/>
    <w:rsid w:val="46A8F6D0"/>
    <w:rsid w:val="46AAD9F2"/>
    <w:rsid w:val="46AD8920"/>
    <w:rsid w:val="46FA81C3"/>
    <w:rsid w:val="4723AA45"/>
    <w:rsid w:val="4745A05D"/>
    <w:rsid w:val="47F86CD3"/>
    <w:rsid w:val="482AEAD8"/>
    <w:rsid w:val="4856D4BA"/>
    <w:rsid w:val="48697F06"/>
    <w:rsid w:val="4899A4D9"/>
    <w:rsid w:val="49463DC2"/>
    <w:rsid w:val="49492BCF"/>
    <w:rsid w:val="494AA167"/>
    <w:rsid w:val="499F8831"/>
    <w:rsid w:val="49CBB5D3"/>
    <w:rsid w:val="4A099353"/>
    <w:rsid w:val="4A3E229A"/>
    <w:rsid w:val="4AF97BA9"/>
    <w:rsid w:val="4B78D22F"/>
    <w:rsid w:val="4C2C248B"/>
    <w:rsid w:val="4CF0B311"/>
    <w:rsid w:val="4D1A8BAE"/>
    <w:rsid w:val="4D432FCE"/>
    <w:rsid w:val="4F0EF7A6"/>
    <w:rsid w:val="50D01B93"/>
    <w:rsid w:val="5145FC65"/>
    <w:rsid w:val="51B7B2C6"/>
    <w:rsid w:val="51F06C46"/>
    <w:rsid w:val="528C05F2"/>
    <w:rsid w:val="52C81BEE"/>
    <w:rsid w:val="53474726"/>
    <w:rsid w:val="53C8F288"/>
    <w:rsid w:val="5442C81B"/>
    <w:rsid w:val="544769BC"/>
    <w:rsid w:val="5473B7C5"/>
    <w:rsid w:val="54E2BFCA"/>
    <w:rsid w:val="550BEA7C"/>
    <w:rsid w:val="55A87B83"/>
    <w:rsid w:val="568A76D8"/>
    <w:rsid w:val="56A6F423"/>
    <w:rsid w:val="56DBFC97"/>
    <w:rsid w:val="56F8D82A"/>
    <w:rsid w:val="57B9C293"/>
    <w:rsid w:val="57C1E791"/>
    <w:rsid w:val="57F3F7FD"/>
    <w:rsid w:val="5937F70E"/>
    <w:rsid w:val="596F9DC3"/>
    <w:rsid w:val="5A28DB24"/>
    <w:rsid w:val="5B9E531C"/>
    <w:rsid w:val="5BF993EF"/>
    <w:rsid w:val="5C58A684"/>
    <w:rsid w:val="5C708057"/>
    <w:rsid w:val="5DBBA76C"/>
    <w:rsid w:val="5DFA3CB9"/>
    <w:rsid w:val="5E0359C3"/>
    <w:rsid w:val="5E157D94"/>
    <w:rsid w:val="5E17069F"/>
    <w:rsid w:val="5E756ACF"/>
    <w:rsid w:val="5F55D0D3"/>
    <w:rsid w:val="603CF1CA"/>
    <w:rsid w:val="609A2752"/>
    <w:rsid w:val="60E2D752"/>
    <w:rsid w:val="6115D072"/>
    <w:rsid w:val="614E2A83"/>
    <w:rsid w:val="61789D01"/>
    <w:rsid w:val="61A5DF95"/>
    <w:rsid w:val="62439111"/>
    <w:rsid w:val="6246A684"/>
    <w:rsid w:val="62B2248D"/>
    <w:rsid w:val="62DD5B46"/>
    <w:rsid w:val="62E73C47"/>
    <w:rsid w:val="63000E4B"/>
    <w:rsid w:val="630B3BE2"/>
    <w:rsid w:val="633C7EB3"/>
    <w:rsid w:val="63F71AE6"/>
    <w:rsid w:val="641EAC2E"/>
    <w:rsid w:val="644E339A"/>
    <w:rsid w:val="64A4FC78"/>
    <w:rsid w:val="65B806BF"/>
    <w:rsid w:val="662AEC61"/>
    <w:rsid w:val="66705F4B"/>
    <w:rsid w:val="66AF1485"/>
    <w:rsid w:val="68F3F100"/>
    <w:rsid w:val="69408324"/>
    <w:rsid w:val="69BD65F0"/>
    <w:rsid w:val="6A6AE76B"/>
    <w:rsid w:val="6ACCEF35"/>
    <w:rsid w:val="6AD9531C"/>
    <w:rsid w:val="6B781F6F"/>
    <w:rsid w:val="6BB47E11"/>
    <w:rsid w:val="6CAC8013"/>
    <w:rsid w:val="6D22CE8C"/>
    <w:rsid w:val="6D5542CB"/>
    <w:rsid w:val="6D6E69F4"/>
    <w:rsid w:val="6D93E1C0"/>
    <w:rsid w:val="6DA4DACA"/>
    <w:rsid w:val="6DF402CE"/>
    <w:rsid w:val="6DFAAEEE"/>
    <w:rsid w:val="6E6AA89E"/>
    <w:rsid w:val="6F1D9174"/>
    <w:rsid w:val="6F341787"/>
    <w:rsid w:val="6F545367"/>
    <w:rsid w:val="6F587AB8"/>
    <w:rsid w:val="6F95AD05"/>
    <w:rsid w:val="6FE1264E"/>
    <w:rsid w:val="70493C70"/>
    <w:rsid w:val="7074FD3C"/>
    <w:rsid w:val="70DFF4C7"/>
    <w:rsid w:val="71068655"/>
    <w:rsid w:val="71B32843"/>
    <w:rsid w:val="729CBC1C"/>
    <w:rsid w:val="72D3BF39"/>
    <w:rsid w:val="73558683"/>
    <w:rsid w:val="73D6BE4D"/>
    <w:rsid w:val="744562EB"/>
    <w:rsid w:val="7551511A"/>
    <w:rsid w:val="76B1AA1C"/>
    <w:rsid w:val="76F106CD"/>
    <w:rsid w:val="77A833EA"/>
    <w:rsid w:val="77AC82B0"/>
    <w:rsid w:val="78349FBF"/>
    <w:rsid w:val="78AAF8B9"/>
    <w:rsid w:val="790BF46F"/>
    <w:rsid w:val="791A7C36"/>
    <w:rsid w:val="791EDBC7"/>
    <w:rsid w:val="79AA2445"/>
    <w:rsid w:val="79BA74AA"/>
    <w:rsid w:val="79DD837F"/>
    <w:rsid w:val="7A22AA44"/>
    <w:rsid w:val="7A256E24"/>
    <w:rsid w:val="7A4CABAD"/>
    <w:rsid w:val="7B66476A"/>
    <w:rsid w:val="7CC70B55"/>
    <w:rsid w:val="7E1C3A54"/>
    <w:rsid w:val="7E5E8F20"/>
    <w:rsid w:val="7EFFFE74"/>
    <w:rsid w:val="7F059FC6"/>
    <w:rsid w:val="7F0DB53B"/>
    <w:rsid w:val="7F3D9BA4"/>
    <w:rsid w:val="7F83276E"/>
    <w:rsid w:val="7FFB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AAC6CF7D-2988-4EBE-BA9E-EA63D967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C37980"/>
    <w:pPr>
      <w:spacing w:after="240" w:line="276" w:lineRule="auto"/>
      <w:outlineLvl w:val="1"/>
    </w:pPr>
    <w:rPr>
      <w:rFonts w:ascii="Arial" w:hAnsi="Arial" w:cs="Arial"/>
      <w:b/>
      <w:bCs/>
      <w:kern w:val="28"/>
      <w:sz w:val="26"/>
      <w:szCs w:val="26"/>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6"/>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C37980"/>
    <w:rPr>
      <w:rFonts w:ascii="Arial" w:hAnsi="Arial" w:cs="Arial"/>
      <w:b/>
      <w:bCs/>
      <w:kern w:val="28"/>
      <w:sz w:val="26"/>
      <w:szCs w:val="26"/>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uiPriority w:val="99"/>
    <w:semiHidden/>
    <w:unhideWhenUsed/>
    <w:rsid w:val="00A83962"/>
    <w:rPr>
      <w:sz w:val="16"/>
      <w:szCs w:val="16"/>
    </w:rPr>
  </w:style>
  <w:style w:type="paragraph" w:styleId="CommentText">
    <w:name w:val="annotation text"/>
    <w:basedOn w:val="Normal"/>
    <w:link w:val="CommentTextChar"/>
    <w:uiPriority w:val="99"/>
    <w:unhideWhenUsed/>
    <w:rsid w:val="00A83962"/>
  </w:style>
  <w:style w:type="character" w:customStyle="1" w:styleId="CommentTextChar">
    <w:name w:val="Comment Text Char"/>
    <w:basedOn w:val="DefaultParagraphFont"/>
    <w:link w:val="CommentText"/>
    <w:uiPriority w:val="99"/>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 w:type="character" w:customStyle="1" w:styleId="SubtitleChar">
    <w:name w:val="Subtitle Char"/>
    <w:basedOn w:val="DefaultParagraphFont"/>
    <w:link w:val="Subtitle0"/>
    <w:uiPriority w:val="11"/>
    <w:rsid w:val="00E83C2D"/>
    <w:rPr>
      <w:rFonts w:eastAsiaTheme="majorEastAsia" w:cstheme="majorBidi"/>
      <w:color w:val="595959" w:themeColor="text1" w:themeTint="A6"/>
      <w:spacing w:val="15"/>
      <w:sz w:val="28"/>
      <w:szCs w:val="28"/>
    </w:rPr>
  </w:style>
  <w:style w:type="paragraph" w:styleId="Subtitle0">
    <w:name w:val="Subtitle"/>
    <w:basedOn w:val="Normal"/>
    <w:next w:val="Normal"/>
    <w:link w:val="SubtitleChar"/>
    <w:uiPriority w:val="11"/>
    <w:qFormat/>
    <w:rsid w:val="00E83C2D"/>
    <w:pPr>
      <w:numPr>
        <w:ilvl w:val="1"/>
      </w:numPr>
      <w:spacing w:after="160" w:line="279" w:lineRule="auto"/>
    </w:pPr>
    <w:rPr>
      <w:rFonts w:eastAsiaTheme="majorEastAsia" w:cstheme="majorBidi"/>
      <w:color w:val="595959" w:themeColor="text1" w:themeTint="A6"/>
      <w:spacing w:val="15"/>
      <w:kern w:val="0"/>
      <w:sz w:val="28"/>
      <w:szCs w:val="28"/>
    </w:rPr>
  </w:style>
  <w:style w:type="character" w:customStyle="1" w:styleId="SubtitleChar1">
    <w:name w:val="Subtitle Char1"/>
    <w:basedOn w:val="DefaultParagraphFont"/>
    <w:rsid w:val="00E83C2D"/>
    <w:rPr>
      <w:rFonts w:asciiTheme="minorHAnsi" w:eastAsiaTheme="minorEastAsia" w:hAnsiTheme="minorHAnsi" w:cstheme="minorBidi"/>
      <w:color w:val="5A5A5A" w:themeColor="text1" w:themeTint="A5"/>
      <w:spacing w:val="15"/>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56">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232273942">
      <w:bodyDiv w:val="1"/>
      <w:marLeft w:val="0"/>
      <w:marRight w:val="0"/>
      <w:marTop w:val="0"/>
      <w:marBottom w:val="0"/>
      <w:divBdr>
        <w:top w:val="none" w:sz="0" w:space="0" w:color="auto"/>
        <w:left w:val="none" w:sz="0" w:space="0" w:color="auto"/>
        <w:bottom w:val="none" w:sz="0" w:space="0" w:color="auto"/>
        <w:right w:val="none" w:sz="0" w:space="0" w:color="auto"/>
      </w:divBdr>
      <w:divsChild>
        <w:div w:id="82727193">
          <w:marLeft w:val="0"/>
          <w:marRight w:val="0"/>
          <w:marTop w:val="0"/>
          <w:marBottom w:val="0"/>
          <w:divBdr>
            <w:top w:val="none" w:sz="0" w:space="0" w:color="auto"/>
            <w:left w:val="none" w:sz="0" w:space="0" w:color="auto"/>
            <w:bottom w:val="none" w:sz="0" w:space="0" w:color="auto"/>
            <w:right w:val="none" w:sz="0" w:space="0" w:color="auto"/>
          </w:divBdr>
          <w:divsChild>
            <w:div w:id="1354069327">
              <w:marLeft w:val="0"/>
              <w:marRight w:val="0"/>
              <w:marTop w:val="0"/>
              <w:marBottom w:val="0"/>
              <w:divBdr>
                <w:top w:val="none" w:sz="0" w:space="0" w:color="auto"/>
                <w:left w:val="none" w:sz="0" w:space="0" w:color="auto"/>
                <w:bottom w:val="none" w:sz="0" w:space="0" w:color="auto"/>
                <w:right w:val="none" w:sz="0" w:space="0" w:color="auto"/>
              </w:divBdr>
            </w:div>
          </w:divsChild>
        </w:div>
        <w:div w:id="412051972">
          <w:marLeft w:val="0"/>
          <w:marRight w:val="0"/>
          <w:marTop w:val="0"/>
          <w:marBottom w:val="0"/>
          <w:divBdr>
            <w:top w:val="none" w:sz="0" w:space="0" w:color="auto"/>
            <w:left w:val="none" w:sz="0" w:space="0" w:color="auto"/>
            <w:bottom w:val="none" w:sz="0" w:space="0" w:color="auto"/>
            <w:right w:val="none" w:sz="0" w:space="0" w:color="auto"/>
          </w:divBdr>
          <w:divsChild>
            <w:div w:id="157044172">
              <w:marLeft w:val="0"/>
              <w:marRight w:val="0"/>
              <w:marTop w:val="0"/>
              <w:marBottom w:val="0"/>
              <w:divBdr>
                <w:top w:val="none" w:sz="0" w:space="0" w:color="auto"/>
                <w:left w:val="none" w:sz="0" w:space="0" w:color="auto"/>
                <w:bottom w:val="none" w:sz="0" w:space="0" w:color="auto"/>
                <w:right w:val="none" w:sz="0" w:space="0" w:color="auto"/>
              </w:divBdr>
            </w:div>
          </w:divsChild>
        </w:div>
        <w:div w:id="582448870">
          <w:marLeft w:val="0"/>
          <w:marRight w:val="0"/>
          <w:marTop w:val="0"/>
          <w:marBottom w:val="0"/>
          <w:divBdr>
            <w:top w:val="none" w:sz="0" w:space="0" w:color="auto"/>
            <w:left w:val="none" w:sz="0" w:space="0" w:color="auto"/>
            <w:bottom w:val="none" w:sz="0" w:space="0" w:color="auto"/>
            <w:right w:val="none" w:sz="0" w:space="0" w:color="auto"/>
          </w:divBdr>
          <w:divsChild>
            <w:div w:id="371612736">
              <w:marLeft w:val="0"/>
              <w:marRight w:val="0"/>
              <w:marTop w:val="0"/>
              <w:marBottom w:val="0"/>
              <w:divBdr>
                <w:top w:val="none" w:sz="0" w:space="0" w:color="auto"/>
                <w:left w:val="none" w:sz="0" w:space="0" w:color="auto"/>
                <w:bottom w:val="none" w:sz="0" w:space="0" w:color="auto"/>
                <w:right w:val="none" w:sz="0" w:space="0" w:color="auto"/>
              </w:divBdr>
            </w:div>
          </w:divsChild>
        </w:div>
        <w:div w:id="802117970">
          <w:marLeft w:val="0"/>
          <w:marRight w:val="0"/>
          <w:marTop w:val="0"/>
          <w:marBottom w:val="0"/>
          <w:divBdr>
            <w:top w:val="none" w:sz="0" w:space="0" w:color="auto"/>
            <w:left w:val="none" w:sz="0" w:space="0" w:color="auto"/>
            <w:bottom w:val="none" w:sz="0" w:space="0" w:color="auto"/>
            <w:right w:val="none" w:sz="0" w:space="0" w:color="auto"/>
          </w:divBdr>
          <w:divsChild>
            <w:div w:id="1852186063">
              <w:marLeft w:val="0"/>
              <w:marRight w:val="0"/>
              <w:marTop w:val="0"/>
              <w:marBottom w:val="0"/>
              <w:divBdr>
                <w:top w:val="none" w:sz="0" w:space="0" w:color="auto"/>
                <w:left w:val="none" w:sz="0" w:space="0" w:color="auto"/>
                <w:bottom w:val="none" w:sz="0" w:space="0" w:color="auto"/>
                <w:right w:val="none" w:sz="0" w:space="0" w:color="auto"/>
              </w:divBdr>
            </w:div>
          </w:divsChild>
        </w:div>
        <w:div w:id="810244235">
          <w:marLeft w:val="0"/>
          <w:marRight w:val="0"/>
          <w:marTop w:val="0"/>
          <w:marBottom w:val="0"/>
          <w:divBdr>
            <w:top w:val="none" w:sz="0" w:space="0" w:color="auto"/>
            <w:left w:val="none" w:sz="0" w:space="0" w:color="auto"/>
            <w:bottom w:val="none" w:sz="0" w:space="0" w:color="auto"/>
            <w:right w:val="none" w:sz="0" w:space="0" w:color="auto"/>
          </w:divBdr>
          <w:divsChild>
            <w:div w:id="64110154">
              <w:marLeft w:val="0"/>
              <w:marRight w:val="0"/>
              <w:marTop w:val="0"/>
              <w:marBottom w:val="0"/>
              <w:divBdr>
                <w:top w:val="none" w:sz="0" w:space="0" w:color="auto"/>
                <w:left w:val="none" w:sz="0" w:space="0" w:color="auto"/>
                <w:bottom w:val="none" w:sz="0" w:space="0" w:color="auto"/>
                <w:right w:val="none" w:sz="0" w:space="0" w:color="auto"/>
              </w:divBdr>
            </w:div>
          </w:divsChild>
        </w:div>
        <w:div w:id="1382244804">
          <w:marLeft w:val="0"/>
          <w:marRight w:val="0"/>
          <w:marTop w:val="0"/>
          <w:marBottom w:val="0"/>
          <w:divBdr>
            <w:top w:val="none" w:sz="0" w:space="0" w:color="auto"/>
            <w:left w:val="none" w:sz="0" w:space="0" w:color="auto"/>
            <w:bottom w:val="none" w:sz="0" w:space="0" w:color="auto"/>
            <w:right w:val="none" w:sz="0" w:space="0" w:color="auto"/>
          </w:divBdr>
          <w:divsChild>
            <w:div w:id="322049972">
              <w:marLeft w:val="0"/>
              <w:marRight w:val="0"/>
              <w:marTop w:val="0"/>
              <w:marBottom w:val="0"/>
              <w:divBdr>
                <w:top w:val="none" w:sz="0" w:space="0" w:color="auto"/>
                <w:left w:val="none" w:sz="0" w:space="0" w:color="auto"/>
                <w:bottom w:val="none" w:sz="0" w:space="0" w:color="auto"/>
                <w:right w:val="none" w:sz="0" w:space="0" w:color="auto"/>
              </w:divBdr>
            </w:div>
          </w:divsChild>
        </w:div>
        <w:div w:id="1406996677">
          <w:marLeft w:val="0"/>
          <w:marRight w:val="0"/>
          <w:marTop w:val="0"/>
          <w:marBottom w:val="0"/>
          <w:divBdr>
            <w:top w:val="none" w:sz="0" w:space="0" w:color="auto"/>
            <w:left w:val="none" w:sz="0" w:space="0" w:color="auto"/>
            <w:bottom w:val="none" w:sz="0" w:space="0" w:color="auto"/>
            <w:right w:val="none" w:sz="0" w:space="0" w:color="auto"/>
          </w:divBdr>
          <w:divsChild>
            <w:div w:id="1366953286">
              <w:marLeft w:val="0"/>
              <w:marRight w:val="0"/>
              <w:marTop w:val="0"/>
              <w:marBottom w:val="0"/>
              <w:divBdr>
                <w:top w:val="none" w:sz="0" w:space="0" w:color="auto"/>
                <w:left w:val="none" w:sz="0" w:space="0" w:color="auto"/>
                <w:bottom w:val="none" w:sz="0" w:space="0" w:color="auto"/>
                <w:right w:val="none" w:sz="0" w:space="0" w:color="auto"/>
              </w:divBdr>
            </w:div>
          </w:divsChild>
        </w:div>
        <w:div w:id="1771971446">
          <w:marLeft w:val="0"/>
          <w:marRight w:val="0"/>
          <w:marTop w:val="0"/>
          <w:marBottom w:val="0"/>
          <w:divBdr>
            <w:top w:val="none" w:sz="0" w:space="0" w:color="auto"/>
            <w:left w:val="none" w:sz="0" w:space="0" w:color="auto"/>
            <w:bottom w:val="none" w:sz="0" w:space="0" w:color="auto"/>
            <w:right w:val="none" w:sz="0" w:space="0" w:color="auto"/>
          </w:divBdr>
          <w:divsChild>
            <w:div w:id="1858232359">
              <w:marLeft w:val="0"/>
              <w:marRight w:val="0"/>
              <w:marTop w:val="0"/>
              <w:marBottom w:val="0"/>
              <w:divBdr>
                <w:top w:val="none" w:sz="0" w:space="0" w:color="auto"/>
                <w:left w:val="none" w:sz="0" w:space="0" w:color="auto"/>
                <w:bottom w:val="none" w:sz="0" w:space="0" w:color="auto"/>
                <w:right w:val="none" w:sz="0" w:space="0" w:color="auto"/>
              </w:divBdr>
            </w:div>
          </w:divsChild>
        </w:div>
        <w:div w:id="1911958481">
          <w:marLeft w:val="0"/>
          <w:marRight w:val="0"/>
          <w:marTop w:val="0"/>
          <w:marBottom w:val="0"/>
          <w:divBdr>
            <w:top w:val="none" w:sz="0" w:space="0" w:color="auto"/>
            <w:left w:val="none" w:sz="0" w:space="0" w:color="auto"/>
            <w:bottom w:val="none" w:sz="0" w:space="0" w:color="auto"/>
            <w:right w:val="none" w:sz="0" w:space="0" w:color="auto"/>
          </w:divBdr>
          <w:divsChild>
            <w:div w:id="8932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134">
      <w:bodyDiv w:val="1"/>
      <w:marLeft w:val="0"/>
      <w:marRight w:val="0"/>
      <w:marTop w:val="0"/>
      <w:marBottom w:val="0"/>
      <w:divBdr>
        <w:top w:val="none" w:sz="0" w:space="0" w:color="auto"/>
        <w:left w:val="none" w:sz="0" w:space="0" w:color="auto"/>
        <w:bottom w:val="none" w:sz="0" w:space="0" w:color="auto"/>
        <w:right w:val="none" w:sz="0" w:space="0" w:color="auto"/>
      </w:divBdr>
    </w:div>
    <w:div w:id="445471480">
      <w:bodyDiv w:val="1"/>
      <w:marLeft w:val="0"/>
      <w:marRight w:val="0"/>
      <w:marTop w:val="0"/>
      <w:marBottom w:val="0"/>
      <w:divBdr>
        <w:top w:val="none" w:sz="0" w:space="0" w:color="auto"/>
        <w:left w:val="none" w:sz="0" w:space="0" w:color="auto"/>
        <w:bottom w:val="none" w:sz="0" w:space="0" w:color="auto"/>
        <w:right w:val="none" w:sz="0" w:space="0" w:color="auto"/>
      </w:divBdr>
      <w:divsChild>
        <w:div w:id="429589171">
          <w:marLeft w:val="0"/>
          <w:marRight w:val="0"/>
          <w:marTop w:val="0"/>
          <w:marBottom w:val="0"/>
          <w:divBdr>
            <w:top w:val="none" w:sz="0" w:space="0" w:color="auto"/>
            <w:left w:val="none" w:sz="0" w:space="0" w:color="auto"/>
            <w:bottom w:val="none" w:sz="0" w:space="0" w:color="auto"/>
            <w:right w:val="none" w:sz="0" w:space="0" w:color="auto"/>
          </w:divBdr>
          <w:divsChild>
            <w:div w:id="31000731">
              <w:marLeft w:val="0"/>
              <w:marRight w:val="0"/>
              <w:marTop w:val="0"/>
              <w:marBottom w:val="0"/>
              <w:divBdr>
                <w:top w:val="none" w:sz="0" w:space="0" w:color="auto"/>
                <w:left w:val="none" w:sz="0" w:space="0" w:color="auto"/>
                <w:bottom w:val="none" w:sz="0" w:space="0" w:color="auto"/>
                <w:right w:val="none" w:sz="0" w:space="0" w:color="auto"/>
              </w:divBdr>
            </w:div>
          </w:divsChild>
        </w:div>
        <w:div w:id="489296711">
          <w:marLeft w:val="0"/>
          <w:marRight w:val="0"/>
          <w:marTop w:val="0"/>
          <w:marBottom w:val="0"/>
          <w:divBdr>
            <w:top w:val="none" w:sz="0" w:space="0" w:color="auto"/>
            <w:left w:val="none" w:sz="0" w:space="0" w:color="auto"/>
            <w:bottom w:val="none" w:sz="0" w:space="0" w:color="auto"/>
            <w:right w:val="none" w:sz="0" w:space="0" w:color="auto"/>
          </w:divBdr>
          <w:divsChild>
            <w:div w:id="518741773">
              <w:marLeft w:val="0"/>
              <w:marRight w:val="0"/>
              <w:marTop w:val="0"/>
              <w:marBottom w:val="0"/>
              <w:divBdr>
                <w:top w:val="none" w:sz="0" w:space="0" w:color="auto"/>
                <w:left w:val="none" w:sz="0" w:space="0" w:color="auto"/>
                <w:bottom w:val="none" w:sz="0" w:space="0" w:color="auto"/>
                <w:right w:val="none" w:sz="0" w:space="0" w:color="auto"/>
              </w:divBdr>
            </w:div>
          </w:divsChild>
        </w:div>
        <w:div w:id="708259449">
          <w:marLeft w:val="0"/>
          <w:marRight w:val="0"/>
          <w:marTop w:val="0"/>
          <w:marBottom w:val="0"/>
          <w:divBdr>
            <w:top w:val="none" w:sz="0" w:space="0" w:color="auto"/>
            <w:left w:val="none" w:sz="0" w:space="0" w:color="auto"/>
            <w:bottom w:val="none" w:sz="0" w:space="0" w:color="auto"/>
            <w:right w:val="none" w:sz="0" w:space="0" w:color="auto"/>
          </w:divBdr>
          <w:divsChild>
            <w:div w:id="637615890">
              <w:marLeft w:val="0"/>
              <w:marRight w:val="0"/>
              <w:marTop w:val="0"/>
              <w:marBottom w:val="0"/>
              <w:divBdr>
                <w:top w:val="none" w:sz="0" w:space="0" w:color="auto"/>
                <w:left w:val="none" w:sz="0" w:space="0" w:color="auto"/>
                <w:bottom w:val="none" w:sz="0" w:space="0" w:color="auto"/>
                <w:right w:val="none" w:sz="0" w:space="0" w:color="auto"/>
              </w:divBdr>
            </w:div>
          </w:divsChild>
        </w:div>
        <w:div w:id="823163189">
          <w:marLeft w:val="0"/>
          <w:marRight w:val="0"/>
          <w:marTop w:val="0"/>
          <w:marBottom w:val="0"/>
          <w:divBdr>
            <w:top w:val="none" w:sz="0" w:space="0" w:color="auto"/>
            <w:left w:val="none" w:sz="0" w:space="0" w:color="auto"/>
            <w:bottom w:val="none" w:sz="0" w:space="0" w:color="auto"/>
            <w:right w:val="none" w:sz="0" w:space="0" w:color="auto"/>
          </w:divBdr>
          <w:divsChild>
            <w:div w:id="603348946">
              <w:marLeft w:val="0"/>
              <w:marRight w:val="0"/>
              <w:marTop w:val="0"/>
              <w:marBottom w:val="0"/>
              <w:divBdr>
                <w:top w:val="none" w:sz="0" w:space="0" w:color="auto"/>
                <w:left w:val="none" w:sz="0" w:space="0" w:color="auto"/>
                <w:bottom w:val="none" w:sz="0" w:space="0" w:color="auto"/>
                <w:right w:val="none" w:sz="0" w:space="0" w:color="auto"/>
              </w:divBdr>
            </w:div>
          </w:divsChild>
        </w:div>
        <w:div w:id="955336556">
          <w:marLeft w:val="0"/>
          <w:marRight w:val="0"/>
          <w:marTop w:val="0"/>
          <w:marBottom w:val="0"/>
          <w:divBdr>
            <w:top w:val="none" w:sz="0" w:space="0" w:color="auto"/>
            <w:left w:val="none" w:sz="0" w:space="0" w:color="auto"/>
            <w:bottom w:val="none" w:sz="0" w:space="0" w:color="auto"/>
            <w:right w:val="none" w:sz="0" w:space="0" w:color="auto"/>
          </w:divBdr>
          <w:divsChild>
            <w:div w:id="249630869">
              <w:marLeft w:val="0"/>
              <w:marRight w:val="0"/>
              <w:marTop w:val="0"/>
              <w:marBottom w:val="0"/>
              <w:divBdr>
                <w:top w:val="none" w:sz="0" w:space="0" w:color="auto"/>
                <w:left w:val="none" w:sz="0" w:space="0" w:color="auto"/>
                <w:bottom w:val="none" w:sz="0" w:space="0" w:color="auto"/>
                <w:right w:val="none" w:sz="0" w:space="0" w:color="auto"/>
              </w:divBdr>
            </w:div>
          </w:divsChild>
        </w:div>
        <w:div w:id="1067993583">
          <w:marLeft w:val="0"/>
          <w:marRight w:val="0"/>
          <w:marTop w:val="0"/>
          <w:marBottom w:val="0"/>
          <w:divBdr>
            <w:top w:val="none" w:sz="0" w:space="0" w:color="auto"/>
            <w:left w:val="none" w:sz="0" w:space="0" w:color="auto"/>
            <w:bottom w:val="none" w:sz="0" w:space="0" w:color="auto"/>
            <w:right w:val="none" w:sz="0" w:space="0" w:color="auto"/>
          </w:divBdr>
          <w:divsChild>
            <w:div w:id="64493908">
              <w:marLeft w:val="0"/>
              <w:marRight w:val="0"/>
              <w:marTop w:val="0"/>
              <w:marBottom w:val="0"/>
              <w:divBdr>
                <w:top w:val="none" w:sz="0" w:space="0" w:color="auto"/>
                <w:left w:val="none" w:sz="0" w:space="0" w:color="auto"/>
                <w:bottom w:val="none" w:sz="0" w:space="0" w:color="auto"/>
                <w:right w:val="none" w:sz="0" w:space="0" w:color="auto"/>
              </w:divBdr>
            </w:div>
          </w:divsChild>
        </w:div>
        <w:div w:id="1092314716">
          <w:marLeft w:val="0"/>
          <w:marRight w:val="0"/>
          <w:marTop w:val="0"/>
          <w:marBottom w:val="0"/>
          <w:divBdr>
            <w:top w:val="none" w:sz="0" w:space="0" w:color="auto"/>
            <w:left w:val="none" w:sz="0" w:space="0" w:color="auto"/>
            <w:bottom w:val="none" w:sz="0" w:space="0" w:color="auto"/>
            <w:right w:val="none" w:sz="0" w:space="0" w:color="auto"/>
          </w:divBdr>
          <w:divsChild>
            <w:div w:id="1889292252">
              <w:marLeft w:val="0"/>
              <w:marRight w:val="0"/>
              <w:marTop w:val="0"/>
              <w:marBottom w:val="0"/>
              <w:divBdr>
                <w:top w:val="none" w:sz="0" w:space="0" w:color="auto"/>
                <w:left w:val="none" w:sz="0" w:space="0" w:color="auto"/>
                <w:bottom w:val="none" w:sz="0" w:space="0" w:color="auto"/>
                <w:right w:val="none" w:sz="0" w:space="0" w:color="auto"/>
              </w:divBdr>
            </w:div>
          </w:divsChild>
        </w:div>
        <w:div w:id="1444183183">
          <w:marLeft w:val="0"/>
          <w:marRight w:val="0"/>
          <w:marTop w:val="0"/>
          <w:marBottom w:val="0"/>
          <w:divBdr>
            <w:top w:val="none" w:sz="0" w:space="0" w:color="auto"/>
            <w:left w:val="none" w:sz="0" w:space="0" w:color="auto"/>
            <w:bottom w:val="none" w:sz="0" w:space="0" w:color="auto"/>
            <w:right w:val="none" w:sz="0" w:space="0" w:color="auto"/>
          </w:divBdr>
          <w:divsChild>
            <w:div w:id="1980914256">
              <w:marLeft w:val="0"/>
              <w:marRight w:val="0"/>
              <w:marTop w:val="0"/>
              <w:marBottom w:val="0"/>
              <w:divBdr>
                <w:top w:val="none" w:sz="0" w:space="0" w:color="auto"/>
                <w:left w:val="none" w:sz="0" w:space="0" w:color="auto"/>
                <w:bottom w:val="none" w:sz="0" w:space="0" w:color="auto"/>
                <w:right w:val="none" w:sz="0" w:space="0" w:color="auto"/>
              </w:divBdr>
            </w:div>
          </w:divsChild>
        </w:div>
        <w:div w:id="1651670749">
          <w:marLeft w:val="0"/>
          <w:marRight w:val="0"/>
          <w:marTop w:val="0"/>
          <w:marBottom w:val="0"/>
          <w:divBdr>
            <w:top w:val="none" w:sz="0" w:space="0" w:color="auto"/>
            <w:left w:val="none" w:sz="0" w:space="0" w:color="auto"/>
            <w:bottom w:val="none" w:sz="0" w:space="0" w:color="auto"/>
            <w:right w:val="none" w:sz="0" w:space="0" w:color="auto"/>
          </w:divBdr>
          <w:divsChild>
            <w:div w:id="18181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61301876">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028799441">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23084917">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1619752955">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hdl.pharmacy.services.conduent.com/MHDL/pubcatpage.do?category=HSN+Formulary+-+Effective+1%2F12%2F202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lists/masshealth-pharmacy-facts-2016-current" TargetMode="External"/><Relationship Id="rId2" Type="http://schemas.openxmlformats.org/officeDocument/2006/relationships/customXml" Target="../customXml/item2.xml"/><Relationship Id="rId16" Type="http://schemas.openxmlformats.org/officeDocument/2006/relationships/hyperlink" Target="https://www.mass.gov/lists/masshealth-pharmacy-facts-2016-curre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cribereletter@massmail.state.m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b5940-75bc-45ad-ac59-94d28355690a" xsi:nil="true"/>
    <lcf76f155ced4ddcb4097134ff3c332f xmlns="9e22d557-8aef-492c-b90e-d88fa10ee1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29401901D17547BE89EBC023176444" ma:contentTypeVersion="13" ma:contentTypeDescription="Create a new document." ma:contentTypeScope="" ma:versionID="cc1bee5ba7822f56e77cd494c44e9b24">
  <xsd:schema xmlns:xsd="http://www.w3.org/2001/XMLSchema" xmlns:xs="http://www.w3.org/2001/XMLSchema" xmlns:p="http://schemas.microsoft.com/office/2006/metadata/properties" xmlns:ns2="9e22d557-8aef-492c-b90e-d88fa10ee1f7" xmlns:ns3="b36b5940-75bc-45ad-ac59-94d28355690a" targetNamespace="http://schemas.microsoft.com/office/2006/metadata/properties" ma:root="true" ma:fieldsID="016f54e8443940a1aa3f6bf01791acb4" ns2:_="" ns3:_="">
    <xsd:import namespace="9e22d557-8aef-492c-b90e-d88fa10ee1f7"/>
    <xsd:import namespace="b36b5940-75bc-45ad-ac59-94d283556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2d557-8aef-492c-b90e-d88fa10e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b5940-75bc-45ad-ac59-94d283556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644fca-87b8-409a-b840-a51d4231f728}" ma:internalName="TaxCatchAll" ma:showField="CatchAllData" ma:web="b36b5940-75bc-45ad-ac59-94d283556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b36b5940-75bc-45ad-ac59-94d28355690a"/>
    <ds:schemaRef ds:uri="9e22d557-8aef-492c-b90e-d88fa10ee1f7"/>
  </ds:schemaRefs>
</ds:datastoreItem>
</file>

<file path=customXml/itemProps2.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customXml/itemProps3.xml><?xml version="1.0" encoding="utf-8"?>
<ds:datastoreItem xmlns:ds="http://schemas.openxmlformats.org/officeDocument/2006/customXml" ds:itemID="{41F13855-629C-469B-8FE2-665052FE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2d557-8aef-492c-b90e-d88fa10ee1f7"/>
    <ds:schemaRef ds:uri="b36b5940-75bc-45ad-ac59-94d283556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45BA3-E273-40E8-A07E-588FCB9C4FB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3470</Characters>
  <Application>Microsoft Office Word</Application>
  <DocSecurity>0</DocSecurity>
  <Lines>28</Lines>
  <Paragraphs>7</Paragraphs>
  <ScaleCrop>false</ScaleCrop>
  <Company>Office of Health and Human Services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subject/>
  <dc:creator>MassHealth</dc:creator>
  <cp:keywords/>
  <cp:lastModifiedBy>Eisan, Jenna (EHS)</cp:lastModifiedBy>
  <cp:revision>17</cp:revision>
  <cp:lastPrinted>2024-10-17T09:48:00Z</cp:lastPrinted>
  <dcterms:created xsi:type="dcterms:W3CDTF">2025-12-23T17:14:00Z</dcterms:created>
  <dcterms:modified xsi:type="dcterms:W3CDTF">2025-12-24T13:33:00Z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0x0101007F29401901D17547BE89EBC023176444</vt:lpwstr>
  </property>
  <property fmtid="{D5CDD505-2E9C-101B-9397-08002B2CF9AE}" pid="3" name="MediaServiceImageTags">
    <vt:lpwstr/>
  </property>
</Properties>
</file>