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BC543" w14:textId="4E9B6525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012972EC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Logos of the Prescriber e-Letter and the MassHealth Pharmac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7C">
        <w:rPr>
          <w:color w:val="FFFFFF" w:themeColor="background1"/>
        </w:rPr>
        <w:t>The Prescriber e</w:t>
      </w:r>
      <w:bookmarkStart w:id="0" w:name="_GoBack"/>
      <w:bookmarkEnd w:id="0"/>
      <w:r w:rsidR="00CD7211" w:rsidRPr="00CD7211">
        <w:rPr>
          <w:color w:val="FFFFFF" w:themeColor="background1"/>
        </w:rPr>
        <w:t xml:space="preserve">-Letter, </w:t>
      </w:r>
      <w:r w:rsidR="00CD7211">
        <w:br w:type="textWrapping" w:clear="all"/>
      </w:r>
      <w:r w:rsidR="0050042A">
        <w:t>July</w:t>
      </w:r>
      <w:r w:rsidR="00160AF4">
        <w:t xml:space="preserve"> </w:t>
      </w:r>
      <w:r w:rsidR="00664C25">
        <w:t>2021</w:t>
      </w:r>
      <w:r w:rsidR="00AD42BB" w:rsidRPr="00AD42BB">
        <w:t xml:space="preserve"> </w:t>
      </w:r>
      <w:r w:rsidR="00AD42BB" w:rsidRPr="000C7CA4">
        <w:t xml:space="preserve">Volume </w:t>
      </w:r>
      <w:r w:rsidR="00664C25" w:rsidRPr="000C7CA4">
        <w:t>11,</w:t>
      </w:r>
      <w:r w:rsidR="00AD42BB" w:rsidRPr="000C7CA4">
        <w:t xml:space="preserve"> Issue </w:t>
      </w:r>
      <w:r w:rsidR="00034032">
        <w:t>3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8109A6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288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4F79017" w14:textId="18954744" w:rsidR="00C656AF" w:rsidRPr="00CF2078" w:rsidRDefault="00664C25" w:rsidP="000A445A">
      <w:pPr>
        <w:pStyle w:val="Heading2"/>
        <w:framePr w:hSpace="0" w:wrap="auto" w:vAnchor="margin" w:yAlign="inline"/>
        <w:spacing w:before="0"/>
      </w:pPr>
      <w:bookmarkStart w:id="1" w:name="_Hlk63160333"/>
      <w:r w:rsidRPr="00664C25">
        <w:t xml:space="preserve"> </w:t>
      </w:r>
      <w:r w:rsidR="00034032">
        <w:rPr>
          <w:noProof/>
        </w:rPr>
        <w:t>Continuous Glucose Monitoring</w:t>
      </w:r>
      <w:r w:rsidR="00C656AF" w:rsidRPr="00CF2078">
        <w:t xml:space="preserve"> </w:t>
      </w:r>
      <w:r>
        <w:t xml:space="preserve"> </w:t>
      </w:r>
    </w:p>
    <w:p w14:paraId="385FA052" w14:textId="77777777" w:rsidR="00C656AF" w:rsidRPr="00F9023B" w:rsidRDefault="00C656AF" w:rsidP="000A445A">
      <w:pPr>
        <w:widowControl w:val="0"/>
        <w:rPr>
          <w:lang w:val="en"/>
        </w:rPr>
      </w:pPr>
    </w:p>
    <w:p w14:paraId="26DF825B" w14:textId="1A33906D" w:rsidR="004062A2" w:rsidRDefault="004062A2" w:rsidP="00D000E0">
      <w:pPr>
        <w:pStyle w:val="BodyText"/>
        <w:ind w:right="38"/>
        <w:rPr>
          <w:sz w:val="22"/>
          <w:szCs w:val="22"/>
        </w:rPr>
      </w:pPr>
      <w:r>
        <w:rPr>
          <w:sz w:val="22"/>
          <w:szCs w:val="22"/>
        </w:rPr>
        <w:t>Different types of continuous glucose monitoring (CGM) that currently exist include real</w:t>
      </w:r>
      <w:r w:rsidR="001847E5">
        <w:rPr>
          <w:sz w:val="22"/>
          <w:szCs w:val="22"/>
        </w:rPr>
        <w:t>-</w:t>
      </w:r>
      <w:r>
        <w:rPr>
          <w:sz w:val="22"/>
          <w:szCs w:val="22"/>
        </w:rPr>
        <w:t>time continuous glucose monitor</w:t>
      </w:r>
      <w:r w:rsidR="005C5219">
        <w:rPr>
          <w:sz w:val="22"/>
          <w:szCs w:val="22"/>
        </w:rPr>
        <w:t>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rtCGM</w:t>
      </w:r>
      <w:proofErr w:type="spellEnd"/>
      <w:r>
        <w:rPr>
          <w:sz w:val="22"/>
          <w:szCs w:val="22"/>
        </w:rPr>
        <w:t>)</w:t>
      </w:r>
      <w:r w:rsidR="00144445">
        <w:rPr>
          <w:sz w:val="22"/>
          <w:szCs w:val="22"/>
        </w:rPr>
        <w:t>,</w:t>
      </w:r>
      <w:r w:rsidR="005F6669">
        <w:rPr>
          <w:sz w:val="22"/>
          <w:szCs w:val="22"/>
        </w:rPr>
        <w:t xml:space="preserve"> such as </w:t>
      </w:r>
      <w:proofErr w:type="spellStart"/>
      <w:r w:rsidR="005F6669">
        <w:rPr>
          <w:sz w:val="22"/>
          <w:szCs w:val="22"/>
        </w:rPr>
        <w:t>Dexcom</w:t>
      </w:r>
      <w:proofErr w:type="spellEnd"/>
      <w:r w:rsidR="005F6669">
        <w:rPr>
          <w:sz w:val="22"/>
          <w:szCs w:val="22"/>
        </w:rPr>
        <w:t xml:space="preserve"> G6</w:t>
      </w:r>
      <w:r w:rsidR="005F6669" w:rsidRPr="00395F26">
        <w:rPr>
          <w:sz w:val="22"/>
          <w:szCs w:val="22"/>
          <w:vertAlign w:val="superscript"/>
        </w:rPr>
        <w:t>®</w:t>
      </w:r>
      <w:r w:rsidR="005F6669">
        <w:rPr>
          <w:sz w:val="22"/>
          <w:szCs w:val="22"/>
        </w:rPr>
        <w:t xml:space="preserve"> and Medtronic Guardian</w:t>
      </w:r>
      <w:r w:rsidR="005F6669" w:rsidRPr="00395F26">
        <w:rPr>
          <w:sz w:val="22"/>
          <w:szCs w:val="22"/>
          <w:vertAlign w:val="superscript"/>
        </w:rPr>
        <w:t>®</w:t>
      </w:r>
      <w:r w:rsidR="001847E5" w:rsidRPr="00321746">
        <w:rPr>
          <w:sz w:val="22"/>
          <w:szCs w:val="22"/>
        </w:rPr>
        <w:t>,</w:t>
      </w:r>
      <w:r>
        <w:rPr>
          <w:sz w:val="22"/>
          <w:szCs w:val="22"/>
        </w:rPr>
        <w:t xml:space="preserve"> which measure and display glucose levels continuously</w:t>
      </w:r>
      <w:r w:rsidR="001847E5">
        <w:rPr>
          <w:sz w:val="22"/>
          <w:szCs w:val="22"/>
        </w:rPr>
        <w:t xml:space="preserve">; </w:t>
      </w:r>
      <w:r>
        <w:rPr>
          <w:sz w:val="22"/>
          <w:szCs w:val="22"/>
        </w:rPr>
        <w:t>intermittently scanned continuous glucose monitor</w:t>
      </w:r>
      <w:r w:rsidR="00301BD1">
        <w:rPr>
          <w:sz w:val="22"/>
          <w:szCs w:val="22"/>
        </w:rPr>
        <w:t>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isCGM</w:t>
      </w:r>
      <w:proofErr w:type="spellEnd"/>
      <w:r>
        <w:rPr>
          <w:sz w:val="22"/>
          <w:szCs w:val="22"/>
        </w:rPr>
        <w:t>)</w:t>
      </w:r>
      <w:r w:rsidR="00144445">
        <w:rPr>
          <w:sz w:val="22"/>
          <w:szCs w:val="22"/>
        </w:rPr>
        <w:t>,</w:t>
      </w:r>
      <w:r w:rsidR="005F6669">
        <w:rPr>
          <w:sz w:val="22"/>
          <w:szCs w:val="22"/>
        </w:rPr>
        <w:t xml:space="preserve"> such as Freestyle Libre</w:t>
      </w:r>
      <w:r w:rsidR="005F6669" w:rsidRPr="00395F26">
        <w:rPr>
          <w:sz w:val="22"/>
          <w:szCs w:val="22"/>
          <w:vertAlign w:val="superscript"/>
        </w:rPr>
        <w:t>®</w:t>
      </w:r>
      <w:r w:rsidR="005F6669">
        <w:rPr>
          <w:sz w:val="22"/>
          <w:szCs w:val="22"/>
        </w:rPr>
        <w:t xml:space="preserve"> 14-day and Freestyle Libre</w:t>
      </w:r>
      <w:r w:rsidR="005F6669" w:rsidRPr="00395F26">
        <w:rPr>
          <w:sz w:val="22"/>
          <w:szCs w:val="22"/>
          <w:vertAlign w:val="superscript"/>
        </w:rPr>
        <w:t>®</w:t>
      </w:r>
      <w:r w:rsidR="005F6669">
        <w:rPr>
          <w:sz w:val="22"/>
          <w:szCs w:val="22"/>
        </w:rPr>
        <w:t xml:space="preserve"> 2</w:t>
      </w:r>
      <w:r w:rsidR="001847E5">
        <w:rPr>
          <w:sz w:val="22"/>
          <w:szCs w:val="22"/>
        </w:rPr>
        <w:t>,</w:t>
      </w:r>
      <w:r>
        <w:rPr>
          <w:sz w:val="22"/>
          <w:szCs w:val="22"/>
        </w:rPr>
        <w:t xml:space="preserve"> which measure glucose levels </w:t>
      </w:r>
      <w:r w:rsidR="005824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continuously while displaying values </w:t>
      </w:r>
      <w:r w:rsidR="005824F4">
        <w:rPr>
          <w:sz w:val="22"/>
          <w:szCs w:val="22"/>
        </w:rPr>
        <w:t xml:space="preserve">only </w:t>
      </w:r>
      <w:r>
        <w:rPr>
          <w:sz w:val="22"/>
          <w:szCs w:val="22"/>
        </w:rPr>
        <w:t>when swiped by a reader or smartphone</w:t>
      </w:r>
      <w:r w:rsidR="001847E5">
        <w:rPr>
          <w:sz w:val="22"/>
          <w:szCs w:val="22"/>
        </w:rPr>
        <w:t xml:space="preserve">; </w:t>
      </w:r>
      <w:r>
        <w:rPr>
          <w:sz w:val="22"/>
          <w:szCs w:val="22"/>
        </w:rPr>
        <w:t>and professional continuous glucose monitors</w:t>
      </w:r>
      <w:r w:rsidR="001847E5">
        <w:rPr>
          <w:sz w:val="22"/>
          <w:szCs w:val="22"/>
        </w:rPr>
        <w:t>,</w:t>
      </w:r>
      <w:r>
        <w:rPr>
          <w:sz w:val="22"/>
          <w:szCs w:val="22"/>
        </w:rPr>
        <w:t xml:space="preserve"> which are worn for a set period of time and are not fully owned by patients.</w:t>
      </w:r>
    </w:p>
    <w:p w14:paraId="3316DD7E" w14:textId="0F3BFAA6" w:rsidR="004062A2" w:rsidRDefault="004062A2" w:rsidP="000A445A">
      <w:pPr>
        <w:pStyle w:val="BodyText"/>
        <w:ind w:left="119" w:right="38"/>
        <w:rPr>
          <w:sz w:val="22"/>
          <w:szCs w:val="22"/>
        </w:rPr>
      </w:pPr>
    </w:p>
    <w:p w14:paraId="0B0B7DE9" w14:textId="58220C3C" w:rsidR="004062A2" w:rsidRDefault="004062A2" w:rsidP="00D000E0">
      <w:pPr>
        <w:pStyle w:val="BodyText"/>
        <w:ind w:right="38"/>
        <w:rPr>
          <w:sz w:val="22"/>
          <w:szCs w:val="22"/>
        </w:rPr>
      </w:pPr>
      <w:r>
        <w:rPr>
          <w:sz w:val="22"/>
          <w:szCs w:val="22"/>
        </w:rPr>
        <w:t>The Standards of Medical Care in Diabetes 2021 notes that when these devices are used</w:t>
      </w:r>
      <w:r w:rsidR="00301BD1">
        <w:rPr>
          <w:sz w:val="22"/>
          <w:szCs w:val="22"/>
        </w:rPr>
        <w:t xml:space="preserve"> as</w:t>
      </w:r>
      <w:r>
        <w:rPr>
          <w:sz w:val="22"/>
          <w:szCs w:val="22"/>
        </w:rPr>
        <w:t xml:space="preserve"> close to daily as possible</w:t>
      </w:r>
      <w:r w:rsidR="00301BD1">
        <w:rPr>
          <w:sz w:val="22"/>
          <w:szCs w:val="22"/>
        </w:rPr>
        <w:t xml:space="preserve"> (such as with </w:t>
      </w:r>
      <w:proofErr w:type="spellStart"/>
      <w:r w:rsidR="00301BD1">
        <w:rPr>
          <w:sz w:val="22"/>
          <w:szCs w:val="22"/>
        </w:rPr>
        <w:t>rtCGM</w:t>
      </w:r>
      <w:proofErr w:type="spellEnd"/>
      <w:r w:rsidR="00301BD1">
        <w:rPr>
          <w:sz w:val="22"/>
          <w:szCs w:val="22"/>
        </w:rPr>
        <w:t>, which must be used at least every eight hours or data will be lost)</w:t>
      </w:r>
      <w:r>
        <w:rPr>
          <w:sz w:val="22"/>
          <w:szCs w:val="22"/>
        </w:rPr>
        <w:t xml:space="preserve"> and patients receive adequate education, training, and support, CGM can aid </w:t>
      </w:r>
      <w:r w:rsidR="00D000E0">
        <w:rPr>
          <w:sz w:val="22"/>
          <w:szCs w:val="22"/>
        </w:rPr>
        <w:t>in identifying and correcting patterns of hyper- and hypoglycemia to improve HgbA1c levels.</w:t>
      </w:r>
    </w:p>
    <w:p w14:paraId="3F2F86FF" w14:textId="77777777" w:rsidR="004062A2" w:rsidRDefault="004062A2" w:rsidP="00091661">
      <w:pPr>
        <w:pStyle w:val="BodyText"/>
        <w:ind w:right="38"/>
        <w:rPr>
          <w:sz w:val="22"/>
          <w:szCs w:val="22"/>
        </w:rPr>
      </w:pPr>
    </w:p>
    <w:p w14:paraId="190C982D" w14:textId="1AA72796" w:rsidR="00664C25" w:rsidRPr="00034032" w:rsidRDefault="00580E13" w:rsidP="00D000E0">
      <w:pPr>
        <w:pStyle w:val="BodyText"/>
        <w:ind w:right="38"/>
        <w:rPr>
          <w:sz w:val="22"/>
          <w:szCs w:val="22"/>
        </w:rPr>
      </w:pPr>
      <w:r>
        <w:rPr>
          <w:sz w:val="22"/>
          <w:szCs w:val="22"/>
        </w:rPr>
        <w:t xml:space="preserve">In order to expand access to CGM products for </w:t>
      </w:r>
      <w:proofErr w:type="spellStart"/>
      <w:r>
        <w:rPr>
          <w:sz w:val="22"/>
          <w:szCs w:val="22"/>
        </w:rPr>
        <w:t>MassHealth</w:t>
      </w:r>
      <w:proofErr w:type="spellEnd"/>
      <w:r>
        <w:rPr>
          <w:sz w:val="22"/>
          <w:szCs w:val="22"/>
        </w:rPr>
        <w:t xml:space="preserve"> members, e</w:t>
      </w:r>
      <w:r w:rsidR="00034032">
        <w:rPr>
          <w:sz w:val="22"/>
          <w:szCs w:val="22"/>
        </w:rPr>
        <w:t xml:space="preserve">ffective </w:t>
      </w:r>
      <w:r w:rsidR="00034032">
        <w:rPr>
          <w:b/>
          <w:bCs/>
          <w:sz w:val="22"/>
          <w:szCs w:val="22"/>
        </w:rPr>
        <w:t>January 1, 2021</w:t>
      </w:r>
      <w:r w:rsidR="00034032" w:rsidRPr="002E30B8">
        <w:rPr>
          <w:sz w:val="22"/>
          <w:szCs w:val="22"/>
        </w:rPr>
        <w:t>,</w:t>
      </w:r>
      <w:r w:rsidR="00034032">
        <w:rPr>
          <w:sz w:val="22"/>
          <w:szCs w:val="22"/>
        </w:rPr>
        <w:t xml:space="preserve"> </w:t>
      </w:r>
      <w:proofErr w:type="spellStart"/>
      <w:r w:rsidR="00034032">
        <w:rPr>
          <w:sz w:val="22"/>
          <w:szCs w:val="22"/>
        </w:rPr>
        <w:t>Dexcom</w:t>
      </w:r>
      <w:proofErr w:type="spellEnd"/>
      <w:r w:rsidR="00034032">
        <w:rPr>
          <w:sz w:val="22"/>
          <w:szCs w:val="22"/>
        </w:rPr>
        <w:t xml:space="preserve"> G6, Freestyle Libre 2, and Freestyle Libre 14-day</w:t>
      </w:r>
      <w:r w:rsidR="005C5219">
        <w:rPr>
          <w:sz w:val="22"/>
          <w:szCs w:val="22"/>
        </w:rPr>
        <w:t xml:space="preserve"> </w:t>
      </w:r>
      <w:r w:rsidR="00035460">
        <w:rPr>
          <w:sz w:val="22"/>
          <w:szCs w:val="22"/>
        </w:rPr>
        <w:t>will be</w:t>
      </w:r>
      <w:r w:rsidR="00C92B7A">
        <w:rPr>
          <w:sz w:val="22"/>
          <w:szCs w:val="22"/>
        </w:rPr>
        <w:t xml:space="preserve"> covered through </w:t>
      </w:r>
      <w:r w:rsidR="004E574E">
        <w:rPr>
          <w:sz w:val="22"/>
          <w:szCs w:val="22"/>
        </w:rPr>
        <w:t xml:space="preserve">the </w:t>
      </w:r>
      <w:r w:rsidR="00C92B7A">
        <w:rPr>
          <w:sz w:val="22"/>
          <w:szCs w:val="22"/>
        </w:rPr>
        <w:t xml:space="preserve">pharmacy benefit </w:t>
      </w:r>
      <w:r w:rsidR="005C5219">
        <w:rPr>
          <w:sz w:val="22"/>
          <w:szCs w:val="22"/>
        </w:rPr>
        <w:t xml:space="preserve">with a prior authorization </w:t>
      </w:r>
      <w:r w:rsidR="001847E5">
        <w:rPr>
          <w:sz w:val="22"/>
          <w:szCs w:val="22"/>
        </w:rPr>
        <w:t xml:space="preserve">(PA) </w:t>
      </w:r>
      <w:r w:rsidR="005C5219">
        <w:rPr>
          <w:sz w:val="22"/>
          <w:szCs w:val="22"/>
        </w:rPr>
        <w:t>requirement</w:t>
      </w:r>
      <w:r w:rsidR="00034032">
        <w:rPr>
          <w:sz w:val="22"/>
          <w:szCs w:val="22"/>
        </w:rPr>
        <w:t xml:space="preserve">; previously, these devices were available </w:t>
      </w:r>
      <w:r w:rsidR="001847E5">
        <w:rPr>
          <w:sz w:val="22"/>
          <w:szCs w:val="22"/>
        </w:rPr>
        <w:t xml:space="preserve">only </w:t>
      </w:r>
      <w:r w:rsidR="00034032">
        <w:rPr>
          <w:sz w:val="22"/>
          <w:szCs w:val="22"/>
        </w:rPr>
        <w:t xml:space="preserve">through </w:t>
      </w:r>
      <w:r w:rsidR="005824F4">
        <w:rPr>
          <w:sz w:val="22"/>
          <w:szCs w:val="22"/>
        </w:rPr>
        <w:t>the</w:t>
      </w:r>
      <w:r w:rsidR="00C616DA">
        <w:rPr>
          <w:sz w:val="22"/>
          <w:szCs w:val="22"/>
        </w:rPr>
        <w:t xml:space="preserve"> durable medical equipment </w:t>
      </w:r>
      <w:r w:rsidR="00034032">
        <w:rPr>
          <w:sz w:val="22"/>
          <w:szCs w:val="22"/>
        </w:rPr>
        <w:t>(DME)</w:t>
      </w:r>
      <w:r w:rsidR="005C5219">
        <w:rPr>
          <w:sz w:val="22"/>
          <w:szCs w:val="22"/>
        </w:rPr>
        <w:t xml:space="preserve"> benefit</w:t>
      </w:r>
      <w:r w:rsidR="00034032">
        <w:rPr>
          <w:sz w:val="22"/>
          <w:szCs w:val="22"/>
        </w:rPr>
        <w:t xml:space="preserve">. </w:t>
      </w:r>
      <w:r w:rsidR="005F6669">
        <w:rPr>
          <w:sz w:val="22"/>
          <w:szCs w:val="22"/>
        </w:rPr>
        <w:t xml:space="preserve">Of note, all devices available through the </w:t>
      </w:r>
      <w:proofErr w:type="spellStart"/>
      <w:r w:rsidR="005F6669">
        <w:rPr>
          <w:sz w:val="22"/>
          <w:szCs w:val="22"/>
        </w:rPr>
        <w:t>MassHealth</w:t>
      </w:r>
      <w:proofErr w:type="spellEnd"/>
      <w:r w:rsidR="005F6669">
        <w:rPr>
          <w:sz w:val="22"/>
          <w:szCs w:val="22"/>
        </w:rPr>
        <w:t xml:space="preserve"> pharmacy benefit do not require </w:t>
      </w:r>
      <w:proofErr w:type="spellStart"/>
      <w:r w:rsidR="005F6669">
        <w:rPr>
          <w:sz w:val="22"/>
          <w:szCs w:val="22"/>
        </w:rPr>
        <w:t>fingerstick</w:t>
      </w:r>
      <w:proofErr w:type="spellEnd"/>
      <w:r w:rsidR="005F6669">
        <w:rPr>
          <w:sz w:val="22"/>
          <w:szCs w:val="22"/>
        </w:rPr>
        <w:t xml:space="preserve"> calibration and are approved for dosing decisions without testing.</w:t>
      </w:r>
    </w:p>
    <w:p w14:paraId="1336AFAC" w14:textId="77777777" w:rsidR="00664C25" w:rsidRPr="00664C25" w:rsidRDefault="00664C25" w:rsidP="000A445A">
      <w:pPr>
        <w:pStyle w:val="BodyText"/>
        <w:rPr>
          <w:sz w:val="22"/>
          <w:szCs w:val="22"/>
        </w:rPr>
      </w:pPr>
    </w:p>
    <w:p w14:paraId="3401EE04" w14:textId="4595F1B3" w:rsidR="00664C25" w:rsidRPr="004070AC" w:rsidRDefault="004070AC" w:rsidP="000A445A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Table 1. Continuous Glucose Monitoring Devices</w:t>
      </w:r>
    </w:p>
    <w:tbl>
      <w:tblPr>
        <w:tblpPr w:leftFromText="180" w:rightFromText="180" w:vertAnchor="text" w:horzAnchor="margin" w:tblpY="10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2061"/>
      </w:tblGrid>
      <w:tr w:rsidR="004070AC" w:rsidRPr="007D3662" w14:paraId="4CBA71A3" w14:textId="77777777" w:rsidTr="002E30B8">
        <w:trPr>
          <w:tblHeader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5BBF28" w14:textId="6D164A75" w:rsidR="004070AC" w:rsidRPr="007D3662" w:rsidRDefault="004070AC" w:rsidP="004070A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Products</w:t>
            </w:r>
            <w:r w:rsidRPr="007D3662">
              <w:rPr>
                <w:b/>
                <w:sz w:val="22"/>
                <w:szCs w:val="22"/>
              </w:rPr>
              <w:t xml:space="preserve"> </w:t>
            </w:r>
            <w:r w:rsidR="00035460">
              <w:rPr>
                <w:b/>
                <w:sz w:val="22"/>
                <w:szCs w:val="22"/>
              </w:rPr>
              <w:t>T</w:t>
            </w:r>
            <w:r w:rsidRPr="007D3662">
              <w:rPr>
                <w:b/>
                <w:sz w:val="22"/>
                <w:szCs w:val="22"/>
              </w:rPr>
              <w:t xml:space="preserve">hat </w:t>
            </w:r>
            <w:r w:rsidR="00035460">
              <w:rPr>
                <w:b/>
                <w:sz w:val="22"/>
                <w:szCs w:val="22"/>
              </w:rPr>
              <w:t>R</w:t>
            </w:r>
            <w:r w:rsidRPr="007D3662">
              <w:rPr>
                <w:b/>
                <w:sz w:val="22"/>
                <w:szCs w:val="22"/>
              </w:rPr>
              <w:t>equire PA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C10A72" w14:textId="77777777" w:rsidR="004070AC" w:rsidRPr="007D3662" w:rsidRDefault="004070AC" w:rsidP="004070A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7D3662">
              <w:rPr>
                <w:b/>
                <w:sz w:val="22"/>
                <w:szCs w:val="22"/>
              </w:rPr>
              <w:t>No PA</w:t>
            </w:r>
          </w:p>
        </w:tc>
      </w:tr>
      <w:tr w:rsidR="004070AC" w:rsidRPr="007D3662" w14:paraId="2A84A0BD" w14:textId="77777777" w:rsidTr="002E30B8">
        <w:trPr>
          <w:trHeight w:val="127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49DE" w14:textId="77777777" w:rsidR="004070AC" w:rsidRPr="001B26A5" w:rsidRDefault="004070AC" w:rsidP="004070AC">
            <w:pPr>
              <w:rPr>
                <w:sz w:val="22"/>
                <w:szCs w:val="22"/>
              </w:rPr>
            </w:pPr>
            <w:proofErr w:type="spellStart"/>
            <w:r w:rsidRPr="001B26A5">
              <w:rPr>
                <w:sz w:val="22"/>
                <w:szCs w:val="22"/>
              </w:rPr>
              <w:t>Dexcom</w:t>
            </w:r>
            <w:proofErr w:type="spellEnd"/>
            <w:r>
              <w:rPr>
                <w:sz w:val="22"/>
                <w:szCs w:val="22"/>
              </w:rPr>
              <w:t xml:space="preserve"> G6</w:t>
            </w:r>
            <w:r w:rsidRPr="00395F26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0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6C8059" w14:textId="77777777" w:rsidR="004070AC" w:rsidRPr="007D3662" w:rsidRDefault="004070AC" w:rsidP="004070AC">
            <w:pPr>
              <w:rPr>
                <w:sz w:val="22"/>
                <w:szCs w:val="22"/>
              </w:rPr>
            </w:pPr>
          </w:p>
        </w:tc>
      </w:tr>
      <w:tr w:rsidR="004070AC" w:rsidRPr="007D3662" w14:paraId="714282B0" w14:textId="77777777" w:rsidTr="002E30B8">
        <w:trPr>
          <w:trHeight w:val="127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344C" w14:textId="77777777" w:rsidR="004070AC" w:rsidRPr="001B26A5" w:rsidRDefault="004070AC" w:rsidP="004070AC">
            <w:pPr>
              <w:rPr>
                <w:sz w:val="22"/>
                <w:szCs w:val="22"/>
              </w:rPr>
            </w:pPr>
            <w:r w:rsidRPr="001B26A5">
              <w:rPr>
                <w:sz w:val="22"/>
                <w:szCs w:val="22"/>
              </w:rPr>
              <w:t>Freestyle Libre</w:t>
            </w:r>
            <w:r>
              <w:rPr>
                <w:sz w:val="22"/>
                <w:szCs w:val="22"/>
              </w:rPr>
              <w:t xml:space="preserve"> 14 day</w:t>
            </w:r>
            <w:r w:rsidRPr="00395F26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3E25F2" w14:textId="77777777" w:rsidR="004070AC" w:rsidRPr="007D3662" w:rsidRDefault="004070AC" w:rsidP="004070AC">
            <w:pPr>
              <w:rPr>
                <w:sz w:val="22"/>
                <w:szCs w:val="22"/>
              </w:rPr>
            </w:pPr>
          </w:p>
        </w:tc>
      </w:tr>
      <w:tr w:rsidR="004070AC" w:rsidRPr="007D3662" w14:paraId="2E183C99" w14:textId="77777777" w:rsidTr="002E30B8">
        <w:trPr>
          <w:trHeight w:val="287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C889C" w14:textId="77777777" w:rsidR="004070AC" w:rsidRPr="001B26A5" w:rsidRDefault="004070AC" w:rsidP="004070AC">
            <w:pPr>
              <w:rPr>
                <w:sz w:val="22"/>
                <w:szCs w:val="22"/>
              </w:rPr>
            </w:pPr>
            <w:r w:rsidRPr="001B26A5">
              <w:rPr>
                <w:sz w:val="22"/>
                <w:szCs w:val="22"/>
              </w:rPr>
              <w:t>Freestyle Libre</w:t>
            </w:r>
            <w:r>
              <w:rPr>
                <w:sz w:val="22"/>
                <w:szCs w:val="22"/>
              </w:rPr>
              <w:t xml:space="preserve"> 2</w:t>
            </w:r>
            <w:r w:rsidRPr="00395F26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0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318716" w14:textId="77777777" w:rsidR="004070AC" w:rsidRPr="007D3662" w:rsidRDefault="004070AC" w:rsidP="004070AC">
            <w:pPr>
              <w:rPr>
                <w:sz w:val="22"/>
                <w:szCs w:val="22"/>
              </w:rPr>
            </w:pPr>
          </w:p>
        </w:tc>
      </w:tr>
    </w:tbl>
    <w:p w14:paraId="7E383C5B" w14:textId="1EF7A506" w:rsidR="007C1128" w:rsidRDefault="00B3010A" w:rsidP="000A445A">
      <w:pPr>
        <w:pStyle w:val="BodyTex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br/>
      </w:r>
    </w:p>
    <w:p w14:paraId="5E9DC06A" w14:textId="400F6FE2" w:rsidR="0024736A" w:rsidRDefault="007C1128" w:rsidP="00B3010A">
      <w:pPr>
        <w:pStyle w:val="BodyText"/>
        <w:keepLines/>
        <w:ind w:right="173"/>
        <w:rPr>
          <w:sz w:val="22"/>
          <w:szCs w:val="22"/>
        </w:rPr>
      </w:pPr>
      <w:proofErr w:type="spellStart"/>
      <w:r>
        <w:rPr>
          <w:sz w:val="22"/>
          <w:szCs w:val="22"/>
        </w:rPr>
        <w:t>Dexcom</w:t>
      </w:r>
      <w:proofErr w:type="spellEnd"/>
      <w:r>
        <w:rPr>
          <w:sz w:val="22"/>
          <w:szCs w:val="22"/>
        </w:rPr>
        <w:t xml:space="preserve"> G6 and Freestyle Libre devices may still be obtained through the DME benefit</w:t>
      </w:r>
      <w:r w:rsidR="00C616DA">
        <w:rPr>
          <w:sz w:val="22"/>
          <w:szCs w:val="22"/>
        </w:rPr>
        <w:t>,</w:t>
      </w:r>
      <w:r>
        <w:rPr>
          <w:sz w:val="22"/>
          <w:szCs w:val="22"/>
        </w:rPr>
        <w:t xml:space="preserve"> while the Medtronic Guardian remains covered by DME only.</w:t>
      </w:r>
    </w:p>
    <w:p w14:paraId="3D6F4191" w14:textId="77777777" w:rsidR="0024736A" w:rsidRDefault="0024736A" w:rsidP="00B3010A">
      <w:pPr>
        <w:pStyle w:val="BodyText"/>
        <w:keepLines/>
        <w:ind w:right="173"/>
        <w:rPr>
          <w:sz w:val="22"/>
          <w:szCs w:val="22"/>
        </w:rPr>
      </w:pPr>
    </w:p>
    <w:p w14:paraId="7789606A" w14:textId="77777777" w:rsidR="0024736A" w:rsidRDefault="0024736A" w:rsidP="00B3010A">
      <w:pPr>
        <w:pStyle w:val="BodyText"/>
        <w:keepLines/>
        <w:ind w:right="173"/>
        <w:rPr>
          <w:sz w:val="22"/>
          <w:szCs w:val="22"/>
        </w:rPr>
      </w:pPr>
    </w:p>
    <w:p w14:paraId="23FD1CBB" w14:textId="77777777" w:rsidR="0024736A" w:rsidRDefault="0024736A" w:rsidP="00B3010A">
      <w:pPr>
        <w:pStyle w:val="BodyText"/>
        <w:keepLines/>
        <w:ind w:right="173"/>
        <w:rPr>
          <w:sz w:val="22"/>
          <w:szCs w:val="22"/>
        </w:rPr>
      </w:pPr>
    </w:p>
    <w:p w14:paraId="784DBBA0" w14:textId="48FE47F6" w:rsidR="00B3010A" w:rsidRPr="005F6669" w:rsidRDefault="00B3010A" w:rsidP="005F6669">
      <w:pPr>
        <w:pStyle w:val="BodyText"/>
        <w:keepLines/>
        <w:ind w:right="173"/>
        <w:rPr>
          <w:rFonts w:ascii="Arial Black" w:hAnsi="Arial Black"/>
          <w:sz w:val="24"/>
          <w:szCs w:val="24"/>
        </w:rPr>
      </w:pPr>
      <w:r w:rsidRPr="005F6669">
        <w:rPr>
          <w:rFonts w:ascii="Arial Black" w:hAnsi="Arial Black"/>
          <w:sz w:val="24"/>
          <w:szCs w:val="24"/>
        </w:rPr>
        <w:t>Continuous Subcutaneous Insulin Infusion</w:t>
      </w:r>
    </w:p>
    <w:p w14:paraId="615200BC" w14:textId="5923D266" w:rsidR="00761211" w:rsidRDefault="00761211" w:rsidP="00B3010A">
      <w:pPr>
        <w:pStyle w:val="BodyText"/>
        <w:ind w:right="189"/>
        <w:rPr>
          <w:sz w:val="22"/>
          <w:szCs w:val="22"/>
        </w:rPr>
      </w:pPr>
    </w:p>
    <w:p w14:paraId="5E5FA4DA" w14:textId="6DBA2BF6" w:rsidR="00A20996" w:rsidRDefault="00761211" w:rsidP="0024736A">
      <w:pPr>
        <w:pStyle w:val="BodyText"/>
        <w:ind w:right="189" w:hanging="11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bookmarkEnd w:id="1"/>
      <w:r w:rsidR="00301BD1">
        <w:rPr>
          <w:sz w:val="22"/>
          <w:szCs w:val="22"/>
        </w:rPr>
        <w:t>Continuous s</w:t>
      </w:r>
      <w:r w:rsidR="00091661">
        <w:rPr>
          <w:sz w:val="22"/>
          <w:szCs w:val="22"/>
        </w:rPr>
        <w:t xml:space="preserve">ubcutaneous insulin infusion (CSII) or insulin pump delivery systems provide rapid-acting insulin throughout the day in order to manage blood glucose levels. </w:t>
      </w:r>
      <w:r w:rsidR="00AB2EEE">
        <w:rPr>
          <w:sz w:val="22"/>
          <w:szCs w:val="22"/>
        </w:rPr>
        <w:t>The Endocrine Society recommends CSII for patients with type 1 diabetes who have not achieved target A1c goals, or those who have achieved A1c goals but have a history of severe hypoglycemia or high glucose variability.</w:t>
      </w:r>
      <w:r w:rsidR="00301BD1">
        <w:rPr>
          <w:sz w:val="22"/>
          <w:szCs w:val="22"/>
        </w:rPr>
        <w:t xml:space="preserve"> They also recommend consideration of CSII use in patients with type 2 diabetes who have poor glycemic control despite intensive insulin therapy, oral agents, other injectable therapy, and lifestyle modifications</w:t>
      </w:r>
      <w:r w:rsidR="00EB42C6">
        <w:rPr>
          <w:sz w:val="22"/>
          <w:szCs w:val="22"/>
        </w:rPr>
        <w:t>.</w:t>
      </w:r>
    </w:p>
    <w:p w14:paraId="7CAB681A" w14:textId="56C59AFD" w:rsidR="00734E63" w:rsidRDefault="00734E63" w:rsidP="00091661">
      <w:pPr>
        <w:pStyle w:val="BodyText"/>
        <w:ind w:right="189" w:hanging="119"/>
        <w:rPr>
          <w:sz w:val="22"/>
          <w:szCs w:val="22"/>
        </w:rPr>
      </w:pPr>
    </w:p>
    <w:p w14:paraId="75D7CB53" w14:textId="3A532D4B" w:rsidR="00734E63" w:rsidRPr="00301BD1" w:rsidRDefault="00734E63" w:rsidP="00091661">
      <w:pPr>
        <w:pStyle w:val="BodyText"/>
        <w:ind w:right="189" w:hanging="11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Omnipod</w:t>
      </w:r>
      <w:proofErr w:type="spellEnd"/>
      <w:r w:rsidRPr="00395F26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Omnipod</w:t>
      </w:r>
      <w:proofErr w:type="spellEnd"/>
      <w:r>
        <w:rPr>
          <w:sz w:val="22"/>
          <w:szCs w:val="22"/>
        </w:rPr>
        <w:t xml:space="preserve"> Dash</w:t>
      </w:r>
      <w:r w:rsidRPr="00395F26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require </w:t>
      </w:r>
      <w:r w:rsidR="00A0222A">
        <w:rPr>
          <w:sz w:val="22"/>
          <w:szCs w:val="22"/>
        </w:rPr>
        <w:t xml:space="preserve">a minimum of </w:t>
      </w:r>
      <w:r>
        <w:rPr>
          <w:sz w:val="22"/>
          <w:szCs w:val="22"/>
        </w:rPr>
        <w:t xml:space="preserve">85 units of insulin to be operational, can deliver up to 200 units of insulin, and </w:t>
      </w:r>
      <w:r w:rsidR="00AD4BB7">
        <w:rPr>
          <w:sz w:val="22"/>
          <w:szCs w:val="22"/>
        </w:rPr>
        <w:t xml:space="preserve">provide continuous delivery </w:t>
      </w:r>
      <w:r>
        <w:rPr>
          <w:sz w:val="22"/>
          <w:szCs w:val="22"/>
        </w:rPr>
        <w:t xml:space="preserve">for </w:t>
      </w:r>
      <w:r w:rsidR="00AD4BB7">
        <w:rPr>
          <w:sz w:val="22"/>
          <w:szCs w:val="22"/>
        </w:rPr>
        <w:t xml:space="preserve">up to </w:t>
      </w:r>
      <w:r>
        <w:rPr>
          <w:sz w:val="22"/>
          <w:szCs w:val="22"/>
        </w:rPr>
        <w:t>72 hours. V-Go</w:t>
      </w:r>
      <w:r w:rsidRPr="00395F26">
        <w:rPr>
          <w:sz w:val="22"/>
          <w:szCs w:val="22"/>
          <w:vertAlign w:val="superscript"/>
        </w:rPr>
        <w:t>®</w:t>
      </w:r>
      <w:r>
        <w:rPr>
          <w:sz w:val="22"/>
          <w:szCs w:val="22"/>
          <w:vertAlign w:val="superscript"/>
        </w:rPr>
        <w:t xml:space="preserve"> </w:t>
      </w:r>
      <w:r w:rsidR="00967BC8">
        <w:rPr>
          <w:sz w:val="22"/>
          <w:szCs w:val="22"/>
        </w:rPr>
        <w:t xml:space="preserve">delivers </w:t>
      </w:r>
      <w:r w:rsidR="008020D0">
        <w:rPr>
          <w:sz w:val="22"/>
          <w:szCs w:val="22"/>
        </w:rPr>
        <w:t>20</w:t>
      </w:r>
      <w:r>
        <w:rPr>
          <w:sz w:val="22"/>
          <w:szCs w:val="22"/>
        </w:rPr>
        <w:t xml:space="preserve"> to 40 units/day</w:t>
      </w:r>
      <w:r w:rsidR="008020D0">
        <w:rPr>
          <w:sz w:val="22"/>
          <w:szCs w:val="22"/>
        </w:rPr>
        <w:t xml:space="preserve"> of preset basal insulin and</w:t>
      </w:r>
      <w:r>
        <w:rPr>
          <w:sz w:val="22"/>
          <w:szCs w:val="22"/>
        </w:rPr>
        <w:t xml:space="preserve"> 36 units </w:t>
      </w:r>
      <w:r w:rsidR="008020D0">
        <w:rPr>
          <w:sz w:val="22"/>
          <w:szCs w:val="22"/>
        </w:rPr>
        <w:t>of on-demand bolus dosing</w:t>
      </w:r>
      <w:r>
        <w:rPr>
          <w:sz w:val="22"/>
          <w:szCs w:val="22"/>
        </w:rPr>
        <w:t>. All devices are waterproof.</w:t>
      </w:r>
      <w:r w:rsidR="00301BD1">
        <w:rPr>
          <w:sz w:val="22"/>
          <w:szCs w:val="22"/>
        </w:rPr>
        <w:t xml:space="preserve"> </w:t>
      </w:r>
      <w:proofErr w:type="spellStart"/>
      <w:r w:rsidR="00301BD1">
        <w:rPr>
          <w:sz w:val="22"/>
          <w:szCs w:val="22"/>
        </w:rPr>
        <w:t>Omnipod</w:t>
      </w:r>
      <w:proofErr w:type="spellEnd"/>
      <w:r w:rsidR="00301BD1" w:rsidRPr="00395F26">
        <w:rPr>
          <w:sz w:val="22"/>
          <w:szCs w:val="22"/>
          <w:vertAlign w:val="superscript"/>
        </w:rPr>
        <w:t>®</w:t>
      </w:r>
      <w:r w:rsidR="00301BD1">
        <w:rPr>
          <w:sz w:val="22"/>
          <w:szCs w:val="22"/>
          <w:vertAlign w:val="superscript"/>
        </w:rPr>
        <w:t xml:space="preserve"> </w:t>
      </w:r>
      <w:r w:rsidR="00EB42C6">
        <w:rPr>
          <w:sz w:val="22"/>
          <w:szCs w:val="22"/>
        </w:rPr>
        <w:t xml:space="preserve">uses </w:t>
      </w:r>
      <w:r w:rsidR="00301BD1">
        <w:rPr>
          <w:sz w:val="22"/>
          <w:szCs w:val="22"/>
        </w:rPr>
        <w:t>a personal diabetes manager for insulin infusion and has an app to assist with carbohydrate counting and device tutorials. V-Go</w:t>
      </w:r>
      <w:r w:rsidR="00301BD1" w:rsidRPr="00395F26">
        <w:rPr>
          <w:sz w:val="22"/>
          <w:szCs w:val="22"/>
          <w:vertAlign w:val="superscript"/>
        </w:rPr>
        <w:t>®</w:t>
      </w:r>
      <w:r w:rsidR="00301BD1">
        <w:rPr>
          <w:sz w:val="22"/>
          <w:szCs w:val="22"/>
          <w:vertAlign w:val="superscript"/>
        </w:rPr>
        <w:t xml:space="preserve"> </w:t>
      </w:r>
      <w:r w:rsidR="00301BD1">
        <w:rPr>
          <w:sz w:val="22"/>
          <w:szCs w:val="22"/>
        </w:rPr>
        <w:t>bolus insulin is controlled by buttons located on the device.</w:t>
      </w:r>
    </w:p>
    <w:p w14:paraId="5BFB763B" w14:textId="77777777" w:rsidR="00AB2EEE" w:rsidRDefault="00AB2EEE" w:rsidP="00734E63">
      <w:pPr>
        <w:pStyle w:val="BodyText"/>
        <w:ind w:right="189"/>
        <w:rPr>
          <w:sz w:val="22"/>
          <w:szCs w:val="22"/>
        </w:rPr>
      </w:pPr>
    </w:p>
    <w:p w14:paraId="77E025F9" w14:textId="26DEDED4" w:rsidR="00AB2EEE" w:rsidRDefault="00AB2EEE" w:rsidP="00091661">
      <w:pPr>
        <w:pStyle w:val="BodyText"/>
        <w:ind w:right="189" w:hanging="11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65B76">
        <w:rPr>
          <w:sz w:val="22"/>
          <w:szCs w:val="22"/>
        </w:rPr>
        <w:t xml:space="preserve">In order to expand access to CSII products for </w:t>
      </w:r>
      <w:proofErr w:type="spellStart"/>
      <w:r w:rsidR="00665B76">
        <w:rPr>
          <w:sz w:val="22"/>
          <w:szCs w:val="22"/>
        </w:rPr>
        <w:t>MassHealth</w:t>
      </w:r>
      <w:proofErr w:type="spellEnd"/>
      <w:r w:rsidR="00665B76">
        <w:rPr>
          <w:sz w:val="22"/>
          <w:szCs w:val="22"/>
        </w:rPr>
        <w:t xml:space="preserve"> members, e</w:t>
      </w:r>
      <w:r>
        <w:rPr>
          <w:sz w:val="22"/>
          <w:szCs w:val="22"/>
        </w:rPr>
        <w:t xml:space="preserve">ffective </w:t>
      </w:r>
      <w:r w:rsidR="00301BD1">
        <w:rPr>
          <w:b/>
          <w:bCs/>
          <w:sz w:val="22"/>
          <w:szCs w:val="22"/>
        </w:rPr>
        <w:t>J</w:t>
      </w:r>
      <w:r w:rsidR="000537EF">
        <w:rPr>
          <w:b/>
          <w:bCs/>
          <w:sz w:val="22"/>
          <w:szCs w:val="22"/>
        </w:rPr>
        <w:t>uly 1</w:t>
      </w:r>
      <w:r w:rsidR="00700965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2021,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Omnipod</w:t>
      </w:r>
      <w:proofErr w:type="spellEnd"/>
      <w:r w:rsidRPr="00395F26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Omnipod</w:t>
      </w:r>
      <w:proofErr w:type="spellEnd"/>
      <w:r>
        <w:rPr>
          <w:sz w:val="22"/>
          <w:szCs w:val="22"/>
        </w:rPr>
        <w:t xml:space="preserve"> Dash</w:t>
      </w:r>
      <w:r w:rsidRPr="00395F26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>, and V-Go</w:t>
      </w:r>
      <w:r w:rsidRPr="00395F26">
        <w:rPr>
          <w:sz w:val="22"/>
          <w:szCs w:val="22"/>
          <w:vertAlign w:val="superscript"/>
        </w:rPr>
        <w:t>®</w:t>
      </w:r>
      <w:r w:rsidR="00494DD8">
        <w:rPr>
          <w:sz w:val="22"/>
          <w:szCs w:val="22"/>
        </w:rPr>
        <w:t xml:space="preserve">, </w:t>
      </w:r>
      <w:r w:rsidR="00035460">
        <w:rPr>
          <w:sz w:val="22"/>
          <w:szCs w:val="22"/>
        </w:rPr>
        <w:t>will be</w:t>
      </w:r>
      <w:r>
        <w:rPr>
          <w:sz w:val="22"/>
          <w:szCs w:val="22"/>
          <w:vertAlign w:val="superscript"/>
        </w:rPr>
        <w:t xml:space="preserve"> </w:t>
      </w:r>
      <w:r w:rsidR="00494DD8">
        <w:rPr>
          <w:sz w:val="22"/>
          <w:szCs w:val="22"/>
        </w:rPr>
        <w:t xml:space="preserve">covered </w:t>
      </w:r>
      <w:r>
        <w:rPr>
          <w:sz w:val="22"/>
          <w:szCs w:val="22"/>
        </w:rPr>
        <w:t>through the pharmacy benefit</w:t>
      </w:r>
      <w:r w:rsidR="00494DD8">
        <w:rPr>
          <w:sz w:val="22"/>
          <w:szCs w:val="22"/>
        </w:rPr>
        <w:t xml:space="preserve"> with a </w:t>
      </w:r>
      <w:r w:rsidR="00EB42C6">
        <w:rPr>
          <w:sz w:val="22"/>
          <w:szCs w:val="22"/>
        </w:rPr>
        <w:t xml:space="preserve">PA </w:t>
      </w:r>
      <w:r w:rsidR="00494DD8">
        <w:rPr>
          <w:sz w:val="22"/>
          <w:szCs w:val="22"/>
        </w:rPr>
        <w:t>requirement</w:t>
      </w:r>
      <w:r>
        <w:rPr>
          <w:sz w:val="22"/>
          <w:szCs w:val="22"/>
        </w:rPr>
        <w:t xml:space="preserve">. Other CSII devices may be available through the DME benefit with a </w:t>
      </w:r>
      <w:r w:rsidR="00EB42C6">
        <w:rPr>
          <w:sz w:val="22"/>
          <w:szCs w:val="22"/>
        </w:rPr>
        <w:t>PA</w:t>
      </w:r>
      <w:r>
        <w:rPr>
          <w:sz w:val="22"/>
          <w:szCs w:val="22"/>
        </w:rPr>
        <w:t>.</w:t>
      </w:r>
    </w:p>
    <w:p w14:paraId="28C68BB7" w14:textId="77777777" w:rsidR="00E12A32" w:rsidRDefault="00E12A32" w:rsidP="00091661">
      <w:pPr>
        <w:pStyle w:val="BodyText"/>
        <w:ind w:right="189" w:hanging="119"/>
        <w:rPr>
          <w:sz w:val="22"/>
          <w:szCs w:val="22"/>
        </w:rPr>
      </w:pPr>
    </w:p>
    <w:p w14:paraId="17519EAD" w14:textId="314105CD" w:rsidR="00E12A32" w:rsidRPr="00E12A32" w:rsidRDefault="00E12A32" w:rsidP="00E12A32">
      <w:pPr>
        <w:pStyle w:val="BodyText"/>
        <w:ind w:right="189" w:hanging="119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12A32">
        <w:rPr>
          <w:b/>
          <w:bCs/>
          <w:sz w:val="22"/>
          <w:szCs w:val="22"/>
        </w:rPr>
        <w:t>Table 2. Subcutaneous Insulin Infusion Products</w:t>
      </w:r>
    </w:p>
    <w:tbl>
      <w:tblPr>
        <w:tblpPr w:leftFromText="180" w:rightFromText="180" w:vertAnchor="text" w:tblpY="12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151"/>
      </w:tblGrid>
      <w:tr w:rsidR="00E12A32" w:rsidRPr="007D3662" w14:paraId="5D2922F6" w14:textId="77777777" w:rsidTr="002E30B8">
        <w:trPr>
          <w:tblHeader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7D98CDE" w14:textId="34D86E0C" w:rsidR="00E12A32" w:rsidRPr="007D3662" w:rsidRDefault="00E12A32" w:rsidP="00E12A3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Products</w:t>
            </w:r>
            <w:r w:rsidRPr="007D3662">
              <w:rPr>
                <w:b/>
                <w:sz w:val="22"/>
                <w:szCs w:val="22"/>
              </w:rPr>
              <w:t xml:space="preserve"> </w:t>
            </w:r>
            <w:r w:rsidR="00035460">
              <w:rPr>
                <w:b/>
                <w:sz w:val="22"/>
                <w:szCs w:val="22"/>
              </w:rPr>
              <w:t>T</w:t>
            </w:r>
            <w:r w:rsidRPr="007D3662">
              <w:rPr>
                <w:b/>
                <w:sz w:val="22"/>
                <w:szCs w:val="22"/>
              </w:rPr>
              <w:t xml:space="preserve">hat </w:t>
            </w:r>
            <w:r w:rsidR="00035460">
              <w:rPr>
                <w:b/>
                <w:sz w:val="22"/>
                <w:szCs w:val="22"/>
              </w:rPr>
              <w:t>R</w:t>
            </w:r>
            <w:r w:rsidRPr="007D3662">
              <w:rPr>
                <w:b/>
                <w:sz w:val="22"/>
                <w:szCs w:val="22"/>
              </w:rPr>
              <w:t>equire PA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FDF83D" w14:textId="77777777" w:rsidR="00E12A32" w:rsidRPr="007D3662" w:rsidRDefault="00E12A32" w:rsidP="00E12A3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7D3662">
              <w:rPr>
                <w:b/>
                <w:sz w:val="22"/>
                <w:szCs w:val="22"/>
              </w:rPr>
              <w:t>No PA</w:t>
            </w:r>
          </w:p>
        </w:tc>
      </w:tr>
      <w:tr w:rsidR="00E12A32" w:rsidRPr="007D3662" w14:paraId="1DBCDCAE" w14:textId="77777777" w:rsidTr="002E30B8">
        <w:trPr>
          <w:trHeight w:val="12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194D" w14:textId="01E68AAD" w:rsidR="00E12A32" w:rsidRPr="001B26A5" w:rsidRDefault="00E12A32" w:rsidP="00E12A32">
            <w:pPr>
              <w:rPr>
                <w:sz w:val="22"/>
                <w:szCs w:val="22"/>
              </w:rPr>
            </w:pPr>
            <w:bookmarkStart w:id="2" w:name="_Hlk64535458"/>
            <w:proofErr w:type="spellStart"/>
            <w:r>
              <w:rPr>
                <w:sz w:val="22"/>
                <w:szCs w:val="22"/>
              </w:rPr>
              <w:t>Omnipod</w:t>
            </w:r>
            <w:bookmarkStart w:id="3" w:name="_Hlk64541243"/>
            <w:proofErr w:type="spellEnd"/>
            <w:r w:rsidRPr="00395F26">
              <w:rPr>
                <w:sz w:val="22"/>
                <w:szCs w:val="22"/>
                <w:vertAlign w:val="superscript"/>
              </w:rPr>
              <w:t>®</w:t>
            </w:r>
            <w:bookmarkEnd w:id="2"/>
            <w:bookmarkEnd w:id="3"/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EA61F5" w14:textId="77777777" w:rsidR="00E12A32" w:rsidRPr="007D3662" w:rsidRDefault="00E12A32" w:rsidP="00E12A32">
            <w:pPr>
              <w:rPr>
                <w:sz w:val="22"/>
                <w:szCs w:val="22"/>
              </w:rPr>
            </w:pPr>
          </w:p>
        </w:tc>
      </w:tr>
      <w:tr w:rsidR="00E12A32" w:rsidRPr="007D3662" w14:paraId="41BC090B" w14:textId="77777777" w:rsidTr="002E30B8">
        <w:trPr>
          <w:trHeight w:val="12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CF88" w14:textId="77777777" w:rsidR="00E12A32" w:rsidRPr="001B26A5" w:rsidRDefault="00E12A32" w:rsidP="00E12A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Omnipod</w:t>
            </w:r>
            <w:proofErr w:type="spellEnd"/>
            <w:r>
              <w:rPr>
                <w:sz w:val="22"/>
                <w:szCs w:val="22"/>
              </w:rPr>
              <w:t xml:space="preserve"> Dash</w:t>
            </w:r>
            <w:r w:rsidRPr="00395F26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A889D2" w14:textId="77777777" w:rsidR="00E12A32" w:rsidRPr="007D3662" w:rsidRDefault="00E12A32" w:rsidP="00E12A32">
            <w:pPr>
              <w:rPr>
                <w:sz w:val="22"/>
                <w:szCs w:val="22"/>
              </w:rPr>
            </w:pPr>
          </w:p>
        </w:tc>
      </w:tr>
      <w:tr w:rsidR="00E12A32" w:rsidRPr="007D3662" w14:paraId="41139120" w14:textId="77777777" w:rsidTr="002E30B8">
        <w:trPr>
          <w:trHeight w:val="28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B3B6F9" w14:textId="77777777" w:rsidR="00E12A32" w:rsidRPr="001B26A5" w:rsidRDefault="00E12A32" w:rsidP="00E12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V-Go</w:t>
            </w:r>
            <w:r w:rsidRPr="00395F26">
              <w:rPr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7F4F57" w14:textId="77777777" w:rsidR="00E12A32" w:rsidRPr="007D3662" w:rsidRDefault="00E12A32" w:rsidP="00E12A32">
            <w:pPr>
              <w:rPr>
                <w:sz w:val="22"/>
                <w:szCs w:val="22"/>
              </w:rPr>
            </w:pPr>
          </w:p>
        </w:tc>
      </w:tr>
    </w:tbl>
    <w:p w14:paraId="57A93A4B" w14:textId="2AEF19BB" w:rsidR="005F666B" w:rsidRDefault="005F666B" w:rsidP="00734E63">
      <w:pPr>
        <w:rPr>
          <w:sz w:val="22"/>
          <w:szCs w:val="22"/>
        </w:rPr>
      </w:pPr>
    </w:p>
    <w:sectPr w:rsidR="005F666B" w:rsidSect="008109A6">
      <w:headerReference w:type="default" r:id="rId13"/>
      <w:type w:val="continuous"/>
      <w:pgSz w:w="12240" w:h="15840" w:code="1"/>
      <w:pgMar w:top="763" w:right="720" w:bottom="130" w:left="907" w:header="576" w:footer="547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82C08" w14:textId="77777777" w:rsidR="00885526" w:rsidRDefault="00885526">
      <w:r>
        <w:separator/>
      </w:r>
    </w:p>
  </w:endnote>
  <w:endnote w:type="continuationSeparator" w:id="0">
    <w:p w14:paraId="494BD238" w14:textId="77777777" w:rsidR="00885526" w:rsidRDefault="0088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37F4" w14:textId="77777777" w:rsidR="002F4A95" w:rsidRDefault="001A4C38" w:rsidP="008109A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7509" w14:textId="501BCB97" w:rsidR="002F4A95" w:rsidRDefault="002F4A95" w:rsidP="002F4A95">
    <w:pPr>
      <w:pStyle w:val="Footer"/>
      <w:jc w:val="center"/>
      <w:rPr>
        <w:noProof/>
      </w:rPr>
    </w:pPr>
  </w:p>
  <w:p w14:paraId="40AA0001" w14:textId="669FBF47" w:rsidR="00734E63" w:rsidRDefault="00734E63" w:rsidP="002F4A95">
    <w:pPr>
      <w:pStyle w:val="Footer"/>
      <w:jc w:val="center"/>
    </w:pPr>
    <w:r>
      <w:t xml:space="preserve">The Prescriber e-Letter is an update designed to enhance the transparency and efficiency of the </w:t>
    </w:r>
    <w:proofErr w:type="spellStart"/>
    <w:r>
      <w:t>MassHealth</w:t>
    </w:r>
    <w:proofErr w:type="spellEnd"/>
    <w:r>
      <w:t xml:space="preserve"> drug prior-authorization (PA) process and the </w:t>
    </w:r>
    <w:proofErr w:type="spellStart"/>
    <w:r>
      <w:t>MassHealth</w:t>
    </w:r>
    <w:proofErr w:type="spellEnd"/>
    <w:r>
      <w:t xml:space="preserve"> Drug List. Each issue highlights key clinical information and updates to the </w:t>
    </w:r>
    <w:proofErr w:type="spellStart"/>
    <w:r>
      <w:t>MassHealth</w:t>
    </w:r>
    <w:proofErr w:type="spellEnd"/>
    <w:r>
      <w:t xml:space="preserve"> Drug List. The Prescriber E-Letter was prepared by the </w:t>
    </w:r>
    <w:proofErr w:type="spellStart"/>
    <w:r>
      <w:t>MassHealth</w:t>
    </w:r>
    <w:proofErr w:type="spellEnd"/>
    <w:r>
      <w:t xml:space="preserve"> Drug Utilization Review Program and the </w:t>
    </w:r>
    <w:proofErr w:type="spellStart"/>
    <w:r>
      <w:t>MassHealth</w:t>
    </w:r>
    <w:proofErr w:type="spellEnd"/>
    <w:r>
      <w:t xml:space="preserve"> Pharmacy Program.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1803" w14:textId="77777777" w:rsidR="00885526" w:rsidRDefault="00885526">
      <w:r>
        <w:separator/>
      </w:r>
    </w:p>
  </w:footnote>
  <w:footnote w:type="continuationSeparator" w:id="0">
    <w:p w14:paraId="58E3825A" w14:textId="77777777" w:rsidR="00885526" w:rsidRDefault="0088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FE392" w14:textId="04769F15" w:rsidR="001A4C38" w:rsidRPr="0046520A" w:rsidRDefault="001A4C38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EB68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C37F3"/>
    <w:multiLevelType w:val="hybridMultilevel"/>
    <w:tmpl w:val="43E4CC44"/>
    <w:lvl w:ilvl="0" w:tplc="F5148EB0">
      <w:numFmt w:val="bullet"/>
      <w:lvlText w:val="•"/>
      <w:lvlJc w:val="left"/>
      <w:pPr>
        <w:ind w:left="240" w:hanging="1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E88602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914532C">
      <w:numFmt w:val="bullet"/>
      <w:lvlText w:val="•"/>
      <w:lvlJc w:val="left"/>
      <w:pPr>
        <w:ind w:left="707" w:hanging="360"/>
      </w:pPr>
      <w:rPr>
        <w:rFonts w:hint="default"/>
      </w:rPr>
    </w:lvl>
    <w:lvl w:ilvl="3" w:tplc="20C0BD9A">
      <w:numFmt w:val="bullet"/>
      <w:lvlText w:val="•"/>
      <w:lvlJc w:val="left"/>
      <w:pPr>
        <w:ind w:left="575" w:hanging="360"/>
      </w:pPr>
      <w:rPr>
        <w:rFonts w:hint="default"/>
      </w:rPr>
    </w:lvl>
    <w:lvl w:ilvl="4" w:tplc="5426A5BA">
      <w:numFmt w:val="bullet"/>
      <w:lvlText w:val="•"/>
      <w:lvlJc w:val="left"/>
      <w:pPr>
        <w:ind w:left="443" w:hanging="360"/>
      </w:pPr>
      <w:rPr>
        <w:rFonts w:hint="default"/>
      </w:rPr>
    </w:lvl>
    <w:lvl w:ilvl="5" w:tplc="39CA69C2">
      <w:numFmt w:val="bullet"/>
      <w:lvlText w:val="•"/>
      <w:lvlJc w:val="left"/>
      <w:pPr>
        <w:ind w:left="311" w:hanging="360"/>
      </w:pPr>
      <w:rPr>
        <w:rFonts w:hint="default"/>
      </w:rPr>
    </w:lvl>
    <w:lvl w:ilvl="6" w:tplc="9E721A60">
      <w:numFmt w:val="bullet"/>
      <w:lvlText w:val="•"/>
      <w:lvlJc w:val="left"/>
      <w:pPr>
        <w:ind w:left="179" w:hanging="360"/>
      </w:pPr>
      <w:rPr>
        <w:rFonts w:hint="default"/>
      </w:rPr>
    </w:lvl>
    <w:lvl w:ilvl="7" w:tplc="29EA5124">
      <w:numFmt w:val="bullet"/>
      <w:lvlText w:val="•"/>
      <w:lvlJc w:val="left"/>
      <w:pPr>
        <w:ind w:left="47" w:hanging="360"/>
      </w:pPr>
      <w:rPr>
        <w:rFonts w:hint="default"/>
      </w:rPr>
    </w:lvl>
    <w:lvl w:ilvl="8" w:tplc="487E6BDA">
      <w:numFmt w:val="bullet"/>
      <w:lvlText w:val="•"/>
      <w:lvlJc w:val="left"/>
      <w:pPr>
        <w:ind w:left="-85" w:hanging="360"/>
      </w:pPr>
      <w:rPr>
        <w:rFonts w:hint="default"/>
      </w:rPr>
    </w:lvl>
  </w:abstractNum>
  <w:abstractNum w:abstractNumId="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63052"/>
    <w:multiLevelType w:val="hybridMultilevel"/>
    <w:tmpl w:val="E1D4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14"/>
    <w:rsid w:val="000006DF"/>
    <w:rsid w:val="0001242D"/>
    <w:rsid w:val="000172B8"/>
    <w:rsid w:val="00025CA7"/>
    <w:rsid w:val="00034032"/>
    <w:rsid w:val="00034CE8"/>
    <w:rsid w:val="00035460"/>
    <w:rsid w:val="00042FD6"/>
    <w:rsid w:val="0004346A"/>
    <w:rsid w:val="00045863"/>
    <w:rsid w:val="000537EF"/>
    <w:rsid w:val="00067062"/>
    <w:rsid w:val="00074014"/>
    <w:rsid w:val="00076A4D"/>
    <w:rsid w:val="00091661"/>
    <w:rsid w:val="000A445A"/>
    <w:rsid w:val="000B04C5"/>
    <w:rsid w:val="000C15E5"/>
    <w:rsid w:val="000C2AEE"/>
    <w:rsid w:val="000C6D74"/>
    <w:rsid w:val="000C7CA4"/>
    <w:rsid w:val="000D32DA"/>
    <w:rsid w:val="000F19D2"/>
    <w:rsid w:val="001003DC"/>
    <w:rsid w:val="001049C6"/>
    <w:rsid w:val="00112361"/>
    <w:rsid w:val="00112E05"/>
    <w:rsid w:val="00122872"/>
    <w:rsid w:val="00137002"/>
    <w:rsid w:val="001443F3"/>
    <w:rsid w:val="00144445"/>
    <w:rsid w:val="00160AF4"/>
    <w:rsid w:val="0016598C"/>
    <w:rsid w:val="0017504B"/>
    <w:rsid w:val="00175C12"/>
    <w:rsid w:val="00180CAA"/>
    <w:rsid w:val="00182385"/>
    <w:rsid w:val="001847E5"/>
    <w:rsid w:val="00185A3F"/>
    <w:rsid w:val="00185C21"/>
    <w:rsid w:val="001A4C38"/>
    <w:rsid w:val="001B2DED"/>
    <w:rsid w:val="001C2E84"/>
    <w:rsid w:val="001E1184"/>
    <w:rsid w:val="001E762D"/>
    <w:rsid w:val="0020047C"/>
    <w:rsid w:val="00215FB5"/>
    <w:rsid w:val="0022143C"/>
    <w:rsid w:val="002400F6"/>
    <w:rsid w:val="00242A52"/>
    <w:rsid w:val="0024736A"/>
    <w:rsid w:val="00253F14"/>
    <w:rsid w:val="002573BE"/>
    <w:rsid w:val="00272F9F"/>
    <w:rsid w:val="00280A2C"/>
    <w:rsid w:val="00283746"/>
    <w:rsid w:val="002A566F"/>
    <w:rsid w:val="002C261E"/>
    <w:rsid w:val="002C326C"/>
    <w:rsid w:val="002D1C5C"/>
    <w:rsid w:val="002E30B8"/>
    <w:rsid w:val="002E55F8"/>
    <w:rsid w:val="002E75D3"/>
    <w:rsid w:val="002F4A95"/>
    <w:rsid w:val="00301BD1"/>
    <w:rsid w:val="003064EC"/>
    <w:rsid w:val="0031009A"/>
    <w:rsid w:val="00311D5A"/>
    <w:rsid w:val="0031549E"/>
    <w:rsid w:val="0031728E"/>
    <w:rsid w:val="00321746"/>
    <w:rsid w:val="00330FB0"/>
    <w:rsid w:val="00344037"/>
    <w:rsid w:val="0034440C"/>
    <w:rsid w:val="00353AD3"/>
    <w:rsid w:val="00366BAA"/>
    <w:rsid w:val="00367696"/>
    <w:rsid w:val="00371601"/>
    <w:rsid w:val="00373275"/>
    <w:rsid w:val="00377A75"/>
    <w:rsid w:val="003863EB"/>
    <w:rsid w:val="003971CE"/>
    <w:rsid w:val="00397377"/>
    <w:rsid w:val="003A17FB"/>
    <w:rsid w:val="003C0161"/>
    <w:rsid w:val="003D177D"/>
    <w:rsid w:val="003E7380"/>
    <w:rsid w:val="003F7F93"/>
    <w:rsid w:val="00401354"/>
    <w:rsid w:val="004062A2"/>
    <w:rsid w:val="004070AC"/>
    <w:rsid w:val="00410458"/>
    <w:rsid w:val="0041665A"/>
    <w:rsid w:val="00427D00"/>
    <w:rsid w:val="00433649"/>
    <w:rsid w:val="004564C8"/>
    <w:rsid w:val="00463AE8"/>
    <w:rsid w:val="0046520A"/>
    <w:rsid w:val="0047213A"/>
    <w:rsid w:val="004733F0"/>
    <w:rsid w:val="00477057"/>
    <w:rsid w:val="00485E86"/>
    <w:rsid w:val="00494DD8"/>
    <w:rsid w:val="004B3085"/>
    <w:rsid w:val="004C1DCE"/>
    <w:rsid w:val="004E42DD"/>
    <w:rsid w:val="004E574E"/>
    <w:rsid w:val="004E6787"/>
    <w:rsid w:val="0050042A"/>
    <w:rsid w:val="00532641"/>
    <w:rsid w:val="00533FBC"/>
    <w:rsid w:val="00536EBB"/>
    <w:rsid w:val="00567B9D"/>
    <w:rsid w:val="00577FEC"/>
    <w:rsid w:val="00580E13"/>
    <w:rsid w:val="00581E50"/>
    <w:rsid w:val="005824F4"/>
    <w:rsid w:val="00583A96"/>
    <w:rsid w:val="005842A0"/>
    <w:rsid w:val="00592C98"/>
    <w:rsid w:val="0059487B"/>
    <w:rsid w:val="005A21DB"/>
    <w:rsid w:val="005C5219"/>
    <w:rsid w:val="005D1846"/>
    <w:rsid w:val="005D3CAF"/>
    <w:rsid w:val="005D506B"/>
    <w:rsid w:val="005E0ED5"/>
    <w:rsid w:val="005E2046"/>
    <w:rsid w:val="005E52FC"/>
    <w:rsid w:val="005F1E59"/>
    <w:rsid w:val="005F6669"/>
    <w:rsid w:val="005F666B"/>
    <w:rsid w:val="00610115"/>
    <w:rsid w:val="00614DA9"/>
    <w:rsid w:val="00622404"/>
    <w:rsid w:val="0062336E"/>
    <w:rsid w:val="00623654"/>
    <w:rsid w:val="00664C25"/>
    <w:rsid w:val="00665B76"/>
    <w:rsid w:val="0067107B"/>
    <w:rsid w:val="00676D1E"/>
    <w:rsid w:val="00690023"/>
    <w:rsid w:val="006B207B"/>
    <w:rsid w:val="006B2678"/>
    <w:rsid w:val="006B7613"/>
    <w:rsid w:val="006E0362"/>
    <w:rsid w:val="006F5116"/>
    <w:rsid w:val="00700965"/>
    <w:rsid w:val="00721778"/>
    <w:rsid w:val="007243D7"/>
    <w:rsid w:val="007311C3"/>
    <w:rsid w:val="00734DAA"/>
    <w:rsid w:val="00734E63"/>
    <w:rsid w:val="0073538A"/>
    <w:rsid w:val="007459B2"/>
    <w:rsid w:val="00752617"/>
    <w:rsid w:val="00755EF7"/>
    <w:rsid w:val="00755F23"/>
    <w:rsid w:val="00761211"/>
    <w:rsid w:val="007740F3"/>
    <w:rsid w:val="00785C9F"/>
    <w:rsid w:val="00795A7C"/>
    <w:rsid w:val="007C1128"/>
    <w:rsid w:val="007F4C8B"/>
    <w:rsid w:val="008020D0"/>
    <w:rsid w:val="00807E9F"/>
    <w:rsid w:val="008109A6"/>
    <w:rsid w:val="00826928"/>
    <w:rsid w:val="008403CA"/>
    <w:rsid w:val="00844307"/>
    <w:rsid w:val="00844A19"/>
    <w:rsid w:val="0084544F"/>
    <w:rsid w:val="0085378A"/>
    <w:rsid w:val="00854171"/>
    <w:rsid w:val="00855DFD"/>
    <w:rsid w:val="00860511"/>
    <w:rsid w:val="00865AEA"/>
    <w:rsid w:val="008722AE"/>
    <w:rsid w:val="00872E7F"/>
    <w:rsid w:val="00873BEF"/>
    <w:rsid w:val="008819EB"/>
    <w:rsid w:val="00885526"/>
    <w:rsid w:val="008911F3"/>
    <w:rsid w:val="008946E9"/>
    <w:rsid w:val="008B221F"/>
    <w:rsid w:val="008C1B7B"/>
    <w:rsid w:val="008E6985"/>
    <w:rsid w:val="008E79B3"/>
    <w:rsid w:val="008F25B4"/>
    <w:rsid w:val="00901310"/>
    <w:rsid w:val="00922C53"/>
    <w:rsid w:val="00923174"/>
    <w:rsid w:val="00923341"/>
    <w:rsid w:val="00927CAB"/>
    <w:rsid w:val="00956812"/>
    <w:rsid w:val="009568F6"/>
    <w:rsid w:val="00967BC8"/>
    <w:rsid w:val="00980B18"/>
    <w:rsid w:val="00986AF3"/>
    <w:rsid w:val="009A4123"/>
    <w:rsid w:val="009B1AAF"/>
    <w:rsid w:val="009B2423"/>
    <w:rsid w:val="009B6A25"/>
    <w:rsid w:val="009D1E1C"/>
    <w:rsid w:val="009D2B0C"/>
    <w:rsid w:val="009F6643"/>
    <w:rsid w:val="00A0222A"/>
    <w:rsid w:val="00A03018"/>
    <w:rsid w:val="00A0679F"/>
    <w:rsid w:val="00A120FA"/>
    <w:rsid w:val="00A128B9"/>
    <w:rsid w:val="00A13579"/>
    <w:rsid w:val="00A20996"/>
    <w:rsid w:val="00A26095"/>
    <w:rsid w:val="00A32F58"/>
    <w:rsid w:val="00A42BDE"/>
    <w:rsid w:val="00A63EE0"/>
    <w:rsid w:val="00A856E6"/>
    <w:rsid w:val="00AA3889"/>
    <w:rsid w:val="00AA6F20"/>
    <w:rsid w:val="00AB0113"/>
    <w:rsid w:val="00AB2EEE"/>
    <w:rsid w:val="00AD42BB"/>
    <w:rsid w:val="00AD4BB7"/>
    <w:rsid w:val="00AD5F13"/>
    <w:rsid w:val="00AE483E"/>
    <w:rsid w:val="00AE672E"/>
    <w:rsid w:val="00AF3BAA"/>
    <w:rsid w:val="00AF4210"/>
    <w:rsid w:val="00B00CA3"/>
    <w:rsid w:val="00B10C3E"/>
    <w:rsid w:val="00B3010A"/>
    <w:rsid w:val="00B30E77"/>
    <w:rsid w:val="00B325AE"/>
    <w:rsid w:val="00B44DE1"/>
    <w:rsid w:val="00B529FF"/>
    <w:rsid w:val="00B54AB5"/>
    <w:rsid w:val="00B7453A"/>
    <w:rsid w:val="00BB5630"/>
    <w:rsid w:val="00BD1C27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616DA"/>
    <w:rsid w:val="00C656AF"/>
    <w:rsid w:val="00C6687B"/>
    <w:rsid w:val="00C80308"/>
    <w:rsid w:val="00C92B7A"/>
    <w:rsid w:val="00C97787"/>
    <w:rsid w:val="00CA0313"/>
    <w:rsid w:val="00CA0669"/>
    <w:rsid w:val="00CA1D66"/>
    <w:rsid w:val="00CB4BA3"/>
    <w:rsid w:val="00CD7211"/>
    <w:rsid w:val="00CD7C0E"/>
    <w:rsid w:val="00CE27E7"/>
    <w:rsid w:val="00CF2078"/>
    <w:rsid w:val="00CF48E3"/>
    <w:rsid w:val="00D000E0"/>
    <w:rsid w:val="00D05D9C"/>
    <w:rsid w:val="00D115B8"/>
    <w:rsid w:val="00D14BBD"/>
    <w:rsid w:val="00D15F4A"/>
    <w:rsid w:val="00D21FA6"/>
    <w:rsid w:val="00D2371D"/>
    <w:rsid w:val="00D245EF"/>
    <w:rsid w:val="00D2695E"/>
    <w:rsid w:val="00D726DF"/>
    <w:rsid w:val="00D77884"/>
    <w:rsid w:val="00D84C1E"/>
    <w:rsid w:val="00D90D40"/>
    <w:rsid w:val="00DA302D"/>
    <w:rsid w:val="00DA7FE7"/>
    <w:rsid w:val="00DB2EE5"/>
    <w:rsid w:val="00DC0E97"/>
    <w:rsid w:val="00E07E02"/>
    <w:rsid w:val="00E1027A"/>
    <w:rsid w:val="00E12A32"/>
    <w:rsid w:val="00E27595"/>
    <w:rsid w:val="00E31CAE"/>
    <w:rsid w:val="00E35E0F"/>
    <w:rsid w:val="00E42451"/>
    <w:rsid w:val="00E61DD5"/>
    <w:rsid w:val="00E63745"/>
    <w:rsid w:val="00EA1C6A"/>
    <w:rsid w:val="00EB42C6"/>
    <w:rsid w:val="00EB5FE2"/>
    <w:rsid w:val="00EC08AC"/>
    <w:rsid w:val="00EE333C"/>
    <w:rsid w:val="00EE46DF"/>
    <w:rsid w:val="00EF76E8"/>
    <w:rsid w:val="00F04AAA"/>
    <w:rsid w:val="00F1649E"/>
    <w:rsid w:val="00F36DD6"/>
    <w:rsid w:val="00F46BF7"/>
    <w:rsid w:val="00F50602"/>
    <w:rsid w:val="00F51B4F"/>
    <w:rsid w:val="00F53DA0"/>
    <w:rsid w:val="00F63E83"/>
    <w:rsid w:val="00F67D45"/>
    <w:rsid w:val="00F74D8C"/>
    <w:rsid w:val="00F9023B"/>
    <w:rsid w:val="00F933AF"/>
    <w:rsid w:val="00FA5787"/>
    <w:rsid w:val="00FB7719"/>
    <w:rsid w:val="00FD5009"/>
    <w:rsid w:val="00FD5CE5"/>
    <w:rsid w:val="00FF119A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5F482"/>
  <w15:docId w15:val="{B69472B9-DA26-47FF-BF21-8D4DBA6C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1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64C25"/>
    <w:pPr>
      <w:widowControl w:val="0"/>
      <w:autoSpaceDE w:val="0"/>
      <w:autoSpaceDN w:val="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664C25"/>
  </w:style>
  <w:style w:type="character" w:styleId="CommentReference">
    <w:name w:val="annotation reference"/>
    <w:basedOn w:val="DefaultParagraphFont"/>
    <w:uiPriority w:val="99"/>
    <w:semiHidden/>
    <w:unhideWhenUsed/>
    <w:rsid w:val="0066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C25"/>
    <w:pPr>
      <w:widowControl w:val="0"/>
      <w:autoSpaceDE w:val="0"/>
      <w:autoSpaceDN w:val="0"/>
    </w:pPr>
    <w:rPr>
      <w:color w:val="auto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C25"/>
  </w:style>
  <w:style w:type="paragraph" w:customStyle="1" w:styleId="Default">
    <w:name w:val="Default"/>
    <w:rsid w:val="00A0679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0679F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2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267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5219"/>
    <w:pPr>
      <w:widowControl/>
      <w:autoSpaceDE/>
      <w:autoSpaceDN/>
    </w:pPr>
    <w:rPr>
      <w:b/>
      <w:bCs/>
      <w:color w:val="000000"/>
      <w:kern w:val="28"/>
    </w:rPr>
  </w:style>
  <w:style w:type="character" w:customStyle="1" w:styleId="CommentSubjectChar">
    <w:name w:val="Comment Subject Char"/>
    <w:basedOn w:val="CommentTextChar"/>
    <w:link w:val="CommentSubject"/>
    <w:semiHidden/>
    <w:rsid w:val="005C5219"/>
    <w:rPr>
      <w:b/>
      <w:bCs/>
      <w:color w:val="000000"/>
      <w:kern w:val="28"/>
    </w:rPr>
  </w:style>
  <w:style w:type="paragraph" w:styleId="Revision">
    <w:name w:val="Revision"/>
    <w:hidden/>
    <w:uiPriority w:val="99"/>
    <w:semiHidden/>
    <w:rsid w:val="006F5116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4A38CC-897A-4616-87EB-849BAAAA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EHS</dc:creator>
  <cp:lastModifiedBy>MacLachlan, Jamison B (EHS)</cp:lastModifiedBy>
  <cp:revision>2</cp:revision>
  <cp:lastPrinted>2021-06-24T19:52:00Z</cp:lastPrinted>
  <dcterms:created xsi:type="dcterms:W3CDTF">2021-07-21T18:15:00Z</dcterms:created>
  <dcterms:modified xsi:type="dcterms:W3CDTF">2021-07-21T18:15:00Z</dcterms:modified>
</cp:coreProperties>
</file>