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013DC15B" w:rsidR="00AD42BB" w:rsidRPr="00EF5603" w:rsidRDefault="005851F1" w:rsidP="00C37980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EF5603" w:rsidRPr="00EF5603">
        <w:rPr>
          <w:lang w:val="en-US"/>
        </w:rPr>
        <w:t>15</w:t>
      </w:r>
      <w:r w:rsidRPr="6D6E69F4">
        <w:rPr>
          <w:lang w:val="en-US"/>
        </w:rPr>
        <w:t xml:space="preserve">, Issue </w:t>
      </w:r>
      <w:r w:rsidR="00322234" w:rsidRPr="00322234">
        <w:rPr>
          <w:lang w:val="en-US"/>
        </w:rPr>
        <w:t>4</w:t>
      </w:r>
      <w:r w:rsidR="00C76762" w:rsidRPr="00661B53">
        <w:rPr>
          <w:color w:val="000000" w:themeColor="text1"/>
          <w:lang w:val="en-US"/>
        </w:rPr>
        <w:t xml:space="preserve">, </w:t>
      </w:r>
      <w:r w:rsidR="00EF5603" w:rsidRPr="00661B53">
        <w:rPr>
          <w:color w:val="000000" w:themeColor="text1"/>
          <w:lang w:val="en-US"/>
        </w:rPr>
        <w:t>February</w:t>
      </w:r>
      <w:r w:rsidR="002559B8" w:rsidRPr="00661B53">
        <w:rPr>
          <w:color w:val="000000" w:themeColor="text1"/>
          <w:lang w:val="en-US"/>
        </w:rPr>
        <w:t xml:space="preserve"> </w:t>
      </w:r>
      <w:r w:rsidR="002559B8" w:rsidRPr="6D6E69F4">
        <w:rPr>
          <w:lang w:val="en-US"/>
        </w:rPr>
        <w:t>202</w:t>
      </w:r>
      <w:r w:rsidR="00EF5603" w:rsidRPr="00EF5603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AC0D1ED" w14:textId="125144B5" w:rsidR="005704FB" w:rsidRPr="00322234" w:rsidRDefault="00BA69EB" w:rsidP="00C37980">
      <w:pPr>
        <w:pStyle w:val="Heading2"/>
        <w:spacing w:before="360"/>
      </w:pPr>
      <w:bookmarkStart w:id="0" w:name="_Hlk56006764"/>
      <w:r w:rsidRPr="00BA69EB">
        <w:t xml:space="preserve">Overview of More </w:t>
      </w:r>
      <w:r w:rsidRPr="00C37980">
        <w:t>Restrictive</w:t>
      </w:r>
      <w:r w:rsidRPr="00BA69EB">
        <w:t xml:space="preserve"> Coverage Changes</w:t>
      </w:r>
      <w:r w:rsidR="00E2339F">
        <w:t xml:space="preserve"> Effective </w:t>
      </w:r>
      <w:r w:rsidR="002D087E" w:rsidRPr="002D087E">
        <w:t>May 12, 2025</w:t>
      </w:r>
    </w:p>
    <w:p w14:paraId="0B22B391" w14:textId="52C58A00" w:rsidR="006B20D5" w:rsidRPr="00322234" w:rsidRDefault="00C26785" w:rsidP="00322234">
      <w:pPr>
        <w:spacing w:after="240"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1" w:name="_Hlk178665884"/>
      <w:r w:rsidRPr="00C26785">
        <w:rPr>
          <w:rFonts w:ascii="Arial" w:hAnsi="Arial" w:cs="Arial"/>
          <w:bCs/>
          <w:color w:val="auto"/>
          <w:sz w:val="22"/>
          <w:szCs w:val="22"/>
        </w:rPr>
        <w:t>MassHealth evaluates the prior authorization (PA) status for drugs on an ongoing basis and updates the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MassHealth Drug List accordingly. The list below outlines changes </w:t>
      </w:r>
      <w:r w:rsidR="00470D66">
        <w:rPr>
          <w:rFonts w:ascii="Arial" w:hAnsi="Arial" w:cs="Arial"/>
          <w:bCs/>
          <w:color w:val="auto"/>
          <w:sz w:val="22"/>
          <w:szCs w:val="22"/>
        </w:rPr>
        <w:t xml:space="preserve">that are </w:t>
      </w:r>
      <w:r w:rsidR="00C408F1">
        <w:rPr>
          <w:rFonts w:ascii="Arial" w:hAnsi="Arial" w:cs="Arial"/>
          <w:bCs/>
          <w:color w:val="auto"/>
          <w:sz w:val="22"/>
          <w:szCs w:val="22"/>
        </w:rPr>
        <w:t xml:space="preserve">considered more restrictive. These updates are 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effective </w:t>
      </w:r>
      <w:r w:rsidR="002D087E">
        <w:rPr>
          <w:rFonts w:ascii="Arial" w:eastAsiaTheme="minorHAnsi" w:hAnsi="Arial" w:cs="Arial"/>
          <w:color w:val="auto"/>
          <w:kern w:val="0"/>
          <w:sz w:val="22"/>
          <w:szCs w:val="22"/>
        </w:rPr>
        <w:t>May 12</w:t>
      </w:r>
      <w:r w:rsidR="002D087E"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C26785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1"/>
    <w:p w14:paraId="0714937D" w14:textId="2F255343" w:rsidR="00062FC6" w:rsidRPr="00322234" w:rsidRDefault="00311223" w:rsidP="00C37980">
      <w:pPr>
        <w:pStyle w:val="Heading2"/>
      </w:pPr>
      <w:r w:rsidRPr="00311223">
        <w:t>Change in MassHealth Brand Name Preferred Over Generic Drug List Status</w:t>
      </w:r>
    </w:p>
    <w:p w14:paraId="1173CDC8" w14:textId="45F7FA18" w:rsidR="00EF5603" w:rsidRDefault="004504B6" w:rsidP="00322234">
      <w:pPr>
        <w:spacing w:after="120"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bookmarkStart w:id="2" w:name="_Hlk190784508"/>
      <w:r w:rsidR="00DA4388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May </w:t>
      </w:r>
      <w:r w:rsidR="00775CAA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DA4388">
        <w:rPr>
          <w:rFonts w:ascii="Arial" w:eastAsiaTheme="minorHAnsi" w:hAnsi="Arial" w:cs="Arial"/>
          <w:color w:val="auto"/>
          <w:kern w:val="0"/>
          <w:sz w:val="22"/>
          <w:szCs w:val="22"/>
        </w:rPr>
        <w:t>2</w:t>
      </w:r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bookmarkEnd w:id="2"/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the following </w:t>
      </w:r>
      <w:r w:rsidR="00DA6F85">
        <w:rPr>
          <w:rFonts w:ascii="Arial" w:eastAsiaTheme="minorHAnsi" w:hAnsi="Arial" w:cs="Arial"/>
          <w:color w:val="auto"/>
          <w:kern w:val="0"/>
          <w:sz w:val="22"/>
          <w:szCs w:val="22"/>
        </w:rPr>
        <w:t>drugs</w:t>
      </w:r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will be added to the MassHealth Brand Name Preferred Over</w:t>
      </w:r>
      <w:r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Generic Drug List.</w:t>
      </w:r>
    </w:p>
    <w:p w14:paraId="7FE5C4D8" w14:textId="77777777" w:rsidR="00E32112" w:rsidRPr="004248B8" w:rsidRDefault="00E32112" w:rsidP="00E32112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4248B8">
        <w:rPr>
          <w:rFonts w:ascii="Arial" w:hAnsi="Arial" w:cs="Arial"/>
          <w:bCs/>
          <w:color w:val="auto"/>
          <w:sz w:val="22"/>
          <w:szCs w:val="22"/>
        </w:rPr>
        <w:t xml:space="preserve">Entresto (sacubitril/valsartan tablet) – </w:t>
      </w:r>
      <w:r w:rsidRPr="004248B8">
        <w:rPr>
          <w:rFonts w:ascii="Arial" w:hAnsi="Arial" w:cs="Arial"/>
          <w:b/>
          <w:color w:val="auto"/>
          <w:sz w:val="22"/>
          <w:szCs w:val="22"/>
        </w:rPr>
        <w:t>PA</w:t>
      </w:r>
      <w:r w:rsidRPr="004248B8">
        <w:rPr>
          <w:rFonts w:ascii="Arial" w:hAnsi="Arial" w:cs="Arial"/>
          <w:bCs/>
          <w:color w:val="auto"/>
          <w:sz w:val="22"/>
          <w:szCs w:val="22"/>
        </w:rPr>
        <w:t>; BP</w:t>
      </w:r>
    </w:p>
    <w:p w14:paraId="2CBD7FCA" w14:textId="77777777" w:rsidR="00E32112" w:rsidRPr="00E32112" w:rsidRDefault="00E32112" w:rsidP="00E32112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E32112">
        <w:rPr>
          <w:rFonts w:ascii="Arial" w:hAnsi="Arial" w:cs="Arial"/>
          <w:bCs/>
          <w:color w:val="auto"/>
          <w:sz w:val="22"/>
          <w:szCs w:val="22"/>
        </w:rPr>
        <w:t xml:space="preserve">Nexium (esomeprazole magnesium 2.5 mg, 5 mg suspension) – </w:t>
      </w:r>
      <w:r w:rsidRPr="00D779C3">
        <w:rPr>
          <w:rFonts w:ascii="Arial" w:hAnsi="Arial" w:cs="Arial"/>
          <w:b/>
          <w:color w:val="auto"/>
          <w:sz w:val="22"/>
          <w:szCs w:val="22"/>
        </w:rPr>
        <w:t>PA ≥ 2 years and PA &gt; 1 unit/day</w:t>
      </w:r>
      <w:r w:rsidRPr="00E32112">
        <w:rPr>
          <w:rFonts w:ascii="Arial" w:hAnsi="Arial" w:cs="Arial"/>
          <w:bCs/>
          <w:color w:val="auto"/>
          <w:sz w:val="22"/>
          <w:szCs w:val="22"/>
        </w:rPr>
        <w:t>; BP, M90</w:t>
      </w:r>
    </w:p>
    <w:p w14:paraId="7CDC42D1" w14:textId="77777777" w:rsidR="00E32112" w:rsidRPr="00E32112" w:rsidRDefault="00E32112" w:rsidP="00E32112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E32112">
        <w:rPr>
          <w:rFonts w:ascii="Arial" w:hAnsi="Arial" w:cs="Arial"/>
          <w:bCs/>
          <w:color w:val="auto"/>
          <w:sz w:val="22"/>
          <w:szCs w:val="22"/>
        </w:rPr>
        <w:t>Mesnex (mesna tablet); BP</w:t>
      </w:r>
    </w:p>
    <w:p w14:paraId="28FC5559" w14:textId="77777777" w:rsidR="00E32112" w:rsidRPr="00E32112" w:rsidRDefault="00E32112" w:rsidP="00E32112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E32112">
        <w:rPr>
          <w:rFonts w:ascii="Arial" w:hAnsi="Arial" w:cs="Arial"/>
          <w:bCs/>
          <w:color w:val="auto"/>
          <w:sz w:val="22"/>
          <w:szCs w:val="22"/>
        </w:rPr>
        <w:t xml:space="preserve">Motegrity (prucalopride) – </w:t>
      </w:r>
      <w:r w:rsidRPr="00D779C3">
        <w:rPr>
          <w:rFonts w:ascii="Arial" w:hAnsi="Arial" w:cs="Arial"/>
          <w:b/>
          <w:color w:val="auto"/>
          <w:sz w:val="22"/>
          <w:szCs w:val="22"/>
        </w:rPr>
        <w:t>PA</w:t>
      </w:r>
      <w:r w:rsidRPr="00E32112">
        <w:rPr>
          <w:rFonts w:ascii="Arial" w:hAnsi="Arial" w:cs="Arial"/>
          <w:bCs/>
          <w:color w:val="auto"/>
          <w:sz w:val="22"/>
          <w:szCs w:val="22"/>
        </w:rPr>
        <w:t>; BP</w:t>
      </w:r>
    </w:p>
    <w:p w14:paraId="2DD0AC20" w14:textId="2C0F9179" w:rsidR="004504B6" w:rsidRPr="00322234" w:rsidRDefault="00E32112" w:rsidP="00322234">
      <w:pPr>
        <w:pStyle w:val="ListParagraph"/>
        <w:numPr>
          <w:ilvl w:val="0"/>
          <w:numId w:val="23"/>
        </w:numPr>
        <w:spacing w:after="240"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E32112">
        <w:rPr>
          <w:rFonts w:ascii="Arial" w:hAnsi="Arial" w:cs="Arial"/>
          <w:bCs/>
          <w:color w:val="auto"/>
          <w:sz w:val="22"/>
          <w:szCs w:val="22"/>
        </w:rPr>
        <w:t xml:space="preserve">Spritam (levetiracetam tablet for oral suspension) – </w:t>
      </w:r>
      <w:r w:rsidRPr="00D77C8E">
        <w:rPr>
          <w:rFonts w:ascii="Arial" w:hAnsi="Arial" w:cs="Arial"/>
          <w:b/>
          <w:color w:val="auto"/>
          <w:sz w:val="22"/>
          <w:szCs w:val="22"/>
        </w:rPr>
        <w:t>PA</w:t>
      </w:r>
      <w:r w:rsidRPr="00E32112">
        <w:rPr>
          <w:rFonts w:ascii="Arial" w:hAnsi="Arial" w:cs="Arial"/>
          <w:bCs/>
          <w:color w:val="auto"/>
          <w:sz w:val="22"/>
          <w:szCs w:val="22"/>
        </w:rPr>
        <w:t>; BP</w:t>
      </w:r>
    </w:p>
    <w:p w14:paraId="5E92189B" w14:textId="6C4CAC8A" w:rsidR="00EF5603" w:rsidRDefault="00EF3241" w:rsidP="00C37980">
      <w:pPr>
        <w:spacing w:after="120"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EF3241">
        <w:rPr>
          <w:rFonts w:ascii="Arial" w:hAnsi="Arial" w:cs="Arial"/>
          <w:bCs/>
          <w:color w:val="auto"/>
          <w:sz w:val="22"/>
          <w:szCs w:val="22"/>
        </w:rPr>
        <w:t xml:space="preserve">Effective </w:t>
      </w:r>
      <w:r w:rsidR="002D087E">
        <w:rPr>
          <w:rFonts w:ascii="Arial" w:eastAsiaTheme="minorHAnsi" w:hAnsi="Arial" w:cs="Arial"/>
          <w:color w:val="auto"/>
          <w:kern w:val="0"/>
          <w:sz w:val="22"/>
          <w:szCs w:val="22"/>
        </w:rPr>
        <w:t>May 12</w:t>
      </w:r>
      <w:r w:rsidR="002D087E"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EF3241">
        <w:rPr>
          <w:rFonts w:ascii="Arial" w:hAnsi="Arial" w:cs="Arial"/>
          <w:bCs/>
          <w:color w:val="auto"/>
          <w:sz w:val="22"/>
          <w:szCs w:val="22"/>
        </w:rPr>
        <w:t xml:space="preserve">, the following </w:t>
      </w:r>
      <w:r w:rsidR="00DA6F85">
        <w:rPr>
          <w:rFonts w:ascii="Arial" w:hAnsi="Arial" w:cs="Arial"/>
          <w:bCs/>
          <w:color w:val="auto"/>
          <w:sz w:val="22"/>
          <w:szCs w:val="22"/>
        </w:rPr>
        <w:t>drugs</w:t>
      </w:r>
      <w:r w:rsidRPr="00EF3241">
        <w:rPr>
          <w:rFonts w:ascii="Arial" w:hAnsi="Arial" w:cs="Arial"/>
          <w:bCs/>
          <w:color w:val="auto"/>
          <w:sz w:val="22"/>
          <w:szCs w:val="22"/>
        </w:rPr>
        <w:t xml:space="preserve"> will be removed from the MassHealth Brand Name Preferred Over Generic Drug List.</w:t>
      </w:r>
    </w:p>
    <w:p w14:paraId="67D6AD2D" w14:textId="77777777" w:rsidR="00823288" w:rsidRPr="00823288" w:rsidRDefault="00823288" w:rsidP="00823288">
      <w:pPr>
        <w:numPr>
          <w:ilvl w:val="0"/>
          <w:numId w:val="21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823288">
        <w:rPr>
          <w:rFonts w:ascii="Arial" w:hAnsi="Arial" w:cs="Arial"/>
          <w:bCs/>
          <w:color w:val="auto"/>
          <w:sz w:val="22"/>
          <w:szCs w:val="22"/>
        </w:rPr>
        <w:t>Biltricide (praziquantel); #, A90</w:t>
      </w:r>
    </w:p>
    <w:p w14:paraId="31BE9348" w14:textId="77777777" w:rsidR="00823288" w:rsidRDefault="00823288" w:rsidP="00823288">
      <w:pPr>
        <w:numPr>
          <w:ilvl w:val="0"/>
          <w:numId w:val="21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823288">
        <w:rPr>
          <w:rFonts w:ascii="Arial" w:hAnsi="Arial" w:cs="Arial"/>
          <w:bCs/>
          <w:color w:val="auto"/>
          <w:sz w:val="22"/>
          <w:szCs w:val="22"/>
        </w:rPr>
        <w:t>Cleocin T (clindamycin lotion); #, A90</w:t>
      </w:r>
    </w:p>
    <w:p w14:paraId="19B97C51" w14:textId="0A6E39E5" w:rsidR="00F264CE" w:rsidRDefault="00F264CE" w:rsidP="00823288">
      <w:pPr>
        <w:numPr>
          <w:ilvl w:val="0"/>
          <w:numId w:val="21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F264CE">
        <w:rPr>
          <w:rFonts w:ascii="Arial" w:hAnsi="Arial" w:cs="Arial"/>
          <w:bCs/>
          <w:color w:val="auto"/>
          <w:sz w:val="22"/>
          <w:szCs w:val="22"/>
        </w:rPr>
        <w:t xml:space="preserve">Flovent (fluticasone propionate inhalation aerosol) – </w:t>
      </w:r>
      <w:r w:rsidRPr="00F264CE">
        <w:rPr>
          <w:rFonts w:ascii="Arial" w:hAnsi="Arial" w:cs="Arial"/>
          <w:b/>
          <w:color w:val="auto"/>
          <w:sz w:val="22"/>
          <w:szCs w:val="22"/>
        </w:rPr>
        <w:t>PA</w:t>
      </w:r>
      <w:r w:rsidR="002D19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F264CE">
        <w:rPr>
          <w:rFonts w:ascii="Arial" w:hAnsi="Arial" w:cs="Arial"/>
          <w:b/>
          <w:color w:val="auto"/>
          <w:sz w:val="22"/>
          <w:szCs w:val="22"/>
        </w:rPr>
        <w:t>≥ 12 years</w:t>
      </w:r>
      <w:r w:rsidR="00BD36A1">
        <w:rPr>
          <w:rFonts w:ascii="Arial" w:hAnsi="Arial" w:cs="Arial"/>
          <w:bCs/>
          <w:color w:val="auto"/>
          <w:sz w:val="22"/>
          <w:szCs w:val="22"/>
        </w:rPr>
        <w:t>; #</w:t>
      </w:r>
    </w:p>
    <w:p w14:paraId="68B88B32" w14:textId="68EE3280" w:rsidR="00F264CE" w:rsidRPr="00823288" w:rsidRDefault="00F264CE" w:rsidP="00823288">
      <w:pPr>
        <w:numPr>
          <w:ilvl w:val="0"/>
          <w:numId w:val="21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F264CE">
        <w:rPr>
          <w:rFonts w:ascii="Arial" w:hAnsi="Arial" w:cs="Arial"/>
          <w:bCs/>
          <w:color w:val="auto"/>
          <w:sz w:val="22"/>
          <w:szCs w:val="22"/>
        </w:rPr>
        <w:t xml:space="preserve">Flovent (fluticasone propionate inhalation powder) – </w:t>
      </w:r>
      <w:r w:rsidRPr="00F264CE">
        <w:rPr>
          <w:rFonts w:ascii="Arial" w:hAnsi="Arial" w:cs="Arial"/>
          <w:b/>
          <w:color w:val="auto"/>
          <w:sz w:val="22"/>
          <w:szCs w:val="22"/>
        </w:rPr>
        <w:t>PA</w:t>
      </w:r>
    </w:p>
    <w:p w14:paraId="7724F543" w14:textId="77777777" w:rsidR="00823288" w:rsidRPr="00823288" w:rsidRDefault="00823288" w:rsidP="00823288">
      <w:pPr>
        <w:numPr>
          <w:ilvl w:val="0"/>
          <w:numId w:val="20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823288">
        <w:rPr>
          <w:rFonts w:ascii="Arial" w:hAnsi="Arial" w:cs="Arial"/>
          <w:bCs/>
          <w:color w:val="auto"/>
          <w:sz w:val="22"/>
          <w:szCs w:val="22"/>
        </w:rPr>
        <w:t>Pred Forte (prednisolone acetate 1% ophthalmic suspension); #, A90</w:t>
      </w:r>
    </w:p>
    <w:p w14:paraId="5FE20FD0" w14:textId="77777777" w:rsidR="00823288" w:rsidRPr="00823288" w:rsidRDefault="00823288" w:rsidP="00823288">
      <w:pPr>
        <w:numPr>
          <w:ilvl w:val="0"/>
          <w:numId w:val="20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823288">
        <w:rPr>
          <w:rFonts w:ascii="Arial" w:hAnsi="Arial" w:cs="Arial"/>
          <w:bCs/>
          <w:color w:val="auto"/>
          <w:sz w:val="22"/>
          <w:szCs w:val="22"/>
        </w:rPr>
        <w:t>Sporanox (itraconazole solution); #, A90</w:t>
      </w:r>
    </w:p>
    <w:p w14:paraId="7E857DCB" w14:textId="77777777" w:rsidR="00823288" w:rsidRPr="00823288" w:rsidRDefault="00823288" w:rsidP="00C37980">
      <w:pPr>
        <w:numPr>
          <w:ilvl w:val="0"/>
          <w:numId w:val="20"/>
        </w:numPr>
        <w:spacing w:after="240"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823288">
        <w:rPr>
          <w:rFonts w:ascii="Arial" w:hAnsi="Arial" w:cs="Arial"/>
          <w:bCs/>
          <w:color w:val="auto"/>
          <w:sz w:val="22"/>
          <w:szCs w:val="22"/>
        </w:rPr>
        <w:t>Zegerid (omeprazole/sodium bicarbonate capsule, powder for oral suspension); #, M90</w:t>
      </w:r>
    </w:p>
    <w:p w14:paraId="65EEEEB4" w14:textId="54842550" w:rsidR="00EF5603" w:rsidRPr="00C37980" w:rsidRDefault="00FC575E" w:rsidP="00C37980">
      <w:pPr>
        <w:pStyle w:val="Heading2"/>
      </w:pPr>
      <w:r w:rsidRPr="00C37980">
        <w:t>Deletions</w:t>
      </w:r>
    </w:p>
    <w:p w14:paraId="751BFBBB" w14:textId="6A85E42D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The following drugs </w:t>
      </w:r>
      <w:r w:rsidR="004D493F">
        <w:rPr>
          <w:rFonts w:ascii="Arial" w:hAnsi="Arial" w:cs="Arial"/>
          <w:bCs/>
          <w:color w:val="auto"/>
          <w:sz w:val="22"/>
          <w:szCs w:val="22"/>
        </w:rPr>
        <w:t>will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be removed from the MassHealth Drug List </w:t>
      </w:r>
      <w:r w:rsidR="004D493F">
        <w:rPr>
          <w:rFonts w:ascii="Arial" w:hAnsi="Arial" w:cs="Arial"/>
          <w:bCs/>
          <w:color w:val="auto"/>
          <w:sz w:val="22"/>
          <w:szCs w:val="22"/>
        </w:rPr>
        <w:t xml:space="preserve">effective </w:t>
      </w:r>
      <w:r w:rsidR="002D087E">
        <w:rPr>
          <w:rFonts w:ascii="Arial" w:eastAsiaTheme="minorHAnsi" w:hAnsi="Arial" w:cs="Arial"/>
          <w:color w:val="auto"/>
          <w:kern w:val="0"/>
          <w:sz w:val="22"/>
          <w:szCs w:val="22"/>
        </w:rPr>
        <w:t>May 12</w:t>
      </w:r>
      <w:r w:rsidR="002D087E"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="004D493F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Pr="0019219C">
        <w:rPr>
          <w:rFonts w:ascii="Arial" w:hAnsi="Arial" w:cs="Arial"/>
          <w:bCs/>
          <w:color w:val="auto"/>
          <w:sz w:val="22"/>
          <w:szCs w:val="22"/>
        </w:rPr>
        <w:t>because they have been discontinued by the manufacturer.</w:t>
      </w:r>
    </w:p>
    <w:p w14:paraId="4D952D45" w14:textId="77777777" w:rsidR="0019219C" w:rsidRPr="0019219C" w:rsidRDefault="0019219C" w:rsidP="0019219C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60B2670" w14:textId="77777777" w:rsidR="005D5D14" w:rsidRPr="005D5D14" w:rsidRDefault="005D5D14" w:rsidP="005D5D14">
      <w:pPr>
        <w:pStyle w:val="ListParagraph"/>
        <w:numPr>
          <w:ilvl w:val="0"/>
          <w:numId w:val="24"/>
        </w:numPr>
        <w:spacing w:line="276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Androderm (testosterone patch) – </w:t>
      </w:r>
      <w:r w:rsidRPr="00266C9D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74CE5998" w14:textId="77777777" w:rsidR="005D5D14" w:rsidRPr="005D5D14" w:rsidRDefault="005D5D14" w:rsidP="005D5D14">
      <w:pPr>
        <w:pStyle w:val="ListParagraph"/>
        <w:numPr>
          <w:ilvl w:val="0"/>
          <w:numId w:val="24"/>
        </w:numPr>
        <w:spacing w:line="276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Extavia (interferon beta-1b) – </w:t>
      </w:r>
      <w:r w:rsidRPr="00266C9D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</w:p>
    <w:p w14:paraId="2B50244A" w14:textId="77777777" w:rsidR="005D5D14" w:rsidRPr="005D5D14" w:rsidRDefault="005D5D14" w:rsidP="005D5D14">
      <w:pPr>
        <w:pStyle w:val="ListParagraph"/>
        <w:numPr>
          <w:ilvl w:val="0"/>
          <w:numId w:val="24"/>
        </w:numPr>
        <w:spacing w:line="276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Fortesta (testosterone 2% gel pump) – </w:t>
      </w:r>
      <w:r w:rsidRPr="00266C9D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p w14:paraId="3C8CFF54" w14:textId="77777777" w:rsidR="005D5D14" w:rsidRPr="005D5D14" w:rsidRDefault="005D5D14" w:rsidP="005D5D14">
      <w:pPr>
        <w:pStyle w:val="ListParagraph"/>
        <w:numPr>
          <w:ilvl w:val="0"/>
          <w:numId w:val="24"/>
        </w:numPr>
        <w:spacing w:line="276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Namenda (memantine tablet) – </w:t>
      </w:r>
      <w:r w:rsidRPr="00266C9D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 &lt; 6 years and PA &gt; 2 units/day</w:t>
      </w: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; #, A90 </w:t>
      </w:r>
    </w:p>
    <w:p w14:paraId="082C0832" w14:textId="6EDAC060" w:rsidR="005D5D14" w:rsidRPr="005D5D14" w:rsidRDefault="005D5D14" w:rsidP="005D5D14">
      <w:pPr>
        <w:pStyle w:val="ListParagraph"/>
        <w:numPr>
          <w:ilvl w:val="0"/>
          <w:numId w:val="24"/>
        </w:numPr>
        <w:spacing w:line="276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Razadyne ER (galantamine extended-release capsule) – </w:t>
      </w:r>
      <w:r w:rsidRPr="00266C9D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 &gt; 1 unit/day</w:t>
      </w: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>; #, A90</w:t>
      </w:r>
    </w:p>
    <w:p w14:paraId="1125E1BF" w14:textId="1C430F01" w:rsidR="0019219C" w:rsidRPr="00266C9D" w:rsidRDefault="005D5D14" w:rsidP="005D5D14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D5D14">
        <w:rPr>
          <w:rFonts w:ascii="Arial" w:eastAsiaTheme="minorHAnsi" w:hAnsi="Arial" w:cs="Arial"/>
          <w:color w:val="auto"/>
          <w:kern w:val="0"/>
          <w:sz w:val="22"/>
          <w:szCs w:val="22"/>
        </w:rPr>
        <w:t>Rocaltrol (calcitriol capsule); #, M90</w:t>
      </w:r>
    </w:p>
    <w:p w14:paraId="2A457A00" w14:textId="77777777" w:rsidR="00266C9D" w:rsidRPr="00266C9D" w:rsidRDefault="00266C9D" w:rsidP="00266C9D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5522537" w14:textId="45B9DE75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hyperlink r:id="rId16" w:history="1">
        <w:r w:rsidRPr="00A12B49">
          <w:rPr>
            <w:rStyle w:val="Hyperlink"/>
            <w:rFonts w:ascii="Arial" w:hAnsi="Arial" w:cs="Arial"/>
            <w:bCs/>
            <w:sz w:val="22"/>
            <w:szCs w:val="22"/>
          </w:rPr>
          <w:t>MassHealth Drug List's Upcoming and Recent Updates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page summarizes changes that will become effective on </w:t>
      </w:r>
      <w:r w:rsidR="005B621C">
        <w:rPr>
          <w:rFonts w:ascii="Arial" w:eastAsiaTheme="minorHAnsi" w:hAnsi="Arial" w:cs="Arial"/>
          <w:color w:val="auto"/>
          <w:kern w:val="0"/>
          <w:sz w:val="22"/>
          <w:szCs w:val="22"/>
        </w:rPr>
        <w:t>May 12</w:t>
      </w:r>
      <w:r w:rsidR="005B621C" w:rsidRPr="00C92EE8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. Please refer to the updated summary for more information (including other important upcoming changes). Additional information about coverage status and Prior Authorization requirements can be found on the </w:t>
      </w:r>
      <w:hyperlink r:id="rId17" w:history="1">
        <w:r w:rsidRPr="003125A4">
          <w:rPr>
            <w:rStyle w:val="Hyperlink"/>
            <w:rFonts w:ascii="Arial" w:hAnsi="Arial" w:cs="Arial"/>
            <w:bCs/>
            <w:sz w:val="22"/>
            <w:szCs w:val="22"/>
          </w:rPr>
          <w:t>MassHealth Drug List website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677AEDCF" w14:textId="2BCD816D" w:rsidR="00571C6C" w:rsidRDefault="00556960" w:rsidP="00862D04">
      <w:pPr>
        <w:tabs>
          <w:tab w:val="left" w:pos="5432"/>
        </w:tabs>
        <w:spacing w:after="44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870CBF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4B55" w14:textId="77777777" w:rsidR="00876A71" w:rsidRDefault="00876A71">
      <w:r>
        <w:separator/>
      </w:r>
    </w:p>
  </w:endnote>
  <w:endnote w:type="continuationSeparator" w:id="0">
    <w:p w14:paraId="7830D641" w14:textId="77777777" w:rsidR="00876A71" w:rsidRDefault="00876A71">
      <w:r>
        <w:continuationSeparator/>
      </w:r>
    </w:p>
  </w:endnote>
  <w:endnote w:type="continuationNotice" w:id="1">
    <w:p w14:paraId="67FE1C3E" w14:textId="77777777" w:rsidR="00876A71" w:rsidRDefault="00876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1828" w14:textId="77777777" w:rsidR="00876A71" w:rsidRDefault="00876A71">
      <w:r>
        <w:separator/>
      </w:r>
    </w:p>
  </w:footnote>
  <w:footnote w:type="continuationSeparator" w:id="0">
    <w:p w14:paraId="3D92AEE2" w14:textId="77777777" w:rsidR="00876A71" w:rsidRDefault="00876A71">
      <w:r>
        <w:continuationSeparator/>
      </w:r>
    </w:p>
  </w:footnote>
  <w:footnote w:type="continuationNotice" w:id="1">
    <w:p w14:paraId="5F10C6EE" w14:textId="77777777" w:rsidR="00876A71" w:rsidRDefault="00876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55E376CC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>
      <w:rPr>
        <w:rFonts w:ascii="Trebuchet MS" w:hAnsi="Trebuchet MS"/>
        <w:b/>
        <w:sz w:val="18"/>
        <w:szCs w:val="18"/>
        <w:lang w:val="en"/>
      </w:rPr>
      <w:t>15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322234">
      <w:rPr>
        <w:rFonts w:ascii="Trebuchet MS" w:hAnsi="Trebuchet MS"/>
        <w:b/>
        <w:sz w:val="18"/>
        <w:szCs w:val="18"/>
        <w:lang w:val="en"/>
      </w:rPr>
      <w:t>4</w:t>
    </w:r>
    <w:r>
      <w:rPr>
        <w:rFonts w:ascii="Trebuchet MS" w:hAnsi="Trebuchet MS"/>
        <w:b/>
        <w:sz w:val="18"/>
        <w:szCs w:val="18"/>
        <w:lang w:val="en"/>
      </w:rPr>
      <w:t>, February 2025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21"/>
  </w:num>
  <w:num w:numId="3" w16cid:durableId="1055355579">
    <w:abstractNumId w:val="9"/>
  </w:num>
  <w:num w:numId="4" w16cid:durableId="199826978">
    <w:abstractNumId w:val="8"/>
  </w:num>
  <w:num w:numId="5" w16cid:durableId="1782339195">
    <w:abstractNumId w:val="22"/>
  </w:num>
  <w:num w:numId="6" w16cid:durableId="321617534">
    <w:abstractNumId w:val="23"/>
  </w:num>
  <w:num w:numId="7" w16cid:durableId="514729983">
    <w:abstractNumId w:val="2"/>
  </w:num>
  <w:num w:numId="8" w16cid:durableId="1932081016">
    <w:abstractNumId w:val="12"/>
  </w:num>
  <w:num w:numId="9" w16cid:durableId="2079358099">
    <w:abstractNumId w:val="4"/>
  </w:num>
  <w:num w:numId="10" w16cid:durableId="329336526">
    <w:abstractNumId w:val="0"/>
  </w:num>
  <w:num w:numId="11" w16cid:durableId="747574778">
    <w:abstractNumId w:val="5"/>
  </w:num>
  <w:num w:numId="12" w16cid:durableId="864055193">
    <w:abstractNumId w:val="3"/>
  </w:num>
  <w:num w:numId="13" w16cid:durableId="990477161">
    <w:abstractNumId w:val="11"/>
  </w:num>
  <w:num w:numId="14" w16cid:durableId="1299412918">
    <w:abstractNumId w:val="14"/>
  </w:num>
  <w:num w:numId="15" w16cid:durableId="47382837">
    <w:abstractNumId w:val="20"/>
  </w:num>
  <w:num w:numId="16" w16cid:durableId="223032385">
    <w:abstractNumId w:val="13"/>
  </w:num>
  <w:num w:numId="17" w16cid:durableId="957570114">
    <w:abstractNumId w:val="7"/>
  </w:num>
  <w:num w:numId="18" w16cid:durableId="923419402">
    <w:abstractNumId w:val="6"/>
  </w:num>
  <w:num w:numId="19" w16cid:durableId="1414740414">
    <w:abstractNumId w:val="16"/>
  </w:num>
  <w:num w:numId="20" w16cid:durableId="573467208">
    <w:abstractNumId w:val="18"/>
  </w:num>
  <w:num w:numId="21" w16cid:durableId="265770662">
    <w:abstractNumId w:val="19"/>
  </w:num>
  <w:num w:numId="22" w16cid:durableId="848445145">
    <w:abstractNumId w:val="10"/>
  </w:num>
  <w:num w:numId="23" w16cid:durableId="554703532">
    <w:abstractNumId w:val="17"/>
  </w:num>
  <w:num w:numId="24" w16cid:durableId="1791240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4014"/>
    <w:rsid w:val="00076469"/>
    <w:rsid w:val="00076A4D"/>
    <w:rsid w:val="00080A76"/>
    <w:rsid w:val="000814C3"/>
    <w:rsid w:val="00094194"/>
    <w:rsid w:val="000A26B3"/>
    <w:rsid w:val="000A6C99"/>
    <w:rsid w:val="000B4487"/>
    <w:rsid w:val="000C15E5"/>
    <w:rsid w:val="000C2AEE"/>
    <w:rsid w:val="000E5134"/>
    <w:rsid w:val="000E515F"/>
    <w:rsid w:val="000F145D"/>
    <w:rsid w:val="000F19D2"/>
    <w:rsid w:val="001003DC"/>
    <w:rsid w:val="00101872"/>
    <w:rsid w:val="001038B4"/>
    <w:rsid w:val="001049C6"/>
    <w:rsid w:val="00107CA4"/>
    <w:rsid w:val="00112E05"/>
    <w:rsid w:val="00113A33"/>
    <w:rsid w:val="00137002"/>
    <w:rsid w:val="00143EFF"/>
    <w:rsid w:val="00146E96"/>
    <w:rsid w:val="00161B6A"/>
    <w:rsid w:val="0016598C"/>
    <w:rsid w:val="00165FB0"/>
    <w:rsid w:val="0017504B"/>
    <w:rsid w:val="00175C12"/>
    <w:rsid w:val="00180CAA"/>
    <w:rsid w:val="00182385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7174"/>
    <w:rsid w:val="002400F6"/>
    <w:rsid w:val="00242480"/>
    <w:rsid w:val="00242A52"/>
    <w:rsid w:val="00246894"/>
    <w:rsid w:val="002520E7"/>
    <w:rsid w:val="002559B8"/>
    <w:rsid w:val="00266C9D"/>
    <w:rsid w:val="002712BE"/>
    <w:rsid w:val="00272F9F"/>
    <w:rsid w:val="00273E75"/>
    <w:rsid w:val="0027618E"/>
    <w:rsid w:val="00283746"/>
    <w:rsid w:val="00283CFD"/>
    <w:rsid w:val="00287929"/>
    <w:rsid w:val="00287F60"/>
    <w:rsid w:val="002959F0"/>
    <w:rsid w:val="002A35C4"/>
    <w:rsid w:val="002A566F"/>
    <w:rsid w:val="002B16E1"/>
    <w:rsid w:val="002B4B60"/>
    <w:rsid w:val="002C14BD"/>
    <w:rsid w:val="002C261E"/>
    <w:rsid w:val="002C326C"/>
    <w:rsid w:val="002D087E"/>
    <w:rsid w:val="002D1920"/>
    <w:rsid w:val="002D1C5C"/>
    <w:rsid w:val="002D6F34"/>
    <w:rsid w:val="002E55F8"/>
    <w:rsid w:val="002E6DD1"/>
    <w:rsid w:val="002E75D3"/>
    <w:rsid w:val="002F154A"/>
    <w:rsid w:val="002F1A78"/>
    <w:rsid w:val="002F3AAD"/>
    <w:rsid w:val="002F4A95"/>
    <w:rsid w:val="003064EC"/>
    <w:rsid w:val="0031009A"/>
    <w:rsid w:val="00311223"/>
    <w:rsid w:val="003125A4"/>
    <w:rsid w:val="003128F3"/>
    <w:rsid w:val="0031549E"/>
    <w:rsid w:val="003159D1"/>
    <w:rsid w:val="00316A86"/>
    <w:rsid w:val="0031728E"/>
    <w:rsid w:val="00322234"/>
    <w:rsid w:val="00325D8F"/>
    <w:rsid w:val="00330FB0"/>
    <w:rsid w:val="00337677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1D58"/>
    <w:rsid w:val="00394194"/>
    <w:rsid w:val="003971CE"/>
    <w:rsid w:val="00397377"/>
    <w:rsid w:val="003A17FB"/>
    <w:rsid w:val="003A670A"/>
    <w:rsid w:val="003A76A8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48B8"/>
    <w:rsid w:val="00425560"/>
    <w:rsid w:val="00427D00"/>
    <w:rsid w:val="00433649"/>
    <w:rsid w:val="0044614E"/>
    <w:rsid w:val="00446350"/>
    <w:rsid w:val="004504B6"/>
    <w:rsid w:val="004564C8"/>
    <w:rsid w:val="00456BB4"/>
    <w:rsid w:val="004607BC"/>
    <w:rsid w:val="00463AE8"/>
    <w:rsid w:val="004650A7"/>
    <w:rsid w:val="0046520A"/>
    <w:rsid w:val="00467BD4"/>
    <w:rsid w:val="00470D66"/>
    <w:rsid w:val="00470FE2"/>
    <w:rsid w:val="0047213A"/>
    <w:rsid w:val="004733F0"/>
    <w:rsid w:val="0047627E"/>
    <w:rsid w:val="00477057"/>
    <w:rsid w:val="00485E86"/>
    <w:rsid w:val="0049555F"/>
    <w:rsid w:val="0049734F"/>
    <w:rsid w:val="004A58A3"/>
    <w:rsid w:val="004A5933"/>
    <w:rsid w:val="004B0A9F"/>
    <w:rsid w:val="004B24F7"/>
    <w:rsid w:val="004B4369"/>
    <w:rsid w:val="004B77A9"/>
    <w:rsid w:val="004C0C22"/>
    <w:rsid w:val="004D493F"/>
    <w:rsid w:val="004D7846"/>
    <w:rsid w:val="004E42DD"/>
    <w:rsid w:val="004E58D0"/>
    <w:rsid w:val="004E6787"/>
    <w:rsid w:val="004F3FB4"/>
    <w:rsid w:val="004F5803"/>
    <w:rsid w:val="004F635C"/>
    <w:rsid w:val="00502B92"/>
    <w:rsid w:val="00505053"/>
    <w:rsid w:val="0050687D"/>
    <w:rsid w:val="005175F7"/>
    <w:rsid w:val="00523813"/>
    <w:rsid w:val="00532641"/>
    <w:rsid w:val="00533C5E"/>
    <w:rsid w:val="005345EF"/>
    <w:rsid w:val="00536EBB"/>
    <w:rsid w:val="0055653E"/>
    <w:rsid w:val="005566B0"/>
    <w:rsid w:val="00556960"/>
    <w:rsid w:val="005639B0"/>
    <w:rsid w:val="00567B9D"/>
    <w:rsid w:val="005704FB"/>
    <w:rsid w:val="00571C6C"/>
    <w:rsid w:val="0057278E"/>
    <w:rsid w:val="00576DC3"/>
    <w:rsid w:val="00577FEC"/>
    <w:rsid w:val="00580E97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74DA"/>
    <w:rsid w:val="005B3507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35CD"/>
    <w:rsid w:val="0060397B"/>
    <w:rsid w:val="00610115"/>
    <w:rsid w:val="00612B60"/>
    <w:rsid w:val="00616E8B"/>
    <w:rsid w:val="00622404"/>
    <w:rsid w:val="0062336E"/>
    <w:rsid w:val="0062529B"/>
    <w:rsid w:val="00626A67"/>
    <w:rsid w:val="0064259B"/>
    <w:rsid w:val="0064266F"/>
    <w:rsid w:val="00650CB2"/>
    <w:rsid w:val="00653EAC"/>
    <w:rsid w:val="006558AB"/>
    <w:rsid w:val="00661B53"/>
    <w:rsid w:val="0067107B"/>
    <w:rsid w:val="00680C86"/>
    <w:rsid w:val="00690023"/>
    <w:rsid w:val="0069031E"/>
    <w:rsid w:val="00694015"/>
    <w:rsid w:val="006A28CD"/>
    <w:rsid w:val="006A777A"/>
    <w:rsid w:val="006B207B"/>
    <w:rsid w:val="006B20D5"/>
    <w:rsid w:val="006B7613"/>
    <w:rsid w:val="006C3B50"/>
    <w:rsid w:val="006D70E0"/>
    <w:rsid w:val="006E0362"/>
    <w:rsid w:val="00702546"/>
    <w:rsid w:val="00711113"/>
    <w:rsid w:val="00717A1C"/>
    <w:rsid w:val="00721778"/>
    <w:rsid w:val="007243D7"/>
    <w:rsid w:val="007311C3"/>
    <w:rsid w:val="007459B2"/>
    <w:rsid w:val="00752617"/>
    <w:rsid w:val="00762B83"/>
    <w:rsid w:val="00767D6F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E4CAE"/>
    <w:rsid w:val="007E77D7"/>
    <w:rsid w:val="007F2D62"/>
    <w:rsid w:val="00800DFB"/>
    <w:rsid w:val="0080735F"/>
    <w:rsid w:val="00807E9F"/>
    <w:rsid w:val="00816B7A"/>
    <w:rsid w:val="00821F5B"/>
    <w:rsid w:val="00822B62"/>
    <w:rsid w:val="00823288"/>
    <w:rsid w:val="008403CA"/>
    <w:rsid w:val="00840D1F"/>
    <w:rsid w:val="0084212C"/>
    <w:rsid w:val="00844307"/>
    <w:rsid w:val="00844A19"/>
    <w:rsid w:val="0084544F"/>
    <w:rsid w:val="00852ADF"/>
    <w:rsid w:val="0085378A"/>
    <w:rsid w:val="00860511"/>
    <w:rsid w:val="00860BA1"/>
    <w:rsid w:val="00861741"/>
    <w:rsid w:val="00862590"/>
    <w:rsid w:val="00862D04"/>
    <w:rsid w:val="00863B1E"/>
    <w:rsid w:val="00865AEA"/>
    <w:rsid w:val="00870CBF"/>
    <w:rsid w:val="008722AE"/>
    <w:rsid w:val="00872E7F"/>
    <w:rsid w:val="00873BEF"/>
    <w:rsid w:val="00875B78"/>
    <w:rsid w:val="008762B2"/>
    <w:rsid w:val="00876A71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A4DFB"/>
    <w:rsid w:val="008B0999"/>
    <w:rsid w:val="008B221F"/>
    <w:rsid w:val="008B56EF"/>
    <w:rsid w:val="008C07DE"/>
    <w:rsid w:val="008C1B83"/>
    <w:rsid w:val="008C4642"/>
    <w:rsid w:val="008E5183"/>
    <w:rsid w:val="008E79B3"/>
    <w:rsid w:val="008F25B4"/>
    <w:rsid w:val="00901DC2"/>
    <w:rsid w:val="00915088"/>
    <w:rsid w:val="00917BB8"/>
    <w:rsid w:val="00922C53"/>
    <w:rsid w:val="00923341"/>
    <w:rsid w:val="00927CAB"/>
    <w:rsid w:val="00947F70"/>
    <w:rsid w:val="00950233"/>
    <w:rsid w:val="009555A8"/>
    <w:rsid w:val="00956812"/>
    <w:rsid w:val="00980B18"/>
    <w:rsid w:val="00982128"/>
    <w:rsid w:val="00986130"/>
    <w:rsid w:val="00986205"/>
    <w:rsid w:val="00986AF3"/>
    <w:rsid w:val="009876BA"/>
    <w:rsid w:val="009913AF"/>
    <w:rsid w:val="00992143"/>
    <w:rsid w:val="00996DE6"/>
    <w:rsid w:val="009A2A6E"/>
    <w:rsid w:val="009A3763"/>
    <w:rsid w:val="009A4123"/>
    <w:rsid w:val="009B1AAF"/>
    <w:rsid w:val="009B2ABA"/>
    <w:rsid w:val="009D1E1C"/>
    <w:rsid w:val="009D2B0C"/>
    <w:rsid w:val="009D453B"/>
    <w:rsid w:val="009E00CE"/>
    <w:rsid w:val="009E2313"/>
    <w:rsid w:val="009F04D6"/>
    <w:rsid w:val="00A128B9"/>
    <w:rsid w:val="00A12B49"/>
    <w:rsid w:val="00A13579"/>
    <w:rsid w:val="00A26095"/>
    <w:rsid w:val="00A2758A"/>
    <w:rsid w:val="00A36FA0"/>
    <w:rsid w:val="00A37691"/>
    <w:rsid w:val="00A54558"/>
    <w:rsid w:val="00A63EE0"/>
    <w:rsid w:val="00A65E97"/>
    <w:rsid w:val="00A82D27"/>
    <w:rsid w:val="00A83962"/>
    <w:rsid w:val="00A84104"/>
    <w:rsid w:val="00A856E6"/>
    <w:rsid w:val="00A95432"/>
    <w:rsid w:val="00AA0399"/>
    <w:rsid w:val="00AA6F20"/>
    <w:rsid w:val="00AB304D"/>
    <w:rsid w:val="00AC546E"/>
    <w:rsid w:val="00AD42BB"/>
    <w:rsid w:val="00AD5A76"/>
    <w:rsid w:val="00AE483E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77E6F"/>
    <w:rsid w:val="00B96C06"/>
    <w:rsid w:val="00BA140F"/>
    <w:rsid w:val="00BA69EB"/>
    <w:rsid w:val="00BB15B2"/>
    <w:rsid w:val="00BD0118"/>
    <w:rsid w:val="00BD36A1"/>
    <w:rsid w:val="00BD7648"/>
    <w:rsid w:val="00BE46A7"/>
    <w:rsid w:val="00BF173A"/>
    <w:rsid w:val="00BF4A81"/>
    <w:rsid w:val="00BF73BB"/>
    <w:rsid w:val="00C0073C"/>
    <w:rsid w:val="00C009F8"/>
    <w:rsid w:val="00C03DAA"/>
    <w:rsid w:val="00C04A9A"/>
    <w:rsid w:val="00C07931"/>
    <w:rsid w:val="00C208B7"/>
    <w:rsid w:val="00C21F71"/>
    <w:rsid w:val="00C24050"/>
    <w:rsid w:val="00C25B35"/>
    <w:rsid w:val="00C26785"/>
    <w:rsid w:val="00C27D9C"/>
    <w:rsid w:val="00C35B94"/>
    <w:rsid w:val="00C37980"/>
    <w:rsid w:val="00C4079D"/>
    <w:rsid w:val="00C408F1"/>
    <w:rsid w:val="00C409B3"/>
    <w:rsid w:val="00C4587F"/>
    <w:rsid w:val="00C50054"/>
    <w:rsid w:val="00C54D38"/>
    <w:rsid w:val="00C556DB"/>
    <w:rsid w:val="00C578AB"/>
    <w:rsid w:val="00C578C7"/>
    <w:rsid w:val="00C62A5E"/>
    <w:rsid w:val="00C656AF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3E4B"/>
    <w:rsid w:val="00CA4BAC"/>
    <w:rsid w:val="00CA4C28"/>
    <w:rsid w:val="00CA6B6E"/>
    <w:rsid w:val="00CB1524"/>
    <w:rsid w:val="00CC539D"/>
    <w:rsid w:val="00CD1B3A"/>
    <w:rsid w:val="00CD7211"/>
    <w:rsid w:val="00CD751D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726DF"/>
    <w:rsid w:val="00D757B8"/>
    <w:rsid w:val="00D77884"/>
    <w:rsid w:val="00D779C3"/>
    <w:rsid w:val="00D77C8E"/>
    <w:rsid w:val="00D821A9"/>
    <w:rsid w:val="00D86896"/>
    <w:rsid w:val="00D97D27"/>
    <w:rsid w:val="00DA302D"/>
    <w:rsid w:val="00DA4328"/>
    <w:rsid w:val="00DA4388"/>
    <w:rsid w:val="00DA6D62"/>
    <w:rsid w:val="00DA6F85"/>
    <w:rsid w:val="00DA7FE7"/>
    <w:rsid w:val="00DB2EE5"/>
    <w:rsid w:val="00DB3BB6"/>
    <w:rsid w:val="00DB79AB"/>
    <w:rsid w:val="00DC0E97"/>
    <w:rsid w:val="00DC1ACC"/>
    <w:rsid w:val="00DC7F7B"/>
    <w:rsid w:val="00DD2187"/>
    <w:rsid w:val="00DE5C94"/>
    <w:rsid w:val="00DF2CCE"/>
    <w:rsid w:val="00DF3E53"/>
    <w:rsid w:val="00E009F7"/>
    <w:rsid w:val="00E06D78"/>
    <w:rsid w:val="00E1027A"/>
    <w:rsid w:val="00E2339F"/>
    <w:rsid w:val="00E23CEA"/>
    <w:rsid w:val="00E31AED"/>
    <w:rsid w:val="00E31CAE"/>
    <w:rsid w:val="00E32112"/>
    <w:rsid w:val="00E35E0F"/>
    <w:rsid w:val="00E370BD"/>
    <w:rsid w:val="00E61DD5"/>
    <w:rsid w:val="00E679DA"/>
    <w:rsid w:val="00E831CE"/>
    <w:rsid w:val="00E90319"/>
    <w:rsid w:val="00E9521B"/>
    <w:rsid w:val="00EA3B9F"/>
    <w:rsid w:val="00EA7F76"/>
    <w:rsid w:val="00EB0E73"/>
    <w:rsid w:val="00EB5FE2"/>
    <w:rsid w:val="00EC08AC"/>
    <w:rsid w:val="00EE1090"/>
    <w:rsid w:val="00EE333C"/>
    <w:rsid w:val="00EE46DF"/>
    <w:rsid w:val="00EE67F4"/>
    <w:rsid w:val="00EE74FF"/>
    <w:rsid w:val="00EF3241"/>
    <w:rsid w:val="00EF5603"/>
    <w:rsid w:val="00EF76E8"/>
    <w:rsid w:val="00F01FFC"/>
    <w:rsid w:val="00F264CE"/>
    <w:rsid w:val="00F42C2D"/>
    <w:rsid w:val="00F51B4F"/>
    <w:rsid w:val="00F53DA0"/>
    <w:rsid w:val="00F53FFB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5E0D"/>
    <w:rsid w:val="00F9023B"/>
    <w:rsid w:val="00F9792D"/>
    <w:rsid w:val="00FA5787"/>
    <w:rsid w:val="00FA5B7B"/>
    <w:rsid w:val="00FA657B"/>
    <w:rsid w:val="00FB53EC"/>
    <w:rsid w:val="00FB7719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4E32B342-AF5C-4254-81E5-05BE9068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hdl.pharmacy.services.conduent.com/MHDL/welcome.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pubmhdlupdates.do?category=Upcoming+and+Recent+Update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0" ma:contentTypeDescription="Create a new document." ma:contentTypeScope="" ma:versionID="247c188bef81f8dde2c204dfb30e81f8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9584c690942716e74c93cd43a058c058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E02A4-5FB5-4E7B-80A5-BC29D8225755}">
  <ds:schemaRefs>
    <ds:schemaRef ds:uri="http://schemas.openxmlformats.org/package/2006/metadata/core-properties"/>
    <ds:schemaRef ds:uri="a2ac5cde-4468-402a-ac20-5b556603971c"/>
    <ds:schemaRef ds:uri="http://purl.org/dc/elements/1.1/"/>
    <ds:schemaRef ds:uri="5c0ed19a-6442-486d-a068-86457d131ec5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134AA5-D9DE-49EE-9282-A632F5B9C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368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DeLeo, Dan (EHS)</cp:lastModifiedBy>
  <cp:revision>9</cp:revision>
  <cp:lastPrinted>2024-10-16T21:48:00Z</cp:lastPrinted>
  <dcterms:created xsi:type="dcterms:W3CDTF">2025-02-21T18:15:00Z</dcterms:created>
  <dcterms:modified xsi:type="dcterms:W3CDTF">2025-02-24T19:09:00Z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