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C543" w14:textId="1B22FF71" w:rsidR="00AD42BB" w:rsidRPr="00AD42BB" w:rsidRDefault="005851F1" w:rsidP="00055E2A">
      <w:pPr>
        <w:pStyle w:val="Heading1"/>
        <w:tabs>
          <w:tab w:val="left" w:pos="900"/>
        </w:tabs>
        <w:spacing w:before="240" w:after="1080"/>
        <w:ind w:firstLine="252"/>
      </w:pPr>
      <w:r>
        <w:rPr>
          <w:noProof/>
        </w:rPr>
        <w:drawing>
          <wp:anchor distT="0" distB="0" distL="114300" distR="114300" simplePos="0" relativeHeight="251660288" behindDoc="1" locked="0" layoutInCell="1" allowOverlap="1" wp14:anchorId="5BC6493F" wp14:editId="28569CAD">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Letter&#10;&#10;MassHealth Pharmac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Letter&#10;&#10;MassHealth Pharmacy Progr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The Prescriber e-Letter, </w:t>
      </w:r>
      <w:r w:rsidR="00CD7211">
        <w:br w:type="textWrapping" w:clear="all"/>
      </w:r>
      <w:r w:rsidR="00E90319">
        <w:t>V</w:t>
      </w:r>
      <w:r>
        <w:t xml:space="preserve">olume </w:t>
      </w:r>
      <w:r w:rsidR="007104F3">
        <w:t>14</w:t>
      </w:r>
      <w:r>
        <w:t xml:space="preserve">, Issue </w:t>
      </w:r>
      <w:r w:rsidR="0043006B">
        <w:t>4</w:t>
      </w:r>
      <w:r w:rsidR="00C76762">
        <w:t xml:space="preserve">, </w:t>
      </w:r>
      <w:r w:rsidR="002559B8">
        <w:t>October 2024</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7E4308B5" w14:textId="7BE747C7" w:rsidR="008F1844" w:rsidRPr="008F1844" w:rsidRDefault="008F1844" w:rsidP="007104F3">
      <w:pPr>
        <w:pStyle w:val="Heading2"/>
        <w:framePr w:hSpace="0" w:wrap="auto" w:vAnchor="margin" w:yAlign="inline"/>
        <w:spacing w:before="240" w:after="120"/>
        <w:jc w:val="center"/>
      </w:pPr>
      <w:r w:rsidRPr="00572E82">
        <w:rPr>
          <w:rFonts w:ascii="Arial" w:hAnsi="Arial" w:cs="Arial"/>
          <w:sz w:val="26"/>
          <w:szCs w:val="26"/>
        </w:rPr>
        <w:t>Pediatric Behavioral Health Medication Initiative Updates</w:t>
      </w:r>
    </w:p>
    <w:p w14:paraId="372EF4D8" w14:textId="77777777" w:rsidR="008F1844" w:rsidRPr="008F1844" w:rsidRDefault="008F1844" w:rsidP="008F1844">
      <w:pPr>
        <w:spacing w:line="276" w:lineRule="auto"/>
        <w:rPr>
          <w:rFonts w:ascii="Arial" w:hAnsi="Arial" w:cs="Arial"/>
          <w:bCs/>
          <w:color w:val="auto"/>
          <w:sz w:val="22"/>
          <w:szCs w:val="22"/>
        </w:rPr>
      </w:pPr>
      <w:bookmarkStart w:id="0" w:name="_Hlk56006764"/>
      <w:r w:rsidRPr="008F1844">
        <w:rPr>
          <w:rFonts w:ascii="Arial" w:hAnsi="Arial" w:cs="Arial"/>
          <w:bCs/>
          <w:color w:val="auto"/>
          <w:sz w:val="22"/>
          <w:szCs w:val="22"/>
        </w:rPr>
        <w:t xml:space="preserve">The MassHealth Pharmacy Program, in collaboration with the Department of Children and Families (DCF) and the Department of Mental Health (DMH), developed the Pediatric Behavioral Health Medication Initiative (PBHMI). The PBHMI proactively requires prior authorization (PA) for potentially dangerous combinations of behavioral health medications prescribed to members younger than 18. </w:t>
      </w:r>
    </w:p>
    <w:p w14:paraId="1F73D438" w14:textId="77777777" w:rsidR="008F1844" w:rsidRPr="008F1844" w:rsidRDefault="008F1844" w:rsidP="008F1844">
      <w:pPr>
        <w:spacing w:line="276" w:lineRule="auto"/>
        <w:rPr>
          <w:rFonts w:ascii="Arial" w:hAnsi="Arial" w:cs="Arial"/>
          <w:bCs/>
          <w:color w:val="auto"/>
          <w:sz w:val="22"/>
          <w:szCs w:val="22"/>
        </w:rPr>
      </w:pPr>
    </w:p>
    <w:p w14:paraId="39A12257" w14:textId="77777777" w:rsidR="008F1844" w:rsidRPr="008F1844" w:rsidRDefault="008F1844" w:rsidP="00A067E1">
      <w:pPr>
        <w:tabs>
          <w:tab w:val="left" w:pos="8820"/>
        </w:tabs>
        <w:spacing w:line="276" w:lineRule="auto"/>
        <w:rPr>
          <w:rFonts w:ascii="Arial" w:hAnsi="Arial" w:cs="Arial"/>
          <w:bCs/>
          <w:color w:val="auto"/>
          <w:sz w:val="22"/>
          <w:szCs w:val="22"/>
        </w:rPr>
      </w:pPr>
      <w:r w:rsidRPr="008F1844">
        <w:rPr>
          <w:rFonts w:ascii="Arial" w:hAnsi="Arial" w:cs="Arial"/>
          <w:bCs/>
          <w:color w:val="auto"/>
          <w:sz w:val="22"/>
          <w:szCs w:val="22"/>
        </w:rPr>
        <w:t>The MassHealth PBHMI is designed to ensure that MassHealth pediatric members receive medically necessary behavioral health medications that are safe and effective, and that optimize patient care.</w:t>
      </w:r>
    </w:p>
    <w:p w14:paraId="75AF2DB5" w14:textId="77777777" w:rsidR="008F1844" w:rsidRPr="008F1844" w:rsidRDefault="008F1844" w:rsidP="008F1844">
      <w:pPr>
        <w:spacing w:line="276" w:lineRule="auto"/>
        <w:rPr>
          <w:rFonts w:ascii="Arial" w:hAnsi="Arial" w:cs="Arial"/>
          <w:bCs/>
          <w:color w:val="auto"/>
          <w:sz w:val="22"/>
          <w:szCs w:val="22"/>
        </w:rPr>
      </w:pPr>
    </w:p>
    <w:p w14:paraId="5C796B3E" w14:textId="77777777" w:rsidR="008F1844" w:rsidRPr="008F1844" w:rsidRDefault="008F1844" w:rsidP="008F1844">
      <w:pPr>
        <w:spacing w:line="276" w:lineRule="auto"/>
        <w:rPr>
          <w:rFonts w:ascii="Arial" w:hAnsi="Arial" w:cs="Arial"/>
          <w:bCs/>
          <w:color w:val="auto"/>
          <w:sz w:val="22"/>
          <w:szCs w:val="22"/>
        </w:rPr>
      </w:pPr>
      <w:r w:rsidRPr="008F1844">
        <w:rPr>
          <w:rFonts w:ascii="Arial" w:hAnsi="Arial" w:cs="Arial"/>
          <w:bCs/>
          <w:color w:val="auto"/>
          <w:sz w:val="22"/>
          <w:szCs w:val="22"/>
        </w:rPr>
        <w:t xml:space="preserve">As part of continuous quality-improvement and assurance efforts, and in accordance with clinical literature and consensus guidance, the changes outlined below were made to the PBHMI PA requirements </w:t>
      </w:r>
      <w:r w:rsidRPr="008F1844">
        <w:rPr>
          <w:rFonts w:ascii="Arial" w:hAnsi="Arial" w:cs="Arial"/>
          <w:b/>
          <w:bCs/>
          <w:color w:val="auto"/>
          <w:sz w:val="22"/>
          <w:szCs w:val="22"/>
        </w:rPr>
        <w:t>on October 1, 2024</w:t>
      </w:r>
      <w:r w:rsidRPr="008F1844">
        <w:rPr>
          <w:rFonts w:ascii="Arial" w:hAnsi="Arial" w:cs="Arial"/>
          <w:bCs/>
          <w:color w:val="auto"/>
          <w:sz w:val="22"/>
          <w:szCs w:val="22"/>
        </w:rPr>
        <w:t>. The tables below show the previous requirements and the recent changes.</w:t>
      </w:r>
    </w:p>
    <w:p w14:paraId="39141858" w14:textId="77777777" w:rsidR="008F1844" w:rsidRPr="008F1844" w:rsidRDefault="008F1844" w:rsidP="00A067E1">
      <w:pPr>
        <w:tabs>
          <w:tab w:val="left" w:pos="450"/>
          <w:tab w:val="left" w:pos="540"/>
          <w:tab w:val="left" w:pos="8640"/>
          <w:tab w:val="left" w:pos="8910"/>
        </w:tabs>
        <w:spacing w:line="276" w:lineRule="auto"/>
        <w:rPr>
          <w:rFonts w:ascii="Arial" w:hAnsi="Arial" w:cs="Arial"/>
          <w:bCs/>
          <w:color w:val="auto"/>
          <w:sz w:val="22"/>
          <w:szCs w:val="22"/>
        </w:rPr>
      </w:pPr>
    </w:p>
    <w:p w14:paraId="04A6AE30" w14:textId="7CC1DFAE" w:rsidR="008F1844" w:rsidRDefault="008F1844" w:rsidP="00247053">
      <w:pPr>
        <w:spacing w:line="276" w:lineRule="auto"/>
        <w:rPr>
          <w:rFonts w:ascii="Arial" w:hAnsi="Arial" w:cs="Arial"/>
          <w:bCs/>
          <w:color w:val="auto"/>
          <w:sz w:val="22"/>
          <w:szCs w:val="22"/>
        </w:rPr>
      </w:pPr>
      <w:r w:rsidRPr="008F1844">
        <w:rPr>
          <w:rFonts w:ascii="Arial" w:hAnsi="Arial" w:cs="Arial"/>
          <w:bCs/>
          <w:color w:val="auto"/>
          <w:sz w:val="22"/>
          <w:szCs w:val="22"/>
        </w:rPr>
        <w:t>Thank you for helping to ensure that medically complex pediatric MassHealth members receive safe, effective, and optimized behavioral health medication regimens.</w:t>
      </w:r>
    </w:p>
    <w:p w14:paraId="410EEF88" w14:textId="77777777" w:rsidR="00247053" w:rsidRPr="00247053" w:rsidRDefault="00247053" w:rsidP="00247053">
      <w:pPr>
        <w:spacing w:line="276" w:lineRule="auto"/>
        <w:rPr>
          <w:rFonts w:ascii="Arial" w:hAnsi="Arial" w:cs="Arial"/>
          <w:bCs/>
          <w:color w:val="auto"/>
          <w:sz w:val="22"/>
          <w:szCs w:val="22"/>
        </w:rPr>
      </w:pPr>
    </w:p>
    <w:tbl>
      <w:tblPr>
        <w:tblStyle w:val="TableGrid"/>
        <w:tblW w:w="0" w:type="auto"/>
        <w:tblInd w:w="445" w:type="dxa"/>
        <w:tblLook w:val="04A0" w:firstRow="1" w:lastRow="0" w:firstColumn="1" w:lastColumn="0" w:noHBand="0" w:noVBand="1"/>
      </w:tblPr>
      <w:tblGrid>
        <w:gridCol w:w="8370"/>
      </w:tblGrid>
      <w:tr w:rsidR="008F1844" w:rsidRPr="008F1844" w14:paraId="6B5D02C6" w14:textId="77777777" w:rsidTr="00B5747E">
        <w:trPr>
          <w:trHeight w:val="460"/>
        </w:trPr>
        <w:tc>
          <w:tcPr>
            <w:tcW w:w="8370" w:type="dxa"/>
            <w:shd w:val="clear" w:color="auto" w:fill="BFBFBF" w:themeFill="background1" w:themeFillShade="BF"/>
            <w:vAlign w:val="center"/>
          </w:tcPr>
          <w:p w14:paraId="097512C0" w14:textId="77777777" w:rsidR="008F1844" w:rsidRPr="008F1844" w:rsidRDefault="008F1844" w:rsidP="008F1844">
            <w:pPr>
              <w:widowControl w:val="0"/>
              <w:spacing w:after="120"/>
              <w:rPr>
                <w:rFonts w:ascii="Arial" w:hAnsi="Arial" w:cs="Arial"/>
                <w:bCs/>
                <w:color w:val="auto"/>
                <w:sz w:val="22"/>
                <w:szCs w:val="22"/>
              </w:rPr>
            </w:pPr>
            <w:r w:rsidRPr="008F1844">
              <w:rPr>
                <w:rFonts w:ascii="Arial" w:hAnsi="Arial" w:cs="Arial"/>
                <w:b/>
                <w:bCs/>
                <w:kern w:val="0"/>
                <w:sz w:val="22"/>
                <w:szCs w:val="22"/>
              </w:rPr>
              <w:t>Previous Requirements</w:t>
            </w:r>
          </w:p>
        </w:tc>
      </w:tr>
      <w:tr w:rsidR="008F1844" w:rsidRPr="008F1844" w14:paraId="41DD6C12" w14:textId="77777777" w:rsidTr="00B5747E">
        <w:trPr>
          <w:trHeight w:val="268"/>
        </w:trPr>
        <w:tc>
          <w:tcPr>
            <w:tcW w:w="8370" w:type="dxa"/>
          </w:tcPr>
          <w:p w14:paraId="6A405A84" w14:textId="77777777" w:rsidR="008F1844" w:rsidRPr="008F1844" w:rsidRDefault="008F1844" w:rsidP="008F1844">
            <w:pPr>
              <w:rPr>
                <w:rFonts w:ascii="Arial" w:hAnsi="Arial" w:cs="Arial"/>
                <w:sz w:val="22"/>
                <w:szCs w:val="22"/>
              </w:rPr>
            </w:pPr>
            <w:r w:rsidRPr="008F1844">
              <w:rPr>
                <w:rFonts w:ascii="Arial" w:hAnsi="Arial" w:cs="Arial"/>
                <w:sz w:val="22"/>
                <w:szCs w:val="22"/>
              </w:rPr>
              <w:t>PA is required for antipsychotics in members &lt;6 years old.</w:t>
            </w:r>
          </w:p>
        </w:tc>
      </w:tr>
      <w:tr w:rsidR="008F1844" w:rsidRPr="008F1844" w14:paraId="000B3AD7" w14:textId="77777777" w:rsidTr="00B5747E">
        <w:trPr>
          <w:trHeight w:val="268"/>
        </w:trPr>
        <w:tc>
          <w:tcPr>
            <w:tcW w:w="8370" w:type="dxa"/>
          </w:tcPr>
          <w:p w14:paraId="6687BA84" w14:textId="77777777" w:rsidR="008F1844" w:rsidRPr="008F1844" w:rsidRDefault="008F1844" w:rsidP="008F1844">
            <w:pPr>
              <w:rPr>
                <w:rFonts w:ascii="Arial" w:hAnsi="Arial" w:cs="Arial"/>
                <w:sz w:val="22"/>
                <w:szCs w:val="22"/>
              </w:rPr>
            </w:pPr>
            <w:r w:rsidRPr="008F1844">
              <w:rPr>
                <w:rFonts w:ascii="Arial" w:hAnsi="Arial" w:cs="Arial"/>
                <w:sz w:val="22"/>
                <w:szCs w:val="22"/>
              </w:rPr>
              <w:t>Prazosin is not included in any PBHMI requirements.</w:t>
            </w:r>
          </w:p>
        </w:tc>
      </w:tr>
      <w:tr w:rsidR="008F1844" w:rsidRPr="008F1844" w14:paraId="3D2CF7FC" w14:textId="77777777" w:rsidTr="00B5747E">
        <w:trPr>
          <w:trHeight w:val="523"/>
        </w:trPr>
        <w:tc>
          <w:tcPr>
            <w:tcW w:w="8370" w:type="dxa"/>
          </w:tcPr>
          <w:p w14:paraId="49DCF843" w14:textId="77777777" w:rsidR="008F1844" w:rsidRPr="008F1844" w:rsidRDefault="008F1844" w:rsidP="008F1844">
            <w:pPr>
              <w:rPr>
                <w:rFonts w:ascii="Arial" w:hAnsi="Arial" w:cs="Arial"/>
                <w:sz w:val="22"/>
                <w:szCs w:val="22"/>
              </w:rPr>
            </w:pPr>
            <w:r w:rsidRPr="008F1844">
              <w:rPr>
                <w:rFonts w:ascii="Arial" w:hAnsi="Arial" w:cs="Arial"/>
                <w:sz w:val="22"/>
                <w:szCs w:val="22"/>
              </w:rPr>
              <w:t>Regimens including any four or more behavioral health medications require PA (agents considered to be used only for seizure diagnoses are not included).</w:t>
            </w:r>
          </w:p>
        </w:tc>
      </w:tr>
    </w:tbl>
    <w:p w14:paraId="01325744" w14:textId="77777777" w:rsidR="008F1844" w:rsidRPr="008F1844" w:rsidRDefault="008F1844" w:rsidP="008F1844">
      <w:pPr>
        <w:rPr>
          <w:rFonts w:ascii="Arial" w:hAnsi="Arial" w:cs="Arial"/>
        </w:rPr>
      </w:pPr>
    </w:p>
    <w:tbl>
      <w:tblPr>
        <w:tblStyle w:val="TableGrid"/>
        <w:tblW w:w="0" w:type="auto"/>
        <w:jc w:val="center"/>
        <w:tblLook w:val="04A0" w:firstRow="1" w:lastRow="0" w:firstColumn="1" w:lastColumn="0" w:noHBand="0" w:noVBand="1"/>
      </w:tblPr>
      <w:tblGrid>
        <w:gridCol w:w="8365"/>
      </w:tblGrid>
      <w:tr w:rsidR="008F1844" w:rsidRPr="008F1844" w14:paraId="5C59D53E" w14:textId="77777777" w:rsidTr="00B5747E">
        <w:trPr>
          <w:jc w:val="center"/>
        </w:trPr>
        <w:tc>
          <w:tcPr>
            <w:tcW w:w="8365" w:type="dxa"/>
            <w:shd w:val="clear" w:color="auto" w:fill="BFBFBF" w:themeFill="background1" w:themeFillShade="BF"/>
          </w:tcPr>
          <w:p w14:paraId="034A8195" w14:textId="77777777" w:rsidR="008F1844" w:rsidRPr="008F1844" w:rsidRDefault="008F1844" w:rsidP="008F1844">
            <w:pPr>
              <w:widowControl w:val="0"/>
              <w:spacing w:after="120"/>
              <w:rPr>
                <w:rFonts w:ascii="Arial" w:hAnsi="Arial" w:cs="Arial"/>
                <w:bCs/>
                <w:color w:val="auto"/>
                <w:sz w:val="22"/>
                <w:szCs w:val="22"/>
              </w:rPr>
            </w:pPr>
            <w:r w:rsidRPr="008F1844">
              <w:rPr>
                <w:rFonts w:ascii="Arial" w:hAnsi="Arial" w:cs="Arial"/>
                <w:b/>
                <w:bCs/>
                <w:kern w:val="0"/>
                <w:sz w:val="22"/>
                <w:szCs w:val="22"/>
              </w:rPr>
              <w:t>Requirements Effective October 1, 2024</w:t>
            </w:r>
          </w:p>
        </w:tc>
      </w:tr>
      <w:tr w:rsidR="008F1844" w:rsidRPr="008F1844" w14:paraId="002AD32D" w14:textId="77777777" w:rsidTr="00B5747E">
        <w:trPr>
          <w:jc w:val="center"/>
        </w:trPr>
        <w:tc>
          <w:tcPr>
            <w:tcW w:w="8365" w:type="dxa"/>
          </w:tcPr>
          <w:p w14:paraId="7D56A5FD" w14:textId="77777777" w:rsidR="008F1844" w:rsidRPr="008F1844" w:rsidRDefault="008F1844" w:rsidP="008F1844">
            <w:pPr>
              <w:rPr>
                <w:rFonts w:ascii="Arial" w:hAnsi="Arial" w:cs="Arial"/>
                <w:sz w:val="22"/>
                <w:szCs w:val="22"/>
              </w:rPr>
            </w:pPr>
            <w:r w:rsidRPr="008F1844">
              <w:rPr>
                <w:rFonts w:ascii="Arial" w:hAnsi="Arial" w:cs="Arial"/>
                <w:sz w:val="22"/>
                <w:szCs w:val="22"/>
              </w:rPr>
              <w:t xml:space="preserve">PA will be required for antipsychotics in members </w:t>
            </w:r>
            <w:r w:rsidRPr="008F1844">
              <w:rPr>
                <w:rFonts w:ascii="Arial" w:hAnsi="Arial" w:cs="Arial"/>
                <w:b/>
                <w:bCs/>
                <w:sz w:val="22"/>
                <w:szCs w:val="22"/>
              </w:rPr>
              <w:t>&lt;10 years old</w:t>
            </w:r>
            <w:r w:rsidRPr="008F1844">
              <w:rPr>
                <w:rFonts w:ascii="Arial" w:hAnsi="Arial" w:cs="Arial"/>
                <w:sz w:val="22"/>
                <w:szCs w:val="22"/>
              </w:rPr>
              <w:t>.</w:t>
            </w:r>
          </w:p>
        </w:tc>
      </w:tr>
      <w:tr w:rsidR="008F1844" w:rsidRPr="008F1844" w14:paraId="57C66DEF" w14:textId="77777777" w:rsidTr="00B5747E">
        <w:trPr>
          <w:jc w:val="center"/>
        </w:trPr>
        <w:tc>
          <w:tcPr>
            <w:tcW w:w="8365" w:type="dxa"/>
          </w:tcPr>
          <w:p w14:paraId="7DBD071A" w14:textId="623A9551" w:rsidR="008F1844" w:rsidRPr="008F1844" w:rsidRDefault="008F1844" w:rsidP="00B5747E">
            <w:pPr>
              <w:rPr>
                <w:rFonts w:ascii="Arial" w:hAnsi="Arial" w:cs="Arial"/>
                <w:sz w:val="22"/>
                <w:szCs w:val="22"/>
              </w:rPr>
            </w:pPr>
            <w:r w:rsidRPr="008F1844">
              <w:rPr>
                <w:rFonts w:ascii="Arial" w:hAnsi="Arial" w:cs="Arial"/>
                <w:sz w:val="22"/>
                <w:szCs w:val="22"/>
              </w:rPr>
              <w:t xml:space="preserve">Prazosin will require PA for members </w:t>
            </w:r>
            <w:r w:rsidRPr="008F1844">
              <w:rPr>
                <w:rFonts w:ascii="Arial" w:hAnsi="Arial" w:cs="Arial"/>
                <w:b/>
                <w:bCs/>
                <w:sz w:val="22"/>
                <w:szCs w:val="22"/>
              </w:rPr>
              <w:t>&lt;6 years old</w:t>
            </w:r>
            <w:r w:rsidRPr="008F1844">
              <w:rPr>
                <w:rFonts w:ascii="Arial" w:hAnsi="Arial" w:cs="Arial"/>
                <w:sz w:val="22"/>
                <w:szCs w:val="22"/>
              </w:rPr>
              <w:t xml:space="preserve"> and when included as part of a </w:t>
            </w:r>
            <w:r w:rsidRPr="008F1844">
              <w:rPr>
                <w:rFonts w:ascii="Arial" w:hAnsi="Arial" w:cs="Arial"/>
                <w:b/>
                <w:bCs/>
                <w:sz w:val="22"/>
                <w:szCs w:val="22"/>
              </w:rPr>
              <w:t>polypharmacy</w:t>
            </w:r>
            <w:r w:rsidR="00B5747E">
              <w:rPr>
                <w:rFonts w:ascii="Arial" w:hAnsi="Arial" w:cs="Arial"/>
                <w:b/>
                <w:bCs/>
                <w:sz w:val="22"/>
                <w:szCs w:val="22"/>
              </w:rPr>
              <w:t xml:space="preserve"> </w:t>
            </w:r>
            <w:r w:rsidRPr="008F1844">
              <w:rPr>
                <w:rFonts w:ascii="Arial" w:hAnsi="Arial" w:cs="Arial"/>
                <w:b/>
                <w:bCs/>
                <w:sz w:val="22"/>
                <w:szCs w:val="22"/>
              </w:rPr>
              <w:t>regimen</w:t>
            </w:r>
            <w:r w:rsidRPr="008F1844">
              <w:rPr>
                <w:rFonts w:ascii="Arial" w:hAnsi="Arial" w:cs="Arial"/>
                <w:sz w:val="22"/>
                <w:szCs w:val="22"/>
              </w:rPr>
              <w:t xml:space="preserve"> as described below.</w:t>
            </w:r>
          </w:p>
        </w:tc>
      </w:tr>
      <w:tr w:rsidR="008F1844" w:rsidRPr="008F1844" w14:paraId="71FE01B7" w14:textId="77777777" w:rsidTr="00B5747E">
        <w:trPr>
          <w:jc w:val="center"/>
        </w:trPr>
        <w:tc>
          <w:tcPr>
            <w:tcW w:w="8365" w:type="dxa"/>
          </w:tcPr>
          <w:p w14:paraId="7514B73B" w14:textId="6E0EE544" w:rsidR="008F1844" w:rsidRDefault="008F1844" w:rsidP="00B5747E">
            <w:pPr>
              <w:rPr>
                <w:rFonts w:ascii="Arial" w:hAnsi="Arial" w:cs="Arial"/>
                <w:sz w:val="22"/>
                <w:szCs w:val="22"/>
              </w:rPr>
            </w:pPr>
            <w:r w:rsidRPr="008F1844">
              <w:rPr>
                <w:rFonts w:ascii="Arial" w:hAnsi="Arial" w:cs="Arial"/>
                <w:sz w:val="22"/>
                <w:szCs w:val="22"/>
              </w:rPr>
              <w:t xml:space="preserve">Regimens including </w:t>
            </w:r>
            <w:r w:rsidRPr="008F1844">
              <w:rPr>
                <w:rFonts w:ascii="Arial" w:hAnsi="Arial" w:cs="Arial"/>
                <w:b/>
                <w:bCs/>
                <w:sz w:val="22"/>
                <w:szCs w:val="22"/>
              </w:rPr>
              <w:t>any five or more</w:t>
            </w:r>
            <w:r w:rsidRPr="008F1844">
              <w:rPr>
                <w:rFonts w:ascii="Arial" w:hAnsi="Arial" w:cs="Arial"/>
                <w:sz w:val="22"/>
                <w:szCs w:val="22"/>
              </w:rPr>
              <w:t xml:space="preserve"> behavioral health medications will require PA (agents</w:t>
            </w:r>
            <w:r w:rsidR="00B5747E">
              <w:rPr>
                <w:rFonts w:ascii="Arial" w:hAnsi="Arial" w:cs="Arial"/>
                <w:sz w:val="22"/>
                <w:szCs w:val="22"/>
              </w:rPr>
              <w:t xml:space="preserve"> </w:t>
            </w:r>
            <w:r w:rsidRPr="008F1844">
              <w:rPr>
                <w:rFonts w:ascii="Arial" w:hAnsi="Arial" w:cs="Arial"/>
                <w:sz w:val="22"/>
                <w:szCs w:val="22"/>
              </w:rPr>
              <w:t>considered to be used only for seizure diagnoses are not included).</w:t>
            </w:r>
          </w:p>
          <w:p w14:paraId="61554A83" w14:textId="77777777" w:rsidR="00B5747E" w:rsidRPr="008F1844" w:rsidRDefault="00B5747E" w:rsidP="00B5747E">
            <w:pPr>
              <w:rPr>
                <w:rFonts w:ascii="Arial" w:hAnsi="Arial" w:cs="Arial"/>
                <w:sz w:val="22"/>
                <w:szCs w:val="22"/>
              </w:rPr>
            </w:pPr>
          </w:p>
          <w:p w14:paraId="36C656D5" w14:textId="77777777" w:rsidR="008F1844" w:rsidRPr="008F1844" w:rsidRDefault="008F1844" w:rsidP="008F1844">
            <w:pPr>
              <w:rPr>
                <w:rFonts w:ascii="Arial" w:hAnsi="Arial" w:cs="Arial"/>
                <w:sz w:val="22"/>
                <w:szCs w:val="22"/>
              </w:rPr>
            </w:pPr>
            <w:r w:rsidRPr="008F1844">
              <w:rPr>
                <w:rFonts w:ascii="Arial" w:hAnsi="Arial" w:cs="Arial"/>
                <w:sz w:val="22"/>
                <w:szCs w:val="22"/>
              </w:rPr>
              <w:t xml:space="preserve">Regimens including </w:t>
            </w:r>
            <w:r w:rsidRPr="008F1844">
              <w:rPr>
                <w:rFonts w:ascii="Arial" w:hAnsi="Arial" w:cs="Arial"/>
                <w:b/>
                <w:bCs/>
                <w:sz w:val="22"/>
                <w:szCs w:val="22"/>
              </w:rPr>
              <w:t>four or more</w:t>
            </w:r>
            <w:r w:rsidRPr="008F1844">
              <w:rPr>
                <w:rFonts w:ascii="Arial" w:hAnsi="Arial" w:cs="Arial"/>
                <w:sz w:val="22"/>
                <w:szCs w:val="22"/>
              </w:rPr>
              <w:t xml:space="preserve"> behavioral health medications will continue to require PA </w:t>
            </w:r>
            <w:r w:rsidRPr="008F1844">
              <w:rPr>
                <w:rFonts w:ascii="Arial" w:hAnsi="Arial" w:cs="Arial"/>
                <w:b/>
                <w:bCs/>
                <w:sz w:val="22"/>
                <w:szCs w:val="22"/>
              </w:rPr>
              <w:t>if one of the following medications is included</w:t>
            </w:r>
            <w:r w:rsidRPr="008F1844">
              <w:rPr>
                <w:rFonts w:ascii="Arial" w:hAnsi="Arial" w:cs="Arial"/>
                <w:sz w:val="22"/>
                <w:szCs w:val="22"/>
              </w:rPr>
              <w:t>: an antipsychotic, a benzodiazepine, divalproex, lithium, and/or a tricyclic antidepressant (agents considered to be used only for seizure diagnoses are not included).</w:t>
            </w:r>
          </w:p>
        </w:tc>
      </w:tr>
    </w:tbl>
    <w:p w14:paraId="35A70D73" w14:textId="4D5AB265" w:rsidR="009F04D6" w:rsidRPr="008F1844" w:rsidRDefault="009F04D6" w:rsidP="008F1844">
      <w:pPr>
        <w:pStyle w:val="ListParagraph"/>
        <w:spacing w:line="276" w:lineRule="auto"/>
        <w:rPr>
          <w:rFonts w:ascii="Arial" w:hAnsi="Arial" w:cs="Arial"/>
          <w:bCs/>
          <w:color w:val="auto"/>
          <w:sz w:val="22"/>
          <w:szCs w:val="22"/>
        </w:rPr>
      </w:pPr>
    </w:p>
    <w:p w14:paraId="6A9515C1" w14:textId="77777777" w:rsidR="008F1844" w:rsidRDefault="008F1844" w:rsidP="008F1844">
      <w:pPr>
        <w:rPr>
          <w:rFonts w:ascii="Arial" w:hAnsi="Arial" w:cs="Arial"/>
          <w:sz w:val="22"/>
          <w:szCs w:val="22"/>
        </w:rPr>
      </w:pPr>
      <w:r w:rsidRPr="008F1844">
        <w:rPr>
          <w:rFonts w:ascii="Arial" w:hAnsi="Arial" w:cs="Arial"/>
          <w:sz w:val="22"/>
          <w:szCs w:val="22"/>
        </w:rPr>
        <w:t xml:space="preserve">The MassHealth Drug List is on the MassHealth Pharmacy Program website at </w:t>
      </w:r>
      <w:hyperlink r:id="rId13" w:history="1">
        <w:r w:rsidRPr="008F1844">
          <w:rPr>
            <w:rStyle w:val="Hyperlink"/>
            <w:rFonts w:ascii="Arial" w:hAnsi="Arial" w:cs="Arial"/>
            <w:sz w:val="22"/>
            <w:szCs w:val="22"/>
          </w:rPr>
          <w:t>www.mass.gov/masshealth/pharmacy</w:t>
        </w:r>
      </w:hyperlink>
      <w:r w:rsidRPr="008F1844">
        <w:rPr>
          <w:rFonts w:ascii="Arial" w:hAnsi="Arial" w:cs="Arial"/>
          <w:sz w:val="22"/>
          <w:szCs w:val="22"/>
        </w:rPr>
        <w:t xml:space="preserve">. </w:t>
      </w:r>
    </w:p>
    <w:p w14:paraId="7ED76FDC" w14:textId="77777777" w:rsidR="007104F3" w:rsidRPr="008F1844" w:rsidRDefault="007104F3" w:rsidP="008F1844">
      <w:pPr>
        <w:rPr>
          <w:rFonts w:ascii="Arial" w:hAnsi="Arial" w:cs="Arial"/>
          <w:sz w:val="22"/>
          <w:szCs w:val="22"/>
        </w:rPr>
      </w:pPr>
    </w:p>
    <w:p w14:paraId="1B54E056" w14:textId="77777777" w:rsidR="008F1844" w:rsidRPr="008F1844" w:rsidRDefault="008F1844" w:rsidP="008F1844">
      <w:pPr>
        <w:spacing w:after="240"/>
        <w:rPr>
          <w:rFonts w:ascii="Arial" w:hAnsi="Arial" w:cs="Arial"/>
          <w:sz w:val="22"/>
          <w:szCs w:val="22"/>
        </w:rPr>
      </w:pPr>
      <w:r w:rsidRPr="008F1844">
        <w:rPr>
          <w:rFonts w:ascii="Arial" w:hAnsi="Arial" w:cs="Arial"/>
          <w:sz w:val="22"/>
          <w:szCs w:val="22"/>
        </w:rPr>
        <w:t xml:space="preserve">Please refer to Therapeutic Class </w:t>
      </w:r>
      <w:r w:rsidRPr="008F1844">
        <w:rPr>
          <w:rFonts w:ascii="Arial" w:hAnsi="Arial" w:cs="Arial"/>
          <w:b/>
          <w:bCs/>
          <w:sz w:val="22"/>
          <w:szCs w:val="22"/>
        </w:rPr>
        <w:t>Table 71</w:t>
      </w:r>
      <w:r w:rsidRPr="008F1844">
        <w:rPr>
          <w:rFonts w:ascii="Arial" w:hAnsi="Arial" w:cs="Arial"/>
          <w:sz w:val="22"/>
          <w:szCs w:val="22"/>
        </w:rPr>
        <w:t xml:space="preserve"> for the most up-to-date information about the PBHMI.</w:t>
      </w:r>
    </w:p>
    <w:bookmarkEnd w:id="0"/>
    <w:p w14:paraId="3C2DAC9B" w14:textId="00DDF879" w:rsidR="00E31AED" w:rsidRPr="001E7935" w:rsidRDefault="00E31AED" w:rsidP="001E7935">
      <w:pPr>
        <w:widowControl w:val="0"/>
        <w:spacing w:after="120" w:line="276" w:lineRule="auto"/>
        <w:rPr>
          <w:rFonts w:ascii="Arial" w:hAnsi="Arial" w:cs="Arial"/>
          <w:bCs/>
          <w:color w:val="auto"/>
          <w:sz w:val="22"/>
          <w:szCs w:val="22"/>
        </w:rPr>
      </w:pPr>
    </w:p>
    <w:p w14:paraId="7B099E8F" w14:textId="43A5582D" w:rsidR="00AE483E" w:rsidRPr="0004685E" w:rsidRDefault="006558AB" w:rsidP="0004685E">
      <w:pPr>
        <w:spacing w:after="120" w:line="276" w:lineRule="auto"/>
        <w:jc w:val="center"/>
        <w:rPr>
          <w:rFonts w:ascii="Arial" w:hAnsi="Arial" w:cs="Arial"/>
        </w:rPr>
      </w:pPr>
      <w:r w:rsidRPr="0004685E">
        <w:rPr>
          <w:rFonts w:ascii="Arial" w:hAnsi="Arial" w:cs="Arial"/>
        </w:rPr>
        <w:t>The Prescriber e-Letter is an update designed to enhance the transparency and efficiency of the MassHealth</w:t>
      </w:r>
      <w:r w:rsidR="0004685E" w:rsidRPr="0004685E">
        <w:rPr>
          <w:rFonts w:ascii="Arial" w:hAnsi="Arial" w:cs="Arial"/>
        </w:rPr>
        <w:t xml:space="preserve"> </w:t>
      </w:r>
      <w:r w:rsidRPr="0004685E">
        <w:rPr>
          <w:rFonts w:ascii="Arial" w:hAnsi="Arial" w:cs="Arial"/>
        </w:rPr>
        <w:t>drug prior-authorization (PA) process and the MassHealth Drug List. Each issue highlights key clinical</w:t>
      </w:r>
      <w:r w:rsidR="0004685E" w:rsidRPr="0004685E">
        <w:rPr>
          <w:rFonts w:ascii="Arial" w:hAnsi="Arial" w:cs="Arial"/>
        </w:rPr>
        <w:t xml:space="preserve"> </w:t>
      </w:r>
      <w:r w:rsidRPr="0004685E">
        <w:rPr>
          <w:rFonts w:ascii="Arial" w:hAnsi="Arial" w:cs="Arial"/>
        </w:rPr>
        <w:t>information and updates to the MassHealth Drug List. The Prescriber E-Letter was prepared by the</w:t>
      </w:r>
      <w:r w:rsidR="0004685E" w:rsidRPr="0004685E">
        <w:rPr>
          <w:rFonts w:ascii="Arial" w:hAnsi="Arial" w:cs="Arial"/>
        </w:rPr>
        <w:t xml:space="preserve"> </w:t>
      </w:r>
      <w:r w:rsidRPr="0004685E">
        <w:rPr>
          <w:rFonts w:ascii="Arial" w:hAnsi="Arial" w:cs="Arial"/>
        </w:rPr>
        <w:t>MassHealth Drug Utilization Review Program and the MassHealth Pharmacy Program.</w:t>
      </w:r>
    </w:p>
    <w:sectPr w:rsidR="00AE483E" w:rsidRPr="0004685E" w:rsidSect="00901DC2">
      <w:headerReference w:type="default" r:id="rId14"/>
      <w:footerReference w:type="even"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5D352" w14:textId="77777777" w:rsidR="00502B92" w:rsidRDefault="00502B92">
      <w:r>
        <w:separator/>
      </w:r>
    </w:p>
  </w:endnote>
  <w:endnote w:type="continuationSeparator" w:id="0">
    <w:p w14:paraId="4B77E251" w14:textId="77777777" w:rsidR="00502B92" w:rsidRDefault="0050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B5705" w14:textId="77777777" w:rsidR="00502B92" w:rsidRDefault="00502B92">
      <w:r>
        <w:separator/>
      </w:r>
    </w:p>
  </w:footnote>
  <w:footnote w:type="continuationSeparator" w:id="0">
    <w:p w14:paraId="478156C0" w14:textId="77777777" w:rsidR="00502B92" w:rsidRDefault="0050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E392" w14:textId="5D4AE58F" w:rsidR="001A4C38" w:rsidRPr="0046520A" w:rsidRDefault="008967CE" w:rsidP="002D6F34">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Volume</w:t>
    </w:r>
    <w:r w:rsidR="007104F3">
      <w:rPr>
        <w:rFonts w:ascii="Trebuchet MS" w:hAnsi="Trebuchet MS"/>
        <w:b/>
        <w:sz w:val="18"/>
        <w:szCs w:val="18"/>
        <w:lang w:val="en"/>
      </w:rPr>
      <w:t xml:space="preserve"> 14</w:t>
    </w:r>
    <w:r w:rsidRPr="008967CE">
      <w:rPr>
        <w:rFonts w:ascii="Trebuchet MS" w:hAnsi="Trebuchet MS"/>
        <w:b/>
        <w:sz w:val="18"/>
        <w:szCs w:val="18"/>
        <w:lang w:val="en"/>
      </w:rPr>
      <w:t xml:space="preserve">, Issue </w:t>
    </w:r>
    <w:r w:rsidR="0043006B">
      <w:rPr>
        <w:rFonts w:ascii="Trebuchet MS" w:hAnsi="Trebuchet MS"/>
        <w:b/>
        <w:sz w:val="18"/>
        <w:szCs w:val="18"/>
        <w:lang w:val="en"/>
      </w:rPr>
      <w:t>4</w:t>
    </w:r>
    <w:r w:rsidR="005345EF">
      <w:rPr>
        <w:rFonts w:ascii="Trebuchet MS" w:hAnsi="Trebuchet MS"/>
        <w:b/>
        <w:sz w:val="18"/>
        <w:szCs w:val="18"/>
        <w:lang w:val="en"/>
      </w:rPr>
      <w:t xml:space="preserve">, </w:t>
    </w:r>
    <w:r w:rsidR="007104F3">
      <w:rPr>
        <w:rFonts w:ascii="Trebuchet MS" w:hAnsi="Trebuchet MS"/>
        <w:b/>
        <w:sz w:val="18"/>
        <w:szCs w:val="18"/>
        <w:lang w:val="en"/>
      </w:rPr>
      <w:t>October 2024</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1"/>
  </w:num>
  <w:num w:numId="2" w16cid:durableId="900097909">
    <w:abstractNumId w:val="14"/>
  </w:num>
  <w:num w:numId="3" w16cid:durableId="1055355579">
    <w:abstractNumId w:val="8"/>
  </w:num>
  <w:num w:numId="4" w16cid:durableId="199826978">
    <w:abstractNumId w:val="7"/>
  </w:num>
  <w:num w:numId="5" w16cid:durableId="1782339195">
    <w:abstractNumId w:val="15"/>
  </w:num>
  <w:num w:numId="6" w16cid:durableId="321617534">
    <w:abstractNumId w:val="16"/>
  </w:num>
  <w:num w:numId="7" w16cid:durableId="514729983">
    <w:abstractNumId w:val="2"/>
  </w:num>
  <w:num w:numId="8" w16cid:durableId="1932081016">
    <w:abstractNumId w:val="10"/>
  </w:num>
  <w:num w:numId="9" w16cid:durableId="2079358099">
    <w:abstractNumId w:val="4"/>
  </w:num>
  <w:num w:numId="10" w16cid:durableId="329336526">
    <w:abstractNumId w:val="0"/>
  </w:num>
  <w:num w:numId="11" w16cid:durableId="747574778">
    <w:abstractNumId w:val="5"/>
  </w:num>
  <w:num w:numId="12" w16cid:durableId="864055193">
    <w:abstractNumId w:val="3"/>
  </w:num>
  <w:num w:numId="13" w16cid:durableId="990477161">
    <w:abstractNumId w:val="9"/>
  </w:num>
  <w:num w:numId="14" w16cid:durableId="1299412918">
    <w:abstractNumId w:val="12"/>
  </w:num>
  <w:num w:numId="15" w16cid:durableId="47382837">
    <w:abstractNumId w:val="13"/>
  </w:num>
  <w:num w:numId="16" w16cid:durableId="223032385">
    <w:abstractNumId w:val="11"/>
  </w:num>
  <w:num w:numId="17" w16cid:durableId="957570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582A"/>
    <w:rsid w:val="0001242D"/>
    <w:rsid w:val="000172B8"/>
    <w:rsid w:val="00022CA5"/>
    <w:rsid w:val="00034CE8"/>
    <w:rsid w:val="00042FD6"/>
    <w:rsid w:val="0004346A"/>
    <w:rsid w:val="00043DB1"/>
    <w:rsid w:val="00045863"/>
    <w:rsid w:val="0004685E"/>
    <w:rsid w:val="00051E6C"/>
    <w:rsid w:val="00055E2A"/>
    <w:rsid w:val="00057562"/>
    <w:rsid w:val="00074014"/>
    <w:rsid w:val="00076A4D"/>
    <w:rsid w:val="000814C3"/>
    <w:rsid w:val="000A26B3"/>
    <w:rsid w:val="000A6C99"/>
    <w:rsid w:val="000C15E5"/>
    <w:rsid w:val="000C2AEE"/>
    <w:rsid w:val="000E515F"/>
    <w:rsid w:val="000F145D"/>
    <w:rsid w:val="000F19D2"/>
    <w:rsid w:val="000F3BFB"/>
    <w:rsid w:val="001003DC"/>
    <w:rsid w:val="001038B4"/>
    <w:rsid w:val="001049C6"/>
    <w:rsid w:val="00107CA4"/>
    <w:rsid w:val="00112E05"/>
    <w:rsid w:val="00113A33"/>
    <w:rsid w:val="00137002"/>
    <w:rsid w:val="00143EFF"/>
    <w:rsid w:val="00146E96"/>
    <w:rsid w:val="0016598C"/>
    <w:rsid w:val="0017504B"/>
    <w:rsid w:val="00175C12"/>
    <w:rsid w:val="00180CAA"/>
    <w:rsid w:val="00182385"/>
    <w:rsid w:val="001A4C38"/>
    <w:rsid w:val="001A6565"/>
    <w:rsid w:val="001B2DED"/>
    <w:rsid w:val="001B4E72"/>
    <w:rsid w:val="001B58F6"/>
    <w:rsid w:val="001B712E"/>
    <w:rsid w:val="001C2E84"/>
    <w:rsid w:val="001D7759"/>
    <w:rsid w:val="001E3620"/>
    <w:rsid w:val="001E762D"/>
    <w:rsid w:val="001E7935"/>
    <w:rsid w:val="00215FB5"/>
    <w:rsid w:val="0021775D"/>
    <w:rsid w:val="0022143C"/>
    <w:rsid w:val="00227174"/>
    <w:rsid w:val="002400F6"/>
    <w:rsid w:val="00242A52"/>
    <w:rsid w:val="00246894"/>
    <w:rsid w:val="00247053"/>
    <w:rsid w:val="002559B8"/>
    <w:rsid w:val="002712BE"/>
    <w:rsid w:val="00272F9F"/>
    <w:rsid w:val="00273E75"/>
    <w:rsid w:val="00283746"/>
    <w:rsid w:val="00287F60"/>
    <w:rsid w:val="002A566F"/>
    <w:rsid w:val="002B16E1"/>
    <w:rsid w:val="002B4B60"/>
    <w:rsid w:val="002C261E"/>
    <w:rsid w:val="002C326C"/>
    <w:rsid w:val="002D1C5C"/>
    <w:rsid w:val="002D6F34"/>
    <w:rsid w:val="002E55F8"/>
    <w:rsid w:val="002E6DD1"/>
    <w:rsid w:val="002E75D3"/>
    <w:rsid w:val="002F1A78"/>
    <w:rsid w:val="002F4A95"/>
    <w:rsid w:val="003064EC"/>
    <w:rsid w:val="0031009A"/>
    <w:rsid w:val="003128F3"/>
    <w:rsid w:val="0031549E"/>
    <w:rsid w:val="003159D1"/>
    <w:rsid w:val="00316A86"/>
    <w:rsid w:val="0031728E"/>
    <w:rsid w:val="00325D8F"/>
    <w:rsid w:val="00330FB0"/>
    <w:rsid w:val="00344037"/>
    <w:rsid w:val="0034440C"/>
    <w:rsid w:val="00353AD3"/>
    <w:rsid w:val="00365B4B"/>
    <w:rsid w:val="00366BAA"/>
    <w:rsid w:val="00367696"/>
    <w:rsid w:val="00371601"/>
    <w:rsid w:val="00373275"/>
    <w:rsid w:val="00377A75"/>
    <w:rsid w:val="003971CE"/>
    <w:rsid w:val="00397377"/>
    <w:rsid w:val="003A17FB"/>
    <w:rsid w:val="003A670A"/>
    <w:rsid w:val="003B251D"/>
    <w:rsid w:val="003C0161"/>
    <w:rsid w:val="003C15F6"/>
    <w:rsid w:val="003D177D"/>
    <w:rsid w:val="003E7380"/>
    <w:rsid w:val="003F7F93"/>
    <w:rsid w:val="0040022A"/>
    <w:rsid w:val="00401354"/>
    <w:rsid w:val="00410458"/>
    <w:rsid w:val="00411059"/>
    <w:rsid w:val="00411C19"/>
    <w:rsid w:val="0041665A"/>
    <w:rsid w:val="00424615"/>
    <w:rsid w:val="00425560"/>
    <w:rsid w:val="00427D00"/>
    <w:rsid w:val="0043006B"/>
    <w:rsid w:val="00433649"/>
    <w:rsid w:val="00446350"/>
    <w:rsid w:val="004564C8"/>
    <w:rsid w:val="00463AE8"/>
    <w:rsid w:val="004650A7"/>
    <w:rsid w:val="0046520A"/>
    <w:rsid w:val="00467BD4"/>
    <w:rsid w:val="0047213A"/>
    <w:rsid w:val="004733F0"/>
    <w:rsid w:val="00477057"/>
    <w:rsid w:val="00485E86"/>
    <w:rsid w:val="0049555F"/>
    <w:rsid w:val="0049734F"/>
    <w:rsid w:val="004A58A3"/>
    <w:rsid w:val="004A5933"/>
    <w:rsid w:val="004B24F7"/>
    <w:rsid w:val="004B77A9"/>
    <w:rsid w:val="004C0C22"/>
    <w:rsid w:val="004E42DD"/>
    <w:rsid w:val="004E58D0"/>
    <w:rsid w:val="004E6787"/>
    <w:rsid w:val="004F3FB4"/>
    <w:rsid w:val="004F5803"/>
    <w:rsid w:val="00502B92"/>
    <w:rsid w:val="005175F7"/>
    <w:rsid w:val="00532641"/>
    <w:rsid w:val="00533C5E"/>
    <w:rsid w:val="005345EF"/>
    <w:rsid w:val="00536EBB"/>
    <w:rsid w:val="0055653E"/>
    <w:rsid w:val="005566B0"/>
    <w:rsid w:val="00567B9D"/>
    <w:rsid w:val="00576DC3"/>
    <w:rsid w:val="00577FEC"/>
    <w:rsid w:val="00581E50"/>
    <w:rsid w:val="00583A96"/>
    <w:rsid w:val="005842A0"/>
    <w:rsid w:val="005851F1"/>
    <w:rsid w:val="00591187"/>
    <w:rsid w:val="00592C98"/>
    <w:rsid w:val="0059487B"/>
    <w:rsid w:val="005A21DB"/>
    <w:rsid w:val="005A4A25"/>
    <w:rsid w:val="005A74DA"/>
    <w:rsid w:val="005B3507"/>
    <w:rsid w:val="005B73A3"/>
    <w:rsid w:val="005C05FA"/>
    <w:rsid w:val="005D3CAF"/>
    <w:rsid w:val="005D506B"/>
    <w:rsid w:val="005D56B2"/>
    <w:rsid w:val="005E0ED5"/>
    <w:rsid w:val="005E52FC"/>
    <w:rsid w:val="005F35CD"/>
    <w:rsid w:val="00610115"/>
    <w:rsid w:val="00622404"/>
    <w:rsid w:val="0062336E"/>
    <w:rsid w:val="0062529B"/>
    <w:rsid w:val="00626A67"/>
    <w:rsid w:val="0064371C"/>
    <w:rsid w:val="00650CB2"/>
    <w:rsid w:val="006558AB"/>
    <w:rsid w:val="0067107B"/>
    <w:rsid w:val="00680C86"/>
    <w:rsid w:val="00690023"/>
    <w:rsid w:val="006B207B"/>
    <w:rsid w:val="006B7613"/>
    <w:rsid w:val="006C3B50"/>
    <w:rsid w:val="006E0362"/>
    <w:rsid w:val="00702546"/>
    <w:rsid w:val="007104F3"/>
    <w:rsid w:val="00711113"/>
    <w:rsid w:val="00717A1C"/>
    <w:rsid w:val="00721778"/>
    <w:rsid w:val="007243D7"/>
    <w:rsid w:val="007311C3"/>
    <w:rsid w:val="007459B2"/>
    <w:rsid w:val="00752617"/>
    <w:rsid w:val="00762B83"/>
    <w:rsid w:val="00770CB5"/>
    <w:rsid w:val="007736F7"/>
    <w:rsid w:val="00776346"/>
    <w:rsid w:val="00785C9F"/>
    <w:rsid w:val="0078683C"/>
    <w:rsid w:val="0079312B"/>
    <w:rsid w:val="00795A7C"/>
    <w:rsid w:val="007A2C73"/>
    <w:rsid w:val="007A3DAF"/>
    <w:rsid w:val="007E4CAE"/>
    <w:rsid w:val="007F2D62"/>
    <w:rsid w:val="00807E9F"/>
    <w:rsid w:val="008403CA"/>
    <w:rsid w:val="00844307"/>
    <w:rsid w:val="00844A19"/>
    <w:rsid w:val="0084544F"/>
    <w:rsid w:val="0085378A"/>
    <w:rsid w:val="00860511"/>
    <w:rsid w:val="00860BA1"/>
    <w:rsid w:val="00862590"/>
    <w:rsid w:val="00865AEA"/>
    <w:rsid w:val="008671C7"/>
    <w:rsid w:val="008722AE"/>
    <w:rsid w:val="00872E7F"/>
    <w:rsid w:val="00873BEF"/>
    <w:rsid w:val="008819EB"/>
    <w:rsid w:val="0088325C"/>
    <w:rsid w:val="008911F3"/>
    <w:rsid w:val="00892205"/>
    <w:rsid w:val="008946E9"/>
    <w:rsid w:val="008967CE"/>
    <w:rsid w:val="008B0999"/>
    <w:rsid w:val="008B221F"/>
    <w:rsid w:val="008B56EF"/>
    <w:rsid w:val="008E5183"/>
    <w:rsid w:val="008E79B3"/>
    <w:rsid w:val="008F1844"/>
    <w:rsid w:val="008F25B4"/>
    <w:rsid w:val="00901DC2"/>
    <w:rsid w:val="00917BB8"/>
    <w:rsid w:val="00922C53"/>
    <w:rsid w:val="00923341"/>
    <w:rsid w:val="00927CAB"/>
    <w:rsid w:val="00947F70"/>
    <w:rsid w:val="009555A8"/>
    <w:rsid w:val="00956812"/>
    <w:rsid w:val="00980B18"/>
    <w:rsid w:val="00986AF3"/>
    <w:rsid w:val="009913AF"/>
    <w:rsid w:val="009A2A6E"/>
    <w:rsid w:val="009A3763"/>
    <w:rsid w:val="009A4123"/>
    <w:rsid w:val="009B1AAF"/>
    <w:rsid w:val="009B2ABA"/>
    <w:rsid w:val="009D1E1C"/>
    <w:rsid w:val="009D2B0C"/>
    <w:rsid w:val="009E2313"/>
    <w:rsid w:val="009F04D6"/>
    <w:rsid w:val="00A067E1"/>
    <w:rsid w:val="00A128B9"/>
    <w:rsid w:val="00A13579"/>
    <w:rsid w:val="00A26095"/>
    <w:rsid w:val="00A37691"/>
    <w:rsid w:val="00A54558"/>
    <w:rsid w:val="00A63EE0"/>
    <w:rsid w:val="00A65E97"/>
    <w:rsid w:val="00A82D27"/>
    <w:rsid w:val="00A83962"/>
    <w:rsid w:val="00A84104"/>
    <w:rsid w:val="00A856E6"/>
    <w:rsid w:val="00A95432"/>
    <w:rsid w:val="00AA0399"/>
    <w:rsid w:val="00AA6F20"/>
    <w:rsid w:val="00AB304D"/>
    <w:rsid w:val="00AD42BB"/>
    <w:rsid w:val="00AE483E"/>
    <w:rsid w:val="00AF3BAA"/>
    <w:rsid w:val="00B10C3E"/>
    <w:rsid w:val="00B13074"/>
    <w:rsid w:val="00B30E77"/>
    <w:rsid w:val="00B44DE1"/>
    <w:rsid w:val="00B529FF"/>
    <w:rsid w:val="00B5390A"/>
    <w:rsid w:val="00B54AB5"/>
    <w:rsid w:val="00B5747E"/>
    <w:rsid w:val="00B7453A"/>
    <w:rsid w:val="00B96C06"/>
    <w:rsid w:val="00BB15B2"/>
    <w:rsid w:val="00BD0118"/>
    <w:rsid w:val="00BD7648"/>
    <w:rsid w:val="00BE46A7"/>
    <w:rsid w:val="00BF73BB"/>
    <w:rsid w:val="00C009F8"/>
    <w:rsid w:val="00C03DAA"/>
    <w:rsid w:val="00C208B7"/>
    <w:rsid w:val="00C21F71"/>
    <w:rsid w:val="00C24050"/>
    <w:rsid w:val="00C25B35"/>
    <w:rsid w:val="00C35B94"/>
    <w:rsid w:val="00C4587F"/>
    <w:rsid w:val="00C54D38"/>
    <w:rsid w:val="00C578AB"/>
    <w:rsid w:val="00C62A5E"/>
    <w:rsid w:val="00C656AF"/>
    <w:rsid w:val="00C76762"/>
    <w:rsid w:val="00C82355"/>
    <w:rsid w:val="00C97787"/>
    <w:rsid w:val="00CA0313"/>
    <w:rsid w:val="00CA0669"/>
    <w:rsid w:val="00CA1D66"/>
    <w:rsid w:val="00CA4BAC"/>
    <w:rsid w:val="00CA6B6E"/>
    <w:rsid w:val="00CD1B3A"/>
    <w:rsid w:val="00CD7211"/>
    <w:rsid w:val="00CD7C0E"/>
    <w:rsid w:val="00CE27E7"/>
    <w:rsid w:val="00CE36C1"/>
    <w:rsid w:val="00CF2078"/>
    <w:rsid w:val="00CF48E3"/>
    <w:rsid w:val="00D05D9C"/>
    <w:rsid w:val="00D115B8"/>
    <w:rsid w:val="00D14BBD"/>
    <w:rsid w:val="00D15F4A"/>
    <w:rsid w:val="00D201C0"/>
    <w:rsid w:val="00D21FA6"/>
    <w:rsid w:val="00D245EF"/>
    <w:rsid w:val="00D2695E"/>
    <w:rsid w:val="00D726DF"/>
    <w:rsid w:val="00D757B8"/>
    <w:rsid w:val="00D77884"/>
    <w:rsid w:val="00D93A78"/>
    <w:rsid w:val="00D95136"/>
    <w:rsid w:val="00D97D27"/>
    <w:rsid w:val="00DA302D"/>
    <w:rsid w:val="00DA4328"/>
    <w:rsid w:val="00DA7FE7"/>
    <w:rsid w:val="00DB2EE5"/>
    <w:rsid w:val="00DB79AB"/>
    <w:rsid w:val="00DC0E97"/>
    <w:rsid w:val="00DC1ACC"/>
    <w:rsid w:val="00DC7F7B"/>
    <w:rsid w:val="00DD2187"/>
    <w:rsid w:val="00DF3E53"/>
    <w:rsid w:val="00E06D78"/>
    <w:rsid w:val="00E1027A"/>
    <w:rsid w:val="00E23CEA"/>
    <w:rsid w:val="00E31AED"/>
    <w:rsid w:val="00E31CAE"/>
    <w:rsid w:val="00E35E0F"/>
    <w:rsid w:val="00E370BD"/>
    <w:rsid w:val="00E61DD5"/>
    <w:rsid w:val="00E679DA"/>
    <w:rsid w:val="00E831CE"/>
    <w:rsid w:val="00E90319"/>
    <w:rsid w:val="00E9521B"/>
    <w:rsid w:val="00EB0E73"/>
    <w:rsid w:val="00EB5FE2"/>
    <w:rsid w:val="00EC08AC"/>
    <w:rsid w:val="00EE333C"/>
    <w:rsid w:val="00EE46DF"/>
    <w:rsid w:val="00EE67F4"/>
    <w:rsid w:val="00EE74FF"/>
    <w:rsid w:val="00EF76E8"/>
    <w:rsid w:val="00F01FFC"/>
    <w:rsid w:val="00F42C2D"/>
    <w:rsid w:val="00F51B4F"/>
    <w:rsid w:val="00F53DA0"/>
    <w:rsid w:val="00F53FFB"/>
    <w:rsid w:val="00F636E3"/>
    <w:rsid w:val="00F67537"/>
    <w:rsid w:val="00F67D45"/>
    <w:rsid w:val="00F71CC7"/>
    <w:rsid w:val="00F8050E"/>
    <w:rsid w:val="00F85E0D"/>
    <w:rsid w:val="00F9023B"/>
    <w:rsid w:val="00FA5787"/>
    <w:rsid w:val="00FB53EC"/>
    <w:rsid w:val="00FB7719"/>
    <w:rsid w:val="00FD5009"/>
    <w:rsid w:val="00FD5CE5"/>
    <w:rsid w:val="00FF17E3"/>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semiHidden/>
    <w:unhideWhenUsed/>
    <w:rsid w:val="00A83962"/>
    <w:rPr>
      <w:sz w:val="16"/>
      <w:szCs w:val="16"/>
    </w:rPr>
  </w:style>
  <w:style w:type="paragraph" w:styleId="CommentText">
    <w:name w:val="annotation text"/>
    <w:basedOn w:val="Normal"/>
    <w:link w:val="CommentTextChar"/>
    <w:semiHidden/>
    <w:unhideWhenUsed/>
    <w:rsid w:val="00A83962"/>
  </w:style>
  <w:style w:type="character" w:customStyle="1" w:styleId="CommentTextChar">
    <w:name w:val="Comment Text Char"/>
    <w:basedOn w:val="DefaultParagraphFont"/>
    <w:link w:val="CommentText"/>
    <w:semiHidden/>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harm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Prescriber e-Letter Volume 14, Issue 2</vt:lpstr>
    </vt:vector>
  </TitlesOfParts>
  <Company>Office of Health and Human Services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creator>MassHealth</dc:creator>
  <cp:lastModifiedBy>Luca, Joseph (EHS)</cp:lastModifiedBy>
  <cp:revision>2</cp:revision>
  <cp:lastPrinted>2007-12-18T16:52:00Z</cp:lastPrinted>
  <dcterms:created xsi:type="dcterms:W3CDTF">2024-10-08T14:20:00Z</dcterms:created>
  <dcterms:modified xsi:type="dcterms:W3CDTF">2024-10-08T14:20:00Z</dcterms:modified>
</cp:coreProperties>
</file>