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BC543" w14:textId="46B4D241" w:rsidR="00AD42BB" w:rsidRPr="00AD42BB" w:rsidRDefault="005851F1" w:rsidP="00055E2A">
      <w:pPr>
        <w:pStyle w:val="Heading1"/>
        <w:tabs>
          <w:tab w:val="left" w:pos="900"/>
        </w:tabs>
        <w:spacing w:before="240" w:after="1080"/>
        <w:ind w:firstLine="252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BC6493F" wp14:editId="2834ED52">
            <wp:simplePos x="0" y="0"/>
            <wp:positionH relativeFrom="column">
              <wp:posOffset>-112395</wp:posOffset>
            </wp:positionH>
            <wp:positionV relativeFrom="paragraph">
              <wp:posOffset>137795</wp:posOffset>
            </wp:positionV>
            <wp:extent cx="6739255" cy="1245870"/>
            <wp:effectExtent l="0" t="0" r="4445" b="0"/>
            <wp:wrapNone/>
            <wp:docPr id="1088855892" name="Picture 1" descr="The Prescriber e-Letter&#10;MassHealth Pharmacy Program&#10;Volume 14, Issue 5, October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855892" name="Picture 1" descr="The Prescriber e-Letter&#10;MassHealth Pharmacy Program&#10;Volume 14, Issue 5, October 202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9255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211" w:rsidRPr="00CD7211">
        <w:rPr>
          <w:color w:val="FFFFFF" w:themeColor="background1"/>
        </w:rPr>
        <w:t xml:space="preserve">The Prescriber e-Letter, </w:t>
      </w:r>
      <w:r w:rsidR="00CD7211">
        <w:br w:type="textWrapping" w:clear="all"/>
      </w:r>
      <w:r w:rsidR="00E90319">
        <w:t>V</w:t>
      </w:r>
      <w:r>
        <w:t xml:space="preserve">olume </w:t>
      </w:r>
      <w:r w:rsidR="00982128">
        <w:t>14</w:t>
      </w:r>
      <w:r>
        <w:t xml:space="preserve">, Issue </w:t>
      </w:r>
      <w:r w:rsidR="00982128">
        <w:t>5</w:t>
      </w:r>
      <w:r w:rsidR="00C76762">
        <w:t xml:space="preserve">, </w:t>
      </w:r>
      <w:r w:rsidR="002559B8">
        <w:t>October 2024</w:t>
      </w:r>
    </w:p>
    <w:p w14:paraId="597B9300" w14:textId="77777777" w:rsidR="00C656AF" w:rsidRDefault="00C656AF" w:rsidP="00477057">
      <w:pPr>
        <w:tabs>
          <w:tab w:val="left" w:pos="5841"/>
        </w:tabs>
        <w:rPr>
          <w:w w:val="96"/>
        </w:rPr>
        <w:sectPr w:rsidR="00C656AF" w:rsidSect="00DA302D">
          <w:headerReference w:type="even" r:id="rId9"/>
          <w:headerReference w:type="default" r:id="rId10"/>
          <w:footerReference w:type="even" r:id="rId11"/>
          <w:footerReference w:type="default" r:id="rId12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74C343FC" w14:textId="77777777" w:rsidR="00FF3E05" w:rsidRDefault="00FF3E05" w:rsidP="00C24050">
      <w:pPr>
        <w:pBdr>
          <w:bottom w:val="single" w:sz="2" w:space="1" w:color="auto"/>
        </w:pBdr>
        <w:jc w:val="right"/>
        <w:rPr>
          <w:w w:val="96"/>
        </w:rPr>
        <w:sectPr w:rsidR="00FF3E05" w:rsidSect="00DA302D">
          <w:type w:val="continuous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0214045A" w14:textId="77777777" w:rsidR="00FF3E05" w:rsidRDefault="00FF3E05" w:rsidP="00CD7211">
      <w:pPr>
        <w:rPr>
          <w:w w:val="96"/>
        </w:rPr>
      </w:pPr>
    </w:p>
    <w:p w14:paraId="50059E31" w14:textId="77777777" w:rsidR="006B20D5" w:rsidRDefault="006B20D5" w:rsidP="006B20D5">
      <w:pPr>
        <w:pStyle w:val="Heading2"/>
        <w:framePr w:hSpace="0" w:wrap="auto" w:vAnchor="margin" w:yAlign="inline"/>
        <w:spacing w:before="0" w:line="276" w:lineRule="auto"/>
        <w:rPr>
          <w:rFonts w:ascii="Arial" w:hAnsi="Arial" w:cs="Arial"/>
          <w:sz w:val="26"/>
          <w:szCs w:val="26"/>
        </w:rPr>
      </w:pPr>
      <w:bookmarkStart w:id="0" w:name="_Hlk56006764"/>
    </w:p>
    <w:p w14:paraId="69E6215C" w14:textId="392CB6AA" w:rsidR="00840D1F" w:rsidRDefault="006D70E0" w:rsidP="006B20D5">
      <w:pPr>
        <w:pStyle w:val="Heading2"/>
        <w:framePr w:hSpace="0" w:wrap="auto" w:vAnchor="margin" w:yAlign="inline"/>
        <w:spacing w:before="0" w:line="276" w:lineRule="auto"/>
        <w:rPr>
          <w:rFonts w:ascii="Arial" w:hAnsi="Arial" w:cs="Arial"/>
          <w:sz w:val="26"/>
          <w:szCs w:val="26"/>
        </w:rPr>
      </w:pPr>
      <w:bookmarkStart w:id="1" w:name="_Hlk179535790"/>
      <w:r w:rsidRPr="006D70E0">
        <w:rPr>
          <w:rFonts w:ascii="Arial" w:hAnsi="Arial" w:cs="Arial"/>
          <w:sz w:val="26"/>
          <w:szCs w:val="26"/>
        </w:rPr>
        <w:t xml:space="preserve">Respiratory </w:t>
      </w:r>
      <w:r w:rsidR="00915088" w:rsidRPr="006D70E0">
        <w:rPr>
          <w:rFonts w:ascii="Arial" w:hAnsi="Arial" w:cs="Arial"/>
          <w:sz w:val="26"/>
          <w:szCs w:val="26"/>
        </w:rPr>
        <w:t>Syncytial</w:t>
      </w:r>
      <w:r w:rsidRPr="006D70E0">
        <w:rPr>
          <w:rFonts w:ascii="Arial" w:hAnsi="Arial" w:cs="Arial"/>
          <w:sz w:val="26"/>
          <w:szCs w:val="26"/>
        </w:rPr>
        <w:t xml:space="preserve"> Virus </w:t>
      </w:r>
      <w:bookmarkEnd w:id="1"/>
      <w:r w:rsidRPr="006D70E0">
        <w:rPr>
          <w:rFonts w:ascii="Arial" w:hAnsi="Arial" w:cs="Arial"/>
          <w:sz w:val="26"/>
          <w:szCs w:val="26"/>
        </w:rPr>
        <w:t>Coverage Updates</w:t>
      </w:r>
    </w:p>
    <w:p w14:paraId="4D4BDAB0" w14:textId="77777777" w:rsidR="006B20D5" w:rsidRPr="006B20D5" w:rsidRDefault="006B20D5" w:rsidP="006B20D5"/>
    <w:p w14:paraId="62BF6EA9" w14:textId="278F4A05" w:rsidR="006D70E0" w:rsidRDefault="006D70E0" w:rsidP="006B20D5">
      <w:pPr>
        <w:spacing w:line="276" w:lineRule="auto"/>
        <w:rPr>
          <w:rFonts w:ascii="Arial" w:hAnsi="Arial" w:cs="Arial"/>
          <w:color w:val="333333"/>
          <w:sz w:val="22"/>
          <w:szCs w:val="22"/>
        </w:rPr>
      </w:pPr>
      <w:bookmarkStart w:id="2" w:name="_Hlk178665884"/>
      <w:r w:rsidRPr="00840D1F">
        <w:rPr>
          <w:rFonts w:ascii="Arial" w:hAnsi="Arial" w:cs="Arial"/>
          <w:bCs/>
          <w:color w:val="auto"/>
          <w:sz w:val="22"/>
          <w:szCs w:val="22"/>
        </w:rPr>
        <w:t xml:space="preserve">MassHealth coverage for </w:t>
      </w:r>
      <w:r w:rsidR="00893E85">
        <w:rPr>
          <w:rFonts w:ascii="Arial" w:hAnsi="Arial" w:cs="Arial"/>
          <w:sz w:val="22"/>
          <w:szCs w:val="22"/>
        </w:rPr>
        <w:t>r</w:t>
      </w:r>
      <w:r w:rsidR="00893E85" w:rsidRPr="00B31AF2">
        <w:rPr>
          <w:rFonts w:ascii="Arial" w:hAnsi="Arial" w:cs="Arial"/>
          <w:sz w:val="22"/>
          <w:szCs w:val="22"/>
        </w:rPr>
        <w:t xml:space="preserve">espiratory </w:t>
      </w:r>
      <w:r w:rsidR="00893E85">
        <w:rPr>
          <w:rFonts w:ascii="Arial" w:hAnsi="Arial" w:cs="Arial"/>
          <w:sz w:val="22"/>
          <w:szCs w:val="22"/>
        </w:rPr>
        <w:t>s</w:t>
      </w:r>
      <w:r w:rsidR="00893E85" w:rsidRPr="00B31AF2">
        <w:rPr>
          <w:rFonts w:ascii="Arial" w:hAnsi="Arial" w:cs="Arial"/>
          <w:sz w:val="22"/>
          <w:szCs w:val="22"/>
        </w:rPr>
        <w:t xml:space="preserve">yncytial </w:t>
      </w:r>
      <w:r w:rsidR="00893E85">
        <w:rPr>
          <w:rFonts w:ascii="Arial" w:hAnsi="Arial" w:cs="Arial"/>
          <w:sz w:val="22"/>
          <w:szCs w:val="22"/>
        </w:rPr>
        <w:t>v</w:t>
      </w:r>
      <w:r w:rsidR="00893E85" w:rsidRPr="00B31AF2">
        <w:rPr>
          <w:rFonts w:ascii="Arial" w:hAnsi="Arial" w:cs="Arial"/>
          <w:sz w:val="22"/>
          <w:szCs w:val="22"/>
        </w:rPr>
        <w:t xml:space="preserve">irus </w:t>
      </w:r>
      <w:r w:rsidR="00893E85">
        <w:rPr>
          <w:rFonts w:ascii="Arial" w:hAnsi="Arial" w:cs="Arial"/>
          <w:sz w:val="22"/>
          <w:szCs w:val="22"/>
        </w:rPr>
        <w:t>(</w:t>
      </w:r>
      <w:r w:rsidR="00893E85" w:rsidRPr="00FF20CF">
        <w:rPr>
          <w:rFonts w:ascii="Arial" w:hAnsi="Arial" w:cs="Arial"/>
          <w:sz w:val="22"/>
          <w:szCs w:val="22"/>
        </w:rPr>
        <w:t>RSV</w:t>
      </w:r>
      <w:r w:rsidR="00893E85">
        <w:rPr>
          <w:rFonts w:ascii="Arial" w:hAnsi="Arial" w:cs="Arial"/>
          <w:sz w:val="22"/>
          <w:szCs w:val="22"/>
        </w:rPr>
        <w:t>)</w:t>
      </w:r>
      <w:r w:rsidRPr="00840D1F">
        <w:rPr>
          <w:rFonts w:ascii="Arial" w:hAnsi="Arial" w:cs="Arial"/>
          <w:bCs/>
          <w:color w:val="auto"/>
          <w:sz w:val="22"/>
          <w:szCs w:val="22"/>
        </w:rPr>
        <w:t xml:space="preserve"> products was updated effective </w:t>
      </w:r>
      <w:r w:rsidR="00893E85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B31AF2">
        <w:rPr>
          <w:rFonts w:ascii="Arial" w:hAnsi="Arial" w:cs="Arial"/>
          <w:bCs/>
          <w:color w:val="auto"/>
          <w:sz w:val="22"/>
          <w:szCs w:val="22"/>
        </w:rPr>
        <w:t>October 1, 2024</w:t>
      </w:r>
      <w:r w:rsidRPr="00FF20CF">
        <w:rPr>
          <w:rFonts w:ascii="Arial" w:hAnsi="Arial" w:cs="Arial"/>
          <w:sz w:val="22"/>
          <w:szCs w:val="22"/>
        </w:rPr>
        <w:t xml:space="preserve">. The RSV season typically occurs from mid-October through March. MassHealth monitors RSV percent positivity rate and notes an official start to the season when percent positivity is </w:t>
      </w:r>
      <w:r w:rsidR="00915088">
        <w:rPr>
          <w:rFonts w:ascii="Arial" w:hAnsi="Arial" w:cs="Arial"/>
          <w:sz w:val="22"/>
          <w:szCs w:val="22"/>
        </w:rPr>
        <w:t>three</w:t>
      </w:r>
      <w:r w:rsidRPr="00FF20CF">
        <w:rPr>
          <w:rFonts w:ascii="Arial" w:hAnsi="Arial" w:cs="Arial"/>
          <w:sz w:val="22"/>
          <w:szCs w:val="22"/>
        </w:rPr>
        <w:t xml:space="preserve"> or greater for two consecutive weeks. </w:t>
      </w:r>
      <w:bookmarkStart w:id="3" w:name="_Hlk179969261"/>
      <w:r w:rsidRPr="00FF20CF">
        <w:rPr>
          <w:rFonts w:ascii="Arial" w:hAnsi="Arial" w:cs="Arial"/>
          <w:sz w:val="22"/>
          <w:szCs w:val="22"/>
        </w:rPr>
        <w:t xml:space="preserve">As of June 2024, </w:t>
      </w:r>
      <w:r w:rsidRPr="00FF20CF">
        <w:rPr>
          <w:rFonts w:ascii="Arial" w:hAnsi="Arial" w:cs="Arial"/>
          <w:color w:val="333333"/>
          <w:sz w:val="22"/>
          <w:szCs w:val="22"/>
        </w:rPr>
        <w:t>the C</w:t>
      </w:r>
      <w:r w:rsidR="00796800">
        <w:rPr>
          <w:rFonts w:ascii="Arial" w:hAnsi="Arial" w:cs="Arial"/>
          <w:color w:val="333333"/>
          <w:sz w:val="22"/>
          <w:szCs w:val="22"/>
        </w:rPr>
        <w:t>enter</w:t>
      </w:r>
      <w:r w:rsidR="00816B7A">
        <w:rPr>
          <w:rFonts w:ascii="Arial" w:hAnsi="Arial" w:cs="Arial"/>
          <w:color w:val="333333"/>
          <w:sz w:val="22"/>
          <w:szCs w:val="22"/>
        </w:rPr>
        <w:t>s</w:t>
      </w:r>
      <w:r w:rsidR="00796800">
        <w:rPr>
          <w:rFonts w:ascii="Arial" w:hAnsi="Arial" w:cs="Arial"/>
          <w:color w:val="333333"/>
          <w:sz w:val="22"/>
          <w:szCs w:val="22"/>
        </w:rPr>
        <w:t xml:space="preserve"> for Disease Control (C</w:t>
      </w:r>
      <w:r w:rsidRPr="00FF20CF">
        <w:rPr>
          <w:rFonts w:ascii="Arial" w:hAnsi="Arial" w:cs="Arial"/>
          <w:color w:val="333333"/>
          <w:sz w:val="22"/>
          <w:szCs w:val="22"/>
        </w:rPr>
        <w:t>DC</w:t>
      </w:r>
      <w:r w:rsidR="00796800">
        <w:rPr>
          <w:rFonts w:ascii="Arial" w:hAnsi="Arial" w:cs="Arial"/>
          <w:color w:val="333333"/>
          <w:sz w:val="22"/>
          <w:szCs w:val="22"/>
        </w:rPr>
        <w:t>)</w:t>
      </w:r>
      <w:r w:rsidRPr="00FF20CF">
        <w:rPr>
          <w:rFonts w:ascii="Arial" w:hAnsi="Arial" w:cs="Arial"/>
          <w:color w:val="333333"/>
          <w:sz w:val="22"/>
          <w:szCs w:val="22"/>
        </w:rPr>
        <w:t xml:space="preserve"> recommends a single dose of RSV vaccine for all adults 75 and older and </w:t>
      </w:r>
      <w:r w:rsidR="00796800">
        <w:rPr>
          <w:rFonts w:ascii="Arial" w:hAnsi="Arial" w:cs="Arial"/>
          <w:color w:val="333333"/>
          <w:sz w:val="22"/>
          <w:szCs w:val="22"/>
        </w:rPr>
        <w:t xml:space="preserve">for </w:t>
      </w:r>
      <w:r w:rsidRPr="00FF20CF">
        <w:rPr>
          <w:rFonts w:ascii="Arial" w:hAnsi="Arial" w:cs="Arial"/>
          <w:color w:val="333333"/>
          <w:sz w:val="22"/>
          <w:szCs w:val="22"/>
        </w:rPr>
        <w:t>adults 60 to 74 at increased risk of severe RSV. The CDC also recommends an RSV vaccine for pregnant people.</w:t>
      </w:r>
      <w:bookmarkEnd w:id="3"/>
      <w:r w:rsidRPr="00FF20CF">
        <w:rPr>
          <w:rFonts w:ascii="Arial" w:hAnsi="Arial" w:cs="Arial"/>
          <w:color w:val="333333"/>
          <w:sz w:val="22"/>
          <w:szCs w:val="22"/>
        </w:rPr>
        <w:t xml:space="preserve"> Alternatively, a monoclonal antibody can be given to the baby after birth. The following provides an overview of MassHealth RSV coverage, including specific updates to certain products.</w:t>
      </w:r>
    </w:p>
    <w:p w14:paraId="0B22B391" w14:textId="77777777" w:rsidR="006B20D5" w:rsidRPr="00FF20CF" w:rsidRDefault="006B20D5" w:rsidP="006B20D5">
      <w:pPr>
        <w:spacing w:line="276" w:lineRule="auto"/>
        <w:rPr>
          <w:rFonts w:ascii="Arial" w:hAnsi="Arial" w:cs="Arial"/>
          <w:color w:val="333333"/>
          <w:sz w:val="22"/>
          <w:szCs w:val="22"/>
        </w:rPr>
      </w:pPr>
    </w:p>
    <w:p w14:paraId="25F3B864" w14:textId="46C28E49" w:rsidR="0055653E" w:rsidRPr="0055653E" w:rsidRDefault="00F66EB8" w:rsidP="006B20D5">
      <w:pPr>
        <w:pStyle w:val="Heading2"/>
        <w:framePr w:hSpace="0" w:wrap="auto" w:vAnchor="margin" w:yAlign="inline"/>
        <w:spacing w:before="0" w:line="276" w:lineRule="auto"/>
        <w:rPr>
          <w:rFonts w:ascii="Arial" w:hAnsi="Arial" w:cs="Arial"/>
          <w:sz w:val="26"/>
          <w:szCs w:val="26"/>
        </w:rPr>
      </w:pPr>
      <w:r w:rsidRPr="00F66EB8">
        <w:rPr>
          <w:rFonts w:ascii="Arial" w:hAnsi="Arial" w:cs="Arial"/>
          <w:sz w:val="26"/>
          <w:szCs w:val="26"/>
        </w:rPr>
        <w:t xml:space="preserve">MassHealth RSV Monoclonal Antibody and Vaccine Coverage </w:t>
      </w:r>
      <w:r w:rsidR="00CE4848">
        <w:rPr>
          <w:rFonts w:ascii="Arial" w:hAnsi="Arial" w:cs="Arial"/>
          <w:sz w:val="26"/>
          <w:szCs w:val="26"/>
        </w:rPr>
        <w:t>E</w:t>
      </w:r>
      <w:r w:rsidR="00CE4848" w:rsidRPr="00F66EB8">
        <w:rPr>
          <w:rFonts w:ascii="Arial" w:hAnsi="Arial" w:cs="Arial"/>
          <w:sz w:val="26"/>
          <w:szCs w:val="26"/>
        </w:rPr>
        <w:t xml:space="preserve">ffective </w:t>
      </w:r>
      <w:r w:rsidRPr="00F66EB8">
        <w:rPr>
          <w:rFonts w:ascii="Arial" w:hAnsi="Arial" w:cs="Arial"/>
          <w:sz w:val="26"/>
          <w:szCs w:val="26"/>
        </w:rPr>
        <w:t>October 1, 2024</w:t>
      </w:r>
      <w:r>
        <w:rPr>
          <w:rFonts w:ascii="Arial" w:hAnsi="Arial" w:cs="Arial"/>
          <w:sz w:val="26"/>
          <w:szCs w:val="26"/>
        </w:rPr>
        <w:t xml:space="preserve"> </w:t>
      </w:r>
    </w:p>
    <w:bookmarkEnd w:id="2"/>
    <w:p w14:paraId="5C79886A" w14:textId="77777777" w:rsidR="00F66EB8" w:rsidRPr="00FF20CF" w:rsidRDefault="00F66EB8" w:rsidP="00F66EB8">
      <w:pPr>
        <w:tabs>
          <w:tab w:val="left" w:pos="1080"/>
        </w:tabs>
        <w:rPr>
          <w:rFonts w:ascii="Arial" w:hAnsi="Arial" w:cs="Arial"/>
        </w:rPr>
      </w:pPr>
    </w:p>
    <w:tbl>
      <w:tblPr>
        <w:tblStyle w:val="TableGrid"/>
        <w:tblW w:w="7110" w:type="dxa"/>
        <w:tblInd w:w="625" w:type="dxa"/>
        <w:tblLook w:val="04A0" w:firstRow="1" w:lastRow="0" w:firstColumn="1" w:lastColumn="0" w:noHBand="0" w:noVBand="1"/>
      </w:tblPr>
      <w:tblGrid>
        <w:gridCol w:w="3113"/>
        <w:gridCol w:w="1440"/>
        <w:gridCol w:w="2557"/>
      </w:tblGrid>
      <w:tr w:rsidR="00F66EB8" w:rsidRPr="00FF20CF" w14:paraId="7E32574F" w14:textId="77777777" w:rsidTr="00840D1F">
        <w:tc>
          <w:tcPr>
            <w:tcW w:w="3113" w:type="dxa"/>
            <w:shd w:val="clear" w:color="auto" w:fill="E7E6E6" w:themeFill="background2"/>
          </w:tcPr>
          <w:p w14:paraId="3D732399" w14:textId="339AEF52" w:rsidR="00F66EB8" w:rsidRPr="00FF20CF" w:rsidRDefault="00F66EB8" w:rsidP="00F66EB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20CF">
              <w:rPr>
                <w:rFonts w:ascii="Arial" w:hAnsi="Arial" w:cs="Arial"/>
                <w:b/>
                <w:bCs/>
                <w:sz w:val="22"/>
                <w:szCs w:val="22"/>
              </w:rPr>
              <w:t>RSV Vaccine/Drug</w:t>
            </w:r>
          </w:p>
        </w:tc>
        <w:tc>
          <w:tcPr>
            <w:tcW w:w="1440" w:type="dxa"/>
            <w:shd w:val="clear" w:color="auto" w:fill="E7E6E6" w:themeFill="background2"/>
          </w:tcPr>
          <w:p w14:paraId="05297D4D" w14:textId="439497D8" w:rsidR="00F66EB8" w:rsidRPr="00FF20CF" w:rsidRDefault="00F66EB8" w:rsidP="00F66EB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20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 PA </w:t>
            </w:r>
            <w:r w:rsidR="00840D1F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FF20CF">
              <w:rPr>
                <w:rFonts w:ascii="Arial" w:hAnsi="Arial" w:cs="Arial"/>
                <w:b/>
                <w:bCs/>
                <w:sz w:val="22"/>
                <w:szCs w:val="22"/>
              </w:rPr>
              <w:t>equired</w:t>
            </w:r>
          </w:p>
        </w:tc>
        <w:tc>
          <w:tcPr>
            <w:tcW w:w="2557" w:type="dxa"/>
            <w:shd w:val="clear" w:color="auto" w:fill="E7E6E6" w:themeFill="background2"/>
          </w:tcPr>
          <w:p w14:paraId="23B8A8D9" w14:textId="30A02462" w:rsidR="00F66EB8" w:rsidRPr="00FF20CF" w:rsidRDefault="00F66EB8" w:rsidP="00F66EB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20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 </w:t>
            </w:r>
            <w:r w:rsidR="00840D1F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FF20CF">
              <w:rPr>
                <w:rFonts w:ascii="Arial" w:hAnsi="Arial" w:cs="Arial"/>
                <w:b/>
                <w:bCs/>
                <w:sz w:val="22"/>
                <w:szCs w:val="22"/>
              </w:rPr>
              <w:t>equired</w:t>
            </w:r>
          </w:p>
        </w:tc>
      </w:tr>
      <w:tr w:rsidR="00F66EB8" w:rsidRPr="00FF20CF" w14:paraId="59C6283C" w14:textId="77777777" w:rsidTr="00840D1F">
        <w:tc>
          <w:tcPr>
            <w:tcW w:w="3113" w:type="dxa"/>
          </w:tcPr>
          <w:p w14:paraId="6C4C60AA" w14:textId="20BF4345" w:rsidR="00F66EB8" w:rsidRPr="00FF20CF" w:rsidRDefault="00F66EB8" w:rsidP="00F66EB8">
            <w:pPr>
              <w:rPr>
                <w:rFonts w:ascii="Arial" w:hAnsi="Arial" w:cs="Arial"/>
                <w:sz w:val="22"/>
                <w:szCs w:val="22"/>
              </w:rPr>
            </w:pPr>
            <w:r w:rsidRPr="00FF20CF">
              <w:rPr>
                <w:rFonts w:ascii="Arial" w:hAnsi="Arial" w:cs="Arial"/>
                <w:color w:val="auto"/>
                <w:sz w:val="22"/>
                <w:szCs w:val="22"/>
              </w:rPr>
              <w:t>Abrysvo</w:t>
            </w:r>
            <w:r w:rsidRPr="00FF20CF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®</w:t>
            </w:r>
            <w:r w:rsidRPr="00FF20CF">
              <w:rPr>
                <w:rFonts w:ascii="Arial" w:hAnsi="Arial" w:cs="Arial"/>
                <w:color w:val="auto"/>
                <w:sz w:val="22"/>
                <w:szCs w:val="22"/>
              </w:rPr>
              <w:t xml:space="preserve"> (</w:t>
            </w:r>
            <w:r w:rsidR="00080A76">
              <w:rPr>
                <w:rFonts w:ascii="Arial" w:hAnsi="Arial" w:cs="Arial"/>
                <w:color w:val="auto"/>
                <w:sz w:val="22"/>
                <w:szCs w:val="22"/>
              </w:rPr>
              <w:t>RSV</w:t>
            </w:r>
            <w:r w:rsidRPr="00FF20CF">
              <w:rPr>
                <w:rFonts w:ascii="Arial" w:hAnsi="Arial" w:cs="Arial"/>
                <w:color w:val="auto"/>
                <w:sz w:val="22"/>
                <w:szCs w:val="22"/>
              </w:rPr>
              <w:t xml:space="preserve"> vaccine)</w:t>
            </w:r>
          </w:p>
        </w:tc>
        <w:tc>
          <w:tcPr>
            <w:tcW w:w="1440" w:type="dxa"/>
          </w:tcPr>
          <w:p w14:paraId="49255A69" w14:textId="77777777" w:rsidR="00F66EB8" w:rsidRPr="00FF20CF" w:rsidRDefault="00F66EB8" w:rsidP="00F66EB8">
            <w:pPr>
              <w:rPr>
                <w:rFonts w:ascii="Arial" w:hAnsi="Arial" w:cs="Arial"/>
                <w:sz w:val="22"/>
                <w:szCs w:val="22"/>
              </w:rPr>
            </w:pPr>
            <w:r w:rsidRPr="00FF20CF">
              <w:rPr>
                <w:rFonts w:ascii="Arial" w:hAnsi="Arial" w:cs="Arial"/>
                <w:color w:val="auto"/>
                <w:sz w:val="22"/>
                <w:szCs w:val="22"/>
              </w:rPr>
              <w:t>≥ 60 years*</w:t>
            </w:r>
          </w:p>
        </w:tc>
        <w:tc>
          <w:tcPr>
            <w:tcW w:w="2557" w:type="dxa"/>
          </w:tcPr>
          <w:p w14:paraId="390A4357" w14:textId="77777777" w:rsidR="00F66EB8" w:rsidRPr="00FF20CF" w:rsidRDefault="00F66EB8" w:rsidP="00F66EB8">
            <w:pPr>
              <w:rPr>
                <w:rFonts w:ascii="Arial" w:hAnsi="Arial" w:cs="Arial"/>
                <w:sz w:val="22"/>
                <w:szCs w:val="22"/>
              </w:rPr>
            </w:pPr>
            <w:r w:rsidRPr="00FF20CF">
              <w:rPr>
                <w:rFonts w:ascii="Arial" w:hAnsi="Arial" w:cs="Arial"/>
                <w:color w:val="auto"/>
                <w:sz w:val="22"/>
                <w:szCs w:val="22"/>
              </w:rPr>
              <w:t>&lt; 60 years*^</w:t>
            </w:r>
          </w:p>
        </w:tc>
      </w:tr>
      <w:tr w:rsidR="00F66EB8" w:rsidRPr="00FF20CF" w14:paraId="1941751B" w14:textId="77777777" w:rsidTr="00840D1F">
        <w:tc>
          <w:tcPr>
            <w:tcW w:w="3113" w:type="dxa"/>
          </w:tcPr>
          <w:p w14:paraId="22027884" w14:textId="04C0F7AB" w:rsidR="00F66EB8" w:rsidRPr="00FF20CF" w:rsidRDefault="00F66EB8" w:rsidP="00F66EB8">
            <w:pPr>
              <w:rPr>
                <w:rFonts w:ascii="Arial" w:hAnsi="Arial" w:cs="Arial"/>
                <w:sz w:val="22"/>
                <w:szCs w:val="22"/>
              </w:rPr>
            </w:pPr>
            <w:r w:rsidRPr="00FF20CF">
              <w:rPr>
                <w:rFonts w:ascii="Arial" w:hAnsi="Arial" w:cs="Arial"/>
                <w:color w:val="auto"/>
                <w:sz w:val="22"/>
                <w:szCs w:val="22"/>
              </w:rPr>
              <w:t>Arexvy</w:t>
            </w:r>
            <w:r w:rsidRPr="00FF20CF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®</w:t>
            </w:r>
            <w:r w:rsidRPr="00FF20CF">
              <w:rPr>
                <w:rFonts w:ascii="Arial" w:hAnsi="Arial" w:cs="Arial"/>
                <w:color w:val="auto"/>
                <w:sz w:val="22"/>
                <w:szCs w:val="22"/>
              </w:rPr>
              <w:t xml:space="preserve"> (</w:t>
            </w:r>
            <w:r w:rsidR="00080A76">
              <w:rPr>
                <w:rFonts w:ascii="Arial" w:hAnsi="Arial" w:cs="Arial"/>
                <w:color w:val="auto"/>
                <w:sz w:val="22"/>
                <w:szCs w:val="22"/>
              </w:rPr>
              <w:t>RSV</w:t>
            </w:r>
            <w:r w:rsidRPr="00FF20CF">
              <w:rPr>
                <w:rFonts w:ascii="Arial" w:hAnsi="Arial" w:cs="Arial"/>
                <w:color w:val="auto"/>
                <w:sz w:val="22"/>
                <w:szCs w:val="22"/>
              </w:rPr>
              <w:t xml:space="preserve"> vaccine, adjuvanted)</w:t>
            </w:r>
            <w:r w:rsidR="00080A76">
              <w:rPr>
                <w:rFonts w:ascii="Arial" w:hAnsi="Arial" w:cs="Arial"/>
                <w:color w:val="auto"/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</w:tcPr>
          <w:p w14:paraId="53D616F3" w14:textId="77777777" w:rsidR="00F66EB8" w:rsidRPr="00FF20CF" w:rsidRDefault="00F66EB8" w:rsidP="00F66EB8">
            <w:pPr>
              <w:rPr>
                <w:rFonts w:ascii="Arial" w:hAnsi="Arial" w:cs="Arial"/>
                <w:sz w:val="22"/>
                <w:szCs w:val="22"/>
              </w:rPr>
            </w:pPr>
            <w:r w:rsidRPr="00FF20CF">
              <w:rPr>
                <w:rFonts w:ascii="Arial" w:hAnsi="Arial" w:cs="Arial"/>
                <w:color w:val="auto"/>
                <w:sz w:val="22"/>
                <w:szCs w:val="22"/>
              </w:rPr>
              <w:t>≥ 50 years*</w:t>
            </w:r>
          </w:p>
        </w:tc>
        <w:tc>
          <w:tcPr>
            <w:tcW w:w="2557" w:type="dxa"/>
          </w:tcPr>
          <w:p w14:paraId="573B4E8E" w14:textId="77777777" w:rsidR="00F66EB8" w:rsidRPr="00FF20CF" w:rsidRDefault="00F66EB8" w:rsidP="00F66EB8">
            <w:pPr>
              <w:rPr>
                <w:rFonts w:ascii="Arial" w:hAnsi="Arial" w:cs="Arial"/>
                <w:sz w:val="22"/>
                <w:szCs w:val="22"/>
              </w:rPr>
            </w:pPr>
            <w:r w:rsidRPr="00FF20CF">
              <w:rPr>
                <w:rFonts w:ascii="Arial" w:hAnsi="Arial" w:cs="Arial"/>
                <w:color w:val="auto"/>
                <w:sz w:val="22"/>
                <w:szCs w:val="22"/>
              </w:rPr>
              <w:t>&lt; 50 years*</w:t>
            </w:r>
          </w:p>
        </w:tc>
      </w:tr>
      <w:tr w:rsidR="00F66EB8" w:rsidRPr="00FF20CF" w14:paraId="247F54FE" w14:textId="77777777" w:rsidTr="00840D1F">
        <w:tc>
          <w:tcPr>
            <w:tcW w:w="3113" w:type="dxa"/>
          </w:tcPr>
          <w:p w14:paraId="7F364646" w14:textId="5B8506C5" w:rsidR="00F66EB8" w:rsidRPr="00FF20CF" w:rsidRDefault="00F66EB8" w:rsidP="00F66EB8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20CF">
              <w:rPr>
                <w:rFonts w:ascii="Arial" w:hAnsi="Arial" w:cs="Arial"/>
                <w:color w:val="auto"/>
                <w:sz w:val="22"/>
                <w:szCs w:val="22"/>
              </w:rPr>
              <w:t>mRESVIA</w:t>
            </w:r>
            <w:r w:rsidRPr="00FF20CF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®</w:t>
            </w:r>
            <w:r w:rsidRPr="00FF20CF">
              <w:rPr>
                <w:rFonts w:ascii="Arial" w:hAnsi="Arial" w:cs="Arial"/>
                <w:color w:val="auto"/>
                <w:sz w:val="22"/>
                <w:szCs w:val="22"/>
              </w:rPr>
              <w:t xml:space="preserve"> (</w:t>
            </w:r>
            <w:r w:rsidR="00080A76">
              <w:rPr>
                <w:rFonts w:ascii="Arial" w:hAnsi="Arial" w:cs="Arial"/>
                <w:color w:val="auto"/>
                <w:sz w:val="22"/>
                <w:szCs w:val="22"/>
              </w:rPr>
              <w:t>RSV</w:t>
            </w:r>
            <w:r w:rsidRPr="00FF20CF">
              <w:rPr>
                <w:rFonts w:ascii="Arial" w:hAnsi="Arial" w:cs="Arial"/>
                <w:color w:val="auto"/>
                <w:sz w:val="22"/>
                <w:szCs w:val="22"/>
              </w:rPr>
              <w:t xml:space="preserve"> suspension)</w:t>
            </w:r>
          </w:p>
        </w:tc>
        <w:tc>
          <w:tcPr>
            <w:tcW w:w="1440" w:type="dxa"/>
          </w:tcPr>
          <w:p w14:paraId="6032F7D8" w14:textId="77777777" w:rsidR="00F66EB8" w:rsidRPr="00FF20CF" w:rsidRDefault="00F66EB8" w:rsidP="00F66EB8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20CF">
              <w:rPr>
                <w:rFonts w:ascii="Arial" w:hAnsi="Arial" w:cs="Arial"/>
                <w:color w:val="auto"/>
                <w:sz w:val="22"/>
                <w:szCs w:val="22"/>
              </w:rPr>
              <w:t>≥ 60 years*</w:t>
            </w:r>
          </w:p>
        </w:tc>
        <w:tc>
          <w:tcPr>
            <w:tcW w:w="2557" w:type="dxa"/>
          </w:tcPr>
          <w:p w14:paraId="1E5B0298" w14:textId="77777777" w:rsidR="00F66EB8" w:rsidRPr="00FF20CF" w:rsidRDefault="00F66EB8" w:rsidP="00F66EB8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20CF">
              <w:rPr>
                <w:rFonts w:ascii="Arial" w:hAnsi="Arial" w:cs="Arial"/>
                <w:color w:val="auto"/>
                <w:sz w:val="22"/>
                <w:szCs w:val="22"/>
              </w:rPr>
              <w:t>&lt; 60 years*</w:t>
            </w:r>
          </w:p>
        </w:tc>
      </w:tr>
      <w:tr w:rsidR="00F66EB8" w:rsidRPr="00FF20CF" w14:paraId="626C8A0E" w14:textId="77777777" w:rsidTr="00840D1F">
        <w:tc>
          <w:tcPr>
            <w:tcW w:w="3113" w:type="dxa"/>
          </w:tcPr>
          <w:p w14:paraId="43EC4A99" w14:textId="77777777" w:rsidR="00F66EB8" w:rsidRPr="00FF20CF" w:rsidRDefault="00F66EB8" w:rsidP="00F66EB8">
            <w:pPr>
              <w:rPr>
                <w:rFonts w:ascii="Arial" w:hAnsi="Arial" w:cs="Arial"/>
                <w:sz w:val="22"/>
                <w:szCs w:val="22"/>
              </w:rPr>
            </w:pPr>
            <w:r w:rsidRPr="00FF20CF">
              <w:rPr>
                <w:rFonts w:ascii="Arial" w:hAnsi="Arial" w:cs="Arial"/>
                <w:color w:val="auto"/>
                <w:sz w:val="22"/>
                <w:szCs w:val="22"/>
              </w:rPr>
              <w:t>Beyfortus</w:t>
            </w:r>
            <w:r w:rsidRPr="00FF20CF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 xml:space="preserve">® </w:t>
            </w:r>
            <w:r w:rsidRPr="00FF20CF">
              <w:rPr>
                <w:rFonts w:ascii="Arial" w:hAnsi="Arial" w:cs="Arial"/>
                <w:color w:val="auto"/>
                <w:sz w:val="22"/>
                <w:szCs w:val="22"/>
              </w:rPr>
              <w:t>(nirsevimab-alip)</w:t>
            </w:r>
          </w:p>
        </w:tc>
        <w:tc>
          <w:tcPr>
            <w:tcW w:w="1440" w:type="dxa"/>
          </w:tcPr>
          <w:p w14:paraId="5AF69D82" w14:textId="77777777" w:rsidR="00F66EB8" w:rsidRPr="00FF20CF" w:rsidRDefault="00F66EB8" w:rsidP="00F66EB8">
            <w:pPr>
              <w:rPr>
                <w:rFonts w:ascii="Arial" w:hAnsi="Arial" w:cs="Arial"/>
                <w:sz w:val="22"/>
                <w:szCs w:val="22"/>
              </w:rPr>
            </w:pPr>
            <w:r w:rsidRPr="00FF20CF">
              <w:rPr>
                <w:rFonts w:ascii="Arial" w:hAnsi="Arial" w:cs="Arial"/>
                <w:color w:val="auto"/>
                <w:sz w:val="22"/>
                <w:szCs w:val="22"/>
              </w:rPr>
              <w:t>&lt;8 months</w:t>
            </w:r>
          </w:p>
        </w:tc>
        <w:tc>
          <w:tcPr>
            <w:tcW w:w="2557" w:type="dxa"/>
          </w:tcPr>
          <w:p w14:paraId="42055A78" w14:textId="77777777" w:rsidR="00F66EB8" w:rsidRPr="00FF20CF" w:rsidRDefault="00F66EB8" w:rsidP="00F66EB8">
            <w:pPr>
              <w:rPr>
                <w:rFonts w:ascii="Arial" w:hAnsi="Arial" w:cs="Arial"/>
                <w:sz w:val="22"/>
                <w:szCs w:val="22"/>
              </w:rPr>
            </w:pPr>
            <w:r w:rsidRPr="00FF20CF">
              <w:rPr>
                <w:rFonts w:ascii="Arial" w:hAnsi="Arial" w:cs="Arial"/>
                <w:color w:val="auto"/>
                <w:sz w:val="22"/>
                <w:szCs w:val="22"/>
              </w:rPr>
              <w:t>≥8 months</w:t>
            </w:r>
          </w:p>
        </w:tc>
      </w:tr>
      <w:tr w:rsidR="00F66EB8" w:rsidRPr="00FF20CF" w14:paraId="1AC9FB3D" w14:textId="77777777" w:rsidTr="00840D1F">
        <w:trPr>
          <w:trHeight w:val="63"/>
        </w:trPr>
        <w:tc>
          <w:tcPr>
            <w:tcW w:w="3113" w:type="dxa"/>
          </w:tcPr>
          <w:p w14:paraId="78F91A77" w14:textId="77777777" w:rsidR="00F66EB8" w:rsidRPr="00FF20CF" w:rsidRDefault="00F66EB8" w:rsidP="00F66EB8">
            <w:pPr>
              <w:rPr>
                <w:rFonts w:ascii="Arial" w:hAnsi="Arial" w:cs="Arial"/>
                <w:sz w:val="22"/>
                <w:szCs w:val="22"/>
              </w:rPr>
            </w:pPr>
            <w:r w:rsidRPr="00FF20CF">
              <w:rPr>
                <w:rFonts w:ascii="Arial" w:eastAsia="Calibri" w:hAnsi="Arial" w:cs="Arial"/>
                <w:color w:val="auto"/>
                <w:sz w:val="22"/>
                <w:szCs w:val="22"/>
              </w:rPr>
              <w:t>Synagis</w:t>
            </w:r>
            <w:r w:rsidRPr="00FF20CF">
              <w:rPr>
                <w:rFonts w:ascii="Arial" w:eastAsia="Calibri" w:hAnsi="Arial" w:cs="Arial"/>
                <w:color w:val="auto"/>
                <w:sz w:val="22"/>
                <w:szCs w:val="22"/>
                <w:vertAlign w:val="superscript"/>
              </w:rPr>
              <w:t>®</w:t>
            </w:r>
            <w:r w:rsidRPr="00FF20CF">
              <w:rPr>
                <w:rFonts w:ascii="Arial" w:eastAsia="Calibri" w:hAnsi="Arial" w:cs="Arial"/>
                <w:color w:val="auto"/>
                <w:sz w:val="22"/>
                <w:szCs w:val="22"/>
              </w:rPr>
              <w:t xml:space="preserve"> (</w:t>
            </w:r>
            <w:r w:rsidRPr="00FF20CF">
              <w:rPr>
                <w:rFonts w:ascii="Arial" w:hAnsi="Arial" w:cs="Arial"/>
                <w:color w:val="auto"/>
                <w:sz w:val="22"/>
                <w:szCs w:val="22"/>
              </w:rPr>
              <w:t>palivizumab)</w:t>
            </w:r>
          </w:p>
        </w:tc>
        <w:tc>
          <w:tcPr>
            <w:tcW w:w="1440" w:type="dxa"/>
          </w:tcPr>
          <w:p w14:paraId="07795034" w14:textId="77777777" w:rsidR="00F66EB8" w:rsidRPr="00FF20CF" w:rsidRDefault="00F66EB8" w:rsidP="00F66EB8">
            <w:pPr>
              <w:rPr>
                <w:rFonts w:ascii="Arial" w:hAnsi="Arial" w:cs="Arial"/>
                <w:sz w:val="22"/>
                <w:szCs w:val="22"/>
              </w:rPr>
            </w:pPr>
            <w:r w:rsidRPr="00FF20CF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557" w:type="dxa"/>
          </w:tcPr>
          <w:p w14:paraId="54068FDD" w14:textId="77777777" w:rsidR="00F66EB8" w:rsidRPr="00FF20CF" w:rsidRDefault="00F66EB8" w:rsidP="00F66EB8">
            <w:pPr>
              <w:rPr>
                <w:rFonts w:ascii="Arial" w:hAnsi="Arial" w:cs="Arial"/>
                <w:sz w:val="22"/>
                <w:szCs w:val="22"/>
              </w:rPr>
            </w:pPr>
            <w:r w:rsidRPr="00FF20CF">
              <w:rPr>
                <w:rFonts w:ascii="Arial" w:hAnsi="Arial" w:cs="Arial"/>
                <w:sz w:val="22"/>
                <w:szCs w:val="22"/>
              </w:rPr>
              <w:t>All ages</w:t>
            </w:r>
          </w:p>
        </w:tc>
      </w:tr>
    </w:tbl>
    <w:p w14:paraId="51B8007E" w14:textId="46AC804F" w:rsidR="00F66EB8" w:rsidRPr="00FF20CF" w:rsidRDefault="00FF20CF" w:rsidP="00840D1F">
      <w:pPr>
        <w:ind w:left="540"/>
        <w:rPr>
          <w:rFonts w:ascii="Arial" w:hAnsi="Arial" w:cs="Arial"/>
        </w:rPr>
      </w:pPr>
      <w:r w:rsidRPr="00FF20CF">
        <w:rPr>
          <w:rFonts w:ascii="Arial" w:hAnsi="Arial" w:cs="Arial"/>
        </w:rPr>
        <w:t xml:space="preserve"> </w:t>
      </w:r>
      <w:r w:rsidR="00F66EB8" w:rsidRPr="00FF20CF">
        <w:rPr>
          <w:rFonts w:ascii="Arial" w:hAnsi="Arial" w:cs="Arial"/>
        </w:rPr>
        <w:t>*Limit of one lifetime dose</w:t>
      </w:r>
    </w:p>
    <w:p w14:paraId="1AF7B77E" w14:textId="70E24C74" w:rsidR="00F66EB8" w:rsidRPr="00FF20CF" w:rsidRDefault="00FF20CF" w:rsidP="00840D1F">
      <w:pPr>
        <w:ind w:left="540"/>
        <w:rPr>
          <w:rFonts w:ascii="Arial" w:hAnsi="Arial" w:cs="Arial"/>
        </w:rPr>
      </w:pPr>
      <w:r w:rsidRPr="00FF20CF">
        <w:rPr>
          <w:rFonts w:ascii="Arial" w:hAnsi="Arial" w:cs="Arial"/>
        </w:rPr>
        <w:t xml:space="preserve"> </w:t>
      </w:r>
      <w:r w:rsidR="00F66EB8" w:rsidRPr="00FF20CF">
        <w:rPr>
          <w:rFonts w:ascii="Arial" w:hAnsi="Arial" w:cs="Arial"/>
        </w:rPr>
        <w:t xml:space="preserve">^Abrysvo is available without PA through medical billing </w:t>
      </w:r>
      <w:r w:rsidR="001D2A7B">
        <w:rPr>
          <w:rFonts w:ascii="Arial" w:hAnsi="Arial" w:cs="Arial"/>
        </w:rPr>
        <w:t>for u</w:t>
      </w:r>
      <w:r w:rsidR="0080735F">
        <w:rPr>
          <w:rFonts w:ascii="Arial" w:hAnsi="Arial" w:cs="Arial"/>
        </w:rPr>
        <w:t>se in pregnant people</w:t>
      </w:r>
      <w:r w:rsidR="00041A1A">
        <w:rPr>
          <w:rFonts w:ascii="Arial" w:hAnsi="Arial" w:cs="Arial"/>
        </w:rPr>
        <w:t>.</w:t>
      </w:r>
    </w:p>
    <w:p w14:paraId="6E96466F" w14:textId="77777777" w:rsidR="006B20D5" w:rsidRDefault="006B20D5" w:rsidP="006B20D5">
      <w:pPr>
        <w:pStyle w:val="Heading2"/>
        <w:framePr w:hSpace="0" w:wrap="auto" w:vAnchor="margin" w:yAlign="inline"/>
        <w:spacing w:before="0" w:line="276" w:lineRule="auto"/>
        <w:rPr>
          <w:rFonts w:ascii="Arial" w:hAnsi="Arial" w:cs="Arial"/>
          <w:noProof/>
          <w:sz w:val="26"/>
          <w:szCs w:val="26"/>
        </w:rPr>
      </w:pPr>
    </w:p>
    <w:p w14:paraId="39FBAB1B" w14:textId="54C6CA6B" w:rsidR="00062FC6" w:rsidRPr="006B20D5" w:rsidRDefault="00062FC6" w:rsidP="006B20D5">
      <w:pPr>
        <w:pStyle w:val="Heading2"/>
        <w:framePr w:hSpace="0" w:wrap="auto" w:vAnchor="margin" w:yAlign="inline"/>
        <w:spacing w:before="0" w:line="276" w:lineRule="auto"/>
        <w:rPr>
          <w:rFonts w:ascii="Arial" w:hAnsi="Arial" w:cs="Arial"/>
          <w:noProof/>
          <w:sz w:val="26"/>
          <w:szCs w:val="26"/>
        </w:rPr>
      </w:pPr>
      <w:r w:rsidRPr="006B20D5">
        <w:rPr>
          <w:rFonts w:ascii="Arial" w:hAnsi="Arial" w:cs="Arial"/>
          <w:noProof/>
          <w:sz w:val="26"/>
          <w:szCs w:val="26"/>
        </w:rPr>
        <w:t xml:space="preserve">Pharmacy Coverage </w:t>
      </w:r>
      <w:r w:rsidR="00CE4848">
        <w:rPr>
          <w:rFonts w:ascii="Arial" w:hAnsi="Arial" w:cs="Arial"/>
          <w:noProof/>
          <w:sz w:val="26"/>
          <w:szCs w:val="26"/>
        </w:rPr>
        <w:t>E</w:t>
      </w:r>
      <w:r w:rsidR="00CE4848" w:rsidRPr="006B20D5">
        <w:rPr>
          <w:rFonts w:ascii="Arial" w:hAnsi="Arial" w:cs="Arial"/>
          <w:noProof/>
          <w:sz w:val="26"/>
          <w:szCs w:val="26"/>
        </w:rPr>
        <w:t xml:space="preserve">ffective </w:t>
      </w:r>
      <w:r w:rsidRPr="006B20D5">
        <w:rPr>
          <w:rFonts w:ascii="Arial" w:hAnsi="Arial" w:cs="Arial"/>
          <w:noProof/>
          <w:sz w:val="26"/>
          <w:szCs w:val="26"/>
        </w:rPr>
        <w:t>October 1, 2024</w:t>
      </w:r>
    </w:p>
    <w:p w14:paraId="0714937D" w14:textId="77777777" w:rsidR="00062FC6" w:rsidRDefault="00062FC6" w:rsidP="006B20D5">
      <w:pPr>
        <w:spacing w:line="276" w:lineRule="auto"/>
      </w:pPr>
    </w:p>
    <w:p w14:paraId="0BB6417C" w14:textId="612F447F" w:rsidR="00062FC6" w:rsidRPr="00062FC6" w:rsidRDefault="00062FC6" w:rsidP="00982128">
      <w:pPr>
        <w:pStyle w:val="Heading2"/>
        <w:framePr w:hSpace="0" w:wrap="auto" w:vAnchor="margin" w:yAlign="inline"/>
        <w:spacing w:before="0" w:line="276" w:lineRule="auto"/>
      </w:pPr>
      <w:r w:rsidRPr="00205E56">
        <w:rPr>
          <w:rFonts w:ascii="Arial" w:hAnsi="Arial" w:cs="Arial"/>
          <w:sz w:val="22"/>
          <w:szCs w:val="22"/>
        </w:rPr>
        <w:t>Beyfortus Coverage Update</w:t>
      </w:r>
    </w:p>
    <w:p w14:paraId="5A669BAB" w14:textId="74B0554C" w:rsidR="00062FC6" w:rsidRPr="00062FC6" w:rsidRDefault="00062FC6" w:rsidP="006B20D5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062FC6">
        <w:rPr>
          <w:rFonts w:ascii="Arial" w:hAnsi="Arial" w:cs="Arial"/>
          <w:color w:val="auto"/>
          <w:sz w:val="22"/>
          <w:szCs w:val="22"/>
        </w:rPr>
        <w:t>Beyfortus</w:t>
      </w:r>
      <w:r w:rsidRPr="00062FC6">
        <w:rPr>
          <w:rFonts w:ascii="Arial" w:hAnsi="Arial" w:cs="Arial"/>
          <w:color w:val="auto"/>
          <w:sz w:val="22"/>
          <w:szCs w:val="22"/>
          <w:vertAlign w:val="superscript"/>
        </w:rPr>
        <w:t>®</w:t>
      </w:r>
      <w:r w:rsidRPr="00062FC6">
        <w:rPr>
          <w:rFonts w:ascii="Arial" w:hAnsi="Arial" w:cs="Arial"/>
          <w:color w:val="auto"/>
          <w:sz w:val="22"/>
          <w:szCs w:val="22"/>
        </w:rPr>
        <w:t xml:space="preserve"> (nirsevimab) will not require </w:t>
      </w:r>
      <w:r w:rsidR="00796800">
        <w:rPr>
          <w:rFonts w:ascii="Arial" w:hAnsi="Arial" w:cs="Arial"/>
          <w:color w:val="auto"/>
          <w:sz w:val="22"/>
          <w:szCs w:val="22"/>
        </w:rPr>
        <w:t>prior authorization (</w:t>
      </w:r>
      <w:r w:rsidRPr="00062FC6">
        <w:rPr>
          <w:rFonts w:ascii="Arial" w:hAnsi="Arial" w:cs="Arial"/>
          <w:color w:val="auto"/>
          <w:sz w:val="22"/>
          <w:szCs w:val="22"/>
        </w:rPr>
        <w:t>PA</w:t>
      </w:r>
      <w:r w:rsidR="00796800">
        <w:rPr>
          <w:rFonts w:ascii="Arial" w:hAnsi="Arial" w:cs="Arial"/>
          <w:color w:val="auto"/>
          <w:sz w:val="22"/>
          <w:szCs w:val="22"/>
        </w:rPr>
        <w:t>)</w:t>
      </w:r>
      <w:r w:rsidRPr="00062FC6">
        <w:rPr>
          <w:rFonts w:ascii="Arial" w:hAnsi="Arial" w:cs="Arial"/>
          <w:color w:val="auto"/>
          <w:sz w:val="22"/>
          <w:szCs w:val="22"/>
        </w:rPr>
        <w:t xml:space="preserve"> for MassHealth members </w:t>
      </w:r>
      <w:r w:rsidR="00796800">
        <w:rPr>
          <w:rFonts w:ascii="Arial" w:hAnsi="Arial" w:cs="Arial"/>
          <w:color w:val="auto"/>
          <w:sz w:val="22"/>
          <w:szCs w:val="22"/>
        </w:rPr>
        <w:t>eight</w:t>
      </w:r>
      <w:r w:rsidR="005E7B03">
        <w:rPr>
          <w:rFonts w:ascii="Arial" w:hAnsi="Arial" w:cs="Arial"/>
          <w:color w:val="auto"/>
          <w:sz w:val="22"/>
          <w:szCs w:val="22"/>
        </w:rPr>
        <w:t xml:space="preserve"> m</w:t>
      </w:r>
      <w:r w:rsidRPr="00062FC6">
        <w:rPr>
          <w:rFonts w:ascii="Arial" w:hAnsi="Arial" w:cs="Arial"/>
          <w:color w:val="auto"/>
          <w:sz w:val="22"/>
          <w:szCs w:val="22"/>
        </w:rPr>
        <w:t xml:space="preserve">onths </w:t>
      </w:r>
      <w:r w:rsidR="00796800">
        <w:rPr>
          <w:rFonts w:ascii="Arial" w:hAnsi="Arial" w:cs="Arial"/>
          <w:color w:val="auto"/>
          <w:sz w:val="22"/>
          <w:szCs w:val="22"/>
        </w:rPr>
        <w:t>or younger</w:t>
      </w:r>
      <w:r w:rsidRPr="00062FC6">
        <w:rPr>
          <w:rFonts w:ascii="Arial" w:hAnsi="Arial" w:cs="Arial"/>
          <w:color w:val="auto"/>
          <w:sz w:val="22"/>
          <w:szCs w:val="22"/>
        </w:rPr>
        <w:t xml:space="preserve">. For members </w:t>
      </w:r>
      <w:r w:rsidR="005E7B03" w:rsidRPr="007E77D7">
        <w:rPr>
          <w:rFonts w:ascii="Arial" w:hAnsi="Arial" w:cs="Arial"/>
          <w:color w:val="auto"/>
          <w:sz w:val="22"/>
          <w:szCs w:val="22"/>
        </w:rPr>
        <w:t>eight</w:t>
      </w:r>
      <w:r w:rsidRPr="007E77D7">
        <w:rPr>
          <w:rFonts w:ascii="Arial" w:hAnsi="Arial" w:cs="Arial"/>
          <w:color w:val="auto"/>
          <w:sz w:val="22"/>
          <w:szCs w:val="22"/>
        </w:rPr>
        <w:t xml:space="preserve"> </w:t>
      </w:r>
      <w:r w:rsidRPr="00062FC6">
        <w:rPr>
          <w:rFonts w:ascii="Arial" w:hAnsi="Arial" w:cs="Arial"/>
          <w:color w:val="auto"/>
          <w:sz w:val="22"/>
          <w:szCs w:val="22"/>
        </w:rPr>
        <w:t>months</w:t>
      </w:r>
      <w:r w:rsidR="005E7B03">
        <w:rPr>
          <w:rFonts w:ascii="Arial" w:hAnsi="Arial" w:cs="Arial"/>
          <w:color w:val="auto"/>
          <w:sz w:val="22"/>
          <w:szCs w:val="22"/>
        </w:rPr>
        <w:t xml:space="preserve"> or older</w:t>
      </w:r>
      <w:r w:rsidRPr="00062FC6">
        <w:rPr>
          <w:rFonts w:ascii="Arial" w:hAnsi="Arial" w:cs="Arial"/>
          <w:color w:val="auto"/>
          <w:sz w:val="22"/>
          <w:szCs w:val="22"/>
        </w:rPr>
        <w:t>, PA will be required to determine medical necessity based on comorbidities. Beyfortus</w:t>
      </w:r>
      <w:r w:rsidRPr="00062FC6">
        <w:rPr>
          <w:rFonts w:ascii="Arial" w:hAnsi="Arial" w:cs="Arial"/>
          <w:color w:val="auto"/>
          <w:sz w:val="22"/>
          <w:szCs w:val="22"/>
          <w:vertAlign w:val="superscript"/>
        </w:rPr>
        <w:t>®</w:t>
      </w:r>
      <w:r w:rsidRPr="00062FC6">
        <w:rPr>
          <w:rFonts w:ascii="Arial" w:hAnsi="Arial" w:cs="Arial"/>
          <w:color w:val="auto"/>
          <w:sz w:val="22"/>
          <w:szCs w:val="22"/>
        </w:rPr>
        <w:t xml:space="preserve"> (nirsevimab) is available through the Massachusetts Department of Public Health Vaccines for Children program.  </w:t>
      </w:r>
    </w:p>
    <w:p w14:paraId="0F1D4BA9" w14:textId="77777777" w:rsidR="00062FC6" w:rsidRDefault="00062FC6" w:rsidP="006B20D5">
      <w:pPr>
        <w:spacing w:line="276" w:lineRule="auto"/>
        <w:rPr>
          <w:color w:val="auto"/>
          <w:sz w:val="22"/>
          <w:szCs w:val="22"/>
        </w:rPr>
      </w:pPr>
    </w:p>
    <w:p w14:paraId="0B020384" w14:textId="6D63AB1A" w:rsidR="00205E56" w:rsidRPr="00205E56" w:rsidRDefault="00870CBF" w:rsidP="00982128">
      <w:pPr>
        <w:pStyle w:val="Heading2"/>
        <w:framePr w:hSpace="0" w:wrap="auto" w:vAnchor="margin" w:yAlign="inline"/>
        <w:spacing w:before="0" w:line="276" w:lineRule="auto"/>
      </w:pPr>
      <w:r w:rsidRPr="00205E56">
        <w:rPr>
          <w:rFonts w:ascii="Arial" w:hAnsi="Arial" w:cs="Arial"/>
          <w:noProof/>
          <w:sz w:val="22"/>
          <w:szCs w:val="22"/>
        </w:rPr>
        <w:t>Synagis</w:t>
      </w:r>
      <w:r w:rsidRPr="00205E56">
        <w:rPr>
          <w:rFonts w:ascii="Arial" w:hAnsi="Arial" w:cs="Arial"/>
          <w:sz w:val="22"/>
          <w:szCs w:val="22"/>
        </w:rPr>
        <w:t xml:space="preserve"> Coverage Update</w:t>
      </w:r>
    </w:p>
    <w:p w14:paraId="06764276" w14:textId="09A84F55" w:rsidR="00870CBF" w:rsidRPr="00205E56" w:rsidRDefault="00870CBF" w:rsidP="006B20D5">
      <w:pPr>
        <w:spacing w:line="276" w:lineRule="auto"/>
        <w:ind w:right="-94"/>
        <w:rPr>
          <w:rFonts w:ascii="Arial" w:hAnsi="Arial" w:cs="Arial"/>
          <w:color w:val="auto"/>
          <w:sz w:val="22"/>
          <w:szCs w:val="22"/>
        </w:rPr>
      </w:pPr>
      <w:r w:rsidRPr="00205E56">
        <w:rPr>
          <w:rFonts w:ascii="Arial" w:hAnsi="Arial" w:cs="Arial"/>
          <w:color w:val="auto"/>
          <w:sz w:val="22"/>
          <w:szCs w:val="22"/>
        </w:rPr>
        <w:t>Synagis</w:t>
      </w:r>
      <w:r w:rsidRPr="00205E56">
        <w:rPr>
          <w:rFonts w:ascii="Arial" w:hAnsi="Arial" w:cs="Arial"/>
          <w:color w:val="auto"/>
          <w:sz w:val="22"/>
          <w:szCs w:val="22"/>
          <w:vertAlign w:val="superscript"/>
        </w:rPr>
        <w:t>®</w:t>
      </w:r>
      <w:r w:rsidRPr="00205E56">
        <w:rPr>
          <w:rFonts w:ascii="Arial" w:hAnsi="Arial" w:cs="Arial"/>
          <w:color w:val="auto"/>
          <w:sz w:val="22"/>
          <w:szCs w:val="22"/>
        </w:rPr>
        <w:t xml:space="preserve"> (palivizumab) will continue to require PA. MassHealth clinical criteria was updated to include clinical rationale for use instead of Beyfortus</w:t>
      </w:r>
      <w:r w:rsidRPr="00205E56">
        <w:rPr>
          <w:rFonts w:ascii="Arial" w:hAnsi="Arial" w:cs="Arial"/>
          <w:color w:val="auto"/>
          <w:sz w:val="22"/>
          <w:szCs w:val="22"/>
          <w:vertAlign w:val="superscript"/>
        </w:rPr>
        <w:t>®</w:t>
      </w:r>
      <w:r w:rsidRPr="00205E56">
        <w:rPr>
          <w:rFonts w:ascii="Arial" w:hAnsi="Arial" w:cs="Arial"/>
          <w:color w:val="auto"/>
          <w:sz w:val="22"/>
          <w:szCs w:val="22"/>
        </w:rPr>
        <w:t xml:space="preserve"> (nirsevimab). Clinical criteria for review of Synagis</w:t>
      </w:r>
      <w:r w:rsidRPr="00205E56">
        <w:rPr>
          <w:rFonts w:ascii="Arial" w:hAnsi="Arial" w:cs="Arial"/>
          <w:color w:val="auto"/>
          <w:sz w:val="22"/>
          <w:szCs w:val="22"/>
          <w:vertAlign w:val="superscript"/>
        </w:rPr>
        <w:t>®</w:t>
      </w:r>
      <w:r w:rsidRPr="00205E56">
        <w:rPr>
          <w:rFonts w:ascii="Arial" w:hAnsi="Arial" w:cs="Arial"/>
          <w:color w:val="auto"/>
          <w:sz w:val="22"/>
          <w:szCs w:val="22"/>
        </w:rPr>
        <w:t xml:space="preserve"> (palivizumab) includes age</w:t>
      </w:r>
      <w:r w:rsidR="005E7B03">
        <w:rPr>
          <w:rFonts w:ascii="Arial" w:hAnsi="Arial" w:cs="Arial"/>
          <w:color w:val="auto"/>
          <w:sz w:val="22"/>
          <w:szCs w:val="22"/>
        </w:rPr>
        <w:t>;</w:t>
      </w:r>
      <w:r w:rsidR="005E7B03" w:rsidRPr="00205E56">
        <w:rPr>
          <w:rFonts w:ascii="Arial" w:hAnsi="Arial" w:cs="Arial"/>
          <w:color w:val="auto"/>
          <w:sz w:val="22"/>
          <w:szCs w:val="22"/>
        </w:rPr>
        <w:t xml:space="preserve"> </w:t>
      </w:r>
      <w:r w:rsidR="0059122F">
        <w:rPr>
          <w:rFonts w:ascii="Arial" w:hAnsi="Arial" w:cs="Arial"/>
          <w:color w:val="auto"/>
          <w:sz w:val="22"/>
          <w:szCs w:val="22"/>
        </w:rPr>
        <w:t xml:space="preserve">rationale for </w:t>
      </w:r>
      <w:r w:rsidRPr="00205E56">
        <w:rPr>
          <w:rFonts w:ascii="Arial" w:hAnsi="Arial" w:cs="Arial"/>
          <w:color w:val="auto"/>
          <w:sz w:val="22"/>
          <w:szCs w:val="22"/>
        </w:rPr>
        <w:t>use instead of Beyfortus</w:t>
      </w:r>
      <w:r w:rsidRPr="00205E56">
        <w:rPr>
          <w:rFonts w:ascii="Arial" w:hAnsi="Arial" w:cs="Arial"/>
          <w:color w:val="auto"/>
          <w:sz w:val="22"/>
          <w:szCs w:val="22"/>
          <w:vertAlign w:val="superscript"/>
        </w:rPr>
        <w:t>®</w:t>
      </w:r>
      <w:r w:rsidRPr="00205E56">
        <w:rPr>
          <w:rFonts w:ascii="Arial" w:hAnsi="Arial" w:cs="Arial"/>
          <w:color w:val="auto"/>
          <w:sz w:val="22"/>
          <w:szCs w:val="22"/>
        </w:rPr>
        <w:t xml:space="preserve"> (nirsevimab</w:t>
      </w:r>
      <w:r w:rsidR="005E7B03" w:rsidRPr="00205E56">
        <w:rPr>
          <w:rFonts w:ascii="Arial" w:hAnsi="Arial" w:cs="Arial"/>
          <w:color w:val="auto"/>
          <w:sz w:val="22"/>
          <w:szCs w:val="22"/>
        </w:rPr>
        <w:t>)</w:t>
      </w:r>
      <w:r w:rsidR="005E7B03">
        <w:rPr>
          <w:rFonts w:ascii="Arial" w:hAnsi="Arial" w:cs="Arial"/>
          <w:color w:val="auto"/>
          <w:sz w:val="22"/>
          <w:szCs w:val="22"/>
        </w:rPr>
        <w:t>;</w:t>
      </w:r>
      <w:r w:rsidR="005E7B03" w:rsidRPr="00205E56">
        <w:rPr>
          <w:rFonts w:ascii="Arial" w:hAnsi="Arial" w:cs="Arial"/>
          <w:color w:val="auto"/>
          <w:sz w:val="22"/>
          <w:szCs w:val="22"/>
        </w:rPr>
        <w:t xml:space="preserve"> </w:t>
      </w:r>
      <w:r w:rsidRPr="00205E56">
        <w:rPr>
          <w:rFonts w:ascii="Arial" w:hAnsi="Arial" w:cs="Arial"/>
          <w:color w:val="auto"/>
          <w:sz w:val="22"/>
          <w:szCs w:val="22"/>
        </w:rPr>
        <w:t>and additional documentation</w:t>
      </w:r>
      <w:r w:rsidR="005E7B03">
        <w:rPr>
          <w:rFonts w:ascii="Arial" w:hAnsi="Arial" w:cs="Arial"/>
          <w:color w:val="auto"/>
          <w:sz w:val="22"/>
          <w:szCs w:val="22"/>
        </w:rPr>
        <w:t>,</w:t>
      </w:r>
      <w:r w:rsidRPr="00205E56">
        <w:rPr>
          <w:rFonts w:ascii="Arial" w:hAnsi="Arial" w:cs="Arial"/>
          <w:color w:val="auto"/>
          <w:sz w:val="22"/>
          <w:szCs w:val="22"/>
        </w:rPr>
        <w:t xml:space="preserve"> depending on diagnosis of </w:t>
      </w:r>
      <w:r w:rsidR="005E7B03">
        <w:rPr>
          <w:rFonts w:ascii="Arial" w:hAnsi="Arial" w:cs="Arial"/>
          <w:color w:val="auto"/>
          <w:sz w:val="22"/>
          <w:szCs w:val="22"/>
        </w:rPr>
        <w:t>chronic lung disease (</w:t>
      </w:r>
      <w:r w:rsidRPr="00205E56">
        <w:rPr>
          <w:rFonts w:ascii="Arial" w:hAnsi="Arial" w:cs="Arial"/>
          <w:color w:val="auto"/>
          <w:sz w:val="22"/>
          <w:szCs w:val="22"/>
        </w:rPr>
        <w:t>CLD</w:t>
      </w:r>
      <w:r w:rsidR="005E7B03">
        <w:rPr>
          <w:rFonts w:ascii="Arial" w:hAnsi="Arial" w:cs="Arial"/>
          <w:color w:val="auto"/>
          <w:sz w:val="22"/>
          <w:szCs w:val="22"/>
        </w:rPr>
        <w:t>)</w:t>
      </w:r>
      <w:r w:rsidRPr="00205E56">
        <w:rPr>
          <w:rFonts w:ascii="Arial" w:hAnsi="Arial" w:cs="Arial"/>
          <w:color w:val="auto"/>
          <w:sz w:val="22"/>
          <w:szCs w:val="22"/>
        </w:rPr>
        <w:t xml:space="preserve"> of prematurity, </w:t>
      </w:r>
      <w:r w:rsidR="005E7B03">
        <w:rPr>
          <w:rFonts w:ascii="Arial" w:hAnsi="Arial" w:cs="Arial"/>
          <w:color w:val="auto"/>
          <w:sz w:val="22"/>
          <w:szCs w:val="22"/>
        </w:rPr>
        <w:t>b</w:t>
      </w:r>
      <w:r w:rsidR="005E7B03" w:rsidRPr="005E7B03">
        <w:rPr>
          <w:rFonts w:ascii="Arial" w:hAnsi="Arial" w:cs="Arial"/>
          <w:color w:val="auto"/>
          <w:sz w:val="22"/>
          <w:szCs w:val="22"/>
        </w:rPr>
        <w:t xml:space="preserve">ronchopulmonary dysplasia </w:t>
      </w:r>
      <w:r w:rsidR="005E7B03">
        <w:rPr>
          <w:rFonts w:ascii="Arial" w:hAnsi="Arial" w:cs="Arial"/>
          <w:color w:val="auto"/>
          <w:sz w:val="22"/>
          <w:szCs w:val="22"/>
        </w:rPr>
        <w:t>(</w:t>
      </w:r>
      <w:r w:rsidRPr="00205E56">
        <w:rPr>
          <w:rFonts w:ascii="Arial" w:hAnsi="Arial" w:cs="Arial"/>
          <w:color w:val="auto"/>
          <w:sz w:val="22"/>
          <w:szCs w:val="22"/>
        </w:rPr>
        <w:t>BPD</w:t>
      </w:r>
      <w:r w:rsidR="005E7B03">
        <w:rPr>
          <w:rFonts w:ascii="Arial" w:hAnsi="Arial" w:cs="Arial"/>
          <w:color w:val="auto"/>
          <w:sz w:val="22"/>
          <w:szCs w:val="22"/>
        </w:rPr>
        <w:t>)</w:t>
      </w:r>
      <w:r w:rsidRPr="00205E56">
        <w:rPr>
          <w:rFonts w:ascii="Arial" w:hAnsi="Arial" w:cs="Arial"/>
          <w:color w:val="auto"/>
          <w:sz w:val="22"/>
          <w:szCs w:val="22"/>
        </w:rPr>
        <w:t xml:space="preserve">, prematurity, or </w:t>
      </w:r>
      <w:r w:rsidR="005E7B03">
        <w:rPr>
          <w:rFonts w:ascii="Arial" w:hAnsi="Arial" w:cs="Arial"/>
          <w:color w:val="auto"/>
          <w:sz w:val="22"/>
          <w:szCs w:val="22"/>
        </w:rPr>
        <w:t>chronic heart disease (</w:t>
      </w:r>
      <w:r w:rsidRPr="00205E56">
        <w:rPr>
          <w:rFonts w:ascii="Arial" w:hAnsi="Arial" w:cs="Arial"/>
          <w:color w:val="auto"/>
          <w:sz w:val="22"/>
          <w:szCs w:val="22"/>
        </w:rPr>
        <w:t>CHD</w:t>
      </w:r>
      <w:r w:rsidR="005E7B03">
        <w:rPr>
          <w:rFonts w:ascii="Arial" w:hAnsi="Arial" w:cs="Arial"/>
          <w:color w:val="auto"/>
          <w:sz w:val="22"/>
          <w:szCs w:val="22"/>
        </w:rPr>
        <w:t>)</w:t>
      </w:r>
      <w:r w:rsidRPr="00205E56">
        <w:rPr>
          <w:rFonts w:ascii="Arial" w:hAnsi="Arial" w:cs="Arial"/>
          <w:color w:val="auto"/>
          <w:sz w:val="22"/>
          <w:szCs w:val="22"/>
        </w:rPr>
        <w:t>.</w:t>
      </w:r>
    </w:p>
    <w:p w14:paraId="500936F1" w14:textId="4A88F0CB" w:rsidR="00205E56" w:rsidRPr="00205E56" w:rsidRDefault="00870CBF" w:rsidP="00CB1524">
      <w:pPr>
        <w:pStyle w:val="Heading2"/>
        <w:framePr w:hSpace="0" w:wrap="auto" w:vAnchor="margin" w:yAlign="inline"/>
        <w:spacing w:before="360" w:line="276" w:lineRule="auto"/>
      </w:pPr>
      <w:r w:rsidRPr="00205E56">
        <w:rPr>
          <w:rFonts w:ascii="Arial" w:hAnsi="Arial" w:cs="Arial"/>
          <w:sz w:val="22"/>
          <w:szCs w:val="22"/>
        </w:rPr>
        <w:lastRenderedPageBreak/>
        <w:t>Abrysvo</w:t>
      </w:r>
      <w:r w:rsidRPr="00205E56">
        <w:rPr>
          <w:rFonts w:ascii="Arial" w:hAnsi="Arial" w:cs="Arial"/>
          <w:sz w:val="22"/>
          <w:szCs w:val="22"/>
          <w:vertAlign w:val="superscript"/>
        </w:rPr>
        <w:t>®</w:t>
      </w:r>
      <w:r w:rsidRPr="00205E56">
        <w:rPr>
          <w:rFonts w:ascii="Arial" w:hAnsi="Arial" w:cs="Arial"/>
          <w:sz w:val="22"/>
          <w:szCs w:val="22"/>
        </w:rPr>
        <w:t xml:space="preserve"> (RSV vaccine) Coverage Update</w:t>
      </w:r>
    </w:p>
    <w:p w14:paraId="18182413" w14:textId="192B386F" w:rsidR="00870CBF" w:rsidRPr="00205E56" w:rsidRDefault="00870CBF" w:rsidP="006B20D5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205E56">
        <w:rPr>
          <w:rFonts w:ascii="Arial" w:hAnsi="Arial" w:cs="Arial"/>
          <w:color w:val="auto"/>
          <w:sz w:val="22"/>
          <w:szCs w:val="22"/>
        </w:rPr>
        <w:t>Abrysvo</w:t>
      </w:r>
      <w:r w:rsidRPr="00205E56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Pr="00205E56">
        <w:rPr>
          <w:rFonts w:ascii="Arial" w:hAnsi="Arial" w:cs="Arial"/>
          <w:color w:val="auto"/>
          <w:sz w:val="22"/>
          <w:szCs w:val="22"/>
        </w:rPr>
        <w:t xml:space="preserve"> was approved </w:t>
      </w:r>
      <w:r w:rsidR="005E7B03">
        <w:rPr>
          <w:rFonts w:ascii="Arial" w:hAnsi="Arial" w:cs="Arial"/>
          <w:color w:val="auto"/>
          <w:sz w:val="22"/>
          <w:szCs w:val="22"/>
        </w:rPr>
        <w:t xml:space="preserve">by the Federal Drug Administration (FDA) </w:t>
      </w:r>
      <w:r w:rsidRPr="00205E56">
        <w:rPr>
          <w:rFonts w:ascii="Arial" w:hAnsi="Arial" w:cs="Arial"/>
          <w:color w:val="auto"/>
          <w:sz w:val="22"/>
          <w:szCs w:val="22"/>
        </w:rPr>
        <w:t xml:space="preserve">on May 31, 2023, for active immunization for the prevention of </w:t>
      </w:r>
      <w:r w:rsidR="005E7B03">
        <w:rPr>
          <w:rFonts w:ascii="Arial" w:hAnsi="Arial" w:cs="Arial"/>
          <w:color w:val="auto"/>
          <w:sz w:val="22"/>
          <w:szCs w:val="22"/>
        </w:rPr>
        <w:t xml:space="preserve">lower respiratory </w:t>
      </w:r>
      <w:r w:rsidR="00AD5A76">
        <w:rPr>
          <w:rFonts w:ascii="Arial" w:hAnsi="Arial" w:cs="Arial"/>
          <w:color w:val="auto"/>
          <w:sz w:val="22"/>
          <w:szCs w:val="22"/>
        </w:rPr>
        <w:t>tract disease (</w:t>
      </w:r>
      <w:r w:rsidRPr="00205E56">
        <w:rPr>
          <w:rFonts w:ascii="Arial" w:hAnsi="Arial" w:cs="Arial"/>
          <w:color w:val="auto"/>
          <w:sz w:val="22"/>
          <w:szCs w:val="22"/>
        </w:rPr>
        <w:t>LRTD</w:t>
      </w:r>
      <w:r w:rsidR="00AD5A76">
        <w:rPr>
          <w:rFonts w:ascii="Arial" w:hAnsi="Arial" w:cs="Arial"/>
          <w:color w:val="auto"/>
          <w:sz w:val="22"/>
          <w:szCs w:val="22"/>
        </w:rPr>
        <w:t>)</w:t>
      </w:r>
      <w:r w:rsidRPr="00205E56">
        <w:rPr>
          <w:rFonts w:ascii="Arial" w:hAnsi="Arial" w:cs="Arial"/>
          <w:color w:val="auto"/>
          <w:sz w:val="22"/>
          <w:szCs w:val="22"/>
        </w:rPr>
        <w:t xml:space="preserve"> caused by RSV in </w:t>
      </w:r>
      <w:r w:rsidR="00AD5A76">
        <w:rPr>
          <w:rFonts w:ascii="Arial" w:hAnsi="Arial" w:cs="Arial"/>
          <w:color w:val="auto"/>
          <w:sz w:val="22"/>
          <w:szCs w:val="22"/>
        </w:rPr>
        <w:t>adults</w:t>
      </w:r>
      <w:r w:rsidR="00AD5A76" w:rsidRPr="00205E56">
        <w:rPr>
          <w:rFonts w:ascii="Arial" w:hAnsi="Arial" w:cs="Arial"/>
          <w:color w:val="auto"/>
          <w:sz w:val="22"/>
          <w:szCs w:val="22"/>
        </w:rPr>
        <w:t xml:space="preserve"> </w:t>
      </w:r>
      <w:r w:rsidRPr="00205E56">
        <w:rPr>
          <w:rFonts w:ascii="Arial" w:hAnsi="Arial" w:cs="Arial"/>
          <w:color w:val="auto"/>
          <w:sz w:val="22"/>
          <w:szCs w:val="22"/>
        </w:rPr>
        <w:t xml:space="preserve">60 years </w:t>
      </w:r>
      <w:r w:rsidR="00AD5A76">
        <w:rPr>
          <w:rFonts w:ascii="Arial" w:hAnsi="Arial" w:cs="Arial"/>
          <w:color w:val="auto"/>
          <w:sz w:val="22"/>
          <w:szCs w:val="22"/>
        </w:rPr>
        <w:t>or older</w:t>
      </w:r>
      <w:r w:rsidRPr="00205E56">
        <w:rPr>
          <w:rFonts w:ascii="Arial" w:hAnsi="Arial" w:cs="Arial"/>
          <w:color w:val="auto"/>
          <w:sz w:val="22"/>
          <w:szCs w:val="22"/>
        </w:rPr>
        <w:t>. On August 21, 2023, Abrysvo</w:t>
      </w:r>
      <w:r w:rsidRPr="00205E56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Pr="00205E56">
        <w:rPr>
          <w:rFonts w:ascii="Arial" w:hAnsi="Arial" w:cs="Arial"/>
          <w:color w:val="auto"/>
          <w:sz w:val="22"/>
          <w:szCs w:val="22"/>
        </w:rPr>
        <w:t xml:space="preserve"> received an additional indication for pregnant </w:t>
      </w:r>
      <w:r w:rsidR="00AD5A76">
        <w:rPr>
          <w:rFonts w:ascii="Arial" w:hAnsi="Arial" w:cs="Arial"/>
          <w:color w:val="auto"/>
          <w:sz w:val="22"/>
          <w:szCs w:val="22"/>
        </w:rPr>
        <w:t>people</w:t>
      </w:r>
      <w:r w:rsidR="00AD5A76" w:rsidRPr="00205E56">
        <w:rPr>
          <w:rFonts w:ascii="Arial" w:hAnsi="Arial" w:cs="Arial"/>
          <w:color w:val="auto"/>
          <w:sz w:val="22"/>
          <w:szCs w:val="22"/>
        </w:rPr>
        <w:t xml:space="preserve"> </w:t>
      </w:r>
      <w:r w:rsidRPr="00205E56">
        <w:rPr>
          <w:rFonts w:ascii="Arial" w:hAnsi="Arial" w:cs="Arial"/>
          <w:color w:val="auto"/>
          <w:sz w:val="22"/>
          <w:szCs w:val="22"/>
        </w:rPr>
        <w:t xml:space="preserve">at </w:t>
      </w:r>
      <w:r w:rsidR="004607BC">
        <w:rPr>
          <w:rFonts w:ascii="Arial" w:hAnsi="Arial" w:cs="Arial"/>
          <w:color w:val="auto"/>
          <w:sz w:val="22"/>
          <w:szCs w:val="22"/>
        </w:rPr>
        <w:t xml:space="preserve">the gestational age of </w:t>
      </w:r>
      <w:r w:rsidRPr="00205E56">
        <w:rPr>
          <w:rFonts w:ascii="Arial" w:hAnsi="Arial" w:cs="Arial"/>
          <w:color w:val="auto"/>
          <w:sz w:val="22"/>
          <w:szCs w:val="22"/>
        </w:rPr>
        <w:t xml:space="preserve">32 through 36 weeks for the prevention of LRTD and severe LRTD caused by RSV in infants from birth through </w:t>
      </w:r>
      <w:r w:rsidR="00523813">
        <w:rPr>
          <w:rFonts w:ascii="Arial" w:hAnsi="Arial" w:cs="Arial"/>
          <w:color w:val="auto"/>
          <w:sz w:val="22"/>
          <w:szCs w:val="22"/>
        </w:rPr>
        <w:t>six</w:t>
      </w:r>
      <w:r w:rsidRPr="00205E56">
        <w:rPr>
          <w:rFonts w:ascii="Arial" w:hAnsi="Arial" w:cs="Arial"/>
          <w:color w:val="auto"/>
          <w:sz w:val="22"/>
          <w:szCs w:val="22"/>
        </w:rPr>
        <w:t xml:space="preserve"> months</w:t>
      </w:r>
      <w:r w:rsidR="00767D6F">
        <w:rPr>
          <w:rFonts w:ascii="Arial" w:hAnsi="Arial" w:cs="Arial"/>
          <w:color w:val="auto"/>
          <w:sz w:val="22"/>
          <w:szCs w:val="22"/>
        </w:rPr>
        <w:t>.</w:t>
      </w:r>
      <w:r w:rsidRPr="00205E56">
        <w:rPr>
          <w:rFonts w:ascii="Arial" w:hAnsi="Arial" w:cs="Arial"/>
          <w:color w:val="auto"/>
          <w:sz w:val="22"/>
          <w:szCs w:val="22"/>
        </w:rPr>
        <w:t xml:space="preserve"> </w:t>
      </w:r>
      <w:r w:rsidRPr="00205E56">
        <w:rPr>
          <w:rFonts w:ascii="Arial" w:hAnsi="Arial" w:cs="Arial"/>
          <w:bCs/>
          <w:color w:val="auto"/>
          <w:sz w:val="22"/>
          <w:szCs w:val="22"/>
        </w:rPr>
        <w:t>Abrysvo</w:t>
      </w:r>
      <w:r w:rsidRPr="00205E56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Pr="00205E56">
        <w:rPr>
          <w:rFonts w:ascii="Arial" w:hAnsi="Arial" w:cs="Arial"/>
          <w:bCs/>
          <w:color w:val="auto"/>
          <w:sz w:val="22"/>
          <w:szCs w:val="22"/>
        </w:rPr>
        <w:t xml:space="preserve"> will be covered without PA for </w:t>
      </w:r>
      <w:r w:rsidR="000B4487">
        <w:rPr>
          <w:rFonts w:ascii="Arial" w:hAnsi="Arial" w:cs="Arial"/>
          <w:bCs/>
          <w:color w:val="auto"/>
          <w:sz w:val="22"/>
          <w:szCs w:val="22"/>
        </w:rPr>
        <w:t xml:space="preserve">MassHealth </w:t>
      </w:r>
      <w:r w:rsidRPr="00205E56">
        <w:rPr>
          <w:rFonts w:ascii="Arial" w:hAnsi="Arial" w:cs="Arial"/>
          <w:bCs/>
          <w:color w:val="auto"/>
          <w:sz w:val="22"/>
          <w:szCs w:val="22"/>
        </w:rPr>
        <w:t xml:space="preserve">members 60 </w:t>
      </w:r>
      <w:r w:rsidR="00767D6F">
        <w:rPr>
          <w:rFonts w:ascii="Arial" w:hAnsi="Arial" w:cs="Arial"/>
          <w:bCs/>
          <w:color w:val="auto"/>
          <w:sz w:val="22"/>
          <w:szCs w:val="22"/>
        </w:rPr>
        <w:t>or older</w:t>
      </w:r>
      <w:r w:rsidRPr="00205E56">
        <w:rPr>
          <w:rFonts w:ascii="Arial" w:hAnsi="Arial" w:cs="Arial"/>
          <w:color w:val="auto"/>
          <w:sz w:val="22"/>
          <w:szCs w:val="22"/>
        </w:rPr>
        <w:t xml:space="preserve">; however, </w:t>
      </w:r>
      <w:r w:rsidR="00767D6F">
        <w:rPr>
          <w:rFonts w:ascii="Arial" w:hAnsi="Arial" w:cs="Arial"/>
          <w:color w:val="auto"/>
          <w:sz w:val="22"/>
          <w:szCs w:val="22"/>
        </w:rPr>
        <w:t xml:space="preserve">it </w:t>
      </w:r>
      <w:r w:rsidRPr="00205E56">
        <w:rPr>
          <w:rFonts w:ascii="Arial" w:hAnsi="Arial" w:cs="Arial"/>
          <w:color w:val="auto"/>
          <w:sz w:val="22"/>
          <w:szCs w:val="22"/>
        </w:rPr>
        <w:t xml:space="preserve">will require PA for pharmacy claims for members </w:t>
      </w:r>
      <w:r w:rsidR="00767D6F">
        <w:rPr>
          <w:rFonts w:ascii="Arial" w:hAnsi="Arial" w:cs="Arial"/>
          <w:color w:val="auto"/>
          <w:sz w:val="22"/>
          <w:szCs w:val="22"/>
        </w:rPr>
        <w:t xml:space="preserve">younger than </w:t>
      </w:r>
      <w:r w:rsidRPr="00205E56">
        <w:rPr>
          <w:rFonts w:ascii="Arial" w:hAnsi="Arial" w:cs="Arial"/>
          <w:color w:val="auto"/>
          <w:sz w:val="22"/>
          <w:szCs w:val="22"/>
        </w:rPr>
        <w:t xml:space="preserve">60, including </w:t>
      </w:r>
      <w:r w:rsidR="000B4487">
        <w:rPr>
          <w:rFonts w:ascii="Arial" w:hAnsi="Arial" w:cs="Arial"/>
          <w:color w:val="auto"/>
          <w:sz w:val="22"/>
          <w:szCs w:val="22"/>
        </w:rPr>
        <w:t xml:space="preserve">those who are </w:t>
      </w:r>
      <w:r w:rsidRPr="00205E56">
        <w:rPr>
          <w:rFonts w:ascii="Arial" w:hAnsi="Arial" w:cs="Arial"/>
          <w:color w:val="auto"/>
          <w:sz w:val="22"/>
          <w:szCs w:val="22"/>
        </w:rPr>
        <w:t xml:space="preserve">pregnant. </w:t>
      </w:r>
      <w:r w:rsidRPr="00205E56">
        <w:rPr>
          <w:rFonts w:ascii="Arial" w:hAnsi="Arial" w:cs="Arial"/>
          <w:bCs/>
          <w:color w:val="auto"/>
          <w:sz w:val="22"/>
          <w:szCs w:val="22"/>
        </w:rPr>
        <w:t>Abrysvo</w:t>
      </w:r>
      <w:r w:rsidRPr="00205E56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Pr="00205E56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205E56">
        <w:rPr>
          <w:rFonts w:ascii="Arial" w:hAnsi="Arial" w:cs="Arial"/>
          <w:color w:val="auto"/>
          <w:sz w:val="22"/>
          <w:szCs w:val="22"/>
        </w:rPr>
        <w:t>does not</w:t>
      </w:r>
      <w:r w:rsidRPr="00205E56">
        <w:rPr>
          <w:rFonts w:ascii="Arial" w:hAnsi="Arial" w:cs="Arial"/>
          <w:bCs/>
          <w:color w:val="auto"/>
          <w:sz w:val="22"/>
          <w:szCs w:val="22"/>
        </w:rPr>
        <w:t xml:space="preserve"> require PA through the medical benefit due to its</w:t>
      </w:r>
      <w:r w:rsidR="00875B78">
        <w:rPr>
          <w:rFonts w:ascii="Arial" w:hAnsi="Arial" w:cs="Arial"/>
          <w:bCs/>
          <w:color w:val="auto"/>
          <w:sz w:val="22"/>
          <w:szCs w:val="22"/>
        </w:rPr>
        <w:t xml:space="preserve"> indication for use by pregnant people.</w:t>
      </w:r>
      <w:r w:rsidRPr="00205E56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205E56">
        <w:rPr>
          <w:rFonts w:ascii="Arial" w:hAnsi="Arial" w:cs="Arial"/>
          <w:color w:val="auto"/>
          <w:sz w:val="22"/>
          <w:szCs w:val="22"/>
        </w:rPr>
        <w:t>Providers can bill for Abrysvo</w:t>
      </w:r>
      <w:r w:rsidRPr="00205E56">
        <w:rPr>
          <w:rFonts w:ascii="Arial" w:hAnsi="Arial" w:cs="Arial"/>
          <w:color w:val="auto"/>
          <w:sz w:val="22"/>
          <w:szCs w:val="22"/>
          <w:vertAlign w:val="superscript"/>
        </w:rPr>
        <w:t>®</w:t>
      </w:r>
      <w:r w:rsidRPr="00205E56">
        <w:rPr>
          <w:rFonts w:ascii="Arial" w:hAnsi="Arial" w:cs="Arial"/>
          <w:color w:val="auto"/>
          <w:sz w:val="22"/>
          <w:szCs w:val="22"/>
        </w:rPr>
        <w:t xml:space="preserve"> using procedure code 90678. </w:t>
      </w:r>
      <w:r w:rsidR="001C1FAD">
        <w:rPr>
          <w:rFonts w:ascii="Arial" w:hAnsi="Arial" w:cs="Arial"/>
          <w:color w:val="auto"/>
          <w:sz w:val="22"/>
          <w:szCs w:val="22"/>
        </w:rPr>
        <w:t xml:space="preserve">Providers should </w:t>
      </w:r>
      <w:r w:rsidRPr="00205E56">
        <w:rPr>
          <w:rFonts w:ascii="Arial" w:hAnsi="Arial" w:cs="Arial"/>
          <w:color w:val="auto"/>
          <w:sz w:val="22"/>
          <w:szCs w:val="22"/>
        </w:rPr>
        <w:t>refer to appropriate provider manuals for more information.</w:t>
      </w:r>
    </w:p>
    <w:p w14:paraId="5494C884" w14:textId="77777777" w:rsidR="00870CBF" w:rsidRPr="008A4091" w:rsidRDefault="00870CBF" w:rsidP="006B20D5">
      <w:pPr>
        <w:spacing w:line="276" w:lineRule="auto"/>
        <w:rPr>
          <w:color w:val="auto"/>
          <w:sz w:val="22"/>
          <w:szCs w:val="22"/>
        </w:rPr>
      </w:pPr>
    </w:p>
    <w:p w14:paraId="725E817B" w14:textId="23A80506" w:rsidR="00205E56" w:rsidRPr="00205E56" w:rsidRDefault="00870CBF" w:rsidP="00982128">
      <w:pPr>
        <w:pStyle w:val="Heading2"/>
        <w:framePr w:hSpace="0" w:wrap="auto" w:vAnchor="margin" w:yAlign="inline"/>
        <w:spacing w:before="0" w:line="276" w:lineRule="auto"/>
      </w:pPr>
      <w:r w:rsidRPr="00205E56">
        <w:rPr>
          <w:rFonts w:ascii="Arial" w:hAnsi="Arial" w:cs="Arial"/>
          <w:sz w:val="22"/>
          <w:szCs w:val="22"/>
        </w:rPr>
        <w:t>Arexvy</w:t>
      </w:r>
      <w:r w:rsidRPr="00205E56">
        <w:rPr>
          <w:rFonts w:ascii="Arial" w:hAnsi="Arial" w:cs="Arial"/>
          <w:sz w:val="22"/>
          <w:szCs w:val="22"/>
          <w:vertAlign w:val="superscript"/>
        </w:rPr>
        <w:t>®</w:t>
      </w:r>
      <w:r w:rsidRPr="00205E56">
        <w:rPr>
          <w:rFonts w:ascii="Arial" w:hAnsi="Arial" w:cs="Arial"/>
          <w:sz w:val="22"/>
          <w:szCs w:val="22"/>
        </w:rPr>
        <w:t xml:space="preserve"> (RSV vaccine) Label Expansion</w:t>
      </w:r>
    </w:p>
    <w:p w14:paraId="47DD517A" w14:textId="5F43CEFC" w:rsidR="00870CBF" w:rsidRPr="00205E56" w:rsidRDefault="00870CBF" w:rsidP="006B20D5">
      <w:pPr>
        <w:spacing w:line="276" w:lineRule="auto"/>
        <w:rPr>
          <w:rFonts w:ascii="Arial" w:hAnsi="Arial" w:cs="Arial"/>
          <w:bCs/>
          <w:color w:val="auto"/>
          <w:sz w:val="22"/>
          <w:szCs w:val="22"/>
        </w:rPr>
      </w:pPr>
      <w:r w:rsidRPr="00205E56">
        <w:rPr>
          <w:rFonts w:ascii="Arial" w:hAnsi="Arial" w:cs="Arial"/>
          <w:color w:val="auto"/>
          <w:sz w:val="22"/>
          <w:szCs w:val="22"/>
        </w:rPr>
        <w:t>Arexvy</w:t>
      </w:r>
      <w:r w:rsidRPr="00205E56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Pr="00205E56">
        <w:rPr>
          <w:rFonts w:ascii="Arial" w:hAnsi="Arial" w:cs="Arial"/>
          <w:color w:val="auto"/>
          <w:sz w:val="22"/>
          <w:szCs w:val="22"/>
        </w:rPr>
        <w:t xml:space="preserve"> was FDA-approved on May 3, 2023, for active immunization for the prevention of LRTD caused by RSV in </w:t>
      </w:r>
      <w:r w:rsidRPr="00875B78">
        <w:rPr>
          <w:rFonts w:ascii="Arial" w:hAnsi="Arial" w:cs="Arial"/>
          <w:color w:val="auto"/>
          <w:sz w:val="22"/>
          <w:szCs w:val="22"/>
        </w:rPr>
        <w:t xml:space="preserve">individuals 60 </w:t>
      </w:r>
      <w:r w:rsidR="001C1FAD" w:rsidRPr="00875B78">
        <w:rPr>
          <w:rFonts w:ascii="Arial" w:hAnsi="Arial" w:cs="Arial"/>
          <w:color w:val="auto"/>
          <w:sz w:val="22"/>
          <w:szCs w:val="22"/>
        </w:rPr>
        <w:t>or older</w:t>
      </w:r>
      <w:r w:rsidRPr="00875B78">
        <w:rPr>
          <w:rFonts w:ascii="Arial" w:hAnsi="Arial" w:cs="Arial"/>
          <w:color w:val="auto"/>
          <w:sz w:val="22"/>
          <w:szCs w:val="22"/>
        </w:rPr>
        <w:t>. On June 10, 2024, Arexvy</w:t>
      </w:r>
      <w:r w:rsidRPr="00875B78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Pr="00875B78">
        <w:rPr>
          <w:rFonts w:ascii="Arial" w:hAnsi="Arial" w:cs="Arial"/>
          <w:color w:val="auto"/>
          <w:sz w:val="22"/>
          <w:szCs w:val="22"/>
        </w:rPr>
        <w:t xml:space="preserve"> received an expanded indication to include individuals 50 through 59 who are at increased risk for LRTD caused by RSV. </w:t>
      </w:r>
      <w:r w:rsidRPr="00875B78">
        <w:rPr>
          <w:rFonts w:ascii="Arial" w:hAnsi="Arial" w:cs="Arial"/>
          <w:bCs/>
          <w:color w:val="auto"/>
          <w:sz w:val="22"/>
          <w:szCs w:val="22"/>
        </w:rPr>
        <w:t>Effective October 1, 2024</w:t>
      </w:r>
      <w:r w:rsidR="001C1FAD" w:rsidRPr="00875B78">
        <w:rPr>
          <w:rFonts w:ascii="Arial" w:hAnsi="Arial" w:cs="Arial"/>
          <w:bCs/>
          <w:color w:val="auto"/>
          <w:sz w:val="22"/>
          <w:szCs w:val="22"/>
        </w:rPr>
        <w:t>,</w:t>
      </w:r>
      <w:r w:rsidRPr="00875B78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0B4487" w:rsidRPr="00875B78">
        <w:rPr>
          <w:rFonts w:ascii="Arial" w:hAnsi="Arial" w:cs="Arial"/>
          <w:bCs/>
          <w:color w:val="auto"/>
          <w:sz w:val="22"/>
          <w:szCs w:val="22"/>
        </w:rPr>
        <w:t xml:space="preserve">MassHealth covers </w:t>
      </w:r>
      <w:r w:rsidRPr="00875B78">
        <w:rPr>
          <w:rFonts w:ascii="Arial" w:hAnsi="Arial" w:cs="Arial"/>
          <w:bCs/>
          <w:color w:val="auto"/>
          <w:sz w:val="22"/>
          <w:szCs w:val="22"/>
        </w:rPr>
        <w:t>Arexvy</w:t>
      </w:r>
      <w:r w:rsidRPr="00875B78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Pr="00875B78">
        <w:rPr>
          <w:rFonts w:ascii="Arial" w:hAnsi="Arial" w:cs="Arial"/>
          <w:bCs/>
          <w:color w:val="auto"/>
          <w:sz w:val="22"/>
          <w:szCs w:val="22"/>
        </w:rPr>
        <w:t xml:space="preserve"> without PA for members 50 </w:t>
      </w:r>
      <w:r w:rsidR="001C1FAD" w:rsidRPr="00875B78">
        <w:rPr>
          <w:rFonts w:ascii="Arial" w:hAnsi="Arial" w:cs="Arial"/>
          <w:bCs/>
          <w:color w:val="auto"/>
          <w:sz w:val="22"/>
          <w:szCs w:val="22"/>
        </w:rPr>
        <w:t>or older</w:t>
      </w:r>
      <w:r w:rsidRPr="00875B78">
        <w:rPr>
          <w:rFonts w:ascii="Arial" w:hAnsi="Arial" w:cs="Arial"/>
          <w:bCs/>
          <w:color w:val="auto"/>
          <w:sz w:val="22"/>
          <w:szCs w:val="22"/>
        </w:rPr>
        <w:t>.</w:t>
      </w:r>
      <w:r w:rsidRPr="00205E56">
        <w:rPr>
          <w:rFonts w:ascii="Arial" w:hAnsi="Arial" w:cs="Arial"/>
          <w:bCs/>
          <w:color w:val="auto"/>
          <w:sz w:val="22"/>
          <w:szCs w:val="22"/>
        </w:rPr>
        <w:t xml:space="preserve"> </w:t>
      </w:r>
    </w:p>
    <w:p w14:paraId="0495E000" w14:textId="77777777" w:rsidR="00205E56" w:rsidRPr="008A4091" w:rsidRDefault="00205E56" w:rsidP="006B20D5">
      <w:pPr>
        <w:spacing w:line="276" w:lineRule="auto"/>
        <w:rPr>
          <w:color w:val="auto"/>
          <w:sz w:val="22"/>
          <w:szCs w:val="22"/>
        </w:rPr>
      </w:pPr>
    </w:p>
    <w:p w14:paraId="3399E721" w14:textId="7FD58554" w:rsidR="00205E56" w:rsidRPr="00205E56" w:rsidRDefault="00870CBF" w:rsidP="00982128">
      <w:pPr>
        <w:pStyle w:val="Heading2"/>
        <w:framePr w:hSpace="0" w:wrap="auto" w:vAnchor="margin" w:yAlign="inline"/>
        <w:spacing w:before="0" w:line="276" w:lineRule="auto"/>
      </w:pPr>
      <w:r w:rsidRPr="00205E56">
        <w:rPr>
          <w:rFonts w:ascii="Arial" w:hAnsi="Arial" w:cs="Arial"/>
          <w:sz w:val="22"/>
          <w:szCs w:val="22"/>
        </w:rPr>
        <w:t>mRESVIA® (RSV vaccine suspension) FDA-Approval</w:t>
      </w:r>
    </w:p>
    <w:p w14:paraId="5A16F56E" w14:textId="04FFAC44" w:rsidR="00870CBF" w:rsidRPr="00205E56" w:rsidRDefault="00870CBF" w:rsidP="006B20D5">
      <w:pPr>
        <w:spacing w:line="276" w:lineRule="auto"/>
        <w:ind w:right="83"/>
        <w:rPr>
          <w:rFonts w:ascii="Arial" w:hAnsi="Arial" w:cs="Arial"/>
          <w:bCs/>
          <w:color w:val="auto"/>
          <w:sz w:val="22"/>
          <w:szCs w:val="22"/>
        </w:rPr>
      </w:pPr>
      <w:r w:rsidRPr="00205E56">
        <w:rPr>
          <w:rFonts w:ascii="Arial" w:hAnsi="Arial" w:cs="Arial"/>
          <w:color w:val="auto"/>
          <w:sz w:val="22"/>
          <w:szCs w:val="22"/>
        </w:rPr>
        <w:t>mRESVIA</w:t>
      </w:r>
      <w:r w:rsidRPr="00205E56">
        <w:rPr>
          <w:rFonts w:ascii="Arial" w:hAnsi="Arial" w:cs="Arial"/>
          <w:color w:val="auto"/>
          <w:sz w:val="22"/>
          <w:szCs w:val="22"/>
          <w:vertAlign w:val="superscript"/>
        </w:rPr>
        <w:t>®</w:t>
      </w:r>
      <w:r w:rsidRPr="00205E56">
        <w:rPr>
          <w:rFonts w:ascii="Arial" w:hAnsi="Arial" w:cs="Arial"/>
          <w:color w:val="auto"/>
          <w:sz w:val="22"/>
          <w:szCs w:val="22"/>
        </w:rPr>
        <w:t xml:space="preserve"> is a</w:t>
      </w:r>
      <w:r w:rsidR="001C1FAD">
        <w:rPr>
          <w:rFonts w:ascii="Arial" w:hAnsi="Arial" w:cs="Arial"/>
          <w:color w:val="auto"/>
          <w:sz w:val="22"/>
          <w:szCs w:val="22"/>
        </w:rPr>
        <w:t xml:space="preserve"> ribonucleic acid</w:t>
      </w:r>
      <w:r w:rsidRPr="00205E56">
        <w:rPr>
          <w:rFonts w:ascii="Arial" w:hAnsi="Arial" w:cs="Arial"/>
          <w:color w:val="auto"/>
          <w:sz w:val="22"/>
          <w:szCs w:val="22"/>
        </w:rPr>
        <w:t xml:space="preserve"> </w:t>
      </w:r>
      <w:r w:rsidR="00915088">
        <w:rPr>
          <w:rFonts w:ascii="Arial" w:hAnsi="Arial" w:cs="Arial"/>
          <w:color w:val="auto"/>
          <w:sz w:val="22"/>
          <w:szCs w:val="22"/>
        </w:rPr>
        <w:t>(</w:t>
      </w:r>
      <w:r w:rsidRPr="00205E56">
        <w:rPr>
          <w:rFonts w:ascii="Arial" w:hAnsi="Arial" w:cs="Arial"/>
          <w:color w:val="auto"/>
          <w:sz w:val="22"/>
          <w:szCs w:val="22"/>
        </w:rPr>
        <w:t>RNA</w:t>
      </w:r>
      <w:r w:rsidR="00915088">
        <w:rPr>
          <w:rFonts w:ascii="Arial" w:hAnsi="Arial" w:cs="Arial"/>
          <w:color w:val="auto"/>
          <w:sz w:val="22"/>
          <w:szCs w:val="22"/>
        </w:rPr>
        <w:t>)</w:t>
      </w:r>
      <w:r w:rsidRPr="00205E56">
        <w:rPr>
          <w:rFonts w:ascii="Arial" w:hAnsi="Arial" w:cs="Arial"/>
          <w:color w:val="auto"/>
          <w:sz w:val="22"/>
          <w:szCs w:val="22"/>
        </w:rPr>
        <w:t xml:space="preserve">-based RSV vaccine that was FDA-approved on May 31, 2024, for the active immunization for the prevention of LRTD caused by RSV in individuals 60 </w:t>
      </w:r>
      <w:r w:rsidR="00915088">
        <w:rPr>
          <w:rFonts w:ascii="Arial" w:hAnsi="Arial" w:cs="Arial"/>
          <w:color w:val="auto"/>
          <w:sz w:val="22"/>
          <w:szCs w:val="22"/>
        </w:rPr>
        <w:t>or older</w:t>
      </w:r>
      <w:r w:rsidRPr="00205E56">
        <w:rPr>
          <w:rFonts w:ascii="Arial" w:hAnsi="Arial" w:cs="Arial"/>
          <w:color w:val="auto"/>
          <w:sz w:val="22"/>
          <w:szCs w:val="22"/>
        </w:rPr>
        <w:t>.</w:t>
      </w:r>
      <w:r w:rsidRPr="00205E56">
        <w:rPr>
          <w:rFonts w:ascii="Arial" w:hAnsi="Arial" w:cs="Arial"/>
          <w:bCs/>
          <w:color w:val="auto"/>
          <w:sz w:val="22"/>
          <w:szCs w:val="22"/>
        </w:rPr>
        <w:t xml:space="preserve"> mRESVIA</w:t>
      </w:r>
      <w:r w:rsidRPr="00205E56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Pr="00205E56">
        <w:rPr>
          <w:rFonts w:ascii="Arial" w:hAnsi="Arial" w:cs="Arial"/>
          <w:bCs/>
          <w:color w:val="auto"/>
          <w:sz w:val="22"/>
          <w:szCs w:val="22"/>
        </w:rPr>
        <w:t xml:space="preserve"> will be covered </w:t>
      </w:r>
      <w:r w:rsidR="00612B60" w:rsidRPr="00205E56">
        <w:rPr>
          <w:rFonts w:ascii="Arial" w:hAnsi="Arial" w:cs="Arial"/>
          <w:bCs/>
          <w:color w:val="auto"/>
          <w:sz w:val="22"/>
          <w:szCs w:val="22"/>
        </w:rPr>
        <w:t xml:space="preserve">without PA </w:t>
      </w:r>
      <w:r w:rsidRPr="00205E56">
        <w:rPr>
          <w:rFonts w:ascii="Arial" w:hAnsi="Arial" w:cs="Arial"/>
          <w:bCs/>
          <w:color w:val="auto"/>
          <w:sz w:val="22"/>
          <w:szCs w:val="22"/>
        </w:rPr>
        <w:t xml:space="preserve">for MassHealth members </w:t>
      </w:r>
      <w:r w:rsidR="00915088" w:rsidRPr="00205E56">
        <w:rPr>
          <w:rFonts w:ascii="Arial" w:hAnsi="Arial" w:cs="Arial"/>
          <w:color w:val="auto"/>
          <w:sz w:val="22"/>
          <w:szCs w:val="22"/>
        </w:rPr>
        <w:t xml:space="preserve">60 </w:t>
      </w:r>
      <w:r w:rsidR="00915088">
        <w:rPr>
          <w:rFonts w:ascii="Arial" w:hAnsi="Arial" w:cs="Arial"/>
          <w:color w:val="auto"/>
          <w:sz w:val="22"/>
          <w:szCs w:val="22"/>
        </w:rPr>
        <w:t>or older</w:t>
      </w:r>
      <w:r w:rsidR="00915088">
        <w:rPr>
          <w:rFonts w:ascii="Arial" w:hAnsi="Arial" w:cs="Arial"/>
          <w:bCs/>
          <w:color w:val="auto"/>
          <w:sz w:val="22"/>
          <w:szCs w:val="22"/>
        </w:rPr>
        <w:t>,</w:t>
      </w:r>
      <w:r w:rsidRPr="00205E56">
        <w:rPr>
          <w:rFonts w:ascii="Arial" w:hAnsi="Arial" w:cs="Arial"/>
          <w:bCs/>
          <w:color w:val="auto"/>
          <w:sz w:val="22"/>
          <w:szCs w:val="22"/>
        </w:rPr>
        <w:t xml:space="preserve"> starting October 1, 2024.</w:t>
      </w:r>
      <w:r w:rsidR="00915088">
        <w:rPr>
          <w:rFonts w:ascii="Arial" w:hAnsi="Arial" w:cs="Arial"/>
          <w:bCs/>
          <w:color w:val="auto"/>
          <w:sz w:val="22"/>
          <w:szCs w:val="22"/>
        </w:rPr>
        <w:t xml:space="preserve"> </w:t>
      </w:r>
    </w:p>
    <w:p w14:paraId="0B0A4621" w14:textId="3DD25860" w:rsidR="00B13074" w:rsidRPr="00205E56" w:rsidRDefault="00B13074" w:rsidP="006B20D5">
      <w:pPr>
        <w:spacing w:line="276" w:lineRule="auto"/>
        <w:rPr>
          <w:rFonts w:ascii="Arial" w:hAnsi="Arial" w:cs="Arial"/>
          <w:bCs/>
          <w:color w:val="auto"/>
          <w:sz w:val="22"/>
          <w:szCs w:val="22"/>
        </w:rPr>
      </w:pPr>
    </w:p>
    <w:p w14:paraId="0F9D7851" w14:textId="3FBA17C9" w:rsidR="00870CBF" w:rsidRPr="00982128" w:rsidRDefault="00870CBF" w:rsidP="006B20D5">
      <w:pPr>
        <w:spacing w:line="276" w:lineRule="auto"/>
        <w:ind w:right="83"/>
        <w:rPr>
          <w:rFonts w:ascii="Arial" w:hAnsi="Arial" w:cs="Arial"/>
          <w:b/>
          <w:bCs/>
          <w:color w:val="auto"/>
          <w:sz w:val="22"/>
          <w:szCs w:val="22"/>
        </w:rPr>
      </w:pPr>
      <w:r w:rsidRPr="00982128">
        <w:rPr>
          <w:rFonts w:ascii="Arial" w:hAnsi="Arial" w:cs="Arial"/>
          <w:b/>
          <w:bCs/>
          <w:color w:val="auto"/>
          <w:sz w:val="22"/>
          <w:szCs w:val="22"/>
        </w:rPr>
        <w:t>References</w:t>
      </w:r>
    </w:p>
    <w:p w14:paraId="334EA55D" w14:textId="79CAA6A1" w:rsidR="00571C6C" w:rsidRPr="00205E56" w:rsidRDefault="00870CBF" w:rsidP="006B20D5">
      <w:pPr>
        <w:spacing w:line="276" w:lineRule="auto"/>
        <w:rPr>
          <w:rStyle w:val="Hyperlink"/>
          <w:rFonts w:ascii="Arial" w:eastAsiaTheme="majorEastAsia" w:hAnsi="Arial" w:cs="Arial"/>
          <w:color w:val="auto"/>
          <w:sz w:val="22"/>
          <w:szCs w:val="22"/>
        </w:rPr>
      </w:pPr>
      <w:r w:rsidRPr="00205E56">
        <w:rPr>
          <w:rFonts w:ascii="Arial" w:hAnsi="Arial" w:cs="Arial"/>
          <w:sz w:val="22"/>
          <w:szCs w:val="22"/>
        </w:rPr>
        <w:t>CDC. ACIP Presentation Slides: June 26</w:t>
      </w:r>
      <w:r w:rsidR="00CE4848">
        <w:rPr>
          <w:rFonts w:ascii="Arial" w:hAnsi="Arial" w:cs="Arial"/>
          <w:sz w:val="22"/>
          <w:szCs w:val="22"/>
        </w:rPr>
        <w:t>–</w:t>
      </w:r>
      <w:r w:rsidRPr="00205E56">
        <w:rPr>
          <w:rFonts w:ascii="Arial" w:hAnsi="Arial" w:cs="Arial"/>
          <w:sz w:val="22"/>
          <w:szCs w:val="22"/>
        </w:rPr>
        <w:t xml:space="preserve">28, 2024. Accessed September 10, 2024. </w:t>
      </w:r>
      <w:hyperlink r:id="rId13" w:history="1">
        <w:r w:rsidRPr="00653EAC">
          <w:rPr>
            <w:rStyle w:val="Hyperlink"/>
            <w:rFonts w:ascii="Arial" w:eastAsiaTheme="majorEastAsia" w:hAnsi="Arial" w:cs="Arial"/>
            <w:sz w:val="22"/>
            <w:szCs w:val="22"/>
          </w:rPr>
          <w:t>https://www.cdc.gov/vaccines/acip/meet</w:t>
        </w:r>
        <w:r w:rsidRPr="00653EAC">
          <w:rPr>
            <w:rStyle w:val="Hyperlink"/>
            <w:rFonts w:ascii="Arial" w:eastAsiaTheme="majorEastAsia" w:hAnsi="Arial" w:cs="Arial"/>
            <w:sz w:val="22"/>
            <w:szCs w:val="22"/>
          </w:rPr>
          <w:t>i</w:t>
        </w:r>
        <w:r w:rsidRPr="00653EAC">
          <w:rPr>
            <w:rStyle w:val="Hyperlink"/>
            <w:rFonts w:ascii="Arial" w:eastAsiaTheme="majorEastAsia" w:hAnsi="Arial" w:cs="Arial"/>
            <w:sz w:val="22"/>
            <w:szCs w:val="22"/>
          </w:rPr>
          <w:t>ngs/sli</w:t>
        </w:r>
        <w:r w:rsidRPr="00653EAC">
          <w:rPr>
            <w:rStyle w:val="Hyperlink"/>
            <w:rFonts w:ascii="Arial" w:eastAsiaTheme="majorEastAsia" w:hAnsi="Arial" w:cs="Arial"/>
            <w:sz w:val="22"/>
            <w:szCs w:val="22"/>
          </w:rPr>
          <w:t>d</w:t>
        </w:r>
        <w:r w:rsidRPr="00653EAC">
          <w:rPr>
            <w:rStyle w:val="Hyperlink"/>
            <w:rFonts w:ascii="Arial" w:eastAsiaTheme="majorEastAsia" w:hAnsi="Arial" w:cs="Arial"/>
            <w:sz w:val="22"/>
            <w:szCs w:val="22"/>
          </w:rPr>
          <w:t>es-2024-06-26-28.html</w:t>
        </w:r>
      </w:hyperlink>
    </w:p>
    <w:p w14:paraId="55E50C22" w14:textId="77777777" w:rsidR="00571C6C" w:rsidRPr="00205E56" w:rsidRDefault="00571C6C" w:rsidP="006B20D5">
      <w:pPr>
        <w:spacing w:line="276" w:lineRule="auto"/>
        <w:rPr>
          <w:rStyle w:val="Hyperlink"/>
          <w:rFonts w:ascii="Arial" w:eastAsiaTheme="majorEastAsia" w:hAnsi="Arial" w:cs="Arial"/>
          <w:color w:val="auto"/>
          <w:sz w:val="22"/>
          <w:szCs w:val="22"/>
        </w:rPr>
      </w:pPr>
    </w:p>
    <w:bookmarkEnd w:id="0"/>
    <w:p w14:paraId="2E7D2B04" w14:textId="77777777" w:rsidR="00571C6C" w:rsidRDefault="00571C6C" w:rsidP="007E77D7">
      <w:pPr>
        <w:spacing w:before="2520" w:line="276" w:lineRule="auto"/>
        <w:jc w:val="center"/>
        <w:rPr>
          <w:rFonts w:ascii="Arial" w:hAnsi="Arial" w:cs="Arial"/>
        </w:rPr>
      </w:pPr>
    </w:p>
    <w:p w14:paraId="677AEDCF" w14:textId="77777777" w:rsidR="00571C6C" w:rsidRDefault="00571C6C" w:rsidP="006B20D5">
      <w:pPr>
        <w:spacing w:line="276" w:lineRule="auto"/>
        <w:jc w:val="center"/>
        <w:rPr>
          <w:rFonts w:ascii="Arial" w:hAnsi="Arial" w:cs="Arial"/>
        </w:rPr>
      </w:pPr>
    </w:p>
    <w:p w14:paraId="7B099E8F" w14:textId="12E7F3A6" w:rsidR="00AE483E" w:rsidRPr="0004685E" w:rsidRDefault="006558AB" w:rsidP="006B20D5">
      <w:pPr>
        <w:spacing w:line="276" w:lineRule="auto"/>
        <w:jc w:val="center"/>
        <w:rPr>
          <w:rFonts w:ascii="Arial" w:hAnsi="Arial" w:cs="Arial"/>
        </w:rPr>
      </w:pPr>
      <w:r w:rsidRPr="0004685E">
        <w:rPr>
          <w:rFonts w:ascii="Arial" w:hAnsi="Arial" w:cs="Arial"/>
        </w:rPr>
        <w:t>The Prescriber e-Letter is an update designed to enhance the transparency and efficiency of the MassHealth</w:t>
      </w:r>
      <w:r w:rsidR="0004685E" w:rsidRPr="0004685E">
        <w:rPr>
          <w:rFonts w:ascii="Arial" w:hAnsi="Arial" w:cs="Arial"/>
        </w:rPr>
        <w:t xml:space="preserve"> </w:t>
      </w:r>
      <w:r w:rsidRPr="0004685E">
        <w:rPr>
          <w:rFonts w:ascii="Arial" w:hAnsi="Arial" w:cs="Arial"/>
        </w:rPr>
        <w:t>drug prior-authorization (PA) process and the MassHealth Drug List. Each issue highlights key clinical</w:t>
      </w:r>
      <w:r w:rsidR="0004685E" w:rsidRPr="0004685E">
        <w:rPr>
          <w:rFonts w:ascii="Arial" w:hAnsi="Arial" w:cs="Arial"/>
        </w:rPr>
        <w:t xml:space="preserve"> </w:t>
      </w:r>
      <w:r w:rsidRPr="0004685E">
        <w:rPr>
          <w:rFonts w:ascii="Arial" w:hAnsi="Arial" w:cs="Arial"/>
        </w:rPr>
        <w:t>information and updates to the MassHealth Drug List. The Prescriber E-Letter was prepared by the</w:t>
      </w:r>
      <w:r w:rsidR="0004685E" w:rsidRPr="0004685E">
        <w:rPr>
          <w:rFonts w:ascii="Arial" w:hAnsi="Arial" w:cs="Arial"/>
        </w:rPr>
        <w:t xml:space="preserve"> </w:t>
      </w:r>
      <w:r w:rsidRPr="0004685E">
        <w:rPr>
          <w:rFonts w:ascii="Arial" w:hAnsi="Arial" w:cs="Arial"/>
        </w:rPr>
        <w:t>MassHealth Drug Utilization Review Program and the MassHealth Pharmacy Program.</w:t>
      </w:r>
    </w:p>
    <w:sectPr w:rsidR="00AE483E" w:rsidRPr="0004685E" w:rsidSect="00870CBF">
      <w:headerReference w:type="default" r:id="rId14"/>
      <w:footerReference w:type="even" r:id="rId15"/>
      <w:footerReference w:type="default" r:id="rId16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EB720" w14:textId="77777777" w:rsidR="00041F7C" w:rsidRDefault="00041F7C">
      <w:r>
        <w:separator/>
      </w:r>
    </w:p>
  </w:endnote>
  <w:endnote w:type="continuationSeparator" w:id="0">
    <w:p w14:paraId="008A27D0" w14:textId="77777777" w:rsidR="00041F7C" w:rsidRDefault="0004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B45AC" w14:textId="4A5C00B5" w:rsidR="005F35CD" w:rsidRPr="005F35CD" w:rsidRDefault="005F35CD" w:rsidP="0004685E">
    <w:r w:rsidRPr="005F35CD">
      <w:t xml:space="preserve">Please send any suggestions or comments to: </w:t>
    </w:r>
    <w:hyperlink r:id="rId1" w:history="1">
      <w:r w:rsidR="00BD7648" w:rsidRPr="0091539A">
        <w:rPr>
          <w:rStyle w:val="Hyperlink"/>
        </w:rPr>
        <w:t>PrescriberELetter@mass.gov</w:t>
      </w:r>
    </w:hyperlink>
    <w:r w:rsidR="00022CA5">
      <w:t>.</w:t>
    </w:r>
  </w:p>
  <w:p w14:paraId="5DB99F32" w14:textId="77777777" w:rsidR="005F35CD" w:rsidRDefault="005F35CD" w:rsidP="001A4C38">
    <w:pPr>
      <w:pStyle w:val="Footer"/>
      <w:jc w:val="center"/>
    </w:pPr>
  </w:p>
  <w:p w14:paraId="4E9537F4" w14:textId="3FAAACA5" w:rsidR="002F4A95" w:rsidRDefault="001A4C38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BC106" w14:textId="27EEA00C" w:rsidR="001E7935" w:rsidRPr="005F35CD" w:rsidRDefault="002F4A95" w:rsidP="005B3507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5</w:t>
    </w:r>
    <w:r>
      <w:rPr>
        <w:noProof/>
      </w:rPr>
      <w:fldChar w:fldCharType="end"/>
    </w:r>
  </w:p>
  <w:p w14:paraId="3A077509" w14:textId="6268F1D9" w:rsidR="002F4A95" w:rsidRDefault="002F4A95" w:rsidP="002F4A9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4E8D7" w14:textId="77777777" w:rsidR="001E7935" w:rsidRDefault="001E7935" w:rsidP="001A4C38">
    <w:pPr>
      <w:pStyle w:val="Footer"/>
      <w:jc w:val="center"/>
    </w:pPr>
  </w:p>
  <w:p w14:paraId="75F544A9" w14:textId="77777777" w:rsidR="001E7935" w:rsidRDefault="001E7935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E9F2D" w14:textId="6D23244B" w:rsidR="001E7935" w:rsidRDefault="001E7935" w:rsidP="001E7935">
    <w:pPr>
      <w:rPr>
        <w:rStyle w:val="Hyperlink"/>
      </w:rPr>
    </w:pPr>
    <w:r w:rsidRPr="005F35CD">
      <w:t xml:space="preserve">Please send any suggestions or comments to: </w:t>
    </w:r>
    <w:hyperlink r:id="rId1" w:history="1">
      <w:r w:rsidRPr="0091539A">
        <w:rPr>
          <w:rStyle w:val="Hyperlink"/>
        </w:rPr>
        <w:t>PrescriberELetter@mass.gov</w:t>
      </w:r>
    </w:hyperlink>
  </w:p>
  <w:p w14:paraId="743515A1" w14:textId="78344CCD" w:rsidR="001E7935" w:rsidRPr="005F35CD" w:rsidRDefault="001E7935" w:rsidP="001E7935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FB027" w14:textId="77777777" w:rsidR="00041F7C" w:rsidRDefault="00041F7C">
      <w:r>
        <w:separator/>
      </w:r>
    </w:p>
  </w:footnote>
  <w:footnote w:type="continuationSeparator" w:id="0">
    <w:p w14:paraId="256EC09B" w14:textId="77777777" w:rsidR="00041F7C" w:rsidRDefault="00041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FE392" w14:textId="251EA6CC" w:rsidR="001A4C38" w:rsidRPr="0046520A" w:rsidRDefault="008967CE" w:rsidP="002D6F34">
    <w:pPr>
      <w:pStyle w:val="msoaccenttext7"/>
      <w:widowControl w:val="0"/>
      <w:pBdr>
        <w:bottom w:val="single" w:sz="8" w:space="1" w:color="auto"/>
      </w:pBdr>
      <w:spacing w:after="220"/>
      <w:ind w:right="173"/>
      <w:rPr>
        <w:rFonts w:ascii="Trebuchet MS" w:hAnsi="Trebuchet MS"/>
        <w:color w:val="auto"/>
        <w:sz w:val="18"/>
        <w:szCs w:val="18"/>
      </w:rPr>
    </w:pPr>
    <w:r w:rsidRPr="008967CE">
      <w:rPr>
        <w:rFonts w:ascii="Trebuchet MS" w:hAnsi="Trebuchet MS"/>
        <w:b/>
        <w:sz w:val="18"/>
        <w:szCs w:val="18"/>
        <w:lang w:val="en"/>
      </w:rPr>
      <w:t xml:space="preserve">Volume </w:t>
    </w:r>
    <w:r w:rsidR="0069031E">
      <w:rPr>
        <w:rFonts w:ascii="Trebuchet MS" w:hAnsi="Trebuchet MS"/>
        <w:b/>
        <w:sz w:val="18"/>
        <w:szCs w:val="18"/>
        <w:lang w:val="en"/>
      </w:rPr>
      <w:t>14</w:t>
    </w:r>
    <w:r w:rsidRPr="008967CE">
      <w:rPr>
        <w:rFonts w:ascii="Trebuchet MS" w:hAnsi="Trebuchet MS"/>
        <w:b/>
        <w:sz w:val="18"/>
        <w:szCs w:val="18"/>
        <w:lang w:val="en"/>
      </w:rPr>
      <w:t xml:space="preserve">, Issue </w:t>
    </w:r>
    <w:r w:rsidR="0027618E">
      <w:rPr>
        <w:rFonts w:ascii="Trebuchet MS" w:hAnsi="Trebuchet MS"/>
        <w:b/>
        <w:sz w:val="18"/>
        <w:szCs w:val="18"/>
        <w:lang w:val="en"/>
      </w:rPr>
      <w:t>5</w:t>
    </w:r>
    <w:r w:rsidR="005345EF">
      <w:rPr>
        <w:rFonts w:ascii="Trebuchet MS" w:hAnsi="Trebuchet MS"/>
        <w:b/>
        <w:sz w:val="18"/>
        <w:szCs w:val="18"/>
        <w:lang w:val="en"/>
      </w:rPr>
      <w:t xml:space="preserve">, </w:t>
    </w:r>
    <w:r w:rsidR="0069031E">
      <w:rPr>
        <w:rFonts w:ascii="Trebuchet MS" w:hAnsi="Trebuchet MS"/>
        <w:b/>
        <w:sz w:val="18"/>
        <w:szCs w:val="18"/>
        <w:lang w:val="en"/>
      </w:rPr>
      <w:t>October 2024</w:t>
    </w:r>
    <w:r w:rsidR="001A4C38" w:rsidRPr="00AA6F20">
      <w:rPr>
        <w:rFonts w:ascii="Trebuchet MS" w:hAnsi="Trebuchet MS"/>
        <w:b/>
        <w:sz w:val="18"/>
        <w:szCs w:val="18"/>
        <w:lang w:val="e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FF730" w14:textId="77777777" w:rsidR="00865AEA" w:rsidRPr="005D506B" w:rsidRDefault="00865AEA" w:rsidP="00865AEA">
    <w:pPr>
      <w:pStyle w:val="Header"/>
      <w:rPr>
        <w:b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0EB68" w14:textId="0E7A3C79" w:rsidR="00A63EE0" w:rsidRPr="0046520A" w:rsidRDefault="00A63EE0" w:rsidP="001B2DED">
    <w:pPr>
      <w:pStyle w:val="msoaccenttext7"/>
      <w:widowControl w:val="0"/>
      <w:pBdr>
        <w:bottom w:val="single" w:sz="8" w:space="1" w:color="auto"/>
      </w:pBdr>
      <w:ind w:right="173"/>
      <w:rPr>
        <w:rFonts w:ascii="Trebuchet MS" w:hAnsi="Trebuchet MS"/>
        <w:color w:val="auto"/>
        <w:sz w:val="18"/>
        <w:szCs w:val="18"/>
      </w:rPr>
    </w:pPr>
    <w:r w:rsidRPr="00AA6F20">
      <w:rPr>
        <w:rFonts w:ascii="Trebuchet MS" w:hAnsi="Trebuchet MS"/>
        <w:b/>
        <w:sz w:val="18"/>
        <w:szCs w:val="18"/>
        <w:lang w:val="en"/>
      </w:rPr>
      <w:t xml:space="preserve">Volume </w:t>
    </w:r>
    <w:r w:rsidR="00901DC2">
      <w:rPr>
        <w:rFonts w:ascii="Trebuchet MS" w:hAnsi="Trebuchet MS"/>
        <w:b/>
        <w:sz w:val="18"/>
        <w:szCs w:val="18"/>
        <w:lang w:val="en"/>
      </w:rPr>
      <w:t>[X]</w:t>
    </w:r>
    <w:r w:rsidRPr="00AA6F20">
      <w:rPr>
        <w:rFonts w:ascii="Trebuchet MS" w:hAnsi="Trebuchet MS"/>
        <w:b/>
        <w:sz w:val="18"/>
        <w:szCs w:val="18"/>
        <w:lang w:val="en"/>
      </w:rPr>
      <w:t xml:space="preserve">, Issue </w:t>
    </w:r>
    <w:r w:rsidR="00901DC2">
      <w:rPr>
        <w:rFonts w:ascii="Trebuchet MS" w:hAnsi="Trebuchet MS"/>
        <w:b/>
        <w:sz w:val="18"/>
        <w:szCs w:val="18"/>
        <w:lang w:val="en"/>
      </w:rPr>
      <w:t>[X], [MONTH YEAR]</w:t>
    </w:r>
    <w:r w:rsidRPr="00AA6F20">
      <w:rPr>
        <w:rFonts w:ascii="Trebuchet MS" w:hAnsi="Trebuchet MS"/>
        <w:b/>
        <w:sz w:val="18"/>
        <w:szCs w:val="18"/>
        <w:lang w:val="en"/>
      </w:rPr>
      <w:t xml:space="preserve"> </w:t>
    </w:r>
  </w:p>
  <w:p w14:paraId="2C83E2ED" w14:textId="77777777" w:rsidR="00463AE8" w:rsidRDefault="00463AE8" w:rsidP="00A63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7148E"/>
    <w:multiLevelType w:val="hybridMultilevel"/>
    <w:tmpl w:val="87F2AFDA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70272"/>
    <w:multiLevelType w:val="hybridMultilevel"/>
    <w:tmpl w:val="038A195C"/>
    <w:lvl w:ilvl="0" w:tplc="741CD62C">
      <w:start w:val="1"/>
      <w:numFmt w:val="bullet"/>
      <w:pStyle w:val="TOC2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D3998"/>
    <w:multiLevelType w:val="hybridMultilevel"/>
    <w:tmpl w:val="91C8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D2078"/>
    <w:multiLevelType w:val="hybridMultilevel"/>
    <w:tmpl w:val="8112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91A79"/>
    <w:multiLevelType w:val="hybridMultilevel"/>
    <w:tmpl w:val="3890715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950AA"/>
    <w:multiLevelType w:val="hybridMultilevel"/>
    <w:tmpl w:val="B55AF21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B777E"/>
    <w:multiLevelType w:val="hybridMultilevel"/>
    <w:tmpl w:val="F676B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C5DEB"/>
    <w:multiLevelType w:val="hybridMultilevel"/>
    <w:tmpl w:val="9C18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E7B0C"/>
    <w:multiLevelType w:val="hybridMultilevel"/>
    <w:tmpl w:val="B28AD3CA"/>
    <w:lvl w:ilvl="0" w:tplc="5CC0C4A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B565E"/>
    <w:multiLevelType w:val="hybridMultilevel"/>
    <w:tmpl w:val="532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B668A"/>
    <w:multiLevelType w:val="hybridMultilevel"/>
    <w:tmpl w:val="0C7EA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54D1B"/>
    <w:multiLevelType w:val="hybridMultilevel"/>
    <w:tmpl w:val="AFD2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75C2D"/>
    <w:multiLevelType w:val="hybridMultilevel"/>
    <w:tmpl w:val="0712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F2E32"/>
    <w:multiLevelType w:val="hybridMultilevel"/>
    <w:tmpl w:val="BB7AB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D8405B"/>
    <w:multiLevelType w:val="hybridMultilevel"/>
    <w:tmpl w:val="810AFFD6"/>
    <w:lvl w:ilvl="0" w:tplc="1BD6373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F92481"/>
    <w:multiLevelType w:val="hybridMultilevel"/>
    <w:tmpl w:val="37A4E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2E019D"/>
    <w:multiLevelType w:val="hybridMultilevel"/>
    <w:tmpl w:val="0B540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965391">
    <w:abstractNumId w:val="1"/>
  </w:num>
  <w:num w:numId="2" w16cid:durableId="900097909">
    <w:abstractNumId w:val="14"/>
  </w:num>
  <w:num w:numId="3" w16cid:durableId="1055355579">
    <w:abstractNumId w:val="8"/>
  </w:num>
  <w:num w:numId="4" w16cid:durableId="199826978">
    <w:abstractNumId w:val="7"/>
  </w:num>
  <w:num w:numId="5" w16cid:durableId="1782339195">
    <w:abstractNumId w:val="15"/>
  </w:num>
  <w:num w:numId="6" w16cid:durableId="321617534">
    <w:abstractNumId w:val="16"/>
  </w:num>
  <w:num w:numId="7" w16cid:durableId="514729983">
    <w:abstractNumId w:val="2"/>
  </w:num>
  <w:num w:numId="8" w16cid:durableId="1932081016">
    <w:abstractNumId w:val="10"/>
  </w:num>
  <w:num w:numId="9" w16cid:durableId="2079358099">
    <w:abstractNumId w:val="4"/>
  </w:num>
  <w:num w:numId="10" w16cid:durableId="329336526">
    <w:abstractNumId w:val="0"/>
  </w:num>
  <w:num w:numId="11" w16cid:durableId="747574778">
    <w:abstractNumId w:val="5"/>
  </w:num>
  <w:num w:numId="12" w16cid:durableId="864055193">
    <w:abstractNumId w:val="3"/>
  </w:num>
  <w:num w:numId="13" w16cid:durableId="990477161">
    <w:abstractNumId w:val="9"/>
  </w:num>
  <w:num w:numId="14" w16cid:durableId="1299412918">
    <w:abstractNumId w:val="12"/>
  </w:num>
  <w:num w:numId="15" w16cid:durableId="47382837">
    <w:abstractNumId w:val="13"/>
  </w:num>
  <w:num w:numId="16" w16cid:durableId="223032385">
    <w:abstractNumId w:val="11"/>
  </w:num>
  <w:num w:numId="17" w16cid:durableId="9575701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14"/>
    <w:rsid w:val="000006DF"/>
    <w:rsid w:val="0000582A"/>
    <w:rsid w:val="0000622F"/>
    <w:rsid w:val="0001242D"/>
    <w:rsid w:val="000172B8"/>
    <w:rsid w:val="00022CA5"/>
    <w:rsid w:val="00032571"/>
    <w:rsid w:val="00034CE8"/>
    <w:rsid w:val="00041A1A"/>
    <w:rsid w:val="00041F7C"/>
    <w:rsid w:val="00042FD6"/>
    <w:rsid w:val="0004346A"/>
    <w:rsid w:val="00043DB1"/>
    <w:rsid w:val="00045863"/>
    <w:rsid w:val="0004685E"/>
    <w:rsid w:val="00051E6C"/>
    <w:rsid w:val="00055E2A"/>
    <w:rsid w:val="00057562"/>
    <w:rsid w:val="00062FC6"/>
    <w:rsid w:val="00074014"/>
    <w:rsid w:val="00076A4D"/>
    <w:rsid w:val="00080A76"/>
    <w:rsid w:val="000814C3"/>
    <w:rsid w:val="000A26B3"/>
    <w:rsid w:val="000A6C99"/>
    <w:rsid w:val="000B4487"/>
    <w:rsid w:val="000C15E5"/>
    <w:rsid w:val="000C2AEE"/>
    <w:rsid w:val="000E515F"/>
    <w:rsid w:val="000F145D"/>
    <w:rsid w:val="000F19D2"/>
    <w:rsid w:val="001003DC"/>
    <w:rsid w:val="001038B4"/>
    <w:rsid w:val="001049C6"/>
    <w:rsid w:val="00107CA4"/>
    <w:rsid w:val="00112E05"/>
    <w:rsid w:val="00113A33"/>
    <w:rsid w:val="00137002"/>
    <w:rsid w:val="00143EFF"/>
    <w:rsid w:val="00146E96"/>
    <w:rsid w:val="0016598C"/>
    <w:rsid w:val="0017504B"/>
    <w:rsid w:val="00175C12"/>
    <w:rsid w:val="00180CAA"/>
    <w:rsid w:val="00182385"/>
    <w:rsid w:val="001A4C38"/>
    <w:rsid w:val="001A6565"/>
    <w:rsid w:val="001B2DED"/>
    <w:rsid w:val="001B4E72"/>
    <w:rsid w:val="001B58F6"/>
    <w:rsid w:val="001B712E"/>
    <w:rsid w:val="001C1FAD"/>
    <w:rsid w:val="001C2E84"/>
    <w:rsid w:val="001D2A7B"/>
    <w:rsid w:val="001D7759"/>
    <w:rsid w:val="001E3620"/>
    <w:rsid w:val="001E762D"/>
    <w:rsid w:val="001E7935"/>
    <w:rsid w:val="00205E56"/>
    <w:rsid w:val="00215FB5"/>
    <w:rsid w:val="002172A7"/>
    <w:rsid w:val="0021775D"/>
    <w:rsid w:val="0022143C"/>
    <w:rsid w:val="00227174"/>
    <w:rsid w:val="002400F6"/>
    <w:rsid w:val="00242A52"/>
    <w:rsid w:val="00246894"/>
    <w:rsid w:val="002559B8"/>
    <w:rsid w:val="002712BE"/>
    <w:rsid w:val="00272F9F"/>
    <w:rsid w:val="00273E75"/>
    <w:rsid w:val="0027618E"/>
    <w:rsid w:val="00283746"/>
    <w:rsid w:val="00287F60"/>
    <w:rsid w:val="002A566F"/>
    <w:rsid w:val="002B16E1"/>
    <w:rsid w:val="002B4B60"/>
    <w:rsid w:val="002C14BD"/>
    <w:rsid w:val="002C261E"/>
    <w:rsid w:val="002C326C"/>
    <w:rsid w:val="002D1C5C"/>
    <w:rsid w:val="002D6F34"/>
    <w:rsid w:val="002E55F8"/>
    <w:rsid w:val="002E6DD1"/>
    <w:rsid w:val="002E75D3"/>
    <w:rsid w:val="002F1A78"/>
    <w:rsid w:val="002F4A95"/>
    <w:rsid w:val="003064EC"/>
    <w:rsid w:val="0031009A"/>
    <w:rsid w:val="003128F3"/>
    <w:rsid w:val="0031549E"/>
    <w:rsid w:val="003159D1"/>
    <w:rsid w:val="00316A86"/>
    <w:rsid w:val="0031728E"/>
    <w:rsid w:val="00325D8F"/>
    <w:rsid w:val="00330FB0"/>
    <w:rsid w:val="00344037"/>
    <w:rsid w:val="0034440C"/>
    <w:rsid w:val="00353AD3"/>
    <w:rsid w:val="00365B4B"/>
    <w:rsid w:val="00366132"/>
    <w:rsid w:val="00366BAA"/>
    <w:rsid w:val="00367696"/>
    <w:rsid w:val="00371601"/>
    <w:rsid w:val="00373275"/>
    <w:rsid w:val="00377A75"/>
    <w:rsid w:val="003971CE"/>
    <w:rsid w:val="00397377"/>
    <w:rsid w:val="003A17FB"/>
    <w:rsid w:val="003A670A"/>
    <w:rsid w:val="003B251D"/>
    <w:rsid w:val="003C0161"/>
    <w:rsid w:val="003C15F6"/>
    <w:rsid w:val="003D177D"/>
    <w:rsid w:val="003E7380"/>
    <w:rsid w:val="003F7F93"/>
    <w:rsid w:val="0040022A"/>
    <w:rsid w:val="00401354"/>
    <w:rsid w:val="00410458"/>
    <w:rsid w:val="00411059"/>
    <w:rsid w:val="00411C19"/>
    <w:rsid w:val="0041665A"/>
    <w:rsid w:val="00424615"/>
    <w:rsid w:val="00425560"/>
    <w:rsid w:val="00427D00"/>
    <w:rsid w:val="00433649"/>
    <w:rsid w:val="00446350"/>
    <w:rsid w:val="004564C8"/>
    <w:rsid w:val="00456BB4"/>
    <w:rsid w:val="004607BC"/>
    <w:rsid w:val="00463AE8"/>
    <w:rsid w:val="004650A7"/>
    <w:rsid w:val="0046520A"/>
    <w:rsid w:val="00467BD4"/>
    <w:rsid w:val="0047213A"/>
    <w:rsid w:val="004733F0"/>
    <w:rsid w:val="00477057"/>
    <w:rsid w:val="00485E86"/>
    <w:rsid w:val="0049555F"/>
    <w:rsid w:val="0049734F"/>
    <w:rsid w:val="004A58A3"/>
    <w:rsid w:val="004A5933"/>
    <w:rsid w:val="004B24F7"/>
    <w:rsid w:val="004B77A9"/>
    <w:rsid w:val="004C0C22"/>
    <w:rsid w:val="004E42DD"/>
    <w:rsid w:val="004E58D0"/>
    <w:rsid w:val="004E6787"/>
    <w:rsid w:val="004F3FB4"/>
    <w:rsid w:val="004F5803"/>
    <w:rsid w:val="00502B92"/>
    <w:rsid w:val="005175F7"/>
    <w:rsid w:val="00523813"/>
    <w:rsid w:val="00532641"/>
    <w:rsid w:val="00533C5E"/>
    <w:rsid w:val="005345EF"/>
    <w:rsid w:val="00536EBB"/>
    <w:rsid w:val="0055653E"/>
    <w:rsid w:val="005566B0"/>
    <w:rsid w:val="00567B9D"/>
    <w:rsid w:val="00571C6C"/>
    <w:rsid w:val="00576DC3"/>
    <w:rsid w:val="00577FEC"/>
    <w:rsid w:val="00581E50"/>
    <w:rsid w:val="00583A96"/>
    <w:rsid w:val="005842A0"/>
    <w:rsid w:val="005851F1"/>
    <w:rsid w:val="00591187"/>
    <w:rsid w:val="0059122F"/>
    <w:rsid w:val="00592C98"/>
    <w:rsid w:val="0059487B"/>
    <w:rsid w:val="005A21DB"/>
    <w:rsid w:val="005A74DA"/>
    <w:rsid w:val="005B3507"/>
    <w:rsid w:val="005B73A3"/>
    <w:rsid w:val="005C05FA"/>
    <w:rsid w:val="005D3CAF"/>
    <w:rsid w:val="005D506B"/>
    <w:rsid w:val="005D56B2"/>
    <w:rsid w:val="005E0ED5"/>
    <w:rsid w:val="005E52FC"/>
    <w:rsid w:val="005E7B03"/>
    <w:rsid w:val="005F35CD"/>
    <w:rsid w:val="00610115"/>
    <w:rsid w:val="00612B60"/>
    <w:rsid w:val="00622404"/>
    <w:rsid w:val="0062336E"/>
    <w:rsid w:val="0062529B"/>
    <w:rsid w:val="00626A67"/>
    <w:rsid w:val="0064259B"/>
    <w:rsid w:val="00650CB2"/>
    <w:rsid w:val="00653EAC"/>
    <w:rsid w:val="006558AB"/>
    <w:rsid w:val="0067107B"/>
    <w:rsid w:val="00680C86"/>
    <w:rsid w:val="00690023"/>
    <w:rsid w:val="0069031E"/>
    <w:rsid w:val="006A777A"/>
    <w:rsid w:val="006B207B"/>
    <w:rsid w:val="006B20D5"/>
    <w:rsid w:val="006B7613"/>
    <w:rsid w:val="006C3B50"/>
    <w:rsid w:val="006D70E0"/>
    <w:rsid w:val="006E0362"/>
    <w:rsid w:val="00702546"/>
    <w:rsid w:val="00711113"/>
    <w:rsid w:val="00717A1C"/>
    <w:rsid w:val="00721778"/>
    <w:rsid w:val="007243D7"/>
    <w:rsid w:val="007311C3"/>
    <w:rsid w:val="007459B2"/>
    <w:rsid w:val="00752617"/>
    <w:rsid w:val="00762B83"/>
    <w:rsid w:val="00767D6F"/>
    <w:rsid w:val="00770CB5"/>
    <w:rsid w:val="007736F7"/>
    <w:rsid w:val="00776346"/>
    <w:rsid w:val="00785C9F"/>
    <w:rsid w:val="0078683C"/>
    <w:rsid w:val="0079312B"/>
    <w:rsid w:val="007947FB"/>
    <w:rsid w:val="00795A7C"/>
    <w:rsid w:val="00796800"/>
    <w:rsid w:val="007A2C73"/>
    <w:rsid w:val="007A3DAF"/>
    <w:rsid w:val="007E4CAE"/>
    <w:rsid w:val="007E77D7"/>
    <w:rsid w:val="007F2D62"/>
    <w:rsid w:val="0080735F"/>
    <w:rsid w:val="00807E9F"/>
    <w:rsid w:val="00816B7A"/>
    <w:rsid w:val="008403CA"/>
    <w:rsid w:val="00840D1F"/>
    <w:rsid w:val="0084212C"/>
    <w:rsid w:val="00844307"/>
    <w:rsid w:val="00844A19"/>
    <w:rsid w:val="0084544F"/>
    <w:rsid w:val="0085378A"/>
    <w:rsid w:val="00860511"/>
    <w:rsid w:val="00860BA1"/>
    <w:rsid w:val="00862590"/>
    <w:rsid w:val="00865AEA"/>
    <w:rsid w:val="00870CBF"/>
    <w:rsid w:val="008722AE"/>
    <w:rsid w:val="00872E7F"/>
    <w:rsid w:val="00873BEF"/>
    <w:rsid w:val="00875B78"/>
    <w:rsid w:val="008819EB"/>
    <w:rsid w:val="0088325C"/>
    <w:rsid w:val="008911F3"/>
    <w:rsid w:val="00892205"/>
    <w:rsid w:val="00893E85"/>
    <w:rsid w:val="00894622"/>
    <w:rsid w:val="008946E9"/>
    <w:rsid w:val="008967CE"/>
    <w:rsid w:val="008A1B35"/>
    <w:rsid w:val="008B0999"/>
    <w:rsid w:val="008B221F"/>
    <w:rsid w:val="008B56EF"/>
    <w:rsid w:val="008E5183"/>
    <w:rsid w:val="008E79B3"/>
    <w:rsid w:val="008F25B4"/>
    <w:rsid w:val="00901DC2"/>
    <w:rsid w:val="00915088"/>
    <w:rsid w:val="00917BB8"/>
    <w:rsid w:val="00922C53"/>
    <w:rsid w:val="00923341"/>
    <w:rsid w:val="00927CAB"/>
    <w:rsid w:val="00947F70"/>
    <w:rsid w:val="009555A8"/>
    <w:rsid w:val="00956812"/>
    <w:rsid w:val="00980B18"/>
    <w:rsid w:val="00982128"/>
    <w:rsid w:val="00986AF3"/>
    <w:rsid w:val="009913AF"/>
    <w:rsid w:val="009A2A6E"/>
    <w:rsid w:val="009A3763"/>
    <w:rsid w:val="009A4123"/>
    <w:rsid w:val="009B1AAF"/>
    <w:rsid w:val="009B2ABA"/>
    <w:rsid w:val="009D1E1C"/>
    <w:rsid w:val="009D2B0C"/>
    <w:rsid w:val="009E2313"/>
    <w:rsid w:val="009F04D6"/>
    <w:rsid w:val="00A128B9"/>
    <w:rsid w:val="00A13579"/>
    <w:rsid w:val="00A26095"/>
    <w:rsid w:val="00A36FA0"/>
    <w:rsid w:val="00A37691"/>
    <w:rsid w:val="00A54558"/>
    <w:rsid w:val="00A63EE0"/>
    <w:rsid w:val="00A65E97"/>
    <w:rsid w:val="00A82D27"/>
    <w:rsid w:val="00A83962"/>
    <w:rsid w:val="00A84104"/>
    <w:rsid w:val="00A856E6"/>
    <w:rsid w:val="00A95432"/>
    <w:rsid w:val="00AA0399"/>
    <w:rsid w:val="00AA6F20"/>
    <w:rsid w:val="00AB304D"/>
    <w:rsid w:val="00AD42BB"/>
    <w:rsid w:val="00AD5A76"/>
    <w:rsid w:val="00AE483E"/>
    <w:rsid w:val="00AF3BAA"/>
    <w:rsid w:val="00B10C3E"/>
    <w:rsid w:val="00B13074"/>
    <w:rsid w:val="00B20840"/>
    <w:rsid w:val="00B30E77"/>
    <w:rsid w:val="00B31AF2"/>
    <w:rsid w:val="00B44DE1"/>
    <w:rsid w:val="00B529FF"/>
    <w:rsid w:val="00B5390A"/>
    <w:rsid w:val="00B54AB5"/>
    <w:rsid w:val="00B65AEA"/>
    <w:rsid w:val="00B7453A"/>
    <w:rsid w:val="00B96C06"/>
    <w:rsid w:val="00BB15B2"/>
    <w:rsid w:val="00BD0118"/>
    <w:rsid w:val="00BD7648"/>
    <w:rsid w:val="00BE46A7"/>
    <w:rsid w:val="00BF73BB"/>
    <w:rsid w:val="00C0073C"/>
    <w:rsid w:val="00C009F8"/>
    <w:rsid w:val="00C03DAA"/>
    <w:rsid w:val="00C208B7"/>
    <w:rsid w:val="00C21F71"/>
    <w:rsid w:val="00C24050"/>
    <w:rsid w:val="00C25B35"/>
    <w:rsid w:val="00C35B94"/>
    <w:rsid w:val="00C4587F"/>
    <w:rsid w:val="00C54D38"/>
    <w:rsid w:val="00C578AB"/>
    <w:rsid w:val="00C62A5E"/>
    <w:rsid w:val="00C656AF"/>
    <w:rsid w:val="00C76762"/>
    <w:rsid w:val="00C82355"/>
    <w:rsid w:val="00C97787"/>
    <w:rsid w:val="00CA0313"/>
    <w:rsid w:val="00CA0669"/>
    <w:rsid w:val="00CA1D66"/>
    <w:rsid w:val="00CA4BAC"/>
    <w:rsid w:val="00CA6B6E"/>
    <w:rsid w:val="00CB1524"/>
    <w:rsid w:val="00CD1B3A"/>
    <w:rsid w:val="00CD7211"/>
    <w:rsid w:val="00CD7C0E"/>
    <w:rsid w:val="00CE27E7"/>
    <w:rsid w:val="00CE36C1"/>
    <w:rsid w:val="00CE4848"/>
    <w:rsid w:val="00CF2078"/>
    <w:rsid w:val="00CF48E3"/>
    <w:rsid w:val="00D05D9C"/>
    <w:rsid w:val="00D115B8"/>
    <w:rsid w:val="00D14BBD"/>
    <w:rsid w:val="00D15F4A"/>
    <w:rsid w:val="00D201C0"/>
    <w:rsid w:val="00D21FA6"/>
    <w:rsid w:val="00D245EF"/>
    <w:rsid w:val="00D2695E"/>
    <w:rsid w:val="00D726DF"/>
    <w:rsid w:val="00D757B8"/>
    <w:rsid w:val="00D77884"/>
    <w:rsid w:val="00D821A9"/>
    <w:rsid w:val="00D97D27"/>
    <w:rsid w:val="00DA302D"/>
    <w:rsid w:val="00DA4328"/>
    <w:rsid w:val="00DA7FE7"/>
    <w:rsid w:val="00DB2EE5"/>
    <w:rsid w:val="00DB79AB"/>
    <w:rsid w:val="00DC0E97"/>
    <w:rsid w:val="00DC1ACC"/>
    <w:rsid w:val="00DC7F7B"/>
    <w:rsid w:val="00DD2187"/>
    <w:rsid w:val="00DF3E53"/>
    <w:rsid w:val="00E06D78"/>
    <w:rsid w:val="00E1027A"/>
    <w:rsid w:val="00E23CEA"/>
    <w:rsid w:val="00E31AED"/>
    <w:rsid w:val="00E31CAE"/>
    <w:rsid w:val="00E35E0F"/>
    <w:rsid w:val="00E370BD"/>
    <w:rsid w:val="00E61DD5"/>
    <w:rsid w:val="00E679DA"/>
    <w:rsid w:val="00E831CE"/>
    <w:rsid w:val="00E90319"/>
    <w:rsid w:val="00E9521B"/>
    <w:rsid w:val="00EB0E73"/>
    <w:rsid w:val="00EB5FE2"/>
    <w:rsid w:val="00EC08AC"/>
    <w:rsid w:val="00EE333C"/>
    <w:rsid w:val="00EE46DF"/>
    <w:rsid w:val="00EE67F4"/>
    <w:rsid w:val="00EE74FF"/>
    <w:rsid w:val="00EF76E8"/>
    <w:rsid w:val="00F01FFC"/>
    <w:rsid w:val="00F42C2D"/>
    <w:rsid w:val="00F51B4F"/>
    <w:rsid w:val="00F53DA0"/>
    <w:rsid w:val="00F53FFB"/>
    <w:rsid w:val="00F636E3"/>
    <w:rsid w:val="00F66EB8"/>
    <w:rsid w:val="00F67537"/>
    <w:rsid w:val="00F67D45"/>
    <w:rsid w:val="00F71CC7"/>
    <w:rsid w:val="00F85E0D"/>
    <w:rsid w:val="00F9023B"/>
    <w:rsid w:val="00FA5787"/>
    <w:rsid w:val="00FB53EC"/>
    <w:rsid w:val="00FB7719"/>
    <w:rsid w:val="00FD5009"/>
    <w:rsid w:val="00FD5CE5"/>
    <w:rsid w:val="00FF17E3"/>
    <w:rsid w:val="00FF1A2E"/>
    <w:rsid w:val="00FF20CF"/>
    <w:rsid w:val="00FF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5F482"/>
  <w15:docId w15:val="{F6CC43AD-9BBE-4BAE-BA60-24763DE0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3BAA"/>
    <w:rPr>
      <w:color w:val="000000"/>
      <w:kern w:val="28"/>
    </w:rPr>
  </w:style>
  <w:style w:type="paragraph" w:styleId="Heading1">
    <w:name w:val="heading 1"/>
    <w:basedOn w:val="msoaccenttext7"/>
    <w:next w:val="Normal"/>
    <w:link w:val="Heading1Char"/>
    <w:qFormat/>
    <w:rsid w:val="005D506B"/>
    <w:pPr>
      <w:widowControl w:val="0"/>
      <w:outlineLvl w:val="0"/>
    </w:pPr>
    <w:rPr>
      <w:rFonts w:ascii="Trebuchet MS" w:hAnsi="Trebuchet MS"/>
      <w:b/>
      <w:color w:val="auto"/>
      <w:sz w:val="18"/>
      <w:szCs w:val="18"/>
      <w:lang w:val="en"/>
    </w:rPr>
  </w:style>
  <w:style w:type="paragraph" w:styleId="Heading2">
    <w:name w:val="heading 2"/>
    <w:next w:val="Normal"/>
    <w:link w:val="Heading2Char"/>
    <w:unhideWhenUsed/>
    <w:qFormat/>
    <w:rsid w:val="00A856E6"/>
    <w:pPr>
      <w:framePr w:hSpace="180" w:wrap="around" w:vAnchor="text" w:hAnchor="text" w:y="117"/>
      <w:spacing w:before="120"/>
      <w:outlineLvl w:val="1"/>
    </w:pPr>
    <w:rPr>
      <w:rFonts w:ascii="Arial Black" w:hAnsi="Arial Black" w:cs="Arial Black"/>
      <w:b/>
      <w:bCs/>
      <w:kern w:val="28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844A19"/>
    <w:pPr>
      <w:outlineLvl w:val="2"/>
    </w:pPr>
  </w:style>
  <w:style w:type="paragraph" w:styleId="Heading4">
    <w:name w:val="heading 4"/>
    <w:basedOn w:val="Tablesubheading"/>
    <w:next w:val="Normal"/>
    <w:link w:val="Heading4Char"/>
    <w:unhideWhenUsed/>
    <w:qFormat/>
    <w:rsid w:val="00FD5CE5"/>
    <w:pPr>
      <w:outlineLvl w:val="3"/>
    </w:pPr>
  </w:style>
  <w:style w:type="paragraph" w:styleId="Heading5">
    <w:name w:val="heading 5"/>
    <w:basedOn w:val="Normal"/>
    <w:next w:val="Normal"/>
    <w:link w:val="Heading5Char"/>
    <w:unhideWhenUsed/>
    <w:qFormat/>
    <w:rsid w:val="00AD42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A0669"/>
    <w:pPr>
      <w:autoSpaceDE w:val="0"/>
      <w:autoSpaceDN w:val="0"/>
      <w:adjustRightInd w:val="0"/>
      <w:spacing w:line="288" w:lineRule="auto"/>
      <w:jc w:val="center"/>
      <w:textAlignment w:val="baseline"/>
    </w:pPr>
    <w:rPr>
      <w:rFonts w:ascii="Tahoma" w:hAnsi="Tahoma" w:cs="Tahoma"/>
      <w:sz w:val="32"/>
      <w:szCs w:val="32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Title"/>
    <w:rsid w:val="00956812"/>
    <w:pPr>
      <w:spacing w:before="216" w:after="122"/>
      <w:jc w:val="left"/>
    </w:pPr>
    <w:rPr>
      <w:rFonts w:ascii="Arial Black" w:hAnsi="Arial Black" w:cs="Arial Black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rsid w:val="002A56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566F"/>
    <w:pPr>
      <w:tabs>
        <w:tab w:val="center" w:pos="4320"/>
        <w:tab w:val="right" w:pos="8640"/>
      </w:tabs>
    </w:pPr>
  </w:style>
  <w:style w:type="paragraph" w:customStyle="1" w:styleId="msoaccenttext7">
    <w:name w:val="msoaccenttext7"/>
    <w:rsid w:val="008911F3"/>
    <w:rPr>
      <w:rFonts w:ascii="Franklin Gothic Medium" w:hAnsi="Franklin Gothic Medium"/>
      <w:color w:val="000000"/>
      <w:kern w:val="28"/>
      <w:sz w:val="17"/>
      <w:szCs w:val="17"/>
    </w:rPr>
  </w:style>
  <w:style w:type="paragraph" w:styleId="TOC2">
    <w:name w:val="toc 2"/>
    <w:basedOn w:val="Normal"/>
    <w:next w:val="Normal"/>
    <w:autoRedefine/>
    <w:semiHidden/>
    <w:rsid w:val="00433649"/>
    <w:pPr>
      <w:numPr>
        <w:numId w:val="1"/>
      </w:numPr>
    </w:pPr>
  </w:style>
  <w:style w:type="paragraph" w:styleId="BalloonText">
    <w:name w:val="Balloon Text"/>
    <w:basedOn w:val="Normal"/>
    <w:semiHidden/>
    <w:rsid w:val="00C54D3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sid w:val="00873BEF"/>
    <w:rPr>
      <w:color w:val="000000"/>
      <w:kern w:val="28"/>
    </w:rPr>
  </w:style>
  <w:style w:type="character" w:customStyle="1" w:styleId="FooterChar">
    <w:name w:val="Footer Char"/>
    <w:link w:val="Footer"/>
    <w:uiPriority w:val="99"/>
    <w:rsid w:val="002F4A95"/>
    <w:rPr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5D50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D506B"/>
    <w:rPr>
      <w:rFonts w:ascii="Trebuchet MS" w:hAnsi="Trebuchet MS"/>
      <w:b/>
      <w:kern w:val="28"/>
      <w:sz w:val="18"/>
      <w:szCs w:val="18"/>
      <w:lang w:val="en"/>
    </w:rPr>
  </w:style>
  <w:style w:type="character" w:customStyle="1" w:styleId="Heading2Char">
    <w:name w:val="Heading 2 Char"/>
    <w:basedOn w:val="DefaultParagraphFont"/>
    <w:link w:val="Heading2"/>
    <w:rsid w:val="00A856E6"/>
    <w:rPr>
      <w:rFonts w:ascii="Arial Black" w:hAnsi="Arial Black" w:cs="Arial Black"/>
      <w:b/>
      <w:bCs/>
      <w:kern w:val="28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4A19"/>
    <w:rPr>
      <w:color w:val="000000"/>
      <w:kern w:val="28"/>
    </w:rPr>
  </w:style>
  <w:style w:type="paragraph" w:customStyle="1" w:styleId="RecentMassHealthDrugListUpdates">
    <w:name w:val="Recent MassHealth Drug List Updates"/>
    <w:basedOn w:val="Normal"/>
    <w:autoRedefine/>
    <w:qFormat/>
    <w:rsid w:val="003F7F93"/>
    <w:pPr>
      <w:widowControl w:val="0"/>
      <w:ind w:left="-288"/>
      <w:jc w:val="center"/>
    </w:pPr>
    <w:rPr>
      <w:rFonts w:ascii="Trebuchet MS" w:hAnsi="Trebuchet MS"/>
      <w:b/>
      <w:bCs/>
      <w:color w:val="auto"/>
      <w:sz w:val="26"/>
      <w:szCs w:val="26"/>
    </w:rPr>
  </w:style>
  <w:style w:type="paragraph" w:customStyle="1" w:styleId="columnheading">
    <w:name w:val="column 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Tablesubheading">
    <w:name w:val="Table sub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Footnote">
    <w:name w:val="Footnote"/>
    <w:basedOn w:val="Normal"/>
    <w:qFormat/>
    <w:rsid w:val="00AE483E"/>
    <w:pPr>
      <w:spacing w:before="120"/>
      <w:ind w:left="446" w:hanging="446"/>
    </w:pPr>
    <w:rPr>
      <w:sz w:val="18"/>
      <w:szCs w:val="18"/>
    </w:rPr>
  </w:style>
  <w:style w:type="paragraph" w:customStyle="1" w:styleId="Prescribere-letterdefinition">
    <w:name w:val="Prescriber e-letter definition"/>
    <w:basedOn w:val="Normal"/>
    <w:qFormat/>
    <w:rsid w:val="0004346A"/>
    <w:pPr>
      <w:widowControl w:val="0"/>
      <w:spacing w:before="1200"/>
      <w:jc w:val="center"/>
    </w:pPr>
    <w:rPr>
      <w:iCs/>
      <w:lang w:val="en"/>
    </w:rPr>
  </w:style>
  <w:style w:type="character" w:customStyle="1" w:styleId="Heading4Char">
    <w:name w:val="Heading 4 Char"/>
    <w:basedOn w:val="DefaultParagraphFont"/>
    <w:link w:val="Heading4"/>
    <w:rsid w:val="00FD5CE5"/>
    <w:rPr>
      <w:rFonts w:cs="Calibri"/>
      <w:b/>
      <w:bCs/>
      <w:color w:val="000000"/>
      <w:kern w:val="28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D42BB"/>
    <w:rPr>
      <w:rFonts w:asciiTheme="majorHAnsi" w:eastAsiaTheme="majorEastAsia" w:hAnsiTheme="majorHAnsi" w:cstheme="majorBidi"/>
      <w:color w:val="1F3763" w:themeColor="accent1" w:themeShade="7F"/>
      <w:kern w:val="28"/>
    </w:rPr>
  </w:style>
  <w:style w:type="character" w:styleId="Hyperlink">
    <w:name w:val="Hyperlink"/>
    <w:basedOn w:val="DefaultParagraphFont"/>
    <w:unhideWhenUsed/>
    <w:rsid w:val="007459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59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463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A8396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83962"/>
  </w:style>
  <w:style w:type="character" w:customStyle="1" w:styleId="CommentTextChar">
    <w:name w:val="Comment Text Char"/>
    <w:basedOn w:val="DefaultParagraphFont"/>
    <w:link w:val="CommentText"/>
    <w:rsid w:val="00A83962"/>
    <w:rPr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3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3962"/>
    <w:rPr>
      <w:b/>
      <w:bCs/>
      <w:color w:val="000000"/>
      <w:kern w:val="28"/>
    </w:rPr>
  </w:style>
  <w:style w:type="character" w:styleId="FollowedHyperlink">
    <w:name w:val="FollowedHyperlink"/>
    <w:basedOn w:val="DefaultParagraphFont"/>
    <w:semiHidden/>
    <w:unhideWhenUsed/>
    <w:rsid w:val="005566B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11059"/>
    <w:rPr>
      <w:color w:val="000000"/>
      <w:kern w:val="28"/>
    </w:rPr>
  </w:style>
  <w:style w:type="table" w:customStyle="1" w:styleId="TableGrid1">
    <w:name w:val="Table Grid1"/>
    <w:basedOn w:val="TableNormal"/>
    <w:next w:val="TableGrid"/>
    <w:uiPriority w:val="39"/>
    <w:rsid w:val="005A74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dc.gov/acip/meetings/presentation-slides-june-26-28-2024.html?CDC_AAref_Val=https://www.cdc.gov/vaccines/acip/meetings/slides-2024-06-26-28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6FD255-5FFF-4D79-832F-A7E3D38CFE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662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Prescriber e-Letter Volume 14, Issue 2</vt:lpstr>
    </vt:vector>
  </TitlesOfParts>
  <Company>Office of Health and Human Services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Prescriber e-Letter Volume 14, Issue 2</dc:title>
  <dc:creator>MassHealth</dc:creator>
  <cp:lastModifiedBy>Luca, Joseph (EHS)</cp:lastModifiedBy>
  <cp:revision>10</cp:revision>
  <cp:lastPrinted>2024-10-16T15:48:00Z</cp:lastPrinted>
  <dcterms:created xsi:type="dcterms:W3CDTF">2024-10-15T21:04:00Z</dcterms:created>
  <dcterms:modified xsi:type="dcterms:W3CDTF">2024-10-16T20:51:00Z</dcterms:modified>
</cp:coreProperties>
</file>