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C543" w14:textId="109DEA48" w:rsidR="00AD42BB" w:rsidRPr="00AD42BB" w:rsidRDefault="005851F1" w:rsidP="00055E2A">
      <w:pPr>
        <w:pStyle w:val="Heading1"/>
        <w:tabs>
          <w:tab w:val="left" w:pos="900"/>
        </w:tabs>
        <w:spacing w:before="240" w:after="1080"/>
        <w:ind w:firstLine="252"/>
      </w:pPr>
      <w:r>
        <w:rPr>
          <w:noProof/>
        </w:rPr>
        <w:drawing>
          <wp:anchor distT="0" distB="0" distL="114300" distR="114300" simplePos="0" relativeHeight="251660288" behindDoc="1" locked="0" layoutInCell="1" allowOverlap="1" wp14:anchorId="5BC6493F" wp14:editId="2834ED52">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rsidRPr="00CD7211">
        <w:rPr>
          <w:color w:val="FFFFFF" w:themeColor="background1"/>
        </w:rPr>
        <w:t xml:space="preserve">The Prescriber e-Letter, </w:t>
      </w:r>
      <w:r w:rsidR="00CD7211">
        <w:br w:type="textWrapping" w:clear="all"/>
      </w:r>
      <w:r w:rsidR="00E90319">
        <w:t>V</w:t>
      </w:r>
      <w:r>
        <w:t xml:space="preserve">olume </w:t>
      </w:r>
      <w:r w:rsidR="00982128">
        <w:t>14</w:t>
      </w:r>
      <w:r>
        <w:t xml:space="preserve">, Issue </w:t>
      </w:r>
      <w:r w:rsidR="002520E7">
        <w:t>6</w:t>
      </w:r>
      <w:r w:rsidR="00C76762">
        <w:t xml:space="preserve">, </w:t>
      </w:r>
      <w:r w:rsidR="002559B8">
        <w:t>October 2024</w:t>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headerReference w:type="first" r:id="rId13"/>
          <w:footerReference w:type="first" r:id="rId14"/>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50059E31" w14:textId="77777777" w:rsidR="006B20D5" w:rsidRDefault="006B20D5" w:rsidP="006B20D5">
      <w:pPr>
        <w:pStyle w:val="Heading2"/>
        <w:framePr w:hSpace="0" w:wrap="auto" w:vAnchor="margin" w:yAlign="inline"/>
        <w:spacing w:before="0" w:line="276" w:lineRule="auto"/>
        <w:rPr>
          <w:rFonts w:ascii="Arial" w:hAnsi="Arial" w:cs="Arial"/>
          <w:sz w:val="26"/>
          <w:szCs w:val="26"/>
        </w:rPr>
      </w:pPr>
      <w:bookmarkStart w:id="0" w:name="_Hlk56006764"/>
    </w:p>
    <w:p w14:paraId="2CA65782" w14:textId="10A2066D" w:rsidR="00BA69EB" w:rsidRPr="00BA69EB" w:rsidRDefault="00BA69EB" w:rsidP="00DB3BB6">
      <w:pPr>
        <w:pStyle w:val="Heading2"/>
        <w:framePr w:hSpace="0" w:wrap="auto" w:vAnchor="margin" w:yAlign="inline"/>
        <w:spacing w:before="0" w:line="276" w:lineRule="auto"/>
        <w:rPr>
          <w:rFonts w:ascii="Arial" w:hAnsi="Arial" w:cs="Arial"/>
          <w:sz w:val="26"/>
          <w:szCs w:val="26"/>
        </w:rPr>
      </w:pPr>
      <w:r w:rsidRPr="00BA69EB">
        <w:rPr>
          <w:rFonts w:ascii="Arial" w:hAnsi="Arial" w:cs="Arial"/>
          <w:sz w:val="26"/>
          <w:szCs w:val="26"/>
        </w:rPr>
        <w:t>Overview of More Restrictive Coverage Changes</w:t>
      </w:r>
      <w:r w:rsidR="00E2339F">
        <w:rPr>
          <w:rFonts w:ascii="Arial" w:hAnsi="Arial" w:cs="Arial"/>
          <w:sz w:val="26"/>
          <w:szCs w:val="26"/>
        </w:rPr>
        <w:t xml:space="preserve"> Effective January 6, 2025</w:t>
      </w:r>
    </w:p>
    <w:p w14:paraId="4D4BDAB0" w14:textId="77777777" w:rsidR="006B20D5" w:rsidRPr="006B20D5" w:rsidRDefault="006B20D5" w:rsidP="006B20D5"/>
    <w:p w14:paraId="161129A6" w14:textId="7E19A779" w:rsidR="00C26785" w:rsidRPr="00C26785" w:rsidRDefault="00C26785" w:rsidP="00C26785">
      <w:pPr>
        <w:spacing w:line="276" w:lineRule="auto"/>
        <w:rPr>
          <w:rFonts w:ascii="Arial" w:hAnsi="Arial" w:cs="Arial"/>
          <w:bCs/>
          <w:color w:val="auto"/>
          <w:sz w:val="22"/>
          <w:szCs w:val="22"/>
        </w:rPr>
      </w:pPr>
      <w:bookmarkStart w:id="1" w:name="_Hlk178665884"/>
      <w:r w:rsidRPr="00C26785">
        <w:rPr>
          <w:rFonts w:ascii="Arial" w:hAnsi="Arial" w:cs="Arial"/>
          <w:bCs/>
          <w:color w:val="auto"/>
          <w:sz w:val="22"/>
          <w:szCs w:val="22"/>
        </w:rPr>
        <w:t>MassHealth evaluates the prior authorization (PA) status for drugs on an ongoing basis and updates the</w:t>
      </w:r>
      <w:r>
        <w:rPr>
          <w:rFonts w:ascii="Arial" w:hAnsi="Arial" w:cs="Arial"/>
          <w:bCs/>
          <w:color w:val="auto"/>
          <w:sz w:val="22"/>
          <w:szCs w:val="22"/>
        </w:rPr>
        <w:t xml:space="preserve"> </w:t>
      </w:r>
      <w:r w:rsidRPr="00C26785">
        <w:rPr>
          <w:rFonts w:ascii="Arial" w:hAnsi="Arial" w:cs="Arial"/>
          <w:bCs/>
          <w:color w:val="auto"/>
          <w:sz w:val="22"/>
          <w:szCs w:val="22"/>
        </w:rPr>
        <w:t>MassHealth Drug List accordingly. The list below outlines changes to the MassHealth Drug List for the rollout effective January 6, 2025, that have been identified as more restrictive in nature.</w:t>
      </w:r>
    </w:p>
    <w:p w14:paraId="0B22B391" w14:textId="77777777" w:rsidR="006B20D5" w:rsidRPr="00FF20CF" w:rsidRDefault="006B20D5" w:rsidP="006B20D5">
      <w:pPr>
        <w:spacing w:line="276" w:lineRule="auto"/>
        <w:rPr>
          <w:rFonts w:ascii="Arial" w:hAnsi="Arial" w:cs="Arial"/>
          <w:color w:val="333333"/>
          <w:sz w:val="22"/>
          <w:szCs w:val="22"/>
        </w:rPr>
      </w:pPr>
    </w:p>
    <w:p w14:paraId="25F3B864" w14:textId="02721053" w:rsidR="0055653E" w:rsidRPr="0055653E" w:rsidRDefault="00DB3BB6" w:rsidP="006B20D5">
      <w:pPr>
        <w:pStyle w:val="Heading2"/>
        <w:framePr w:hSpace="0" w:wrap="auto" w:vAnchor="margin" w:yAlign="inline"/>
        <w:spacing w:before="0" w:line="276" w:lineRule="auto"/>
        <w:rPr>
          <w:rFonts w:ascii="Arial" w:hAnsi="Arial" w:cs="Arial"/>
          <w:sz w:val="26"/>
          <w:szCs w:val="26"/>
        </w:rPr>
      </w:pPr>
      <w:r>
        <w:rPr>
          <w:rFonts w:ascii="Arial" w:hAnsi="Arial" w:cs="Arial"/>
          <w:sz w:val="26"/>
          <w:szCs w:val="26"/>
        </w:rPr>
        <w:t>Change in Prior Authorization Status</w:t>
      </w:r>
    </w:p>
    <w:bookmarkEnd w:id="1"/>
    <w:p w14:paraId="5C79886A" w14:textId="77777777" w:rsidR="00F66EB8" w:rsidRDefault="00F66EB8" w:rsidP="00F66EB8">
      <w:pPr>
        <w:tabs>
          <w:tab w:val="left" w:pos="1080"/>
        </w:tabs>
        <w:rPr>
          <w:rFonts w:ascii="Arial" w:hAnsi="Arial" w:cs="Arial"/>
        </w:rPr>
      </w:pPr>
    </w:p>
    <w:p w14:paraId="0347058D" w14:textId="119BE26B" w:rsidR="00EE1090" w:rsidRDefault="00EE1090" w:rsidP="00EE1090">
      <w:pPr>
        <w:tabs>
          <w:tab w:val="left" w:pos="1080"/>
        </w:tabs>
        <w:rPr>
          <w:rFonts w:ascii="Arial" w:hAnsi="Arial" w:cs="Arial"/>
          <w:color w:val="auto"/>
          <w:sz w:val="22"/>
          <w:szCs w:val="22"/>
        </w:rPr>
      </w:pPr>
      <w:r w:rsidRPr="00EE1090">
        <w:rPr>
          <w:rFonts w:ascii="Arial" w:hAnsi="Arial" w:cs="Arial"/>
          <w:color w:val="auto"/>
          <w:sz w:val="22"/>
          <w:szCs w:val="22"/>
        </w:rPr>
        <w:t>Effective January 6, 2025, the following psoriasis agent will require PA</w:t>
      </w:r>
      <w:r w:rsidR="00F9792D">
        <w:rPr>
          <w:rFonts w:ascii="Arial" w:hAnsi="Arial" w:cs="Arial"/>
          <w:color w:val="auto"/>
          <w:sz w:val="22"/>
          <w:szCs w:val="22"/>
        </w:rPr>
        <w:t>.</w:t>
      </w:r>
    </w:p>
    <w:p w14:paraId="10321B30" w14:textId="77777777" w:rsidR="00992143" w:rsidRPr="00EE1090" w:rsidRDefault="00992143" w:rsidP="00EE1090">
      <w:pPr>
        <w:tabs>
          <w:tab w:val="left" w:pos="1080"/>
        </w:tabs>
        <w:rPr>
          <w:rFonts w:ascii="Arial" w:hAnsi="Arial" w:cs="Arial"/>
          <w:color w:val="auto"/>
          <w:sz w:val="22"/>
          <w:szCs w:val="22"/>
        </w:rPr>
      </w:pPr>
    </w:p>
    <w:p w14:paraId="56AC9D01" w14:textId="3D1AFDF0" w:rsidR="00EE1090" w:rsidRDefault="00EE1090" w:rsidP="00C92FCC">
      <w:pPr>
        <w:pStyle w:val="Default"/>
        <w:numPr>
          <w:ilvl w:val="0"/>
          <w:numId w:val="19"/>
        </w:numPr>
        <w:spacing w:line="276" w:lineRule="auto"/>
        <w:rPr>
          <w:rFonts w:ascii="Arial" w:hAnsi="Arial" w:cs="Arial"/>
          <w:color w:val="auto"/>
          <w:sz w:val="22"/>
          <w:szCs w:val="22"/>
        </w:rPr>
      </w:pPr>
      <w:proofErr w:type="spellStart"/>
      <w:r w:rsidRPr="00EE1090">
        <w:rPr>
          <w:rFonts w:ascii="Arial" w:hAnsi="Arial" w:cs="Arial"/>
          <w:color w:val="auto"/>
          <w:sz w:val="22"/>
          <w:szCs w:val="22"/>
        </w:rPr>
        <w:t>methoxsalen</w:t>
      </w:r>
      <w:proofErr w:type="spellEnd"/>
      <w:r w:rsidRPr="00EE1090">
        <w:rPr>
          <w:rFonts w:ascii="Arial" w:hAnsi="Arial" w:cs="Arial"/>
          <w:color w:val="auto"/>
          <w:sz w:val="22"/>
          <w:szCs w:val="22"/>
        </w:rPr>
        <w:t xml:space="preserve"> capsule – PA; A90</w:t>
      </w:r>
    </w:p>
    <w:p w14:paraId="06578F93" w14:textId="77777777" w:rsidR="00992143" w:rsidRPr="00EE1090" w:rsidRDefault="00992143" w:rsidP="00992143">
      <w:pPr>
        <w:pStyle w:val="Default"/>
        <w:spacing w:line="276" w:lineRule="auto"/>
        <w:ind w:left="1080"/>
        <w:rPr>
          <w:rFonts w:ascii="Arial" w:hAnsi="Arial" w:cs="Arial"/>
          <w:color w:val="auto"/>
          <w:sz w:val="22"/>
          <w:szCs w:val="22"/>
        </w:rPr>
      </w:pPr>
    </w:p>
    <w:p w14:paraId="371024B4" w14:textId="77777777" w:rsidR="00EE1090" w:rsidRDefault="00EE1090" w:rsidP="00EE1090">
      <w:pPr>
        <w:tabs>
          <w:tab w:val="left" w:pos="1080"/>
        </w:tabs>
        <w:rPr>
          <w:rFonts w:ascii="Arial" w:hAnsi="Arial" w:cs="Arial"/>
          <w:color w:val="auto"/>
          <w:sz w:val="22"/>
          <w:szCs w:val="22"/>
        </w:rPr>
      </w:pPr>
      <w:r w:rsidRPr="00EE1090">
        <w:rPr>
          <w:rFonts w:ascii="Arial" w:hAnsi="Arial" w:cs="Arial"/>
          <w:color w:val="auto"/>
          <w:sz w:val="22"/>
          <w:szCs w:val="22"/>
        </w:rPr>
        <w:t>Effective January 6, 2025, the following thyroid agent will require PA.</w:t>
      </w:r>
    </w:p>
    <w:p w14:paraId="6FA337EF" w14:textId="77777777" w:rsidR="00992143" w:rsidRPr="00EE1090" w:rsidRDefault="00992143" w:rsidP="00EE1090">
      <w:pPr>
        <w:tabs>
          <w:tab w:val="left" w:pos="1080"/>
        </w:tabs>
        <w:rPr>
          <w:rFonts w:ascii="Arial" w:hAnsi="Arial" w:cs="Arial"/>
          <w:color w:val="auto"/>
          <w:sz w:val="22"/>
          <w:szCs w:val="22"/>
        </w:rPr>
      </w:pPr>
    </w:p>
    <w:p w14:paraId="7BD8A7A3" w14:textId="6889F4C4" w:rsidR="006A28CD" w:rsidRPr="00EE1090" w:rsidRDefault="00EE1090" w:rsidP="00C92FCC">
      <w:pPr>
        <w:pStyle w:val="Default"/>
        <w:numPr>
          <w:ilvl w:val="0"/>
          <w:numId w:val="19"/>
        </w:numPr>
        <w:spacing w:line="276" w:lineRule="auto"/>
        <w:rPr>
          <w:rFonts w:ascii="Arial" w:hAnsi="Arial" w:cs="Arial"/>
          <w:color w:val="auto"/>
          <w:sz w:val="22"/>
          <w:szCs w:val="22"/>
        </w:rPr>
      </w:pPr>
      <w:proofErr w:type="spellStart"/>
      <w:r w:rsidRPr="00EE1090">
        <w:rPr>
          <w:rFonts w:ascii="Arial" w:hAnsi="Arial" w:cs="Arial"/>
          <w:color w:val="auto"/>
          <w:sz w:val="22"/>
          <w:szCs w:val="22"/>
        </w:rPr>
        <w:t>Tirosint</w:t>
      </w:r>
      <w:proofErr w:type="spellEnd"/>
      <w:r w:rsidRPr="00EE1090">
        <w:rPr>
          <w:rFonts w:ascii="Arial" w:hAnsi="Arial" w:cs="Arial"/>
          <w:color w:val="auto"/>
          <w:sz w:val="22"/>
          <w:szCs w:val="22"/>
        </w:rPr>
        <w:t xml:space="preserve"> (levothyroxine capsule) – PA; M90</w:t>
      </w:r>
    </w:p>
    <w:p w14:paraId="6E96466F" w14:textId="77777777" w:rsidR="006B20D5" w:rsidRDefault="006B20D5" w:rsidP="006B20D5">
      <w:pPr>
        <w:pStyle w:val="Heading2"/>
        <w:framePr w:hSpace="0" w:wrap="auto" w:vAnchor="margin" w:yAlign="inline"/>
        <w:spacing w:before="0" w:line="276" w:lineRule="auto"/>
        <w:rPr>
          <w:rFonts w:ascii="Arial" w:hAnsi="Arial" w:cs="Arial"/>
          <w:noProof/>
          <w:sz w:val="26"/>
          <w:szCs w:val="26"/>
        </w:rPr>
      </w:pPr>
    </w:p>
    <w:p w14:paraId="18A3C2C8" w14:textId="77777777" w:rsidR="00311223" w:rsidRPr="00311223" w:rsidRDefault="00311223" w:rsidP="00311223">
      <w:pPr>
        <w:pStyle w:val="Heading2"/>
        <w:framePr w:hSpace="0" w:wrap="auto" w:vAnchor="margin" w:yAlign="inline"/>
        <w:spacing w:before="0" w:line="276" w:lineRule="auto"/>
        <w:rPr>
          <w:rFonts w:ascii="Arial" w:hAnsi="Arial" w:cs="Arial"/>
          <w:sz w:val="26"/>
          <w:szCs w:val="26"/>
        </w:rPr>
      </w:pPr>
      <w:r w:rsidRPr="00311223">
        <w:rPr>
          <w:rFonts w:ascii="Arial" w:hAnsi="Arial" w:cs="Arial"/>
          <w:sz w:val="26"/>
          <w:szCs w:val="26"/>
        </w:rPr>
        <w:t>Change in MassHealth Brand Name Preferred Over Generic Drug List Status</w:t>
      </w:r>
    </w:p>
    <w:p w14:paraId="0714937D" w14:textId="77777777" w:rsidR="00062FC6" w:rsidRDefault="00062FC6" w:rsidP="006B20D5">
      <w:pPr>
        <w:spacing w:line="276" w:lineRule="auto"/>
      </w:pPr>
    </w:p>
    <w:p w14:paraId="51BBC682" w14:textId="77777777" w:rsidR="00EF3241" w:rsidRPr="00EF3241" w:rsidRDefault="00EF3241" w:rsidP="00EF3241">
      <w:pPr>
        <w:spacing w:line="259" w:lineRule="auto"/>
        <w:rPr>
          <w:rFonts w:ascii="Arial" w:hAnsi="Arial" w:cs="Arial"/>
          <w:bCs/>
          <w:color w:val="auto"/>
          <w:sz w:val="22"/>
          <w:szCs w:val="22"/>
        </w:rPr>
      </w:pPr>
      <w:r w:rsidRPr="00EF3241">
        <w:rPr>
          <w:rFonts w:ascii="Arial" w:hAnsi="Arial" w:cs="Arial"/>
          <w:bCs/>
          <w:color w:val="auto"/>
          <w:sz w:val="22"/>
          <w:szCs w:val="22"/>
        </w:rPr>
        <w:t>Effective January 6, 2025, the following agents will be added to the MassHealth Brand Name Preferred Over Generic Drug List.</w:t>
      </w:r>
    </w:p>
    <w:p w14:paraId="2BBB4A7C" w14:textId="77777777" w:rsidR="00EF3241" w:rsidRPr="00C92EE8" w:rsidRDefault="00EF3241" w:rsidP="00EF3241">
      <w:pPr>
        <w:spacing w:line="259" w:lineRule="auto"/>
        <w:rPr>
          <w:rFonts w:ascii="Arial" w:eastAsiaTheme="minorHAnsi" w:hAnsi="Arial" w:cs="Arial"/>
          <w:color w:val="auto"/>
          <w:kern w:val="0"/>
          <w:sz w:val="22"/>
          <w:szCs w:val="22"/>
        </w:rPr>
      </w:pPr>
    </w:p>
    <w:p w14:paraId="4B25480B"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bookmarkStart w:id="2" w:name="_Hlk11399419"/>
      <w:bookmarkStart w:id="3" w:name="_Hlk527542710"/>
      <w:proofErr w:type="spellStart"/>
      <w:r w:rsidRPr="00C92EE8">
        <w:rPr>
          <w:rFonts w:ascii="Arial" w:hAnsi="Arial" w:cs="Arial"/>
          <w:color w:val="auto"/>
          <w:sz w:val="22"/>
          <w:szCs w:val="22"/>
        </w:rPr>
        <w:t>Auryxia</w:t>
      </w:r>
      <w:proofErr w:type="spellEnd"/>
      <w:r w:rsidRPr="00C92EE8">
        <w:rPr>
          <w:rFonts w:ascii="Arial" w:hAnsi="Arial" w:cs="Arial"/>
          <w:color w:val="auto"/>
          <w:sz w:val="22"/>
          <w:szCs w:val="22"/>
        </w:rPr>
        <w:t xml:space="preserve"> (ferric citrate) – </w:t>
      </w:r>
      <w:r w:rsidRPr="00C92EE8">
        <w:rPr>
          <w:rFonts w:ascii="Arial" w:hAnsi="Arial" w:cs="Arial"/>
          <w:b/>
          <w:bCs/>
          <w:color w:val="auto"/>
          <w:sz w:val="22"/>
          <w:szCs w:val="22"/>
        </w:rPr>
        <w:t>PA</w:t>
      </w:r>
      <w:r w:rsidRPr="00C92EE8">
        <w:rPr>
          <w:rFonts w:ascii="Arial" w:hAnsi="Arial" w:cs="Arial"/>
          <w:color w:val="auto"/>
          <w:sz w:val="22"/>
          <w:szCs w:val="22"/>
        </w:rPr>
        <w:t>; BP</w:t>
      </w:r>
    </w:p>
    <w:p w14:paraId="7049B565"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proofErr w:type="spellStart"/>
      <w:r w:rsidRPr="00C92EE8">
        <w:rPr>
          <w:rFonts w:ascii="Arial" w:hAnsi="Arial" w:cs="Arial"/>
          <w:color w:val="auto"/>
          <w:sz w:val="22"/>
          <w:szCs w:val="22"/>
        </w:rPr>
        <w:t>Fycompa</w:t>
      </w:r>
      <w:proofErr w:type="spellEnd"/>
      <w:r w:rsidRPr="00C92EE8">
        <w:rPr>
          <w:rFonts w:ascii="Arial" w:hAnsi="Arial" w:cs="Arial"/>
          <w:color w:val="auto"/>
          <w:sz w:val="22"/>
          <w:szCs w:val="22"/>
        </w:rPr>
        <w:t xml:space="preserve"> (</w:t>
      </w:r>
      <w:proofErr w:type="spellStart"/>
      <w:r w:rsidRPr="00C92EE8">
        <w:rPr>
          <w:rFonts w:ascii="Arial" w:hAnsi="Arial" w:cs="Arial"/>
          <w:color w:val="auto"/>
          <w:sz w:val="22"/>
          <w:szCs w:val="22"/>
        </w:rPr>
        <w:t>perampanel</w:t>
      </w:r>
      <w:proofErr w:type="spellEnd"/>
      <w:r w:rsidRPr="00C92EE8">
        <w:rPr>
          <w:rFonts w:ascii="Arial" w:hAnsi="Arial" w:cs="Arial"/>
          <w:color w:val="auto"/>
          <w:sz w:val="22"/>
          <w:szCs w:val="22"/>
        </w:rPr>
        <w:t xml:space="preserve">) – </w:t>
      </w:r>
      <w:r w:rsidRPr="00C92EE8">
        <w:rPr>
          <w:rFonts w:ascii="Arial" w:hAnsi="Arial" w:cs="Arial"/>
          <w:b/>
          <w:bCs/>
          <w:color w:val="auto"/>
          <w:sz w:val="22"/>
          <w:szCs w:val="22"/>
        </w:rPr>
        <w:t>PA</w:t>
      </w:r>
      <w:r w:rsidRPr="00C92EE8">
        <w:rPr>
          <w:rFonts w:ascii="Arial" w:hAnsi="Arial" w:cs="Arial"/>
          <w:color w:val="auto"/>
          <w:sz w:val="22"/>
          <w:szCs w:val="22"/>
        </w:rPr>
        <w:t>; BP</w:t>
      </w:r>
    </w:p>
    <w:bookmarkEnd w:id="2"/>
    <w:bookmarkEnd w:id="3"/>
    <w:p w14:paraId="56C0D701"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proofErr w:type="spellStart"/>
      <w:r w:rsidRPr="00C92EE8">
        <w:rPr>
          <w:rFonts w:ascii="Arial" w:hAnsi="Arial" w:cs="Arial"/>
          <w:color w:val="auto"/>
          <w:sz w:val="22"/>
          <w:szCs w:val="22"/>
        </w:rPr>
        <w:t>Namzaric</w:t>
      </w:r>
      <w:proofErr w:type="spellEnd"/>
      <w:r w:rsidRPr="00C92EE8">
        <w:rPr>
          <w:rFonts w:ascii="Arial" w:hAnsi="Arial" w:cs="Arial"/>
          <w:color w:val="auto"/>
          <w:sz w:val="22"/>
          <w:szCs w:val="22"/>
        </w:rPr>
        <w:t xml:space="preserve"> (memantine/donepezil extended-release) – </w:t>
      </w:r>
      <w:r w:rsidRPr="00C92EE8">
        <w:rPr>
          <w:rFonts w:ascii="Arial" w:hAnsi="Arial" w:cs="Arial"/>
          <w:b/>
          <w:bCs/>
          <w:color w:val="auto"/>
          <w:sz w:val="22"/>
          <w:szCs w:val="22"/>
        </w:rPr>
        <w:t>PA</w:t>
      </w:r>
      <w:r w:rsidRPr="00C92EE8">
        <w:rPr>
          <w:rFonts w:ascii="Arial" w:hAnsi="Arial" w:cs="Arial"/>
          <w:color w:val="auto"/>
          <w:sz w:val="22"/>
          <w:szCs w:val="22"/>
        </w:rPr>
        <w:t>; BP</w:t>
      </w:r>
    </w:p>
    <w:p w14:paraId="3F05302F"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proofErr w:type="spellStart"/>
      <w:r w:rsidRPr="00C92EE8">
        <w:rPr>
          <w:rFonts w:ascii="Arial" w:hAnsi="Arial" w:cs="Arial"/>
          <w:color w:val="auto"/>
          <w:sz w:val="22"/>
          <w:szCs w:val="22"/>
        </w:rPr>
        <w:t>Ravicti</w:t>
      </w:r>
      <w:proofErr w:type="spellEnd"/>
      <w:r w:rsidRPr="00C92EE8">
        <w:rPr>
          <w:rFonts w:ascii="Arial" w:hAnsi="Arial" w:cs="Arial"/>
          <w:color w:val="auto"/>
          <w:sz w:val="22"/>
          <w:szCs w:val="22"/>
        </w:rPr>
        <w:t xml:space="preserve"> (glycerol phenylbutyrate) – </w:t>
      </w:r>
      <w:r w:rsidRPr="00C92EE8">
        <w:rPr>
          <w:rFonts w:ascii="Arial" w:hAnsi="Arial" w:cs="Arial"/>
          <w:b/>
          <w:bCs/>
          <w:color w:val="auto"/>
          <w:sz w:val="22"/>
          <w:szCs w:val="22"/>
        </w:rPr>
        <w:t>PA</w:t>
      </w:r>
      <w:r w:rsidRPr="00C92EE8">
        <w:rPr>
          <w:rFonts w:ascii="Arial" w:hAnsi="Arial" w:cs="Arial"/>
          <w:color w:val="auto"/>
          <w:sz w:val="22"/>
          <w:szCs w:val="22"/>
        </w:rPr>
        <w:t>; BP</w:t>
      </w:r>
    </w:p>
    <w:p w14:paraId="4516475A"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proofErr w:type="spellStart"/>
      <w:r w:rsidRPr="00C92EE8">
        <w:rPr>
          <w:rFonts w:ascii="Arial" w:hAnsi="Arial" w:cs="Arial"/>
          <w:color w:val="auto"/>
          <w:sz w:val="22"/>
          <w:szCs w:val="22"/>
        </w:rPr>
        <w:t>Rytary</w:t>
      </w:r>
      <w:proofErr w:type="spellEnd"/>
      <w:r w:rsidRPr="00C92EE8">
        <w:rPr>
          <w:rFonts w:ascii="Arial" w:hAnsi="Arial" w:cs="Arial"/>
          <w:color w:val="auto"/>
          <w:sz w:val="22"/>
          <w:szCs w:val="22"/>
        </w:rPr>
        <w:t xml:space="preserve"> (carbidopa/levodopa extended-release capsule) – </w:t>
      </w:r>
      <w:r w:rsidRPr="00C92EE8">
        <w:rPr>
          <w:rFonts w:ascii="Arial" w:hAnsi="Arial" w:cs="Arial"/>
          <w:b/>
          <w:bCs/>
          <w:color w:val="auto"/>
          <w:sz w:val="22"/>
          <w:szCs w:val="22"/>
        </w:rPr>
        <w:t>PA</w:t>
      </w:r>
      <w:r w:rsidRPr="00C92EE8">
        <w:rPr>
          <w:rFonts w:ascii="Arial" w:hAnsi="Arial" w:cs="Arial"/>
          <w:color w:val="auto"/>
          <w:sz w:val="22"/>
          <w:szCs w:val="22"/>
        </w:rPr>
        <w:t>; BP</w:t>
      </w:r>
    </w:p>
    <w:p w14:paraId="02BC1E17"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proofErr w:type="spellStart"/>
      <w:r w:rsidRPr="00C92EE8">
        <w:rPr>
          <w:rFonts w:ascii="Arial" w:hAnsi="Arial" w:cs="Arial"/>
          <w:color w:val="auto"/>
          <w:sz w:val="22"/>
          <w:szCs w:val="22"/>
        </w:rPr>
        <w:t>Sancuso</w:t>
      </w:r>
      <w:proofErr w:type="spellEnd"/>
      <w:r w:rsidRPr="00C92EE8">
        <w:rPr>
          <w:rFonts w:ascii="Arial" w:hAnsi="Arial" w:cs="Arial"/>
          <w:color w:val="auto"/>
          <w:sz w:val="22"/>
          <w:szCs w:val="22"/>
        </w:rPr>
        <w:t xml:space="preserve"> (</w:t>
      </w:r>
      <w:proofErr w:type="spellStart"/>
      <w:r w:rsidRPr="00C92EE8">
        <w:rPr>
          <w:rFonts w:ascii="Arial" w:hAnsi="Arial" w:cs="Arial"/>
          <w:color w:val="auto"/>
          <w:sz w:val="22"/>
          <w:szCs w:val="22"/>
        </w:rPr>
        <w:t>granisetron</w:t>
      </w:r>
      <w:proofErr w:type="spellEnd"/>
      <w:r w:rsidRPr="00C92EE8">
        <w:rPr>
          <w:rFonts w:ascii="Arial" w:hAnsi="Arial" w:cs="Arial"/>
          <w:color w:val="auto"/>
          <w:sz w:val="22"/>
          <w:szCs w:val="22"/>
        </w:rPr>
        <w:t xml:space="preserve"> transdermal system) – </w:t>
      </w:r>
      <w:r w:rsidRPr="00C92EE8">
        <w:rPr>
          <w:rFonts w:ascii="Arial" w:hAnsi="Arial" w:cs="Arial"/>
          <w:b/>
          <w:bCs/>
          <w:color w:val="auto"/>
          <w:sz w:val="22"/>
          <w:szCs w:val="22"/>
        </w:rPr>
        <w:t>PA</w:t>
      </w:r>
      <w:r w:rsidRPr="00C92EE8">
        <w:rPr>
          <w:rFonts w:ascii="Arial" w:hAnsi="Arial" w:cs="Arial"/>
          <w:color w:val="auto"/>
          <w:sz w:val="22"/>
          <w:szCs w:val="22"/>
        </w:rPr>
        <w:t>; BP</w:t>
      </w:r>
    </w:p>
    <w:p w14:paraId="05DB1C65"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proofErr w:type="spellStart"/>
      <w:r w:rsidRPr="00C92EE8">
        <w:rPr>
          <w:rFonts w:ascii="Arial" w:hAnsi="Arial" w:cs="Arial"/>
          <w:color w:val="auto"/>
          <w:sz w:val="22"/>
          <w:szCs w:val="22"/>
        </w:rPr>
        <w:t>Sandostatin</w:t>
      </w:r>
      <w:proofErr w:type="spellEnd"/>
      <w:r w:rsidRPr="00C92EE8">
        <w:rPr>
          <w:rFonts w:ascii="Arial" w:hAnsi="Arial" w:cs="Arial"/>
          <w:color w:val="auto"/>
          <w:sz w:val="22"/>
          <w:szCs w:val="22"/>
        </w:rPr>
        <w:t xml:space="preserve"> LAR (octreotide injectable suspension); BP</w:t>
      </w:r>
    </w:p>
    <w:p w14:paraId="41DCFF79"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r w:rsidRPr="00C92EE8">
        <w:rPr>
          <w:rFonts w:ascii="Arial" w:hAnsi="Arial" w:cs="Arial"/>
          <w:color w:val="auto"/>
          <w:sz w:val="22"/>
          <w:szCs w:val="22"/>
        </w:rPr>
        <w:t>Xarelto (rivaroxaban 10 mg, 15 mg, 20 mg tablet, starter pack); BP</w:t>
      </w:r>
    </w:p>
    <w:p w14:paraId="564198F1" w14:textId="77777777" w:rsidR="00EF3241" w:rsidRPr="00C92EE8" w:rsidRDefault="00EF3241" w:rsidP="00EF3241">
      <w:pPr>
        <w:pStyle w:val="Default"/>
        <w:numPr>
          <w:ilvl w:val="0"/>
          <w:numId w:val="19"/>
        </w:numPr>
        <w:spacing w:line="276" w:lineRule="auto"/>
        <w:rPr>
          <w:rFonts w:ascii="Arial" w:hAnsi="Arial" w:cs="Arial"/>
          <w:color w:val="auto"/>
          <w:sz w:val="22"/>
          <w:szCs w:val="22"/>
        </w:rPr>
      </w:pPr>
      <w:r w:rsidRPr="00C92EE8">
        <w:rPr>
          <w:rFonts w:ascii="Arial" w:hAnsi="Arial" w:cs="Arial"/>
          <w:color w:val="auto"/>
          <w:sz w:val="22"/>
          <w:szCs w:val="22"/>
        </w:rPr>
        <w:t xml:space="preserve">Xarelto (rivaroxaban 2.5 mg tablet) – </w:t>
      </w:r>
      <w:r w:rsidRPr="00C92EE8">
        <w:rPr>
          <w:rFonts w:ascii="Arial" w:hAnsi="Arial" w:cs="Arial"/>
          <w:b/>
          <w:bCs/>
          <w:color w:val="auto"/>
          <w:sz w:val="22"/>
          <w:szCs w:val="22"/>
        </w:rPr>
        <w:t>PA</w:t>
      </w:r>
      <w:r w:rsidRPr="00C92EE8">
        <w:rPr>
          <w:rFonts w:ascii="Arial" w:hAnsi="Arial" w:cs="Arial"/>
          <w:color w:val="auto"/>
          <w:sz w:val="22"/>
          <w:szCs w:val="22"/>
        </w:rPr>
        <w:t>; BP</w:t>
      </w:r>
    </w:p>
    <w:p w14:paraId="2D9537DC" w14:textId="77777777" w:rsidR="00EF3241" w:rsidRPr="00C92EE8" w:rsidRDefault="00EF3241" w:rsidP="00EF3241">
      <w:pPr>
        <w:spacing w:line="259" w:lineRule="auto"/>
        <w:rPr>
          <w:rFonts w:ascii="Arial" w:eastAsiaTheme="minorHAnsi" w:hAnsi="Arial" w:cs="Arial"/>
          <w:color w:val="auto"/>
          <w:kern w:val="0"/>
          <w:sz w:val="22"/>
          <w:szCs w:val="22"/>
        </w:rPr>
      </w:pPr>
    </w:p>
    <w:p w14:paraId="508CB263" w14:textId="77777777" w:rsidR="00EF3241" w:rsidRPr="00EF3241" w:rsidRDefault="00EF3241" w:rsidP="00EF3241">
      <w:pPr>
        <w:spacing w:line="259" w:lineRule="auto"/>
        <w:rPr>
          <w:rFonts w:ascii="Arial" w:hAnsi="Arial" w:cs="Arial"/>
          <w:bCs/>
          <w:color w:val="auto"/>
          <w:sz w:val="22"/>
          <w:szCs w:val="22"/>
        </w:rPr>
      </w:pPr>
      <w:r w:rsidRPr="00EF3241">
        <w:rPr>
          <w:rFonts w:ascii="Arial" w:hAnsi="Arial" w:cs="Arial"/>
          <w:bCs/>
          <w:color w:val="auto"/>
          <w:sz w:val="22"/>
          <w:szCs w:val="22"/>
        </w:rPr>
        <w:t>Effective January 6, 2025, the following agents will be removed from the MassHealth Brand Name Preferred Over Generic Drug List.</w:t>
      </w:r>
    </w:p>
    <w:p w14:paraId="40A45409" w14:textId="77777777" w:rsidR="00EF3241" w:rsidRPr="00C92EE8" w:rsidRDefault="00EF3241" w:rsidP="00EF3241">
      <w:pPr>
        <w:spacing w:line="259" w:lineRule="auto"/>
        <w:rPr>
          <w:rFonts w:ascii="Arial" w:eastAsiaTheme="minorHAnsi" w:hAnsi="Arial" w:cs="Arial"/>
          <w:color w:val="auto"/>
          <w:kern w:val="0"/>
          <w:sz w:val="22"/>
          <w:szCs w:val="22"/>
        </w:rPr>
      </w:pPr>
    </w:p>
    <w:p w14:paraId="7B38AF76" w14:textId="77777777" w:rsidR="00EF3241" w:rsidRPr="00C92FCC" w:rsidRDefault="00EF3241" w:rsidP="00C92FCC">
      <w:pPr>
        <w:pStyle w:val="Default"/>
        <w:numPr>
          <w:ilvl w:val="0"/>
          <w:numId w:val="19"/>
        </w:numPr>
        <w:spacing w:line="276" w:lineRule="auto"/>
        <w:rPr>
          <w:rFonts w:ascii="Arial" w:hAnsi="Arial" w:cs="Arial"/>
          <w:color w:val="auto"/>
          <w:sz w:val="22"/>
          <w:szCs w:val="22"/>
        </w:rPr>
      </w:pPr>
      <w:proofErr w:type="spellStart"/>
      <w:r w:rsidRPr="00C92FCC">
        <w:rPr>
          <w:rFonts w:ascii="Arial" w:hAnsi="Arial" w:cs="Arial"/>
          <w:color w:val="auto"/>
          <w:sz w:val="22"/>
          <w:szCs w:val="22"/>
        </w:rPr>
        <w:t>Afinitor</w:t>
      </w:r>
      <w:proofErr w:type="spellEnd"/>
      <w:r w:rsidRPr="00C92FCC">
        <w:rPr>
          <w:rFonts w:ascii="Arial" w:hAnsi="Arial" w:cs="Arial"/>
          <w:color w:val="auto"/>
          <w:sz w:val="22"/>
          <w:szCs w:val="22"/>
        </w:rPr>
        <w:t xml:space="preserve"> (</w:t>
      </w:r>
      <w:proofErr w:type="spellStart"/>
      <w:r w:rsidRPr="00C92FCC">
        <w:rPr>
          <w:rFonts w:ascii="Arial" w:hAnsi="Arial" w:cs="Arial"/>
          <w:color w:val="auto"/>
          <w:sz w:val="22"/>
          <w:szCs w:val="22"/>
        </w:rPr>
        <w:t>everolimus</w:t>
      </w:r>
      <w:proofErr w:type="spellEnd"/>
      <w:r w:rsidRPr="00C92FCC">
        <w:rPr>
          <w:rFonts w:ascii="Arial" w:hAnsi="Arial" w:cs="Arial"/>
          <w:color w:val="auto"/>
          <w:sz w:val="22"/>
          <w:szCs w:val="22"/>
        </w:rPr>
        <w:t xml:space="preserve"> 2.5 mg, 5 mg, 7.5 mg, 10 mg) – </w:t>
      </w:r>
      <w:r w:rsidRPr="005E576E">
        <w:rPr>
          <w:rFonts w:ascii="Arial" w:hAnsi="Arial" w:cs="Arial"/>
          <w:b/>
          <w:bCs/>
          <w:color w:val="auto"/>
          <w:sz w:val="22"/>
          <w:szCs w:val="22"/>
        </w:rPr>
        <w:t>PA</w:t>
      </w:r>
      <w:r w:rsidRPr="00C92FCC">
        <w:rPr>
          <w:rFonts w:ascii="Arial" w:hAnsi="Arial" w:cs="Arial"/>
          <w:color w:val="auto"/>
          <w:sz w:val="22"/>
          <w:szCs w:val="22"/>
        </w:rPr>
        <w:t>; A90</w:t>
      </w:r>
    </w:p>
    <w:p w14:paraId="48B04C09" w14:textId="77777777" w:rsidR="00EF3241" w:rsidRPr="00C92FCC" w:rsidRDefault="00EF3241" w:rsidP="00C92FCC">
      <w:pPr>
        <w:pStyle w:val="Default"/>
        <w:numPr>
          <w:ilvl w:val="0"/>
          <w:numId w:val="19"/>
        </w:numPr>
        <w:spacing w:line="276" w:lineRule="auto"/>
        <w:rPr>
          <w:rFonts w:ascii="Arial" w:hAnsi="Arial" w:cs="Arial"/>
          <w:color w:val="auto"/>
          <w:sz w:val="22"/>
          <w:szCs w:val="22"/>
        </w:rPr>
      </w:pPr>
      <w:r w:rsidRPr="00C92FCC">
        <w:rPr>
          <w:rFonts w:ascii="Arial" w:hAnsi="Arial" w:cs="Arial"/>
          <w:color w:val="auto"/>
          <w:sz w:val="22"/>
          <w:szCs w:val="22"/>
        </w:rPr>
        <w:t xml:space="preserve">Focalin XR (dexmethylphenidate extended-release) – </w:t>
      </w:r>
      <w:r w:rsidRPr="005E576E">
        <w:rPr>
          <w:rFonts w:ascii="Arial" w:hAnsi="Arial" w:cs="Arial"/>
          <w:b/>
          <w:bCs/>
          <w:color w:val="auto"/>
          <w:sz w:val="22"/>
          <w:szCs w:val="22"/>
        </w:rPr>
        <w:t>PA</w:t>
      </w:r>
      <w:r w:rsidRPr="00C92FCC">
        <w:rPr>
          <w:rFonts w:ascii="Arial" w:hAnsi="Arial" w:cs="Arial"/>
          <w:color w:val="auto"/>
          <w:sz w:val="22"/>
          <w:szCs w:val="22"/>
        </w:rPr>
        <w:t xml:space="preserve"> </w:t>
      </w:r>
      <w:r w:rsidRPr="00C409B3">
        <w:rPr>
          <w:rFonts w:ascii="Arial" w:hAnsi="Arial" w:cs="Arial"/>
          <w:b/>
          <w:bCs/>
          <w:color w:val="auto"/>
          <w:sz w:val="22"/>
          <w:szCs w:val="22"/>
        </w:rPr>
        <w:t>&lt; 3 years or ≥ 21 years and PA &gt; 2 units/day</w:t>
      </w:r>
      <w:r w:rsidRPr="00C92FCC">
        <w:rPr>
          <w:rFonts w:ascii="Arial" w:hAnsi="Arial" w:cs="Arial"/>
          <w:color w:val="auto"/>
          <w:sz w:val="22"/>
          <w:szCs w:val="22"/>
        </w:rPr>
        <w:t xml:space="preserve">; # </w:t>
      </w:r>
    </w:p>
    <w:p w14:paraId="2E61CD03" w14:textId="77777777" w:rsidR="00EF3241" w:rsidRPr="00C92FCC" w:rsidRDefault="00EF3241" w:rsidP="00C92FCC">
      <w:pPr>
        <w:pStyle w:val="Default"/>
        <w:numPr>
          <w:ilvl w:val="0"/>
          <w:numId w:val="19"/>
        </w:numPr>
        <w:spacing w:line="276" w:lineRule="auto"/>
        <w:rPr>
          <w:rFonts w:ascii="Arial" w:hAnsi="Arial" w:cs="Arial"/>
          <w:color w:val="auto"/>
          <w:sz w:val="22"/>
          <w:szCs w:val="22"/>
        </w:rPr>
      </w:pPr>
      <w:proofErr w:type="spellStart"/>
      <w:r w:rsidRPr="00C92FCC">
        <w:rPr>
          <w:rFonts w:ascii="Arial" w:hAnsi="Arial" w:cs="Arial"/>
          <w:color w:val="auto"/>
          <w:sz w:val="22"/>
          <w:szCs w:val="22"/>
        </w:rPr>
        <w:t>Gelnique</w:t>
      </w:r>
      <w:proofErr w:type="spellEnd"/>
      <w:r w:rsidRPr="00C92FCC">
        <w:rPr>
          <w:rFonts w:ascii="Arial" w:hAnsi="Arial" w:cs="Arial"/>
          <w:color w:val="auto"/>
          <w:sz w:val="22"/>
          <w:szCs w:val="22"/>
        </w:rPr>
        <w:t xml:space="preserve"> (oxybutynin gel)</w:t>
      </w:r>
    </w:p>
    <w:p w14:paraId="7902BA76" w14:textId="77777777" w:rsidR="00EF3241" w:rsidRPr="00C92FCC" w:rsidRDefault="00EF3241" w:rsidP="00C92FCC">
      <w:pPr>
        <w:pStyle w:val="Default"/>
        <w:numPr>
          <w:ilvl w:val="0"/>
          <w:numId w:val="19"/>
        </w:numPr>
        <w:spacing w:line="276" w:lineRule="auto"/>
        <w:rPr>
          <w:rFonts w:ascii="Arial" w:hAnsi="Arial" w:cs="Arial"/>
          <w:color w:val="auto"/>
          <w:sz w:val="22"/>
          <w:szCs w:val="22"/>
        </w:rPr>
      </w:pPr>
      <w:proofErr w:type="spellStart"/>
      <w:r w:rsidRPr="00C92FCC">
        <w:rPr>
          <w:rFonts w:ascii="Arial" w:hAnsi="Arial" w:cs="Arial"/>
          <w:color w:val="auto"/>
          <w:sz w:val="22"/>
          <w:szCs w:val="22"/>
        </w:rPr>
        <w:lastRenderedPageBreak/>
        <w:t>Kombiglyze</w:t>
      </w:r>
      <w:proofErr w:type="spellEnd"/>
      <w:r w:rsidRPr="00C92FCC">
        <w:rPr>
          <w:rFonts w:ascii="Arial" w:hAnsi="Arial" w:cs="Arial"/>
          <w:color w:val="auto"/>
          <w:sz w:val="22"/>
          <w:szCs w:val="22"/>
        </w:rPr>
        <w:t xml:space="preserve"> XR (</w:t>
      </w:r>
      <w:proofErr w:type="spellStart"/>
      <w:r w:rsidRPr="00C92FCC">
        <w:rPr>
          <w:rFonts w:ascii="Arial" w:hAnsi="Arial" w:cs="Arial"/>
          <w:color w:val="auto"/>
          <w:sz w:val="22"/>
          <w:szCs w:val="22"/>
        </w:rPr>
        <w:t>saxagliptin</w:t>
      </w:r>
      <w:proofErr w:type="spellEnd"/>
      <w:r w:rsidRPr="00C92FCC">
        <w:rPr>
          <w:rFonts w:ascii="Arial" w:hAnsi="Arial" w:cs="Arial"/>
          <w:color w:val="auto"/>
          <w:sz w:val="22"/>
          <w:szCs w:val="22"/>
        </w:rPr>
        <w:t xml:space="preserve">/metformin) – </w:t>
      </w:r>
      <w:r w:rsidRPr="00076469">
        <w:rPr>
          <w:rFonts w:ascii="Arial" w:hAnsi="Arial" w:cs="Arial"/>
          <w:b/>
          <w:bCs/>
          <w:color w:val="auto"/>
          <w:sz w:val="22"/>
          <w:szCs w:val="22"/>
        </w:rPr>
        <w:t>PA</w:t>
      </w:r>
      <w:r w:rsidRPr="00C92FCC">
        <w:rPr>
          <w:rFonts w:ascii="Arial" w:hAnsi="Arial" w:cs="Arial"/>
          <w:color w:val="auto"/>
          <w:sz w:val="22"/>
          <w:szCs w:val="22"/>
        </w:rPr>
        <w:t>; M90</w:t>
      </w:r>
    </w:p>
    <w:p w14:paraId="78B840EB" w14:textId="77777777" w:rsidR="00EF3241" w:rsidRPr="00C92FCC" w:rsidRDefault="00EF3241" w:rsidP="00C92FCC">
      <w:pPr>
        <w:pStyle w:val="Default"/>
        <w:numPr>
          <w:ilvl w:val="0"/>
          <w:numId w:val="19"/>
        </w:numPr>
        <w:spacing w:line="276" w:lineRule="auto"/>
        <w:rPr>
          <w:rFonts w:ascii="Arial" w:hAnsi="Arial" w:cs="Arial"/>
          <w:color w:val="auto"/>
          <w:sz w:val="22"/>
          <w:szCs w:val="22"/>
        </w:rPr>
      </w:pPr>
      <w:proofErr w:type="spellStart"/>
      <w:r w:rsidRPr="00C92FCC">
        <w:rPr>
          <w:rFonts w:ascii="Arial" w:hAnsi="Arial" w:cs="Arial"/>
          <w:color w:val="auto"/>
          <w:sz w:val="22"/>
          <w:szCs w:val="22"/>
        </w:rPr>
        <w:t>Revatio</w:t>
      </w:r>
      <w:proofErr w:type="spellEnd"/>
      <w:r w:rsidRPr="00C92FCC">
        <w:rPr>
          <w:rFonts w:ascii="Arial" w:hAnsi="Arial" w:cs="Arial"/>
          <w:color w:val="auto"/>
          <w:sz w:val="22"/>
          <w:szCs w:val="22"/>
        </w:rPr>
        <w:t xml:space="preserve"> (sildenafil oral suspension) – </w:t>
      </w:r>
      <w:r w:rsidRPr="00076469">
        <w:rPr>
          <w:rFonts w:ascii="Arial" w:hAnsi="Arial" w:cs="Arial"/>
          <w:b/>
          <w:bCs/>
          <w:color w:val="auto"/>
          <w:sz w:val="22"/>
          <w:szCs w:val="22"/>
        </w:rPr>
        <w:t>PA</w:t>
      </w:r>
      <w:r w:rsidRPr="00C92FCC">
        <w:rPr>
          <w:rFonts w:ascii="Arial" w:hAnsi="Arial" w:cs="Arial"/>
          <w:color w:val="auto"/>
          <w:sz w:val="22"/>
          <w:szCs w:val="22"/>
        </w:rPr>
        <w:t>; A90</w:t>
      </w:r>
    </w:p>
    <w:p w14:paraId="4F9F618B" w14:textId="77777777" w:rsidR="00EF3241" w:rsidRPr="00C92FCC" w:rsidRDefault="00EF3241" w:rsidP="00C92FCC">
      <w:pPr>
        <w:pStyle w:val="Default"/>
        <w:numPr>
          <w:ilvl w:val="0"/>
          <w:numId w:val="19"/>
        </w:numPr>
        <w:spacing w:line="276" w:lineRule="auto"/>
        <w:rPr>
          <w:rFonts w:ascii="Arial" w:hAnsi="Arial" w:cs="Arial"/>
          <w:color w:val="auto"/>
          <w:sz w:val="22"/>
          <w:szCs w:val="22"/>
        </w:rPr>
      </w:pPr>
      <w:proofErr w:type="spellStart"/>
      <w:r w:rsidRPr="00C92FCC">
        <w:rPr>
          <w:rFonts w:ascii="Arial" w:hAnsi="Arial" w:cs="Arial"/>
          <w:color w:val="auto"/>
          <w:sz w:val="22"/>
          <w:szCs w:val="22"/>
        </w:rPr>
        <w:t>Samsca</w:t>
      </w:r>
      <w:proofErr w:type="spellEnd"/>
      <w:r w:rsidRPr="00C92FCC">
        <w:rPr>
          <w:rFonts w:ascii="Arial" w:hAnsi="Arial" w:cs="Arial"/>
          <w:color w:val="auto"/>
          <w:sz w:val="22"/>
          <w:szCs w:val="22"/>
        </w:rPr>
        <w:t xml:space="preserve"> (tolvaptan) – </w:t>
      </w:r>
      <w:r w:rsidRPr="00076469">
        <w:rPr>
          <w:rFonts w:ascii="Arial" w:hAnsi="Arial" w:cs="Arial"/>
          <w:b/>
          <w:bCs/>
          <w:color w:val="auto"/>
          <w:sz w:val="22"/>
          <w:szCs w:val="22"/>
        </w:rPr>
        <w:t>PA</w:t>
      </w:r>
      <w:r w:rsidRPr="00C92FCC">
        <w:rPr>
          <w:rFonts w:ascii="Arial" w:hAnsi="Arial" w:cs="Arial"/>
          <w:color w:val="auto"/>
          <w:sz w:val="22"/>
          <w:szCs w:val="22"/>
        </w:rPr>
        <w:t>; A90</w:t>
      </w:r>
    </w:p>
    <w:p w14:paraId="306DFA2C" w14:textId="77777777" w:rsidR="00EF3241" w:rsidRPr="00C92FCC" w:rsidRDefault="00EF3241" w:rsidP="00C92FCC">
      <w:pPr>
        <w:pStyle w:val="Default"/>
        <w:numPr>
          <w:ilvl w:val="0"/>
          <w:numId w:val="19"/>
        </w:numPr>
        <w:spacing w:line="276" w:lineRule="auto"/>
        <w:rPr>
          <w:rFonts w:ascii="Arial" w:hAnsi="Arial" w:cs="Arial"/>
          <w:color w:val="auto"/>
          <w:sz w:val="22"/>
          <w:szCs w:val="22"/>
        </w:rPr>
      </w:pPr>
      <w:proofErr w:type="spellStart"/>
      <w:r w:rsidRPr="00C92FCC">
        <w:rPr>
          <w:rFonts w:ascii="Arial" w:hAnsi="Arial" w:cs="Arial"/>
          <w:color w:val="auto"/>
          <w:sz w:val="22"/>
          <w:szCs w:val="22"/>
        </w:rPr>
        <w:t>Tirosint</w:t>
      </w:r>
      <w:proofErr w:type="spellEnd"/>
      <w:r w:rsidRPr="00C92FCC">
        <w:rPr>
          <w:rFonts w:ascii="Arial" w:hAnsi="Arial" w:cs="Arial"/>
          <w:color w:val="auto"/>
          <w:sz w:val="22"/>
          <w:szCs w:val="22"/>
        </w:rPr>
        <w:t xml:space="preserve"> (levothyroxine capsule) – </w:t>
      </w:r>
      <w:r w:rsidRPr="00076469">
        <w:rPr>
          <w:rFonts w:ascii="Arial" w:hAnsi="Arial" w:cs="Arial"/>
          <w:b/>
          <w:bCs/>
          <w:color w:val="auto"/>
          <w:sz w:val="22"/>
          <w:szCs w:val="22"/>
        </w:rPr>
        <w:t>PA</w:t>
      </w:r>
      <w:r w:rsidRPr="00C92FCC">
        <w:rPr>
          <w:rFonts w:ascii="Arial" w:hAnsi="Arial" w:cs="Arial"/>
          <w:color w:val="auto"/>
          <w:sz w:val="22"/>
          <w:szCs w:val="22"/>
        </w:rPr>
        <w:t xml:space="preserve">; M90 </w:t>
      </w:r>
    </w:p>
    <w:p w14:paraId="06233A50" w14:textId="77777777" w:rsidR="00EF3241" w:rsidRPr="00C92EE8" w:rsidRDefault="00EF3241" w:rsidP="00EF3241">
      <w:pPr>
        <w:pStyle w:val="Default"/>
        <w:numPr>
          <w:ilvl w:val="0"/>
          <w:numId w:val="20"/>
        </w:numPr>
        <w:spacing w:line="276" w:lineRule="auto"/>
        <w:rPr>
          <w:rFonts w:ascii="Arial" w:hAnsi="Arial" w:cs="Arial"/>
          <w:color w:val="auto"/>
          <w:sz w:val="22"/>
          <w:szCs w:val="22"/>
        </w:rPr>
      </w:pPr>
      <w:proofErr w:type="spellStart"/>
      <w:r w:rsidRPr="00C92EE8">
        <w:rPr>
          <w:rFonts w:ascii="Arial" w:hAnsi="Arial" w:cs="Arial"/>
          <w:color w:val="auto"/>
          <w:sz w:val="22"/>
          <w:szCs w:val="22"/>
        </w:rPr>
        <w:t>Vascepa</w:t>
      </w:r>
      <w:proofErr w:type="spellEnd"/>
      <w:r w:rsidRPr="00C92EE8">
        <w:rPr>
          <w:rFonts w:ascii="Arial" w:hAnsi="Arial" w:cs="Arial"/>
          <w:color w:val="auto"/>
          <w:sz w:val="22"/>
          <w:szCs w:val="22"/>
        </w:rPr>
        <w:t xml:space="preserve"> (</w:t>
      </w:r>
      <w:proofErr w:type="spellStart"/>
      <w:r w:rsidRPr="00C92EE8">
        <w:rPr>
          <w:rFonts w:ascii="Arial" w:hAnsi="Arial" w:cs="Arial"/>
          <w:color w:val="auto"/>
          <w:sz w:val="22"/>
          <w:szCs w:val="22"/>
        </w:rPr>
        <w:t>icosapent</w:t>
      </w:r>
      <w:proofErr w:type="spellEnd"/>
      <w:r w:rsidRPr="00C92EE8">
        <w:rPr>
          <w:rFonts w:ascii="Arial" w:hAnsi="Arial" w:cs="Arial"/>
          <w:color w:val="auto"/>
          <w:sz w:val="22"/>
          <w:szCs w:val="22"/>
        </w:rPr>
        <w:t xml:space="preserve"> ethyl) – </w:t>
      </w:r>
      <w:r w:rsidRPr="00C92EE8">
        <w:rPr>
          <w:rFonts w:ascii="Arial" w:hAnsi="Arial" w:cs="Arial"/>
          <w:b/>
          <w:bCs/>
          <w:color w:val="auto"/>
          <w:sz w:val="22"/>
          <w:szCs w:val="22"/>
        </w:rPr>
        <w:t>PA</w:t>
      </w:r>
      <w:r w:rsidRPr="00C92EE8">
        <w:rPr>
          <w:rFonts w:ascii="Arial" w:hAnsi="Arial" w:cs="Arial"/>
          <w:color w:val="auto"/>
          <w:sz w:val="22"/>
          <w:szCs w:val="22"/>
        </w:rPr>
        <w:t xml:space="preserve">; M90 </w:t>
      </w:r>
    </w:p>
    <w:p w14:paraId="500936F1" w14:textId="21364154" w:rsidR="00205E56" w:rsidRPr="00205E56" w:rsidRDefault="00FC575E" w:rsidP="00CB1524">
      <w:pPr>
        <w:pStyle w:val="Heading2"/>
        <w:framePr w:hSpace="0" w:wrap="auto" w:vAnchor="margin" w:yAlign="inline"/>
        <w:spacing w:before="360" w:line="276" w:lineRule="auto"/>
      </w:pPr>
      <w:r>
        <w:rPr>
          <w:rFonts w:ascii="Arial" w:hAnsi="Arial" w:cs="Arial"/>
          <w:sz w:val="22"/>
          <w:szCs w:val="22"/>
        </w:rPr>
        <w:t>Deletions</w:t>
      </w:r>
    </w:p>
    <w:p w14:paraId="751BFBBB" w14:textId="14E34465" w:rsidR="0019219C" w:rsidRPr="0019219C" w:rsidRDefault="0019219C" w:rsidP="0019219C">
      <w:pPr>
        <w:spacing w:line="259" w:lineRule="auto"/>
        <w:rPr>
          <w:rFonts w:ascii="Arial" w:hAnsi="Arial" w:cs="Arial"/>
          <w:bCs/>
          <w:color w:val="auto"/>
          <w:sz w:val="22"/>
          <w:szCs w:val="22"/>
        </w:rPr>
      </w:pPr>
      <w:r w:rsidRPr="0019219C">
        <w:rPr>
          <w:rFonts w:ascii="Arial" w:hAnsi="Arial" w:cs="Arial"/>
          <w:bCs/>
          <w:color w:val="auto"/>
          <w:sz w:val="22"/>
          <w:szCs w:val="22"/>
        </w:rPr>
        <w:t xml:space="preserve">The following drugs </w:t>
      </w:r>
      <w:r w:rsidR="004D493F">
        <w:rPr>
          <w:rFonts w:ascii="Arial" w:hAnsi="Arial" w:cs="Arial"/>
          <w:bCs/>
          <w:color w:val="auto"/>
          <w:sz w:val="22"/>
          <w:szCs w:val="22"/>
        </w:rPr>
        <w:t>will</w:t>
      </w:r>
      <w:r w:rsidRPr="0019219C">
        <w:rPr>
          <w:rFonts w:ascii="Arial" w:hAnsi="Arial" w:cs="Arial"/>
          <w:bCs/>
          <w:color w:val="auto"/>
          <w:sz w:val="22"/>
          <w:szCs w:val="22"/>
        </w:rPr>
        <w:t xml:space="preserve"> be removed from the MassHealth Drug List </w:t>
      </w:r>
      <w:r w:rsidR="004D493F">
        <w:rPr>
          <w:rFonts w:ascii="Arial" w:hAnsi="Arial" w:cs="Arial"/>
          <w:bCs/>
          <w:color w:val="auto"/>
          <w:sz w:val="22"/>
          <w:szCs w:val="22"/>
        </w:rPr>
        <w:t xml:space="preserve">effective January 6, 2025, </w:t>
      </w:r>
      <w:r w:rsidRPr="0019219C">
        <w:rPr>
          <w:rFonts w:ascii="Arial" w:hAnsi="Arial" w:cs="Arial"/>
          <w:bCs/>
          <w:color w:val="auto"/>
          <w:sz w:val="22"/>
          <w:szCs w:val="22"/>
        </w:rPr>
        <w:t>because they have been discontinued by the manufacturer.</w:t>
      </w:r>
    </w:p>
    <w:p w14:paraId="4D952D45" w14:textId="77777777" w:rsidR="0019219C" w:rsidRPr="0019219C" w:rsidRDefault="0019219C" w:rsidP="0019219C">
      <w:pPr>
        <w:spacing w:line="276" w:lineRule="auto"/>
        <w:rPr>
          <w:rFonts w:ascii="Arial" w:hAnsi="Arial" w:cs="Arial"/>
          <w:color w:val="auto"/>
          <w:sz w:val="22"/>
          <w:szCs w:val="22"/>
        </w:rPr>
      </w:pPr>
    </w:p>
    <w:p w14:paraId="6EF67F1D" w14:textId="7560E545" w:rsidR="0019219C" w:rsidRPr="0019219C" w:rsidRDefault="0019219C" w:rsidP="0019219C">
      <w:pPr>
        <w:pStyle w:val="Default"/>
        <w:numPr>
          <w:ilvl w:val="0"/>
          <w:numId w:val="19"/>
        </w:numPr>
        <w:spacing w:line="276" w:lineRule="auto"/>
        <w:rPr>
          <w:rFonts w:ascii="Arial" w:hAnsi="Arial" w:cs="Arial"/>
          <w:color w:val="auto"/>
          <w:sz w:val="22"/>
          <w:szCs w:val="22"/>
        </w:rPr>
      </w:pPr>
      <w:proofErr w:type="spellStart"/>
      <w:r w:rsidRPr="0019219C">
        <w:rPr>
          <w:rFonts w:ascii="Arial" w:hAnsi="Arial" w:cs="Arial"/>
          <w:color w:val="auto"/>
          <w:sz w:val="22"/>
          <w:szCs w:val="22"/>
        </w:rPr>
        <w:t>Aduhelm</w:t>
      </w:r>
      <w:proofErr w:type="spellEnd"/>
      <w:r w:rsidRPr="0019219C">
        <w:rPr>
          <w:rFonts w:ascii="Arial" w:hAnsi="Arial" w:cs="Arial"/>
          <w:color w:val="auto"/>
          <w:sz w:val="22"/>
          <w:szCs w:val="22"/>
        </w:rPr>
        <w:t xml:space="preserve"> (aducanumab-</w:t>
      </w:r>
      <w:proofErr w:type="spellStart"/>
      <w:r w:rsidRPr="0019219C">
        <w:rPr>
          <w:rFonts w:ascii="Arial" w:hAnsi="Arial" w:cs="Arial"/>
          <w:color w:val="auto"/>
          <w:sz w:val="22"/>
          <w:szCs w:val="22"/>
        </w:rPr>
        <w:t>avwa</w:t>
      </w:r>
      <w:proofErr w:type="spellEnd"/>
      <w:r w:rsidRPr="0019219C">
        <w:rPr>
          <w:rFonts w:ascii="Arial" w:hAnsi="Arial" w:cs="Arial"/>
          <w:color w:val="auto"/>
          <w:sz w:val="22"/>
          <w:szCs w:val="22"/>
        </w:rPr>
        <w:t xml:space="preserve">) – PA </w:t>
      </w:r>
    </w:p>
    <w:p w14:paraId="01776D95" w14:textId="737E94D1" w:rsidR="0019219C" w:rsidRPr="0019219C" w:rsidRDefault="0019219C" w:rsidP="0019219C">
      <w:pPr>
        <w:pStyle w:val="Default"/>
        <w:numPr>
          <w:ilvl w:val="0"/>
          <w:numId w:val="19"/>
        </w:numPr>
        <w:spacing w:line="276" w:lineRule="auto"/>
        <w:rPr>
          <w:rFonts w:ascii="Arial" w:hAnsi="Arial" w:cs="Arial"/>
          <w:color w:val="auto"/>
          <w:sz w:val="22"/>
          <w:szCs w:val="22"/>
        </w:rPr>
      </w:pPr>
      <w:proofErr w:type="spellStart"/>
      <w:r w:rsidRPr="0019219C">
        <w:rPr>
          <w:rFonts w:ascii="Arial" w:hAnsi="Arial" w:cs="Arial"/>
          <w:color w:val="auto"/>
          <w:sz w:val="22"/>
          <w:szCs w:val="22"/>
        </w:rPr>
        <w:t>Docefrez</w:t>
      </w:r>
      <w:proofErr w:type="spellEnd"/>
      <w:r w:rsidRPr="0019219C">
        <w:rPr>
          <w:rFonts w:ascii="Arial" w:hAnsi="Arial" w:cs="Arial"/>
          <w:color w:val="auto"/>
          <w:sz w:val="22"/>
          <w:szCs w:val="22"/>
        </w:rPr>
        <w:t xml:space="preserve"> (docetaxel); MB</w:t>
      </w:r>
    </w:p>
    <w:p w14:paraId="5DB38BEC" w14:textId="1BC16487" w:rsidR="0019219C" w:rsidRPr="0019219C" w:rsidRDefault="0019219C" w:rsidP="0019219C">
      <w:pPr>
        <w:pStyle w:val="Default"/>
        <w:numPr>
          <w:ilvl w:val="0"/>
          <w:numId w:val="19"/>
        </w:numPr>
        <w:spacing w:line="276" w:lineRule="auto"/>
        <w:rPr>
          <w:rFonts w:ascii="Arial" w:hAnsi="Arial" w:cs="Arial"/>
          <w:color w:val="auto"/>
          <w:sz w:val="22"/>
          <w:szCs w:val="22"/>
        </w:rPr>
      </w:pPr>
      <w:proofErr w:type="spellStart"/>
      <w:r w:rsidRPr="0019219C">
        <w:rPr>
          <w:rFonts w:ascii="Arial" w:hAnsi="Arial" w:cs="Arial"/>
          <w:color w:val="auto"/>
          <w:sz w:val="22"/>
          <w:szCs w:val="22"/>
        </w:rPr>
        <w:t>Gelnique</w:t>
      </w:r>
      <w:proofErr w:type="spellEnd"/>
      <w:r w:rsidRPr="0019219C">
        <w:rPr>
          <w:rFonts w:ascii="Arial" w:hAnsi="Arial" w:cs="Arial"/>
          <w:color w:val="auto"/>
          <w:sz w:val="22"/>
          <w:szCs w:val="22"/>
        </w:rPr>
        <w:t xml:space="preserve"> (oxybutynin gel)</w:t>
      </w:r>
    </w:p>
    <w:p w14:paraId="4C0BCFAD" w14:textId="0A94B1C6" w:rsidR="0019219C" w:rsidRPr="0019219C" w:rsidRDefault="0019219C" w:rsidP="0019219C">
      <w:pPr>
        <w:pStyle w:val="Default"/>
        <w:numPr>
          <w:ilvl w:val="0"/>
          <w:numId w:val="19"/>
        </w:numPr>
        <w:spacing w:line="276" w:lineRule="auto"/>
        <w:rPr>
          <w:rFonts w:ascii="Arial" w:hAnsi="Arial" w:cs="Arial"/>
          <w:color w:val="auto"/>
          <w:sz w:val="22"/>
          <w:szCs w:val="22"/>
        </w:rPr>
      </w:pPr>
      <w:r w:rsidRPr="0019219C">
        <w:rPr>
          <w:rFonts w:ascii="Arial" w:hAnsi="Arial" w:cs="Arial"/>
          <w:color w:val="auto"/>
          <w:sz w:val="22"/>
          <w:szCs w:val="22"/>
        </w:rPr>
        <w:t>Lunesta (eszopiclone) – PA &lt; 6 years and PA &gt; 1 unit/day; #</w:t>
      </w:r>
    </w:p>
    <w:p w14:paraId="7C2AF736" w14:textId="659CDF42" w:rsidR="0019219C" w:rsidRPr="0019219C" w:rsidRDefault="0019219C" w:rsidP="0019219C">
      <w:pPr>
        <w:pStyle w:val="Default"/>
        <w:numPr>
          <w:ilvl w:val="0"/>
          <w:numId w:val="19"/>
        </w:numPr>
        <w:spacing w:line="276" w:lineRule="auto"/>
        <w:rPr>
          <w:rFonts w:ascii="Arial" w:hAnsi="Arial" w:cs="Arial"/>
          <w:color w:val="auto"/>
          <w:sz w:val="22"/>
          <w:szCs w:val="22"/>
        </w:rPr>
      </w:pPr>
      <w:proofErr w:type="spellStart"/>
      <w:r w:rsidRPr="0019219C">
        <w:rPr>
          <w:rFonts w:ascii="Arial" w:hAnsi="Arial" w:cs="Arial"/>
          <w:color w:val="auto"/>
          <w:sz w:val="22"/>
          <w:szCs w:val="22"/>
        </w:rPr>
        <w:t>Oxbryta</w:t>
      </w:r>
      <w:proofErr w:type="spellEnd"/>
      <w:r w:rsidRPr="0019219C">
        <w:rPr>
          <w:rFonts w:ascii="Arial" w:hAnsi="Arial" w:cs="Arial"/>
          <w:color w:val="auto"/>
          <w:sz w:val="22"/>
          <w:szCs w:val="22"/>
        </w:rPr>
        <w:t xml:space="preserve"> (</w:t>
      </w:r>
      <w:proofErr w:type="spellStart"/>
      <w:r w:rsidRPr="0019219C">
        <w:rPr>
          <w:rFonts w:ascii="Arial" w:hAnsi="Arial" w:cs="Arial"/>
          <w:color w:val="auto"/>
          <w:sz w:val="22"/>
          <w:szCs w:val="22"/>
        </w:rPr>
        <w:t>voxelotor</w:t>
      </w:r>
      <w:proofErr w:type="spellEnd"/>
      <w:r w:rsidRPr="0019219C">
        <w:rPr>
          <w:rFonts w:ascii="Arial" w:hAnsi="Arial" w:cs="Arial"/>
          <w:color w:val="auto"/>
          <w:sz w:val="22"/>
          <w:szCs w:val="22"/>
        </w:rPr>
        <w:t xml:space="preserve">) – PA </w:t>
      </w:r>
    </w:p>
    <w:p w14:paraId="175ACAE1" w14:textId="4CC67E09" w:rsidR="0019219C" w:rsidRPr="0019219C" w:rsidRDefault="0019219C" w:rsidP="0019219C">
      <w:pPr>
        <w:pStyle w:val="Default"/>
        <w:numPr>
          <w:ilvl w:val="0"/>
          <w:numId w:val="19"/>
        </w:numPr>
        <w:spacing w:line="276" w:lineRule="auto"/>
        <w:rPr>
          <w:rFonts w:ascii="Arial" w:hAnsi="Arial" w:cs="Arial"/>
          <w:color w:val="auto"/>
          <w:sz w:val="22"/>
          <w:szCs w:val="22"/>
        </w:rPr>
      </w:pPr>
      <w:proofErr w:type="spellStart"/>
      <w:r w:rsidRPr="0019219C">
        <w:rPr>
          <w:rFonts w:ascii="Arial" w:hAnsi="Arial" w:cs="Arial"/>
          <w:color w:val="auto"/>
          <w:sz w:val="22"/>
          <w:szCs w:val="22"/>
        </w:rPr>
        <w:t>Oxsoralen</w:t>
      </w:r>
      <w:proofErr w:type="spellEnd"/>
      <w:r w:rsidRPr="0019219C">
        <w:rPr>
          <w:rFonts w:ascii="Arial" w:hAnsi="Arial" w:cs="Arial"/>
          <w:color w:val="auto"/>
          <w:sz w:val="22"/>
          <w:szCs w:val="22"/>
        </w:rPr>
        <w:t xml:space="preserve"> (</w:t>
      </w:r>
      <w:proofErr w:type="spellStart"/>
      <w:r w:rsidRPr="0019219C">
        <w:rPr>
          <w:rFonts w:ascii="Arial" w:hAnsi="Arial" w:cs="Arial"/>
          <w:color w:val="auto"/>
          <w:sz w:val="22"/>
          <w:szCs w:val="22"/>
        </w:rPr>
        <w:t>methoxsalen</w:t>
      </w:r>
      <w:proofErr w:type="spellEnd"/>
      <w:r w:rsidRPr="0019219C">
        <w:rPr>
          <w:rFonts w:ascii="Arial" w:hAnsi="Arial" w:cs="Arial"/>
          <w:color w:val="auto"/>
          <w:sz w:val="22"/>
          <w:szCs w:val="22"/>
        </w:rPr>
        <w:t xml:space="preserve"> topical); A90</w:t>
      </w:r>
    </w:p>
    <w:p w14:paraId="1125E1BF" w14:textId="77777777" w:rsidR="0019219C" w:rsidRPr="0019219C" w:rsidRDefault="0019219C" w:rsidP="0019219C">
      <w:pPr>
        <w:spacing w:line="276" w:lineRule="auto"/>
        <w:rPr>
          <w:rFonts w:ascii="Arial" w:hAnsi="Arial" w:cs="Arial"/>
          <w:color w:val="auto"/>
          <w:sz w:val="22"/>
          <w:szCs w:val="22"/>
        </w:rPr>
      </w:pPr>
    </w:p>
    <w:p w14:paraId="75522537" w14:textId="7AD7E62C" w:rsidR="0019219C" w:rsidRPr="0019219C" w:rsidRDefault="0019219C" w:rsidP="0019219C">
      <w:pPr>
        <w:spacing w:line="259" w:lineRule="auto"/>
        <w:rPr>
          <w:rFonts w:ascii="Arial" w:hAnsi="Arial" w:cs="Arial"/>
          <w:bCs/>
          <w:color w:val="auto"/>
          <w:sz w:val="22"/>
          <w:szCs w:val="22"/>
        </w:rPr>
      </w:pPr>
      <w:r w:rsidRPr="0019219C">
        <w:rPr>
          <w:rFonts w:ascii="Arial" w:hAnsi="Arial" w:cs="Arial"/>
          <w:bCs/>
          <w:color w:val="auto"/>
          <w:sz w:val="22"/>
          <w:szCs w:val="22"/>
        </w:rPr>
        <w:t xml:space="preserve">The </w:t>
      </w:r>
      <w:hyperlink r:id="rId15" w:history="1">
        <w:r w:rsidRPr="00A12B49">
          <w:rPr>
            <w:rStyle w:val="Hyperlink"/>
            <w:rFonts w:ascii="Arial" w:hAnsi="Arial" w:cs="Arial"/>
            <w:bCs/>
            <w:sz w:val="22"/>
            <w:szCs w:val="22"/>
          </w:rPr>
          <w:t>MassHealth Drug List's Upcoming and Recent Updates</w:t>
        </w:r>
      </w:hyperlink>
      <w:r w:rsidRPr="0019219C">
        <w:rPr>
          <w:rFonts w:ascii="Arial" w:hAnsi="Arial" w:cs="Arial"/>
          <w:bCs/>
          <w:color w:val="auto"/>
          <w:sz w:val="22"/>
          <w:szCs w:val="22"/>
        </w:rPr>
        <w:t xml:space="preserve"> page summarizes changes that will become effective on January 6, 2025. Please refer to the updated summary for more information (including other important upcoming changes). Additional information about coverage status and Prior Authorization requirements can be found on the </w:t>
      </w:r>
      <w:hyperlink r:id="rId16" w:history="1">
        <w:r w:rsidRPr="003125A4">
          <w:rPr>
            <w:rStyle w:val="Hyperlink"/>
            <w:rFonts w:ascii="Arial" w:hAnsi="Arial" w:cs="Arial"/>
            <w:bCs/>
            <w:sz w:val="22"/>
            <w:szCs w:val="22"/>
          </w:rPr>
          <w:t>MassHealth Drug List website</w:t>
        </w:r>
      </w:hyperlink>
      <w:r w:rsidRPr="0019219C">
        <w:rPr>
          <w:rFonts w:ascii="Arial" w:hAnsi="Arial" w:cs="Arial"/>
          <w:bCs/>
          <w:color w:val="auto"/>
          <w:sz w:val="22"/>
          <w:szCs w:val="22"/>
        </w:rPr>
        <w:t>.</w:t>
      </w:r>
    </w:p>
    <w:bookmarkEnd w:id="0"/>
    <w:p w14:paraId="677AEDCF" w14:textId="77777777" w:rsidR="00571C6C" w:rsidRDefault="00571C6C" w:rsidP="00992143">
      <w:pPr>
        <w:spacing w:after="4400" w:line="276" w:lineRule="auto"/>
        <w:jc w:val="center"/>
        <w:rPr>
          <w:rFonts w:ascii="Arial" w:hAnsi="Arial" w:cs="Arial"/>
        </w:rPr>
      </w:pPr>
    </w:p>
    <w:p w14:paraId="7B099E8F" w14:textId="12E7F3A6" w:rsidR="00AE483E" w:rsidRPr="0004685E" w:rsidRDefault="006558AB" w:rsidP="006B20D5">
      <w:pPr>
        <w:spacing w:line="276" w:lineRule="auto"/>
        <w:jc w:val="center"/>
        <w:rPr>
          <w:rFonts w:ascii="Arial" w:hAnsi="Arial" w:cs="Arial"/>
        </w:rPr>
      </w:pPr>
      <w:r w:rsidRPr="0004685E">
        <w:rPr>
          <w:rFonts w:ascii="Arial" w:hAnsi="Arial" w:cs="Arial"/>
        </w:rPr>
        <w:t>The Prescriber e-Letter is an update designed to enhance the transparency and efficiency of the MassHealth</w:t>
      </w:r>
      <w:r w:rsidR="0004685E" w:rsidRPr="0004685E">
        <w:rPr>
          <w:rFonts w:ascii="Arial" w:hAnsi="Arial" w:cs="Arial"/>
        </w:rPr>
        <w:t xml:space="preserve"> </w:t>
      </w:r>
      <w:r w:rsidRPr="0004685E">
        <w:rPr>
          <w:rFonts w:ascii="Arial" w:hAnsi="Arial" w:cs="Arial"/>
        </w:rPr>
        <w:t>drug prior-authorization (PA) process and the MassHealth Drug List. Each issue highlights key clinical</w:t>
      </w:r>
      <w:r w:rsidR="0004685E" w:rsidRPr="0004685E">
        <w:rPr>
          <w:rFonts w:ascii="Arial" w:hAnsi="Arial" w:cs="Arial"/>
        </w:rPr>
        <w:t xml:space="preserve"> </w:t>
      </w:r>
      <w:r w:rsidRPr="0004685E">
        <w:rPr>
          <w:rFonts w:ascii="Arial" w:hAnsi="Arial" w:cs="Arial"/>
        </w:rPr>
        <w:t>information and updates to the MassHealth Drug List. The Prescriber E-Letter was prepared by the</w:t>
      </w:r>
      <w:r w:rsidR="0004685E" w:rsidRPr="0004685E">
        <w:rPr>
          <w:rFonts w:ascii="Arial" w:hAnsi="Arial" w:cs="Arial"/>
        </w:rPr>
        <w:t xml:space="preserve"> </w:t>
      </w:r>
      <w:r w:rsidRPr="0004685E">
        <w:rPr>
          <w:rFonts w:ascii="Arial" w:hAnsi="Arial" w:cs="Arial"/>
        </w:rPr>
        <w:t>MassHealth Drug Utilization Review Program and the MassHealth Pharmacy Program.</w:t>
      </w:r>
    </w:p>
    <w:sectPr w:rsidR="00AE483E" w:rsidRPr="0004685E" w:rsidSect="00870CBF">
      <w:headerReference w:type="default" r:id="rId17"/>
      <w:footerReference w:type="even" r:id="rId18"/>
      <w:footerReference w:type="default" r:id="rId1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B720" w14:textId="77777777" w:rsidR="00041F7C" w:rsidRDefault="00041F7C">
      <w:r>
        <w:separator/>
      </w:r>
    </w:p>
  </w:endnote>
  <w:endnote w:type="continuationSeparator" w:id="0">
    <w:p w14:paraId="008A27D0" w14:textId="77777777" w:rsidR="00041F7C" w:rsidRDefault="0004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4F990" w14:textId="77777777" w:rsidR="002520E7" w:rsidRDefault="002520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FB027" w14:textId="77777777" w:rsidR="00041F7C" w:rsidRDefault="00041F7C">
      <w:r>
        <w:separator/>
      </w:r>
    </w:p>
  </w:footnote>
  <w:footnote w:type="continuationSeparator" w:id="0">
    <w:p w14:paraId="256EC09B" w14:textId="77777777" w:rsidR="00041F7C" w:rsidRDefault="00041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FE392" w14:textId="6FA2B2F1" w:rsidR="001A4C38" w:rsidRPr="0046520A" w:rsidRDefault="008967CE" w:rsidP="002D6F34">
    <w:pPr>
      <w:pStyle w:val="msoaccenttext7"/>
      <w:widowControl w:val="0"/>
      <w:pBdr>
        <w:bottom w:val="single" w:sz="8" w:space="1" w:color="auto"/>
      </w:pBdr>
      <w:spacing w:after="220"/>
      <w:ind w:right="173"/>
      <w:rPr>
        <w:rFonts w:ascii="Trebuchet MS" w:hAnsi="Trebuchet MS"/>
        <w:color w:val="auto"/>
        <w:sz w:val="18"/>
        <w:szCs w:val="18"/>
      </w:rPr>
    </w:pPr>
    <w:r w:rsidRPr="008967CE">
      <w:rPr>
        <w:rFonts w:ascii="Trebuchet MS" w:hAnsi="Trebuchet MS"/>
        <w:b/>
        <w:sz w:val="18"/>
        <w:szCs w:val="18"/>
        <w:lang w:val="en"/>
      </w:rPr>
      <w:t xml:space="preserve">Volume </w:t>
    </w:r>
    <w:r w:rsidR="0069031E">
      <w:rPr>
        <w:rFonts w:ascii="Trebuchet MS" w:hAnsi="Trebuchet MS"/>
        <w:b/>
        <w:sz w:val="18"/>
        <w:szCs w:val="18"/>
        <w:lang w:val="en"/>
      </w:rPr>
      <w:t>14</w:t>
    </w:r>
    <w:r w:rsidRPr="008967CE">
      <w:rPr>
        <w:rFonts w:ascii="Trebuchet MS" w:hAnsi="Trebuchet MS"/>
        <w:b/>
        <w:sz w:val="18"/>
        <w:szCs w:val="18"/>
        <w:lang w:val="en"/>
      </w:rPr>
      <w:t xml:space="preserve">, Issue </w:t>
    </w:r>
    <w:r w:rsidR="002520E7">
      <w:rPr>
        <w:rFonts w:ascii="Trebuchet MS" w:hAnsi="Trebuchet MS"/>
        <w:b/>
        <w:sz w:val="18"/>
        <w:szCs w:val="18"/>
        <w:lang w:val="en"/>
      </w:rPr>
      <w:t>6</w:t>
    </w:r>
    <w:r w:rsidR="005345EF">
      <w:rPr>
        <w:rFonts w:ascii="Trebuchet MS" w:hAnsi="Trebuchet MS"/>
        <w:b/>
        <w:sz w:val="18"/>
        <w:szCs w:val="18"/>
        <w:lang w:val="en"/>
      </w:rPr>
      <w:t xml:space="preserve">, </w:t>
    </w:r>
    <w:r w:rsidR="0069031E">
      <w:rPr>
        <w:rFonts w:ascii="Trebuchet MS" w:hAnsi="Trebuchet MS"/>
        <w:b/>
        <w:sz w:val="18"/>
        <w:szCs w:val="18"/>
        <w:lang w:val="en"/>
      </w:rPr>
      <w:t>October 2024</w:t>
    </w:r>
    <w:r w:rsidR="001A4C38" w:rsidRPr="00AA6F20">
      <w:rPr>
        <w:rFonts w:ascii="Trebuchet MS" w:hAnsi="Trebuchet MS"/>
        <w:b/>
        <w:sz w:val="18"/>
        <w:szCs w:val="18"/>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5BA8" w14:textId="77777777" w:rsidR="002520E7" w:rsidRDefault="002520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C5A"/>
    <w:multiLevelType w:val="hybridMultilevel"/>
    <w:tmpl w:val="04D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965391">
    <w:abstractNumId w:val="1"/>
  </w:num>
  <w:num w:numId="2" w16cid:durableId="900097909">
    <w:abstractNumId w:val="18"/>
  </w:num>
  <w:num w:numId="3" w16cid:durableId="1055355579">
    <w:abstractNumId w:val="9"/>
  </w:num>
  <w:num w:numId="4" w16cid:durableId="199826978">
    <w:abstractNumId w:val="8"/>
  </w:num>
  <w:num w:numId="5" w16cid:durableId="1782339195">
    <w:abstractNumId w:val="19"/>
  </w:num>
  <w:num w:numId="6" w16cid:durableId="321617534">
    <w:abstractNumId w:val="20"/>
  </w:num>
  <w:num w:numId="7" w16cid:durableId="514729983">
    <w:abstractNumId w:val="2"/>
  </w:num>
  <w:num w:numId="8" w16cid:durableId="1932081016">
    <w:abstractNumId w:val="11"/>
  </w:num>
  <w:num w:numId="9" w16cid:durableId="2079358099">
    <w:abstractNumId w:val="4"/>
  </w:num>
  <w:num w:numId="10" w16cid:durableId="329336526">
    <w:abstractNumId w:val="0"/>
  </w:num>
  <w:num w:numId="11" w16cid:durableId="747574778">
    <w:abstractNumId w:val="5"/>
  </w:num>
  <w:num w:numId="12" w16cid:durableId="864055193">
    <w:abstractNumId w:val="3"/>
  </w:num>
  <w:num w:numId="13" w16cid:durableId="990477161">
    <w:abstractNumId w:val="10"/>
  </w:num>
  <w:num w:numId="14" w16cid:durableId="1299412918">
    <w:abstractNumId w:val="13"/>
  </w:num>
  <w:num w:numId="15" w16cid:durableId="47382837">
    <w:abstractNumId w:val="17"/>
  </w:num>
  <w:num w:numId="16" w16cid:durableId="223032385">
    <w:abstractNumId w:val="12"/>
  </w:num>
  <w:num w:numId="17" w16cid:durableId="957570114">
    <w:abstractNumId w:val="7"/>
  </w:num>
  <w:num w:numId="18" w16cid:durableId="923419402">
    <w:abstractNumId w:val="6"/>
  </w:num>
  <w:num w:numId="19" w16cid:durableId="1414740414">
    <w:abstractNumId w:val="14"/>
  </w:num>
  <w:num w:numId="20" w16cid:durableId="573467208">
    <w:abstractNumId w:val="15"/>
  </w:num>
  <w:num w:numId="21" w16cid:durableId="265770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582A"/>
    <w:rsid w:val="0000622F"/>
    <w:rsid w:val="0001242D"/>
    <w:rsid w:val="000172B8"/>
    <w:rsid w:val="00022CA5"/>
    <w:rsid w:val="00032571"/>
    <w:rsid w:val="00034CE8"/>
    <w:rsid w:val="00041A1A"/>
    <w:rsid w:val="00041F7C"/>
    <w:rsid w:val="00042FD6"/>
    <w:rsid w:val="0004346A"/>
    <w:rsid w:val="00043DB1"/>
    <w:rsid w:val="00045863"/>
    <w:rsid w:val="0004685E"/>
    <w:rsid w:val="00051E6C"/>
    <w:rsid w:val="00055E2A"/>
    <w:rsid w:val="00057562"/>
    <w:rsid w:val="00062FC6"/>
    <w:rsid w:val="00070C8D"/>
    <w:rsid w:val="00074014"/>
    <w:rsid w:val="00076469"/>
    <w:rsid w:val="00076A4D"/>
    <w:rsid w:val="00080A76"/>
    <w:rsid w:val="000814C3"/>
    <w:rsid w:val="000A26B3"/>
    <w:rsid w:val="000A6C99"/>
    <w:rsid w:val="000B4487"/>
    <w:rsid w:val="000C15E5"/>
    <w:rsid w:val="000C2AEE"/>
    <w:rsid w:val="000E515F"/>
    <w:rsid w:val="000F145D"/>
    <w:rsid w:val="000F19D2"/>
    <w:rsid w:val="001003DC"/>
    <w:rsid w:val="001038B4"/>
    <w:rsid w:val="001049C6"/>
    <w:rsid w:val="00107CA4"/>
    <w:rsid w:val="00112E05"/>
    <w:rsid w:val="00113A33"/>
    <w:rsid w:val="00137002"/>
    <w:rsid w:val="00143EFF"/>
    <w:rsid w:val="00146E96"/>
    <w:rsid w:val="00161B6A"/>
    <w:rsid w:val="0016598C"/>
    <w:rsid w:val="00165FB0"/>
    <w:rsid w:val="0017504B"/>
    <w:rsid w:val="00175C12"/>
    <w:rsid w:val="00180CAA"/>
    <w:rsid w:val="00182385"/>
    <w:rsid w:val="0019219C"/>
    <w:rsid w:val="001A4C38"/>
    <w:rsid w:val="001A6565"/>
    <w:rsid w:val="001B2DED"/>
    <w:rsid w:val="001B4E72"/>
    <w:rsid w:val="001B58F6"/>
    <w:rsid w:val="001B712E"/>
    <w:rsid w:val="001C1FAD"/>
    <w:rsid w:val="001C2E84"/>
    <w:rsid w:val="001C4E25"/>
    <w:rsid w:val="001D2A7B"/>
    <w:rsid w:val="001D5124"/>
    <w:rsid w:val="001D7759"/>
    <w:rsid w:val="001E3620"/>
    <w:rsid w:val="001E762D"/>
    <w:rsid w:val="001E7935"/>
    <w:rsid w:val="00205E56"/>
    <w:rsid w:val="00215FB5"/>
    <w:rsid w:val="002172A7"/>
    <w:rsid w:val="0021775D"/>
    <w:rsid w:val="0022143C"/>
    <w:rsid w:val="00227174"/>
    <w:rsid w:val="002400F6"/>
    <w:rsid w:val="00242A52"/>
    <w:rsid w:val="00246894"/>
    <w:rsid w:val="002520E7"/>
    <w:rsid w:val="002559B8"/>
    <w:rsid w:val="002712BE"/>
    <w:rsid w:val="00272F9F"/>
    <w:rsid w:val="00273E75"/>
    <w:rsid w:val="0027618E"/>
    <w:rsid w:val="00283746"/>
    <w:rsid w:val="00287F60"/>
    <w:rsid w:val="002A566F"/>
    <w:rsid w:val="002B16E1"/>
    <w:rsid w:val="002B4B60"/>
    <w:rsid w:val="002C14BD"/>
    <w:rsid w:val="002C261E"/>
    <w:rsid w:val="002C326C"/>
    <w:rsid w:val="002D1C5C"/>
    <w:rsid w:val="002D6F34"/>
    <w:rsid w:val="002E55F8"/>
    <w:rsid w:val="002E6DD1"/>
    <w:rsid w:val="002E75D3"/>
    <w:rsid w:val="002F1A78"/>
    <w:rsid w:val="002F3AAD"/>
    <w:rsid w:val="002F4A95"/>
    <w:rsid w:val="003064EC"/>
    <w:rsid w:val="0031009A"/>
    <w:rsid w:val="00311223"/>
    <w:rsid w:val="003125A4"/>
    <w:rsid w:val="003128F3"/>
    <w:rsid w:val="0031549E"/>
    <w:rsid w:val="003159D1"/>
    <w:rsid w:val="00316A86"/>
    <w:rsid w:val="0031728E"/>
    <w:rsid w:val="00325D8F"/>
    <w:rsid w:val="00330FB0"/>
    <w:rsid w:val="00344037"/>
    <w:rsid w:val="0034440C"/>
    <w:rsid w:val="00353AD3"/>
    <w:rsid w:val="00365B4B"/>
    <w:rsid w:val="00366132"/>
    <w:rsid w:val="00366BAA"/>
    <w:rsid w:val="00367696"/>
    <w:rsid w:val="00371601"/>
    <w:rsid w:val="00373275"/>
    <w:rsid w:val="00377A75"/>
    <w:rsid w:val="003971CE"/>
    <w:rsid w:val="00397377"/>
    <w:rsid w:val="003A17FB"/>
    <w:rsid w:val="003A670A"/>
    <w:rsid w:val="003B251D"/>
    <w:rsid w:val="003C0161"/>
    <w:rsid w:val="003C15F6"/>
    <w:rsid w:val="003D177D"/>
    <w:rsid w:val="003E7380"/>
    <w:rsid w:val="003F7F93"/>
    <w:rsid w:val="0040022A"/>
    <w:rsid w:val="00401354"/>
    <w:rsid w:val="00410458"/>
    <w:rsid w:val="00411059"/>
    <w:rsid w:val="00411C19"/>
    <w:rsid w:val="0041665A"/>
    <w:rsid w:val="00424615"/>
    <w:rsid w:val="00425560"/>
    <w:rsid w:val="00427D00"/>
    <w:rsid w:val="00433649"/>
    <w:rsid w:val="00446350"/>
    <w:rsid w:val="004564C8"/>
    <w:rsid w:val="00456BB4"/>
    <w:rsid w:val="004607BC"/>
    <w:rsid w:val="00463AE8"/>
    <w:rsid w:val="004650A7"/>
    <w:rsid w:val="0046520A"/>
    <w:rsid w:val="00467BD4"/>
    <w:rsid w:val="00470FE2"/>
    <w:rsid w:val="0047213A"/>
    <w:rsid w:val="004733F0"/>
    <w:rsid w:val="00477057"/>
    <w:rsid w:val="00485E86"/>
    <w:rsid w:val="0049555F"/>
    <w:rsid w:val="0049734F"/>
    <w:rsid w:val="004A58A3"/>
    <w:rsid w:val="004A5933"/>
    <w:rsid w:val="004B24F7"/>
    <w:rsid w:val="004B77A9"/>
    <w:rsid w:val="004C0C22"/>
    <w:rsid w:val="004D493F"/>
    <w:rsid w:val="004E42DD"/>
    <w:rsid w:val="004E58D0"/>
    <w:rsid w:val="004E6787"/>
    <w:rsid w:val="004F3FB4"/>
    <w:rsid w:val="004F5803"/>
    <w:rsid w:val="00502B92"/>
    <w:rsid w:val="00505053"/>
    <w:rsid w:val="0050687D"/>
    <w:rsid w:val="005175F7"/>
    <w:rsid w:val="00523813"/>
    <w:rsid w:val="00532641"/>
    <w:rsid w:val="00533C5E"/>
    <w:rsid w:val="005345EF"/>
    <w:rsid w:val="00536EBB"/>
    <w:rsid w:val="0055653E"/>
    <w:rsid w:val="005566B0"/>
    <w:rsid w:val="00567B9D"/>
    <w:rsid w:val="00571C6C"/>
    <w:rsid w:val="00576DC3"/>
    <w:rsid w:val="00577FEC"/>
    <w:rsid w:val="00580E97"/>
    <w:rsid w:val="00581E50"/>
    <w:rsid w:val="00583A96"/>
    <w:rsid w:val="005842A0"/>
    <w:rsid w:val="005851F1"/>
    <w:rsid w:val="00591187"/>
    <w:rsid w:val="0059122F"/>
    <w:rsid w:val="00592C98"/>
    <w:rsid w:val="0059487B"/>
    <w:rsid w:val="005A21DB"/>
    <w:rsid w:val="005A74DA"/>
    <w:rsid w:val="005B3507"/>
    <w:rsid w:val="005B73A3"/>
    <w:rsid w:val="005C05FA"/>
    <w:rsid w:val="005D3CAF"/>
    <w:rsid w:val="005D506B"/>
    <w:rsid w:val="005D56B2"/>
    <w:rsid w:val="005E0ED5"/>
    <w:rsid w:val="005E52FC"/>
    <w:rsid w:val="005E576E"/>
    <w:rsid w:val="005E7B03"/>
    <w:rsid w:val="005F35CD"/>
    <w:rsid w:val="00610115"/>
    <w:rsid w:val="00612B60"/>
    <w:rsid w:val="00622404"/>
    <w:rsid w:val="0062336E"/>
    <w:rsid w:val="0062529B"/>
    <w:rsid w:val="00626A67"/>
    <w:rsid w:val="0064259B"/>
    <w:rsid w:val="0064266F"/>
    <w:rsid w:val="00650CB2"/>
    <w:rsid w:val="00653EAC"/>
    <w:rsid w:val="006558AB"/>
    <w:rsid w:val="0067107B"/>
    <w:rsid w:val="00680C86"/>
    <w:rsid w:val="00690023"/>
    <w:rsid w:val="0069031E"/>
    <w:rsid w:val="006A28CD"/>
    <w:rsid w:val="006A777A"/>
    <w:rsid w:val="006B207B"/>
    <w:rsid w:val="006B20D5"/>
    <w:rsid w:val="006B7613"/>
    <w:rsid w:val="006C3B50"/>
    <w:rsid w:val="006D70E0"/>
    <w:rsid w:val="006E0362"/>
    <w:rsid w:val="00702546"/>
    <w:rsid w:val="00711113"/>
    <w:rsid w:val="00717A1C"/>
    <w:rsid w:val="00721778"/>
    <w:rsid w:val="007243D7"/>
    <w:rsid w:val="007311C3"/>
    <w:rsid w:val="007459B2"/>
    <w:rsid w:val="00752617"/>
    <w:rsid w:val="00762B83"/>
    <w:rsid w:val="00767D6F"/>
    <w:rsid w:val="00770CB5"/>
    <w:rsid w:val="007736F7"/>
    <w:rsid w:val="00776346"/>
    <w:rsid w:val="00785C9F"/>
    <w:rsid w:val="0078683C"/>
    <w:rsid w:val="0079312B"/>
    <w:rsid w:val="007947FB"/>
    <w:rsid w:val="00795A7C"/>
    <w:rsid w:val="00796800"/>
    <w:rsid w:val="007A2C73"/>
    <w:rsid w:val="007A3DAF"/>
    <w:rsid w:val="007E4CAE"/>
    <w:rsid w:val="007E77D7"/>
    <w:rsid w:val="007F2D62"/>
    <w:rsid w:val="0080735F"/>
    <w:rsid w:val="00807E9F"/>
    <w:rsid w:val="00816B7A"/>
    <w:rsid w:val="00821F5B"/>
    <w:rsid w:val="008403CA"/>
    <w:rsid w:val="00840D1F"/>
    <w:rsid w:val="0084212C"/>
    <w:rsid w:val="00844307"/>
    <w:rsid w:val="00844A19"/>
    <w:rsid w:val="0084544F"/>
    <w:rsid w:val="0085378A"/>
    <w:rsid w:val="00860511"/>
    <w:rsid w:val="00860BA1"/>
    <w:rsid w:val="00862590"/>
    <w:rsid w:val="00865AEA"/>
    <w:rsid w:val="00870CBF"/>
    <w:rsid w:val="008722AE"/>
    <w:rsid w:val="00872E7F"/>
    <w:rsid w:val="00873BEF"/>
    <w:rsid w:val="00875B78"/>
    <w:rsid w:val="008819EB"/>
    <w:rsid w:val="0088325C"/>
    <w:rsid w:val="008911F3"/>
    <w:rsid w:val="00892205"/>
    <w:rsid w:val="00893E85"/>
    <w:rsid w:val="00894622"/>
    <w:rsid w:val="008946E9"/>
    <w:rsid w:val="008967CE"/>
    <w:rsid w:val="008A1B35"/>
    <w:rsid w:val="008A4DFB"/>
    <w:rsid w:val="008B0999"/>
    <w:rsid w:val="008B221F"/>
    <w:rsid w:val="008B56EF"/>
    <w:rsid w:val="008C4642"/>
    <w:rsid w:val="008E5183"/>
    <w:rsid w:val="008E79B3"/>
    <w:rsid w:val="008F25B4"/>
    <w:rsid w:val="00901DC2"/>
    <w:rsid w:val="00915088"/>
    <w:rsid w:val="00917BB8"/>
    <w:rsid w:val="00922C53"/>
    <w:rsid w:val="00923341"/>
    <w:rsid w:val="00927CAB"/>
    <w:rsid w:val="00947F70"/>
    <w:rsid w:val="00950233"/>
    <w:rsid w:val="009555A8"/>
    <w:rsid w:val="00956812"/>
    <w:rsid w:val="00980B18"/>
    <w:rsid w:val="00982128"/>
    <w:rsid w:val="00986AF3"/>
    <w:rsid w:val="009913AF"/>
    <w:rsid w:val="00992143"/>
    <w:rsid w:val="009A2A6E"/>
    <w:rsid w:val="009A3763"/>
    <w:rsid w:val="009A4123"/>
    <w:rsid w:val="009B1AAF"/>
    <w:rsid w:val="009B2ABA"/>
    <w:rsid w:val="009D1E1C"/>
    <w:rsid w:val="009D2B0C"/>
    <w:rsid w:val="009E2313"/>
    <w:rsid w:val="009F04D6"/>
    <w:rsid w:val="00A128B9"/>
    <w:rsid w:val="00A12B49"/>
    <w:rsid w:val="00A13579"/>
    <w:rsid w:val="00A26095"/>
    <w:rsid w:val="00A36FA0"/>
    <w:rsid w:val="00A37691"/>
    <w:rsid w:val="00A54558"/>
    <w:rsid w:val="00A63EE0"/>
    <w:rsid w:val="00A65E97"/>
    <w:rsid w:val="00A82D27"/>
    <w:rsid w:val="00A83962"/>
    <w:rsid w:val="00A84104"/>
    <w:rsid w:val="00A856E6"/>
    <w:rsid w:val="00A95432"/>
    <w:rsid w:val="00AA0399"/>
    <w:rsid w:val="00AA6F20"/>
    <w:rsid w:val="00AB304D"/>
    <w:rsid w:val="00AD42BB"/>
    <w:rsid w:val="00AD5A76"/>
    <w:rsid w:val="00AE483E"/>
    <w:rsid w:val="00AF3BAA"/>
    <w:rsid w:val="00B10C3E"/>
    <w:rsid w:val="00B13074"/>
    <w:rsid w:val="00B20840"/>
    <w:rsid w:val="00B30E77"/>
    <w:rsid w:val="00B31AF2"/>
    <w:rsid w:val="00B44DE1"/>
    <w:rsid w:val="00B529FF"/>
    <w:rsid w:val="00B5390A"/>
    <w:rsid w:val="00B54AB5"/>
    <w:rsid w:val="00B65AEA"/>
    <w:rsid w:val="00B7453A"/>
    <w:rsid w:val="00B96C06"/>
    <w:rsid w:val="00BA69EB"/>
    <w:rsid w:val="00BB15B2"/>
    <w:rsid w:val="00BD0118"/>
    <w:rsid w:val="00BD7648"/>
    <w:rsid w:val="00BE46A7"/>
    <w:rsid w:val="00BF73BB"/>
    <w:rsid w:val="00C0073C"/>
    <w:rsid w:val="00C009F8"/>
    <w:rsid w:val="00C03DAA"/>
    <w:rsid w:val="00C208B7"/>
    <w:rsid w:val="00C21F71"/>
    <w:rsid w:val="00C24050"/>
    <w:rsid w:val="00C25B35"/>
    <w:rsid w:val="00C26785"/>
    <w:rsid w:val="00C35B94"/>
    <w:rsid w:val="00C409B3"/>
    <w:rsid w:val="00C4587F"/>
    <w:rsid w:val="00C54D38"/>
    <w:rsid w:val="00C578AB"/>
    <w:rsid w:val="00C578C7"/>
    <w:rsid w:val="00C62A5E"/>
    <w:rsid w:val="00C656AF"/>
    <w:rsid w:val="00C76762"/>
    <w:rsid w:val="00C82355"/>
    <w:rsid w:val="00C8396F"/>
    <w:rsid w:val="00C92FCC"/>
    <w:rsid w:val="00C97787"/>
    <w:rsid w:val="00CA0313"/>
    <w:rsid w:val="00CA0669"/>
    <w:rsid w:val="00CA1D66"/>
    <w:rsid w:val="00CA4BAC"/>
    <w:rsid w:val="00CA6B6E"/>
    <w:rsid w:val="00CB1524"/>
    <w:rsid w:val="00CD1B3A"/>
    <w:rsid w:val="00CD7211"/>
    <w:rsid w:val="00CD7C0E"/>
    <w:rsid w:val="00CE27E7"/>
    <w:rsid w:val="00CE36C1"/>
    <w:rsid w:val="00CE4848"/>
    <w:rsid w:val="00CF2078"/>
    <w:rsid w:val="00CF48E3"/>
    <w:rsid w:val="00D05D9C"/>
    <w:rsid w:val="00D115B8"/>
    <w:rsid w:val="00D14BBD"/>
    <w:rsid w:val="00D15F4A"/>
    <w:rsid w:val="00D201C0"/>
    <w:rsid w:val="00D21FA6"/>
    <w:rsid w:val="00D245EF"/>
    <w:rsid w:val="00D2695E"/>
    <w:rsid w:val="00D726DF"/>
    <w:rsid w:val="00D757B8"/>
    <w:rsid w:val="00D77884"/>
    <w:rsid w:val="00D821A9"/>
    <w:rsid w:val="00D97D27"/>
    <w:rsid w:val="00DA302D"/>
    <w:rsid w:val="00DA4328"/>
    <w:rsid w:val="00DA7FE7"/>
    <w:rsid w:val="00DB2EE5"/>
    <w:rsid w:val="00DB3BB6"/>
    <w:rsid w:val="00DB79AB"/>
    <w:rsid w:val="00DC0E97"/>
    <w:rsid w:val="00DC1ACC"/>
    <w:rsid w:val="00DC7F7B"/>
    <w:rsid w:val="00DD2187"/>
    <w:rsid w:val="00DF3E53"/>
    <w:rsid w:val="00E009F7"/>
    <w:rsid w:val="00E06D78"/>
    <w:rsid w:val="00E1027A"/>
    <w:rsid w:val="00E2339F"/>
    <w:rsid w:val="00E23CEA"/>
    <w:rsid w:val="00E31AED"/>
    <w:rsid w:val="00E31CAE"/>
    <w:rsid w:val="00E35E0F"/>
    <w:rsid w:val="00E370BD"/>
    <w:rsid w:val="00E61DD5"/>
    <w:rsid w:val="00E679DA"/>
    <w:rsid w:val="00E831CE"/>
    <w:rsid w:val="00E90319"/>
    <w:rsid w:val="00E9521B"/>
    <w:rsid w:val="00EA3B9F"/>
    <w:rsid w:val="00EB0E73"/>
    <w:rsid w:val="00EB5FE2"/>
    <w:rsid w:val="00EC08AC"/>
    <w:rsid w:val="00EE1090"/>
    <w:rsid w:val="00EE333C"/>
    <w:rsid w:val="00EE46DF"/>
    <w:rsid w:val="00EE67F4"/>
    <w:rsid w:val="00EE74FF"/>
    <w:rsid w:val="00EF3241"/>
    <w:rsid w:val="00EF76E8"/>
    <w:rsid w:val="00F01FFC"/>
    <w:rsid w:val="00F42C2D"/>
    <w:rsid w:val="00F51B4F"/>
    <w:rsid w:val="00F53DA0"/>
    <w:rsid w:val="00F53FFB"/>
    <w:rsid w:val="00F636E3"/>
    <w:rsid w:val="00F66EB8"/>
    <w:rsid w:val="00F67537"/>
    <w:rsid w:val="00F67D45"/>
    <w:rsid w:val="00F71CC7"/>
    <w:rsid w:val="00F85E0D"/>
    <w:rsid w:val="00F9023B"/>
    <w:rsid w:val="00F9792D"/>
    <w:rsid w:val="00FA5787"/>
    <w:rsid w:val="00FA5B7B"/>
    <w:rsid w:val="00FA657B"/>
    <w:rsid w:val="00FB53EC"/>
    <w:rsid w:val="00FB7719"/>
    <w:rsid w:val="00FC575E"/>
    <w:rsid w:val="00FD5009"/>
    <w:rsid w:val="00FD5CE5"/>
    <w:rsid w:val="00FF17E3"/>
    <w:rsid w:val="00FF1A2E"/>
    <w:rsid w:val="00FF20CF"/>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semiHidden/>
    <w:unhideWhenUsed/>
    <w:rsid w:val="00A83962"/>
    <w:rPr>
      <w:sz w:val="16"/>
      <w:szCs w:val="16"/>
    </w:rPr>
  </w:style>
  <w:style w:type="paragraph" w:styleId="CommentText">
    <w:name w:val="annotation text"/>
    <w:basedOn w:val="Normal"/>
    <w:link w:val="CommentTextChar"/>
    <w:unhideWhenUsed/>
    <w:rsid w:val="00A83962"/>
  </w:style>
  <w:style w:type="character" w:customStyle="1" w:styleId="CommentTextChar">
    <w:name w:val="Comment Text Char"/>
    <w:basedOn w:val="DefaultParagraphFont"/>
    <w:link w:val="CommentText"/>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mhdl.pharmacy.services.conduent.com/MHDL/welcome.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hdl.pharmacy.services.conduent.com/MHDL/pubmhdlupdates.do?category=Upcoming+and+Recent+Updates"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Prescriber e-Letter Volume 14, Issue 2</vt:lpstr>
    </vt:vector>
  </TitlesOfParts>
  <Company>Office of Health and Human Services</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creator>MassHealth</dc:creator>
  <cp:lastModifiedBy>Eisan, Jenna (EHS)</cp:lastModifiedBy>
  <cp:revision>4</cp:revision>
  <cp:lastPrinted>2024-10-16T15:48:00Z</cp:lastPrinted>
  <dcterms:created xsi:type="dcterms:W3CDTF">2024-10-24T12:24:00Z</dcterms:created>
  <dcterms:modified xsi:type="dcterms:W3CDTF">2024-10-24T12:31:00Z</dcterms:modified>
</cp:coreProperties>
</file>