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14EFE34B" w:rsidR="00AD42BB" w:rsidRPr="00636991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75CFF6DC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00636991">
        <w:rPr>
          <w:lang w:val="en-US"/>
        </w:rPr>
        <w:t>V</w:t>
      </w:r>
      <w:r w:rsidRPr="00636991">
        <w:rPr>
          <w:lang w:val="en-US"/>
        </w:rPr>
        <w:t xml:space="preserve">olume </w:t>
      </w:r>
      <w:r w:rsidR="00636991" w:rsidRPr="00636991">
        <w:rPr>
          <w:lang w:val="en-US"/>
        </w:rPr>
        <w:t>15</w:t>
      </w:r>
      <w:r w:rsidRPr="00636991">
        <w:rPr>
          <w:lang w:val="en-US"/>
        </w:rPr>
        <w:t xml:space="preserve">, Issue </w:t>
      </w:r>
      <w:r w:rsidR="00636991" w:rsidRPr="00636991">
        <w:rPr>
          <w:lang w:val="en-US"/>
        </w:rPr>
        <w:t>8</w:t>
      </w:r>
      <w:r w:rsidR="00C76762" w:rsidRPr="00636991">
        <w:rPr>
          <w:lang w:val="en-US"/>
        </w:rPr>
        <w:t xml:space="preserve">, </w:t>
      </w:r>
      <w:r w:rsidR="00636991" w:rsidRPr="00636991">
        <w:rPr>
          <w:lang w:val="en-US"/>
        </w:rPr>
        <w:t>June</w:t>
      </w:r>
      <w:r w:rsidR="002559B8" w:rsidRPr="00636991">
        <w:rPr>
          <w:lang w:val="en-US"/>
        </w:rPr>
        <w:t xml:space="preserve"> 202</w:t>
      </w:r>
      <w:r w:rsidR="00636991" w:rsidRPr="00636991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613A2CBA" w:rsidR="006B20D5" w:rsidRDefault="00BA69EB" w:rsidP="005704FB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0E698F">
        <w:rPr>
          <w:rFonts w:ascii="Arial" w:hAnsi="Arial" w:cs="Arial"/>
          <w:sz w:val="26"/>
          <w:szCs w:val="26"/>
        </w:rPr>
        <w:t>August</w:t>
      </w:r>
      <w:r w:rsidR="002D087E" w:rsidRPr="002D087E">
        <w:rPr>
          <w:rFonts w:ascii="Arial" w:hAnsi="Arial" w:cs="Arial"/>
          <w:sz w:val="26"/>
          <w:szCs w:val="26"/>
        </w:rPr>
        <w:t xml:space="preserve"> </w:t>
      </w:r>
      <w:r w:rsidR="00EA596F">
        <w:rPr>
          <w:rFonts w:ascii="Arial" w:hAnsi="Arial" w:cs="Arial"/>
          <w:sz w:val="26"/>
          <w:szCs w:val="26"/>
        </w:rPr>
        <w:t>1</w:t>
      </w:r>
      <w:r w:rsidR="000E698F">
        <w:rPr>
          <w:rFonts w:ascii="Arial" w:hAnsi="Arial" w:cs="Arial"/>
          <w:sz w:val="26"/>
          <w:szCs w:val="26"/>
        </w:rPr>
        <w:t>1</w:t>
      </w:r>
      <w:r w:rsidR="002D087E" w:rsidRPr="002D087E">
        <w:rPr>
          <w:rFonts w:ascii="Arial" w:hAnsi="Arial" w:cs="Arial"/>
          <w:sz w:val="26"/>
          <w:szCs w:val="26"/>
        </w:rPr>
        <w:t>, 2025</w:t>
      </w:r>
    </w:p>
    <w:p w14:paraId="5AC0D1ED" w14:textId="77777777" w:rsidR="005704FB" w:rsidRPr="005704FB" w:rsidRDefault="005704FB" w:rsidP="005704FB"/>
    <w:p w14:paraId="161129A6" w14:textId="25D3E919" w:rsidR="00C26785" w:rsidRPr="00C26785" w:rsidRDefault="00C26785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The list below outlines changes to the MassHealth Drug List for the rollout effective </w:t>
      </w:r>
      <w:r w:rsidR="000E698F">
        <w:rPr>
          <w:rFonts w:ascii="Arial" w:eastAsiaTheme="minorHAnsi" w:hAnsi="Arial" w:cs="Arial"/>
          <w:color w:val="auto"/>
          <w:kern w:val="0"/>
          <w:sz w:val="22"/>
          <w:szCs w:val="22"/>
        </w:rPr>
        <w:t>August</w:t>
      </w:r>
      <w:r w:rsidR="002D087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EA596F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0E698F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2D087E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C26785">
        <w:rPr>
          <w:rFonts w:ascii="Arial" w:hAnsi="Arial" w:cs="Arial"/>
          <w:bCs/>
          <w:color w:val="auto"/>
          <w:sz w:val="22"/>
          <w:szCs w:val="22"/>
        </w:rPr>
        <w:t>, that have been identified as more restrictive in nature.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bookmarkEnd w:id="1"/>
    <w:p w14:paraId="35E5EE17" w14:textId="77777777" w:rsidR="00DC6943" w:rsidRPr="0055653E" w:rsidRDefault="00DC6943" w:rsidP="00DC694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p w14:paraId="50EBAD24" w14:textId="77777777" w:rsidR="00DC6943" w:rsidRDefault="00DC6943" w:rsidP="00DC6943">
      <w:pPr>
        <w:tabs>
          <w:tab w:val="left" w:pos="1080"/>
        </w:tabs>
        <w:rPr>
          <w:rFonts w:ascii="Arial" w:hAnsi="Arial" w:cs="Arial"/>
        </w:rPr>
      </w:pPr>
    </w:p>
    <w:p w14:paraId="47F666B6" w14:textId="77777777" w:rsidR="001D6F5E" w:rsidRPr="001D6F5E" w:rsidRDefault="001D6F5E" w:rsidP="001D6F5E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bookmarkStart w:id="2" w:name="_Hlk98931753"/>
      <w:bookmarkStart w:id="3" w:name="_Hlk30086979"/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August 11, 2025, the iron chelating agents will require PA. </w:t>
      </w:r>
    </w:p>
    <w:p w14:paraId="52CF3287" w14:textId="77777777" w:rsidR="001D6F5E" w:rsidRPr="001D6F5E" w:rsidRDefault="001D6F5E" w:rsidP="001D6F5E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proofErr w:type="spellStart"/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>Exjade</w:t>
      </w:r>
      <w:proofErr w:type="spellEnd"/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(deferasirox tablet) – </w:t>
      </w:r>
      <w:r w:rsidRPr="001D6F5E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>; BP, A90</w:t>
      </w:r>
    </w:p>
    <w:p w14:paraId="71D239C9" w14:textId="77777777" w:rsidR="001D6F5E" w:rsidRPr="001D6F5E" w:rsidRDefault="001D6F5E" w:rsidP="001D6F5E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proofErr w:type="spellStart"/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>Jadenu</w:t>
      </w:r>
      <w:proofErr w:type="spellEnd"/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(deferasirox packet) – </w:t>
      </w:r>
      <w:r w:rsidRPr="001D6F5E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5E5F98F3" w14:textId="37387026" w:rsidR="000E186A" w:rsidRPr="000E186A" w:rsidRDefault="000E186A" w:rsidP="000E186A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>Effective August 11, 2025, the following COVID-1</w:t>
      </w:r>
      <w:r w:rsidR="006A3DAD">
        <w:rPr>
          <w:rFonts w:ascii="Arial" w:eastAsiaTheme="minorHAnsi" w:hAnsi="Arial" w:cs="Arial"/>
          <w:color w:val="auto"/>
          <w:kern w:val="0"/>
          <w:sz w:val="22"/>
          <w:szCs w:val="22"/>
        </w:rPr>
        <w:t>9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treatment agent will require PA within newly established</w:t>
      </w:r>
      <w:r w:rsidR="00CC1FED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age and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quantity limits.</w:t>
      </w:r>
    </w:p>
    <w:p w14:paraId="147B8436" w14:textId="77777777" w:rsidR="000E186A" w:rsidRPr="000E186A" w:rsidRDefault="000E186A" w:rsidP="000E186A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</w:pP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Paxlovid (nirmatrelvir/ritonavir 300/150-100 </w:t>
      </w:r>
      <w:proofErr w:type="gramStart"/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>mg)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  <w:vertAlign w:val="superscript"/>
        </w:rPr>
        <w:t>PD</w:t>
      </w:r>
      <w:proofErr w:type="gramEnd"/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– </w:t>
      </w:r>
      <w:r w:rsidRPr="000E186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 &lt; 12 years and &gt; 11 units/claim</w:t>
      </w:r>
    </w:p>
    <w:p w14:paraId="1356F6B5" w14:textId="32396135" w:rsidR="008F4078" w:rsidRDefault="008F4078" w:rsidP="008A18E7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8A18E7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4F36E7" w:rsidRPr="008A18E7">
        <w:rPr>
          <w:rFonts w:ascii="Arial" w:eastAsiaTheme="minorHAnsi" w:hAnsi="Arial" w:cs="Arial"/>
          <w:color w:val="auto"/>
          <w:kern w:val="0"/>
          <w:sz w:val="22"/>
          <w:szCs w:val="22"/>
        </w:rPr>
        <w:t>August 11</w:t>
      </w:r>
      <w:r w:rsidRPr="008A18E7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2025, the following anti-tubercular agent will require PA within newly established quantity limits. </w:t>
      </w:r>
    </w:p>
    <w:p w14:paraId="49E4630D" w14:textId="1377BA3E" w:rsidR="00E63EA2" w:rsidRPr="00E63EA2" w:rsidRDefault="00E63EA2" w:rsidP="00E63EA2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proofErr w:type="spellStart"/>
      <w:r w:rsidRPr="004F36E7">
        <w:rPr>
          <w:rFonts w:ascii="Arial" w:eastAsiaTheme="minorHAnsi" w:hAnsi="Arial" w:cs="Arial"/>
          <w:color w:val="auto"/>
          <w:kern w:val="0"/>
          <w:sz w:val="22"/>
          <w:szCs w:val="22"/>
        </w:rPr>
        <w:t>pretomanid</w:t>
      </w:r>
      <w:proofErr w:type="spellEnd"/>
      <w:r w:rsidRPr="004F36E7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– </w:t>
      </w:r>
      <w:r w:rsidRPr="004F36E7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 &gt; 1 unit/day</w:t>
      </w:r>
      <w:r w:rsidRPr="004F36E7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bookmarkEnd w:id="2"/>
    <w:bookmarkEnd w:id="3"/>
    <w:p w14:paraId="35F4F14D" w14:textId="2575F7ED" w:rsidR="0065410E" w:rsidRPr="00E63EA2" w:rsidRDefault="0065410E" w:rsidP="00E63EA2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>Effective August 11, 2025, the following antidiabetic agent</w:t>
      </w:r>
      <w:r w:rsidR="009830D6">
        <w:rPr>
          <w:rFonts w:ascii="Arial" w:eastAsiaTheme="minorHAnsi" w:hAnsi="Arial" w:cs="Arial"/>
          <w:color w:val="auto"/>
          <w:kern w:val="0"/>
          <w:sz w:val="22"/>
          <w:szCs w:val="22"/>
        </w:rPr>
        <w:t>s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will require PA.</w:t>
      </w:r>
    </w:p>
    <w:p w14:paraId="4B2685B6" w14:textId="77777777" w:rsidR="0056108B" w:rsidRPr="0056108B" w:rsidRDefault="0056108B" w:rsidP="0056108B">
      <w:pPr>
        <w:pStyle w:val="ListParagraph"/>
        <w:numPr>
          <w:ilvl w:val="0"/>
          <w:numId w:val="29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6108B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Byetta (exenatide injection) – </w:t>
      </w:r>
      <w:r w:rsidRPr="0056108B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56108B">
        <w:rPr>
          <w:rFonts w:ascii="Arial" w:eastAsiaTheme="minorHAnsi" w:hAnsi="Arial" w:cs="Arial"/>
          <w:color w:val="auto"/>
          <w:kern w:val="0"/>
          <w:sz w:val="22"/>
          <w:szCs w:val="22"/>
        </w:rPr>
        <w:t>; BP</w:t>
      </w:r>
    </w:p>
    <w:p w14:paraId="10D9F4DC" w14:textId="5E47370E" w:rsidR="0065410E" w:rsidRDefault="008E076B" w:rsidP="00E63EA2">
      <w:pPr>
        <w:pStyle w:val="ListParagraph"/>
        <w:numPr>
          <w:ilvl w:val="0"/>
          <w:numId w:val="29"/>
        </w:numPr>
        <w:spacing w:line="259" w:lineRule="auto"/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</w:pPr>
      <w:r w:rsidRPr="008E076B">
        <w:rPr>
          <w:rFonts w:ascii="Arial" w:eastAsiaTheme="minorHAnsi" w:hAnsi="Arial" w:cs="Arial"/>
          <w:color w:val="auto"/>
          <w:kern w:val="0"/>
          <w:sz w:val="22"/>
          <w:szCs w:val="22"/>
        </w:rPr>
        <w:t>Trulicity (dulaglutide)</w:t>
      </w:r>
      <w:r w:rsidRPr="008E076B">
        <w:rPr>
          <w:rFonts w:ascii="Arial" w:eastAsiaTheme="minorHAnsi" w:hAnsi="Arial" w:cs="Arial"/>
          <w:color w:val="auto"/>
          <w:kern w:val="0"/>
          <w:sz w:val="22"/>
          <w:szCs w:val="22"/>
          <w:vertAlign w:val="superscript"/>
        </w:rPr>
        <w:t>PD</w:t>
      </w:r>
      <w:r w:rsidRPr="00D81915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65410E" w:rsidRPr="00D81915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– </w:t>
      </w:r>
      <w:r w:rsidR="0065410E" w:rsidRPr="00D81915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05EA6302" w14:textId="0AE911AC" w:rsidR="00B66711" w:rsidRPr="00503ABD" w:rsidRDefault="00503ABD" w:rsidP="00503ABD">
      <w:pPr>
        <w:pStyle w:val="ListParagraph"/>
        <w:numPr>
          <w:ilvl w:val="0"/>
          <w:numId w:val="29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03ABD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Victoza (liraglutide) – </w:t>
      </w:r>
      <w:r w:rsidRPr="00503ABD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503ABD">
        <w:rPr>
          <w:rFonts w:ascii="Arial" w:eastAsiaTheme="minorHAnsi" w:hAnsi="Arial" w:cs="Arial"/>
          <w:color w:val="auto"/>
          <w:kern w:val="0"/>
          <w:sz w:val="22"/>
          <w:szCs w:val="22"/>
        </w:rPr>
        <w:t>; BP</w:t>
      </w:r>
    </w:p>
    <w:p w14:paraId="5C785601" w14:textId="77777777" w:rsidR="00E943C9" w:rsidRDefault="00E943C9" w:rsidP="0031122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</w:p>
    <w:p w14:paraId="18A3C2C8" w14:textId="3866D7FA" w:rsidR="00311223" w:rsidRPr="00311223" w:rsidRDefault="00311223" w:rsidP="007463DF">
      <w:pPr>
        <w:pStyle w:val="Heading2"/>
        <w:framePr w:hSpace="0" w:wrap="auto" w:vAnchor="margin" w:yAlign="inline"/>
        <w:spacing w:before="0" w:line="276" w:lineRule="auto"/>
        <w:ind w:right="-90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0714937D" w14:textId="77777777" w:rsidR="00062FC6" w:rsidRDefault="00062FC6" w:rsidP="006B20D5">
      <w:pPr>
        <w:spacing w:line="276" w:lineRule="auto"/>
      </w:pPr>
    </w:p>
    <w:p w14:paraId="09ABD4FA" w14:textId="7EABD3A4" w:rsidR="00B56A5E" w:rsidRPr="00225AD3" w:rsidRDefault="004504B6" w:rsidP="00225AD3">
      <w:pPr>
        <w:pStyle w:val="ListParagraph"/>
        <w:numPr>
          <w:ilvl w:val="0"/>
          <w:numId w:val="30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bookmarkStart w:id="4" w:name="_Hlk190784508"/>
      <w:r w:rsidR="00C1705A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August</w:t>
      </w:r>
      <w:r w:rsidR="00DA4388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E30DE3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C1705A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bookmarkEnd w:id="4"/>
      <w:r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, the following agents will be added to the MassHealth Brand Name Preferred Over Generic Drug List.</w:t>
      </w:r>
    </w:p>
    <w:p w14:paraId="4E98449B" w14:textId="17CD125F" w:rsidR="00E2385E" w:rsidRPr="00E2385E" w:rsidRDefault="00E2385E" w:rsidP="00225AD3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</w:t>
      </w:r>
      <w:r w:rsidRPr="00953C00">
        <w:rPr>
          <w:rFonts w:ascii="Arial" w:hAnsi="Arial" w:cs="Arial"/>
          <w:sz w:val="22"/>
          <w:szCs w:val="22"/>
        </w:rPr>
        <w:t>cular</w:t>
      </w:r>
      <w:proofErr w:type="spellEnd"/>
      <w:r w:rsidRPr="00953C00">
        <w:rPr>
          <w:rFonts w:ascii="Arial" w:hAnsi="Arial" w:cs="Arial"/>
          <w:sz w:val="22"/>
          <w:szCs w:val="22"/>
        </w:rPr>
        <w:t xml:space="preserve"> LS (ketorolac 0.4% ophthalmic solution)</w:t>
      </w:r>
      <w:r>
        <w:rPr>
          <w:rFonts w:ascii="Arial" w:hAnsi="Arial" w:cs="Arial"/>
          <w:sz w:val="22"/>
          <w:szCs w:val="22"/>
        </w:rPr>
        <w:t xml:space="preserve">; </w:t>
      </w:r>
      <w:r w:rsidRPr="00D21506">
        <w:rPr>
          <w:rFonts w:ascii="Arial" w:hAnsi="Arial" w:cs="Arial"/>
          <w:sz w:val="22"/>
          <w:szCs w:val="22"/>
        </w:rPr>
        <w:t>BP, A90</w:t>
      </w:r>
    </w:p>
    <w:p w14:paraId="73291A9E" w14:textId="77777777" w:rsidR="002B3AFD" w:rsidRPr="002B3AFD" w:rsidRDefault="002B3AFD" w:rsidP="002B3AFD">
      <w:pPr>
        <w:pStyle w:val="ListParagraph"/>
        <w:numPr>
          <w:ilvl w:val="1"/>
          <w:numId w:val="30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2B3AFD">
        <w:rPr>
          <w:rFonts w:ascii="Arial" w:hAnsi="Arial" w:cs="Arial"/>
          <w:bCs/>
          <w:color w:val="auto"/>
          <w:sz w:val="22"/>
          <w:szCs w:val="22"/>
        </w:rPr>
        <w:t>Anoro</w:t>
      </w:r>
      <w:proofErr w:type="spellEnd"/>
      <w:r w:rsidRPr="002B3AFD">
        <w:rPr>
          <w:rFonts w:ascii="Arial" w:hAnsi="Arial" w:cs="Arial"/>
          <w:bCs/>
          <w:color w:val="auto"/>
          <w:sz w:val="22"/>
          <w:szCs w:val="22"/>
        </w:rPr>
        <w:t xml:space="preserve"> (umeclidinium/vilanterol); BP, A90</w:t>
      </w:r>
    </w:p>
    <w:p w14:paraId="1449F5A4" w14:textId="77777777" w:rsidR="00BB2829" w:rsidRPr="00BB2829" w:rsidRDefault="00BB2829" w:rsidP="00BB2829">
      <w:pPr>
        <w:pStyle w:val="ListParagraph"/>
        <w:numPr>
          <w:ilvl w:val="1"/>
          <w:numId w:val="30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BB2829">
        <w:rPr>
          <w:rFonts w:ascii="Arial" w:hAnsi="Arial" w:cs="Arial"/>
          <w:bCs/>
          <w:color w:val="auto"/>
          <w:sz w:val="22"/>
          <w:szCs w:val="22"/>
        </w:rPr>
        <w:t>Carbatrol</w:t>
      </w:r>
      <w:proofErr w:type="spellEnd"/>
      <w:r w:rsidRPr="00BB2829">
        <w:rPr>
          <w:rFonts w:ascii="Arial" w:hAnsi="Arial" w:cs="Arial"/>
          <w:bCs/>
          <w:color w:val="auto"/>
          <w:sz w:val="22"/>
          <w:szCs w:val="22"/>
        </w:rPr>
        <w:t xml:space="preserve"> (carbamazepine </w:t>
      </w:r>
      <w:proofErr w:type="gramStart"/>
      <w:r w:rsidRPr="00BB2829">
        <w:rPr>
          <w:rFonts w:ascii="Arial" w:hAnsi="Arial" w:cs="Arial"/>
          <w:bCs/>
          <w:color w:val="auto"/>
          <w:sz w:val="22"/>
          <w:szCs w:val="22"/>
        </w:rPr>
        <w:t>extended-release</w:t>
      </w:r>
      <w:proofErr w:type="gramEnd"/>
      <w:r w:rsidRPr="00BB2829">
        <w:rPr>
          <w:rFonts w:ascii="Arial" w:hAnsi="Arial" w:cs="Arial"/>
          <w:bCs/>
          <w:color w:val="auto"/>
          <w:sz w:val="22"/>
          <w:szCs w:val="22"/>
        </w:rPr>
        <w:t>); BP, A90</w:t>
      </w:r>
    </w:p>
    <w:p w14:paraId="5455208C" w14:textId="39398E13" w:rsidR="002B3AFD" w:rsidRPr="00A91AD9" w:rsidRDefault="00A91AD9" w:rsidP="00A91AD9">
      <w:pPr>
        <w:pStyle w:val="ListParagraph"/>
        <w:numPr>
          <w:ilvl w:val="1"/>
          <w:numId w:val="30"/>
        </w:numPr>
        <w:rPr>
          <w:rFonts w:ascii="Arial" w:hAnsi="Arial" w:cs="Arial"/>
          <w:bCs/>
          <w:color w:val="auto"/>
          <w:sz w:val="22"/>
          <w:szCs w:val="22"/>
        </w:rPr>
      </w:pPr>
      <w:r w:rsidRPr="00A91AD9">
        <w:rPr>
          <w:rFonts w:ascii="Arial" w:hAnsi="Arial" w:cs="Arial"/>
          <w:bCs/>
          <w:color w:val="auto"/>
          <w:sz w:val="22"/>
          <w:szCs w:val="22"/>
        </w:rPr>
        <w:t>Cipro (ciprofloxacin suspension); BP, A90</w:t>
      </w:r>
    </w:p>
    <w:p w14:paraId="23335035" w14:textId="4BA6AD5A" w:rsidR="00C1705A" w:rsidRDefault="00C1705A" w:rsidP="00225AD3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C1705A">
        <w:rPr>
          <w:rFonts w:ascii="Arial" w:hAnsi="Arial" w:cs="Arial"/>
          <w:bCs/>
          <w:color w:val="auto"/>
          <w:sz w:val="22"/>
          <w:szCs w:val="22"/>
        </w:rPr>
        <w:t>Tygacil</w:t>
      </w:r>
      <w:proofErr w:type="spellEnd"/>
      <w:r w:rsidRPr="00C1705A">
        <w:rPr>
          <w:rFonts w:ascii="Arial" w:hAnsi="Arial" w:cs="Arial"/>
          <w:bCs/>
          <w:color w:val="auto"/>
          <w:sz w:val="22"/>
          <w:szCs w:val="22"/>
        </w:rPr>
        <w:t xml:space="preserve"> (tigecycline) – </w:t>
      </w:r>
      <w:r w:rsidRPr="00EC4A48">
        <w:rPr>
          <w:rFonts w:ascii="Arial" w:hAnsi="Arial" w:cs="Arial"/>
          <w:b/>
          <w:color w:val="auto"/>
          <w:sz w:val="22"/>
          <w:szCs w:val="22"/>
        </w:rPr>
        <w:t>PA</w:t>
      </w:r>
      <w:r w:rsidRPr="00C1705A">
        <w:rPr>
          <w:rFonts w:ascii="Arial" w:hAnsi="Arial" w:cs="Arial"/>
          <w:bCs/>
          <w:color w:val="auto"/>
          <w:sz w:val="22"/>
          <w:szCs w:val="22"/>
        </w:rPr>
        <w:t>; BP</w:t>
      </w:r>
    </w:p>
    <w:p w14:paraId="7F624B53" w14:textId="77777777" w:rsidR="00C1705A" w:rsidRDefault="00C1705A" w:rsidP="00C1705A">
      <w:pPr>
        <w:pStyle w:val="ListParagraph"/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0021525B" w14:textId="6ECC6932" w:rsidR="00E11E52" w:rsidRPr="00225AD3" w:rsidRDefault="00EF3241" w:rsidP="00225AD3">
      <w:pPr>
        <w:pStyle w:val="ListParagraph"/>
        <w:numPr>
          <w:ilvl w:val="0"/>
          <w:numId w:val="30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225AD3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C1705A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August</w:t>
      </w:r>
      <w:r w:rsidR="002D087E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</w:t>
      </w:r>
      <w:r w:rsidR="00C1705A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2D087E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225AD3">
        <w:rPr>
          <w:rFonts w:ascii="Arial" w:hAnsi="Arial" w:cs="Arial"/>
          <w:bCs/>
          <w:color w:val="auto"/>
          <w:sz w:val="22"/>
          <w:szCs w:val="22"/>
        </w:rPr>
        <w:t>, the following agent</w:t>
      </w:r>
      <w:r w:rsidR="004D7258">
        <w:rPr>
          <w:rFonts w:ascii="Arial" w:hAnsi="Arial" w:cs="Arial"/>
          <w:bCs/>
          <w:color w:val="auto"/>
          <w:sz w:val="22"/>
          <w:szCs w:val="22"/>
        </w:rPr>
        <w:t>s</w:t>
      </w:r>
      <w:r w:rsidRPr="00225AD3">
        <w:rPr>
          <w:rFonts w:ascii="Arial" w:hAnsi="Arial" w:cs="Arial"/>
          <w:bCs/>
          <w:color w:val="auto"/>
          <w:sz w:val="22"/>
          <w:szCs w:val="22"/>
        </w:rPr>
        <w:t xml:space="preserve"> will be removed from the MassHealth Brand Name Preferred Over Generic Drug List.</w:t>
      </w:r>
    </w:p>
    <w:p w14:paraId="2614D529" w14:textId="77777777" w:rsidR="00EA0466" w:rsidRDefault="00EA0466" w:rsidP="00225AD3">
      <w:pPr>
        <w:pStyle w:val="ListParagraph"/>
        <w:numPr>
          <w:ilvl w:val="1"/>
          <w:numId w:val="30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proofErr w:type="spellStart"/>
      <w:r w:rsidRPr="00502D19">
        <w:rPr>
          <w:rFonts w:ascii="Arial" w:eastAsiaTheme="minorHAnsi" w:hAnsi="Arial" w:cs="Arial"/>
          <w:color w:val="auto"/>
          <w:kern w:val="0"/>
          <w:sz w:val="22"/>
          <w:szCs w:val="22"/>
        </w:rPr>
        <w:t>Efudex</w:t>
      </w:r>
      <w:proofErr w:type="spellEnd"/>
      <w:r w:rsidRPr="00502D19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(fluorouracil 5% cream); A90</w:t>
      </w:r>
    </w:p>
    <w:p w14:paraId="77C7FDB8" w14:textId="6C4F334E" w:rsidR="00AB3CE8" w:rsidRPr="00AB3CE8" w:rsidRDefault="00AB3CE8" w:rsidP="00AB3CE8">
      <w:pPr>
        <w:pStyle w:val="ListParagraph"/>
        <w:numPr>
          <w:ilvl w:val="1"/>
          <w:numId w:val="30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proofErr w:type="spellStart"/>
      <w:r w:rsidRPr="00AB3CE8">
        <w:rPr>
          <w:rFonts w:ascii="Arial" w:eastAsiaTheme="minorHAnsi" w:hAnsi="Arial" w:cs="Arial"/>
          <w:color w:val="auto"/>
          <w:kern w:val="0"/>
          <w:sz w:val="22"/>
          <w:szCs w:val="22"/>
        </w:rPr>
        <w:t>Firvanq</w:t>
      </w:r>
      <w:proofErr w:type="spellEnd"/>
      <w:r w:rsidRPr="00AB3CE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(vancomycin oral solution); #, A90</w:t>
      </w:r>
    </w:p>
    <w:p w14:paraId="5EA51CBD" w14:textId="68D9A5E9" w:rsidR="002B5C2C" w:rsidRDefault="002B5C2C" w:rsidP="00AB3CE8">
      <w:p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>
        <w:rPr>
          <w:rFonts w:ascii="Arial" w:eastAsiaTheme="minorHAnsi" w:hAnsi="Arial" w:cs="Arial"/>
          <w:color w:val="auto"/>
          <w:kern w:val="0"/>
          <w:sz w:val="22"/>
          <w:szCs w:val="22"/>
        </w:rPr>
        <w:br w:type="page"/>
      </w:r>
    </w:p>
    <w:p w14:paraId="75522537" w14:textId="45631F44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The </w:t>
      </w:r>
      <w:hyperlink r:id="rId16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E943C9">
        <w:rPr>
          <w:rFonts w:ascii="Arial" w:eastAsiaTheme="minorHAnsi" w:hAnsi="Arial" w:cs="Arial"/>
          <w:color w:val="auto"/>
          <w:kern w:val="0"/>
          <w:sz w:val="22"/>
          <w:szCs w:val="22"/>
        </w:rPr>
        <w:t>July</w:t>
      </w:r>
      <w:r w:rsidR="005B621C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E943C9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5B621C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. Please refer to the updated summary for more information (including other important upcoming changes). Additional information about coverage status and Prior Authorization requirements can be found on the </w:t>
      </w:r>
      <w:hyperlink r:id="rId17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77AEDCF" w14:textId="77777777" w:rsidR="00571C6C" w:rsidRDefault="00571C6C" w:rsidP="00157BE7">
      <w:pPr>
        <w:spacing w:after="2280" w:line="276" w:lineRule="auto"/>
        <w:jc w:val="center"/>
        <w:rPr>
          <w:rFonts w:ascii="Arial" w:hAnsi="Arial" w:cs="Arial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1E7E" w14:textId="77777777" w:rsidR="009D63BE" w:rsidRDefault="009D63BE">
      <w:r>
        <w:separator/>
      </w:r>
    </w:p>
  </w:endnote>
  <w:endnote w:type="continuationSeparator" w:id="0">
    <w:p w14:paraId="502A7FB9" w14:textId="77777777" w:rsidR="009D63BE" w:rsidRDefault="009D63BE">
      <w:r>
        <w:continuationSeparator/>
      </w:r>
    </w:p>
  </w:endnote>
  <w:endnote w:type="continuationNotice" w:id="1">
    <w:p w14:paraId="0F2C4E24" w14:textId="77777777" w:rsidR="009D63BE" w:rsidRDefault="009D6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B9D3" w14:textId="77777777" w:rsidR="009D63BE" w:rsidRDefault="009D63BE">
      <w:r>
        <w:separator/>
      </w:r>
    </w:p>
  </w:footnote>
  <w:footnote w:type="continuationSeparator" w:id="0">
    <w:p w14:paraId="129EB2BB" w14:textId="77777777" w:rsidR="009D63BE" w:rsidRDefault="009D63BE">
      <w:r>
        <w:continuationSeparator/>
      </w:r>
    </w:p>
  </w:footnote>
  <w:footnote w:type="continuationNotice" w:id="1">
    <w:p w14:paraId="192B12C9" w14:textId="77777777" w:rsidR="009D63BE" w:rsidRDefault="009D6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10CC" w14:textId="77777777" w:rsidR="002D538E" w:rsidRPr="0046520A" w:rsidRDefault="002D538E" w:rsidP="002D538E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>
      <w:rPr>
        <w:rFonts w:ascii="Trebuchet MS" w:hAnsi="Trebuchet MS"/>
        <w:b/>
        <w:sz w:val="18"/>
        <w:szCs w:val="18"/>
        <w:lang w:val="en"/>
      </w:rPr>
      <w:t>15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8, June 2025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429"/>
    <w:multiLevelType w:val="hybridMultilevel"/>
    <w:tmpl w:val="3990A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77FD1"/>
    <w:multiLevelType w:val="hybridMultilevel"/>
    <w:tmpl w:val="15E2D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2F4C"/>
    <w:multiLevelType w:val="hybridMultilevel"/>
    <w:tmpl w:val="3B302AA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336827"/>
    <w:multiLevelType w:val="hybridMultilevel"/>
    <w:tmpl w:val="1A0A3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363A"/>
    <w:multiLevelType w:val="hybridMultilevel"/>
    <w:tmpl w:val="9D7AE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76C09"/>
    <w:multiLevelType w:val="hybridMultilevel"/>
    <w:tmpl w:val="D672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AE0771"/>
    <w:multiLevelType w:val="hybridMultilevel"/>
    <w:tmpl w:val="4C7463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711A3"/>
    <w:multiLevelType w:val="hybridMultilevel"/>
    <w:tmpl w:val="0D3E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D2200"/>
    <w:multiLevelType w:val="hybridMultilevel"/>
    <w:tmpl w:val="DA129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2"/>
  </w:num>
  <w:num w:numId="2" w16cid:durableId="900097909">
    <w:abstractNumId w:val="29"/>
  </w:num>
  <w:num w:numId="3" w16cid:durableId="1055355579">
    <w:abstractNumId w:val="13"/>
  </w:num>
  <w:num w:numId="4" w16cid:durableId="199826978">
    <w:abstractNumId w:val="12"/>
  </w:num>
  <w:num w:numId="5" w16cid:durableId="1782339195">
    <w:abstractNumId w:val="30"/>
  </w:num>
  <w:num w:numId="6" w16cid:durableId="321617534">
    <w:abstractNumId w:val="31"/>
  </w:num>
  <w:num w:numId="7" w16cid:durableId="514729983">
    <w:abstractNumId w:val="3"/>
  </w:num>
  <w:num w:numId="8" w16cid:durableId="1932081016">
    <w:abstractNumId w:val="17"/>
  </w:num>
  <w:num w:numId="9" w16cid:durableId="2079358099">
    <w:abstractNumId w:val="5"/>
  </w:num>
  <w:num w:numId="10" w16cid:durableId="329336526">
    <w:abstractNumId w:val="0"/>
  </w:num>
  <w:num w:numId="11" w16cid:durableId="747574778">
    <w:abstractNumId w:val="7"/>
  </w:num>
  <w:num w:numId="12" w16cid:durableId="864055193">
    <w:abstractNumId w:val="4"/>
  </w:num>
  <w:num w:numId="13" w16cid:durableId="990477161">
    <w:abstractNumId w:val="16"/>
  </w:num>
  <w:num w:numId="14" w16cid:durableId="1299412918">
    <w:abstractNumId w:val="20"/>
  </w:num>
  <w:num w:numId="15" w16cid:durableId="47382837">
    <w:abstractNumId w:val="27"/>
  </w:num>
  <w:num w:numId="16" w16cid:durableId="223032385">
    <w:abstractNumId w:val="19"/>
  </w:num>
  <w:num w:numId="17" w16cid:durableId="957570114">
    <w:abstractNumId w:val="11"/>
  </w:num>
  <w:num w:numId="18" w16cid:durableId="923419402">
    <w:abstractNumId w:val="10"/>
  </w:num>
  <w:num w:numId="19" w16cid:durableId="1414740414">
    <w:abstractNumId w:val="22"/>
  </w:num>
  <w:num w:numId="20" w16cid:durableId="573467208">
    <w:abstractNumId w:val="25"/>
  </w:num>
  <w:num w:numId="21" w16cid:durableId="265770662">
    <w:abstractNumId w:val="26"/>
  </w:num>
  <w:num w:numId="22" w16cid:durableId="848445145">
    <w:abstractNumId w:val="15"/>
  </w:num>
  <w:num w:numId="23" w16cid:durableId="554703532">
    <w:abstractNumId w:val="24"/>
  </w:num>
  <w:num w:numId="24" w16cid:durableId="179124052">
    <w:abstractNumId w:val="21"/>
  </w:num>
  <w:num w:numId="25" w16cid:durableId="1269119146">
    <w:abstractNumId w:val="1"/>
  </w:num>
  <w:num w:numId="26" w16cid:durableId="394090683">
    <w:abstractNumId w:val="6"/>
  </w:num>
  <w:num w:numId="27" w16cid:durableId="132255841">
    <w:abstractNumId w:val="9"/>
  </w:num>
  <w:num w:numId="28" w16cid:durableId="20132519">
    <w:abstractNumId w:val="8"/>
  </w:num>
  <w:num w:numId="29" w16cid:durableId="850922848">
    <w:abstractNumId w:val="18"/>
  </w:num>
  <w:num w:numId="30" w16cid:durableId="1230992658">
    <w:abstractNumId w:val="28"/>
  </w:num>
  <w:num w:numId="31" w16cid:durableId="984744281">
    <w:abstractNumId w:val="23"/>
  </w:num>
  <w:num w:numId="32" w16cid:durableId="20229262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94194"/>
    <w:rsid w:val="000A26B3"/>
    <w:rsid w:val="000A6C99"/>
    <w:rsid w:val="000B4487"/>
    <w:rsid w:val="000C15E5"/>
    <w:rsid w:val="000C1D5B"/>
    <w:rsid w:val="000C2AEE"/>
    <w:rsid w:val="000E186A"/>
    <w:rsid w:val="000E19BE"/>
    <w:rsid w:val="000E5134"/>
    <w:rsid w:val="000E515F"/>
    <w:rsid w:val="000E698F"/>
    <w:rsid w:val="000F145D"/>
    <w:rsid w:val="000F19D2"/>
    <w:rsid w:val="001003DC"/>
    <w:rsid w:val="00101872"/>
    <w:rsid w:val="001038B4"/>
    <w:rsid w:val="001049C6"/>
    <w:rsid w:val="00107CA4"/>
    <w:rsid w:val="00111830"/>
    <w:rsid w:val="00112E05"/>
    <w:rsid w:val="00113A33"/>
    <w:rsid w:val="00137002"/>
    <w:rsid w:val="00143EFF"/>
    <w:rsid w:val="0014508B"/>
    <w:rsid w:val="00146A25"/>
    <w:rsid w:val="00146E96"/>
    <w:rsid w:val="0015261C"/>
    <w:rsid w:val="00157BE7"/>
    <w:rsid w:val="00161B6A"/>
    <w:rsid w:val="0016598C"/>
    <w:rsid w:val="00165D70"/>
    <w:rsid w:val="00165FB0"/>
    <w:rsid w:val="0017504B"/>
    <w:rsid w:val="00175C12"/>
    <w:rsid w:val="00180CAA"/>
    <w:rsid w:val="00182385"/>
    <w:rsid w:val="0018747E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6F5E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5AD3"/>
    <w:rsid w:val="00227174"/>
    <w:rsid w:val="002400F6"/>
    <w:rsid w:val="00241BBC"/>
    <w:rsid w:val="00242480"/>
    <w:rsid w:val="00242A52"/>
    <w:rsid w:val="00246894"/>
    <w:rsid w:val="002520E7"/>
    <w:rsid w:val="002559B8"/>
    <w:rsid w:val="00266C9D"/>
    <w:rsid w:val="002712BE"/>
    <w:rsid w:val="00272F9F"/>
    <w:rsid w:val="002734E3"/>
    <w:rsid w:val="00273E75"/>
    <w:rsid w:val="0027618E"/>
    <w:rsid w:val="00283746"/>
    <w:rsid w:val="00283CFD"/>
    <w:rsid w:val="00287F60"/>
    <w:rsid w:val="002959F0"/>
    <w:rsid w:val="002A35C4"/>
    <w:rsid w:val="002A566F"/>
    <w:rsid w:val="002B16E1"/>
    <w:rsid w:val="002B3AFD"/>
    <w:rsid w:val="002B4B60"/>
    <w:rsid w:val="002B5C2C"/>
    <w:rsid w:val="002C14BD"/>
    <w:rsid w:val="002C261E"/>
    <w:rsid w:val="002C326C"/>
    <w:rsid w:val="002D087E"/>
    <w:rsid w:val="002D1920"/>
    <w:rsid w:val="002D1C5C"/>
    <w:rsid w:val="002D538E"/>
    <w:rsid w:val="002D6F34"/>
    <w:rsid w:val="002E55F8"/>
    <w:rsid w:val="002E6DD1"/>
    <w:rsid w:val="002E75D3"/>
    <w:rsid w:val="002F154A"/>
    <w:rsid w:val="002F1A78"/>
    <w:rsid w:val="002F3AAD"/>
    <w:rsid w:val="002F4A95"/>
    <w:rsid w:val="00302A39"/>
    <w:rsid w:val="003064EC"/>
    <w:rsid w:val="0031009A"/>
    <w:rsid w:val="00311223"/>
    <w:rsid w:val="003125A4"/>
    <w:rsid w:val="003128F3"/>
    <w:rsid w:val="0031549E"/>
    <w:rsid w:val="003159D1"/>
    <w:rsid w:val="00316A86"/>
    <w:rsid w:val="0031728E"/>
    <w:rsid w:val="00325D8F"/>
    <w:rsid w:val="00330FB0"/>
    <w:rsid w:val="00337677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6D1E"/>
    <w:rsid w:val="003971CE"/>
    <w:rsid w:val="00397377"/>
    <w:rsid w:val="003A17FB"/>
    <w:rsid w:val="003A670A"/>
    <w:rsid w:val="003A76A8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D00"/>
    <w:rsid w:val="00431ACF"/>
    <w:rsid w:val="00433649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BD4"/>
    <w:rsid w:val="00470265"/>
    <w:rsid w:val="00470FE2"/>
    <w:rsid w:val="0047213A"/>
    <w:rsid w:val="004733F0"/>
    <w:rsid w:val="0047627E"/>
    <w:rsid w:val="00477057"/>
    <w:rsid w:val="00485E86"/>
    <w:rsid w:val="0049555F"/>
    <w:rsid w:val="0049734F"/>
    <w:rsid w:val="004A049E"/>
    <w:rsid w:val="004A58A3"/>
    <w:rsid w:val="004A5933"/>
    <w:rsid w:val="004A5CAC"/>
    <w:rsid w:val="004B0A9F"/>
    <w:rsid w:val="004B24F7"/>
    <w:rsid w:val="004B4369"/>
    <w:rsid w:val="004B77A9"/>
    <w:rsid w:val="004C0C22"/>
    <w:rsid w:val="004C2C2B"/>
    <w:rsid w:val="004D493F"/>
    <w:rsid w:val="004D7258"/>
    <w:rsid w:val="004D7846"/>
    <w:rsid w:val="004E42DD"/>
    <w:rsid w:val="004E58D0"/>
    <w:rsid w:val="004E6787"/>
    <w:rsid w:val="004E7484"/>
    <w:rsid w:val="004F36E7"/>
    <w:rsid w:val="004F3FB4"/>
    <w:rsid w:val="004F5803"/>
    <w:rsid w:val="004F635C"/>
    <w:rsid w:val="00502B92"/>
    <w:rsid w:val="00502D19"/>
    <w:rsid w:val="00503ABD"/>
    <w:rsid w:val="00505053"/>
    <w:rsid w:val="00505B4B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6108B"/>
    <w:rsid w:val="005639B0"/>
    <w:rsid w:val="00567B9D"/>
    <w:rsid w:val="005704FB"/>
    <w:rsid w:val="00571C6C"/>
    <w:rsid w:val="0057278E"/>
    <w:rsid w:val="00573D27"/>
    <w:rsid w:val="00576DC3"/>
    <w:rsid w:val="00577FEC"/>
    <w:rsid w:val="00580E97"/>
    <w:rsid w:val="00581E50"/>
    <w:rsid w:val="00583A96"/>
    <w:rsid w:val="005842A0"/>
    <w:rsid w:val="005851F1"/>
    <w:rsid w:val="005870E6"/>
    <w:rsid w:val="00591187"/>
    <w:rsid w:val="0059122F"/>
    <w:rsid w:val="00592C98"/>
    <w:rsid w:val="0059487B"/>
    <w:rsid w:val="005A21DB"/>
    <w:rsid w:val="005A74DA"/>
    <w:rsid w:val="005B3507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610115"/>
    <w:rsid w:val="00612B60"/>
    <w:rsid w:val="0061720E"/>
    <w:rsid w:val="00622404"/>
    <w:rsid w:val="0062336E"/>
    <w:rsid w:val="0062529B"/>
    <w:rsid w:val="00626A67"/>
    <w:rsid w:val="00636991"/>
    <w:rsid w:val="0064259B"/>
    <w:rsid w:val="0064266F"/>
    <w:rsid w:val="0064500C"/>
    <w:rsid w:val="00650CB2"/>
    <w:rsid w:val="00653EAC"/>
    <w:rsid w:val="0065410E"/>
    <w:rsid w:val="006558AB"/>
    <w:rsid w:val="0067107B"/>
    <w:rsid w:val="00680C86"/>
    <w:rsid w:val="00690023"/>
    <w:rsid w:val="0069031E"/>
    <w:rsid w:val="00694015"/>
    <w:rsid w:val="006A28CD"/>
    <w:rsid w:val="006A3DAD"/>
    <w:rsid w:val="006A573E"/>
    <w:rsid w:val="006A777A"/>
    <w:rsid w:val="006B207B"/>
    <w:rsid w:val="006B20D5"/>
    <w:rsid w:val="006B7613"/>
    <w:rsid w:val="006C3B50"/>
    <w:rsid w:val="006C7755"/>
    <w:rsid w:val="006D70E0"/>
    <w:rsid w:val="006E0362"/>
    <w:rsid w:val="006E144D"/>
    <w:rsid w:val="006E6074"/>
    <w:rsid w:val="006F33E8"/>
    <w:rsid w:val="00702546"/>
    <w:rsid w:val="00711113"/>
    <w:rsid w:val="0071680C"/>
    <w:rsid w:val="00717A1C"/>
    <w:rsid w:val="0072128C"/>
    <w:rsid w:val="00721778"/>
    <w:rsid w:val="007231A6"/>
    <w:rsid w:val="007243D7"/>
    <w:rsid w:val="007311C3"/>
    <w:rsid w:val="007350B6"/>
    <w:rsid w:val="007459B2"/>
    <w:rsid w:val="007463DF"/>
    <w:rsid w:val="00752617"/>
    <w:rsid w:val="00756C2F"/>
    <w:rsid w:val="00762B83"/>
    <w:rsid w:val="00767D6F"/>
    <w:rsid w:val="00770CB5"/>
    <w:rsid w:val="007730A5"/>
    <w:rsid w:val="007736F7"/>
    <w:rsid w:val="00775385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D738D"/>
    <w:rsid w:val="007E4CAE"/>
    <w:rsid w:val="007E77D7"/>
    <w:rsid w:val="007F2D62"/>
    <w:rsid w:val="00800DFB"/>
    <w:rsid w:val="0080735F"/>
    <w:rsid w:val="00807E9F"/>
    <w:rsid w:val="0081517C"/>
    <w:rsid w:val="00816B7A"/>
    <w:rsid w:val="00817A3C"/>
    <w:rsid w:val="00821F5B"/>
    <w:rsid w:val="00822B62"/>
    <w:rsid w:val="00823288"/>
    <w:rsid w:val="0083751C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5AEA"/>
    <w:rsid w:val="00870CBF"/>
    <w:rsid w:val="008722AE"/>
    <w:rsid w:val="00872E7F"/>
    <w:rsid w:val="0087314D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A18E7"/>
    <w:rsid w:val="008A1B35"/>
    <w:rsid w:val="008A4DFB"/>
    <w:rsid w:val="008A642A"/>
    <w:rsid w:val="008B0999"/>
    <w:rsid w:val="008B221F"/>
    <w:rsid w:val="008B56EF"/>
    <w:rsid w:val="008C4642"/>
    <w:rsid w:val="008C7B12"/>
    <w:rsid w:val="008E076B"/>
    <w:rsid w:val="008E5183"/>
    <w:rsid w:val="008E79B3"/>
    <w:rsid w:val="008F25B4"/>
    <w:rsid w:val="008F4078"/>
    <w:rsid w:val="00901DC2"/>
    <w:rsid w:val="00915088"/>
    <w:rsid w:val="00917BB8"/>
    <w:rsid w:val="00922C53"/>
    <w:rsid w:val="00923341"/>
    <w:rsid w:val="00927CAB"/>
    <w:rsid w:val="00934467"/>
    <w:rsid w:val="00947F70"/>
    <w:rsid w:val="00950233"/>
    <w:rsid w:val="00954AA3"/>
    <w:rsid w:val="009555A8"/>
    <w:rsid w:val="00956812"/>
    <w:rsid w:val="00980B18"/>
    <w:rsid w:val="00982128"/>
    <w:rsid w:val="009830D6"/>
    <w:rsid w:val="00986130"/>
    <w:rsid w:val="00986205"/>
    <w:rsid w:val="00986AF3"/>
    <w:rsid w:val="009913AF"/>
    <w:rsid w:val="00992143"/>
    <w:rsid w:val="00996DE6"/>
    <w:rsid w:val="009A2A6E"/>
    <w:rsid w:val="009A3763"/>
    <w:rsid w:val="009A4123"/>
    <w:rsid w:val="009B1AAF"/>
    <w:rsid w:val="009B2ABA"/>
    <w:rsid w:val="009D1E1C"/>
    <w:rsid w:val="009D2B0C"/>
    <w:rsid w:val="009D453B"/>
    <w:rsid w:val="009D63BE"/>
    <w:rsid w:val="009E00CE"/>
    <w:rsid w:val="009E2313"/>
    <w:rsid w:val="009F04D6"/>
    <w:rsid w:val="00A128B9"/>
    <w:rsid w:val="00A12B49"/>
    <w:rsid w:val="00A13579"/>
    <w:rsid w:val="00A17E67"/>
    <w:rsid w:val="00A21F11"/>
    <w:rsid w:val="00A26095"/>
    <w:rsid w:val="00A2758A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1AD9"/>
    <w:rsid w:val="00A95432"/>
    <w:rsid w:val="00A954E1"/>
    <w:rsid w:val="00AA0399"/>
    <w:rsid w:val="00AA6F20"/>
    <w:rsid w:val="00AB304D"/>
    <w:rsid w:val="00AB3CE8"/>
    <w:rsid w:val="00AC546E"/>
    <w:rsid w:val="00AD42BB"/>
    <w:rsid w:val="00AD454A"/>
    <w:rsid w:val="00AD5A76"/>
    <w:rsid w:val="00AD74BA"/>
    <w:rsid w:val="00AE32DC"/>
    <w:rsid w:val="00AE483E"/>
    <w:rsid w:val="00AF3BAA"/>
    <w:rsid w:val="00B10C3E"/>
    <w:rsid w:val="00B13074"/>
    <w:rsid w:val="00B16C6C"/>
    <w:rsid w:val="00B20840"/>
    <w:rsid w:val="00B30E77"/>
    <w:rsid w:val="00B31AF2"/>
    <w:rsid w:val="00B417D5"/>
    <w:rsid w:val="00B44DE1"/>
    <w:rsid w:val="00B529FF"/>
    <w:rsid w:val="00B5390A"/>
    <w:rsid w:val="00B54AB5"/>
    <w:rsid w:val="00B56A5E"/>
    <w:rsid w:val="00B65AEA"/>
    <w:rsid w:val="00B6651C"/>
    <w:rsid w:val="00B66711"/>
    <w:rsid w:val="00B7453A"/>
    <w:rsid w:val="00B96C06"/>
    <w:rsid w:val="00BA5ADD"/>
    <w:rsid w:val="00BA69EB"/>
    <w:rsid w:val="00BB0102"/>
    <w:rsid w:val="00BB15B2"/>
    <w:rsid w:val="00BB2829"/>
    <w:rsid w:val="00BD0118"/>
    <w:rsid w:val="00BD1367"/>
    <w:rsid w:val="00BD36A1"/>
    <w:rsid w:val="00BD6EA2"/>
    <w:rsid w:val="00BD7648"/>
    <w:rsid w:val="00BE46A7"/>
    <w:rsid w:val="00BF173A"/>
    <w:rsid w:val="00BF4A81"/>
    <w:rsid w:val="00BF73BB"/>
    <w:rsid w:val="00C0073C"/>
    <w:rsid w:val="00C009F8"/>
    <w:rsid w:val="00C03DAA"/>
    <w:rsid w:val="00C07931"/>
    <w:rsid w:val="00C1705A"/>
    <w:rsid w:val="00C208B7"/>
    <w:rsid w:val="00C21F71"/>
    <w:rsid w:val="00C24050"/>
    <w:rsid w:val="00C25B35"/>
    <w:rsid w:val="00C26270"/>
    <w:rsid w:val="00C26785"/>
    <w:rsid w:val="00C27D9C"/>
    <w:rsid w:val="00C35B94"/>
    <w:rsid w:val="00C4079D"/>
    <w:rsid w:val="00C409B3"/>
    <w:rsid w:val="00C4587F"/>
    <w:rsid w:val="00C50054"/>
    <w:rsid w:val="00C54D38"/>
    <w:rsid w:val="00C556DB"/>
    <w:rsid w:val="00C578AB"/>
    <w:rsid w:val="00C578C7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4BAC"/>
    <w:rsid w:val="00CA4C28"/>
    <w:rsid w:val="00CA6B6E"/>
    <w:rsid w:val="00CB1524"/>
    <w:rsid w:val="00CC1FED"/>
    <w:rsid w:val="00CC539D"/>
    <w:rsid w:val="00CD1B3A"/>
    <w:rsid w:val="00CD7211"/>
    <w:rsid w:val="00CD751D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4F19"/>
    <w:rsid w:val="00D446DF"/>
    <w:rsid w:val="00D6775A"/>
    <w:rsid w:val="00D726DF"/>
    <w:rsid w:val="00D757B8"/>
    <w:rsid w:val="00D77884"/>
    <w:rsid w:val="00D779C3"/>
    <w:rsid w:val="00D77C8E"/>
    <w:rsid w:val="00D81915"/>
    <w:rsid w:val="00D821A9"/>
    <w:rsid w:val="00D86896"/>
    <w:rsid w:val="00D97D27"/>
    <w:rsid w:val="00DA302D"/>
    <w:rsid w:val="00DA4328"/>
    <w:rsid w:val="00DA4388"/>
    <w:rsid w:val="00DA6D62"/>
    <w:rsid w:val="00DA7FE7"/>
    <w:rsid w:val="00DB0521"/>
    <w:rsid w:val="00DB2EE5"/>
    <w:rsid w:val="00DB3BB6"/>
    <w:rsid w:val="00DB79AB"/>
    <w:rsid w:val="00DC0E97"/>
    <w:rsid w:val="00DC1ACC"/>
    <w:rsid w:val="00DC6943"/>
    <w:rsid w:val="00DC7F7B"/>
    <w:rsid w:val="00DD2187"/>
    <w:rsid w:val="00DE0342"/>
    <w:rsid w:val="00DE5C94"/>
    <w:rsid w:val="00DE638B"/>
    <w:rsid w:val="00DF2CCE"/>
    <w:rsid w:val="00DF3E53"/>
    <w:rsid w:val="00E009F7"/>
    <w:rsid w:val="00E06D78"/>
    <w:rsid w:val="00E1027A"/>
    <w:rsid w:val="00E11E52"/>
    <w:rsid w:val="00E2339F"/>
    <w:rsid w:val="00E2385E"/>
    <w:rsid w:val="00E23CEA"/>
    <w:rsid w:val="00E30DE3"/>
    <w:rsid w:val="00E31AED"/>
    <w:rsid w:val="00E31CAE"/>
    <w:rsid w:val="00E31CC7"/>
    <w:rsid w:val="00E32112"/>
    <w:rsid w:val="00E33769"/>
    <w:rsid w:val="00E35E0F"/>
    <w:rsid w:val="00E370BD"/>
    <w:rsid w:val="00E61DD5"/>
    <w:rsid w:val="00E63EA2"/>
    <w:rsid w:val="00E64DE9"/>
    <w:rsid w:val="00E679DA"/>
    <w:rsid w:val="00E831CE"/>
    <w:rsid w:val="00E8660B"/>
    <w:rsid w:val="00E90319"/>
    <w:rsid w:val="00E943C9"/>
    <w:rsid w:val="00E9521B"/>
    <w:rsid w:val="00EA0466"/>
    <w:rsid w:val="00EA3B9F"/>
    <w:rsid w:val="00EA596F"/>
    <w:rsid w:val="00EB0E73"/>
    <w:rsid w:val="00EB5FE2"/>
    <w:rsid w:val="00EC08AC"/>
    <w:rsid w:val="00EC4A48"/>
    <w:rsid w:val="00ED6857"/>
    <w:rsid w:val="00EE1090"/>
    <w:rsid w:val="00EE333C"/>
    <w:rsid w:val="00EE46DF"/>
    <w:rsid w:val="00EE67F4"/>
    <w:rsid w:val="00EE74FF"/>
    <w:rsid w:val="00EF0013"/>
    <w:rsid w:val="00EF3241"/>
    <w:rsid w:val="00EF76E8"/>
    <w:rsid w:val="00F01FFC"/>
    <w:rsid w:val="00F05489"/>
    <w:rsid w:val="00F065CA"/>
    <w:rsid w:val="00F264CE"/>
    <w:rsid w:val="00F42C2D"/>
    <w:rsid w:val="00F51B4F"/>
    <w:rsid w:val="00F53DA0"/>
    <w:rsid w:val="00F53FFB"/>
    <w:rsid w:val="00F54536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5E0D"/>
    <w:rsid w:val="00F9023B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3FEC"/>
    <w:rsid w:val="00FD5009"/>
    <w:rsid w:val="00FD5CE5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4E32B342-AF5C-4254-81E5-05BE9068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welcome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mhdlupdates.do?category=Upcoming+and+Recent+Updat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1" ma:contentTypeDescription="Create a new document." ma:contentTypeScope="" ma:versionID="30c5e4fde97e5550b5ef1a92d670a016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de99682dbc6e28115e0efca5fe65aa19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937DD5-F5B9-426F-8FE4-47EA0DA8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13</cp:revision>
  <cp:lastPrinted>2024-10-16T21:48:00Z</cp:lastPrinted>
  <dcterms:created xsi:type="dcterms:W3CDTF">2025-06-23T15:45:00Z</dcterms:created>
  <dcterms:modified xsi:type="dcterms:W3CDTF">2025-06-23T17:48:00Z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