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F86EB15" w:rsidR="00680B92" w:rsidRPr="00CA6AF1" w:rsidRDefault="00680B92" w:rsidP="00680B92">
      <w:pPr>
        <w:pStyle w:val="Heading1"/>
        <w:jc w:val="center"/>
      </w:pPr>
      <w:bookmarkStart w:id="1" w:name="_Toc206762628"/>
      <w:bookmarkStart w:id="2" w:name="_Toc213421054"/>
      <w:r w:rsidRPr="00CA6AF1">
        <w:t>Contract User Guid</w:t>
      </w:r>
      <w:r>
        <w:t>e</w:t>
      </w:r>
      <w:r>
        <w:br/>
      </w:r>
      <w:bookmarkEnd w:id="1"/>
      <w:r w:rsidR="00950970" w:rsidRPr="00950970">
        <w:t>ITS64: Oracle Software and Services</w:t>
      </w:r>
      <w:bookmarkEnd w:id="2"/>
    </w:p>
    <w:p w14:paraId="65E4D6F9" w14:textId="77777777" w:rsidR="00680B92" w:rsidRPr="00680B92" w:rsidRDefault="00680B92" w:rsidP="00680B92">
      <w:pPr>
        <w:rPr>
          <w:highlight w:val="yellow"/>
        </w:rPr>
      </w:pPr>
    </w:p>
    <w:p w14:paraId="39752DB3" w14:textId="5F6708A3" w:rsidR="008C6741" w:rsidRDefault="00803BD8" w:rsidP="008C6741">
      <w:pPr>
        <w:pStyle w:val="Heading2"/>
      </w:pPr>
      <w:bookmarkStart w:id="3" w:name="_Toc213421055"/>
      <w:r w:rsidRPr="003E0898">
        <w:t xml:space="preserve">Contract </w:t>
      </w:r>
      <w:r w:rsidR="003E0898">
        <w:t>Overview</w:t>
      </w:r>
      <w:bookmarkEnd w:id="3"/>
    </w:p>
    <w:p w14:paraId="73DC5C21" w14:textId="77777777" w:rsidR="008C6741" w:rsidRPr="008C6741" w:rsidRDefault="008C6741" w:rsidP="008C6741">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184B5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2358E78" w14:textId="77777777" w:rsidR="00184B5C" w:rsidRPr="00C65C36" w:rsidRDefault="00184B5C" w:rsidP="00184B5C">
            <w:pPr>
              <w:tabs>
                <w:tab w:val="left" w:pos="9165"/>
              </w:tabs>
              <w:rPr>
                <w:color w:val="auto"/>
              </w:rPr>
            </w:pPr>
            <w:hyperlink r:id="rId12" w:history="1">
              <w:r w:rsidRPr="00184B5C">
                <w:rPr>
                  <w:rStyle w:val="Hyperlink"/>
                  <w:b w:val="0"/>
                  <w:bCs w:val="0"/>
                </w:rPr>
                <w:t>Kerri Quinn</w:t>
              </w:r>
            </w:hyperlink>
          </w:p>
          <w:p w14:paraId="3C128600" w14:textId="7BA75FF7" w:rsidR="00184B5C" w:rsidRDefault="00184B5C" w:rsidP="00184B5C">
            <w:pPr>
              <w:tabs>
                <w:tab w:val="left" w:pos="9165"/>
              </w:tabs>
              <w:rPr>
                <w:b w:val="0"/>
                <w:bCs w:val="0"/>
                <w:szCs w:val="24"/>
              </w:rPr>
            </w:pPr>
            <w:r w:rsidRPr="00C65C36">
              <w:rPr>
                <w:b w:val="0"/>
                <w:bCs w:val="0"/>
                <w:color w:val="auto"/>
                <w:szCs w:val="24"/>
              </w:rPr>
              <w:t>617-359-7284</w:t>
            </w:r>
          </w:p>
          <w:p w14:paraId="29DA4585" w14:textId="77777777" w:rsidR="00184B5C" w:rsidRDefault="00184B5C" w:rsidP="00C65C36">
            <w:pPr>
              <w:tabs>
                <w:tab w:val="left" w:pos="9165"/>
              </w:tabs>
              <w:rPr>
                <w:b w:val="0"/>
                <w:bCs w:val="0"/>
                <w:szCs w:val="24"/>
              </w:rPr>
            </w:pPr>
          </w:p>
          <w:p w14:paraId="4F4ADA92" w14:textId="2DAB90AF" w:rsidR="00C65C36" w:rsidRPr="00C65C36" w:rsidRDefault="00C65C36" w:rsidP="00C65C36">
            <w:pPr>
              <w:tabs>
                <w:tab w:val="left" w:pos="9165"/>
              </w:tabs>
              <w:rPr>
                <w:color w:val="auto"/>
                <w:szCs w:val="24"/>
              </w:rPr>
            </w:pPr>
            <w:hyperlink r:id="rId13" w:history="1">
              <w:r w:rsidRPr="00184B5C">
                <w:rPr>
                  <w:rStyle w:val="Hyperlink"/>
                  <w:b w:val="0"/>
                  <w:bCs w:val="0"/>
                  <w:szCs w:val="24"/>
                </w:rPr>
                <w:t>Joshua Flanagan-Lanier</w:t>
              </w:r>
            </w:hyperlink>
          </w:p>
          <w:p w14:paraId="18E36C1D" w14:textId="715490D4" w:rsidR="00B1168A" w:rsidRPr="00606368" w:rsidRDefault="00C65C36" w:rsidP="00184B5C">
            <w:pPr>
              <w:tabs>
                <w:tab w:val="left" w:pos="9165"/>
              </w:tabs>
              <w:rPr>
                <w:color w:val="auto"/>
                <w:szCs w:val="24"/>
              </w:rPr>
            </w:pPr>
            <w:r w:rsidRPr="00C65C36">
              <w:rPr>
                <w:b w:val="0"/>
                <w:bCs w:val="0"/>
                <w:color w:val="auto"/>
                <w:szCs w:val="24"/>
              </w:rPr>
              <w:t>351-667-2246</w:t>
            </w:r>
            <w:r w:rsidR="00184B5C" w:rsidRPr="00606368">
              <w:rPr>
                <w:color w:val="auto"/>
                <w:szCs w:val="24"/>
              </w:rPr>
              <w:t xml:space="preserve"> </w:t>
            </w:r>
          </w:p>
        </w:tc>
      </w:tr>
      <w:tr w:rsidR="0064148A" w:rsidRPr="00136526" w14:paraId="22AC3B9B" w14:textId="77777777" w:rsidTr="00184B5C">
        <w:trPr>
          <w:trHeight w:val="13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05AB284" w14:textId="77777777" w:rsidR="00C65C36" w:rsidRPr="005E24DB" w:rsidRDefault="00C65C36" w:rsidP="00A67069">
            <w:pPr>
              <w:pStyle w:val="ListParagraph"/>
              <w:numPr>
                <w:ilvl w:val="0"/>
                <w:numId w:val="14"/>
              </w:numPr>
              <w:rPr>
                <w:b/>
              </w:rPr>
            </w:pPr>
            <w:r w:rsidRPr="005E24DB">
              <w:rPr>
                <w:rFonts w:cstheme="minorHAnsi"/>
                <w:b/>
                <w:bCs/>
                <w:szCs w:val="24"/>
              </w:rPr>
              <w:t xml:space="preserve">Current Contract Term: </w:t>
            </w:r>
            <w:r>
              <w:t>July 25, 2023 – June 30, 2028</w:t>
            </w:r>
          </w:p>
          <w:p w14:paraId="227F31A5" w14:textId="77777777" w:rsidR="00C65C36" w:rsidRPr="00136526" w:rsidRDefault="00C65C36" w:rsidP="00A67069">
            <w:pPr>
              <w:pStyle w:val="ListParagraph"/>
              <w:numPr>
                <w:ilvl w:val="0"/>
                <w:numId w:val="9"/>
              </w:numPr>
              <w:rPr>
                <w:rFonts w:cstheme="minorHAnsi"/>
                <w:szCs w:val="24"/>
              </w:rPr>
            </w:pPr>
            <w:r w:rsidRPr="00136526">
              <w:rPr>
                <w:rFonts w:cstheme="minorHAnsi"/>
                <w:b/>
                <w:bCs/>
                <w:szCs w:val="24"/>
              </w:rPr>
              <w:t xml:space="preserve">Maximum End Date: </w:t>
            </w:r>
            <w:r>
              <w:t>June 30, 2028</w:t>
            </w:r>
          </w:p>
          <w:p w14:paraId="18DAF315" w14:textId="161E51B8" w:rsidR="0064148A" w:rsidRPr="00C65C36" w:rsidRDefault="00C65C36" w:rsidP="00A67069">
            <w:pPr>
              <w:pStyle w:val="ListParagraph"/>
              <w:numPr>
                <w:ilvl w:val="0"/>
                <w:numId w:val="9"/>
              </w:numPr>
              <w:rPr>
                <w:szCs w:val="24"/>
              </w:rPr>
            </w:pPr>
            <w:hyperlink w:anchor="_Extend_Beyond_(Performance" w:history="1">
              <w:r w:rsidRPr="00425BDC">
                <w:rPr>
                  <w:rStyle w:val="Hyperlink"/>
                  <w:rFonts w:cstheme="minorHAnsi"/>
                  <w:b/>
                  <w:bCs/>
                  <w:szCs w:val="24"/>
                </w:rPr>
                <w:t>Extend Beyond Date:</w:t>
              </w:r>
            </w:hyperlink>
            <w:r w:rsidRPr="00425BDC">
              <w:rPr>
                <w:rFonts w:cstheme="minorHAnsi"/>
                <w:b/>
                <w:bCs/>
                <w:szCs w:val="24"/>
              </w:rPr>
              <w:t xml:space="preserve"> </w:t>
            </w:r>
            <w:r w:rsidRPr="00425BDC">
              <w:rPr>
                <w:szCs w:val="24"/>
              </w:rPr>
              <w:t>June 30, 2033</w:t>
            </w:r>
          </w:p>
        </w:tc>
      </w:tr>
      <w:tr w:rsidR="0064148A" w:rsidRPr="00136526" w14:paraId="7146EE8A" w14:textId="77777777" w:rsidTr="008C6741">
        <w:trPr>
          <w:trHeight w:val="129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071A9CAD" w:rsidR="00287F65" w:rsidRPr="00184B5C" w:rsidRDefault="00C65C36" w:rsidP="00953689">
            <w:pPr>
              <w:rPr>
                <w:b/>
                <w:bCs/>
                <w:szCs w:val="24"/>
              </w:rPr>
            </w:pPr>
            <w:r w:rsidRPr="00184B5C">
              <w:rPr>
                <w:b/>
                <w:bCs/>
                <w:szCs w:val="24"/>
              </w:rPr>
              <w:t>ITS64</w:t>
            </w:r>
            <w:r w:rsidR="00184B5C" w:rsidRPr="00184B5C">
              <w:rPr>
                <w:b/>
                <w:bCs/>
                <w:szCs w:val="24"/>
              </w:rPr>
              <w:t>*</w:t>
            </w:r>
          </w:p>
          <w:p w14:paraId="51311AFA" w14:textId="77777777" w:rsidR="00184B5C" w:rsidRDefault="00184B5C"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C65C36">
        <w:trPr>
          <w:trHeight w:val="44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63E4DAA2" w:rsidR="0064148A" w:rsidRPr="00136526" w:rsidRDefault="0064148A" w:rsidP="00184B5C">
            <w:pPr>
              <w:rPr>
                <w:szCs w:val="24"/>
                <w:highlight w:val="yellow"/>
              </w:rPr>
            </w:pPr>
            <w:r w:rsidRPr="00C65C36">
              <w:rPr>
                <w:szCs w:val="24"/>
              </w:rPr>
              <w:t>Quotes are not required for purchasing.</w:t>
            </w:r>
          </w:p>
        </w:tc>
      </w:tr>
      <w:tr w:rsidR="0064148A" w:rsidRPr="00136526" w14:paraId="0C1AC47B" w14:textId="77777777" w:rsidTr="008C6741">
        <w:trPr>
          <w:trHeight w:val="72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DA475AE" w:rsidR="0064148A" w:rsidRPr="00136526" w:rsidRDefault="0064148A" w:rsidP="00184B5C">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8C6741">
        <w:trPr>
          <w:trHeight w:val="77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FC35EA8" w:rsidR="0064148A" w:rsidRPr="00136526" w:rsidRDefault="008C6741" w:rsidP="00953689">
            <w:pPr>
              <w:rPr>
                <w:szCs w:val="24"/>
                <w:highlight w:val="yellow"/>
              </w:rPr>
            </w:pPr>
            <w:r w:rsidRPr="008C6741">
              <w:rPr>
                <w:szCs w:val="24"/>
              </w:rPr>
              <w:t>November</w:t>
            </w:r>
            <w:r>
              <w:rPr>
                <w:szCs w:val="24"/>
              </w:rPr>
              <w:t xml:space="preserve"> 10, 2025: Updated Category Manager information</w:t>
            </w:r>
          </w:p>
        </w:tc>
      </w:tr>
    </w:tbl>
    <w:p w14:paraId="42426EA0" w14:textId="77777777" w:rsidR="008C6741" w:rsidRDefault="008C6741" w:rsidP="00C65C36">
      <w:pPr>
        <w:tabs>
          <w:tab w:val="left" w:pos="9165"/>
        </w:tabs>
        <w:spacing w:after="0"/>
        <w:jc w:val="center"/>
        <w:rPr>
          <w:rStyle w:val="PageNumber"/>
          <w:b/>
          <w:bCs/>
          <w:szCs w:val="24"/>
        </w:rPr>
      </w:pPr>
    </w:p>
    <w:p w14:paraId="13CCBFB1" w14:textId="77777777" w:rsidR="008C6741" w:rsidRDefault="008C6741" w:rsidP="00C65C36">
      <w:pPr>
        <w:tabs>
          <w:tab w:val="left" w:pos="9165"/>
        </w:tabs>
        <w:spacing w:after="0"/>
        <w:jc w:val="center"/>
        <w:rPr>
          <w:rStyle w:val="PageNumber"/>
          <w:b/>
          <w:bCs/>
          <w:szCs w:val="24"/>
        </w:rPr>
      </w:pPr>
    </w:p>
    <w:p w14:paraId="00D90DA4" w14:textId="77777777" w:rsidR="008C6741" w:rsidRDefault="008C6741" w:rsidP="00C65C36">
      <w:pPr>
        <w:tabs>
          <w:tab w:val="left" w:pos="9165"/>
        </w:tabs>
        <w:spacing w:after="0"/>
        <w:jc w:val="center"/>
        <w:rPr>
          <w:rStyle w:val="PageNumber"/>
          <w:b/>
          <w:bCs/>
          <w:szCs w:val="24"/>
        </w:rPr>
      </w:pPr>
    </w:p>
    <w:p w14:paraId="2EE53A3B" w14:textId="21ED0227" w:rsidR="00AC1E9E" w:rsidRPr="006E4CCA" w:rsidRDefault="00AC1E9E" w:rsidP="00C65C36">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61F04644"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6C53C2">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6C53C2">
        <w:rPr>
          <w:rStyle w:val="PageNumber"/>
          <w:noProof/>
          <w:szCs w:val="24"/>
        </w:rPr>
        <w:t>16</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0789F7E4" w14:textId="2D2A7EFC" w:rsidR="003D1D7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3421054" w:history="1">
            <w:r w:rsidR="003D1D70" w:rsidRPr="00E006E1">
              <w:rPr>
                <w:rStyle w:val="Hyperlink"/>
              </w:rPr>
              <w:t>Contract User Guide ITS64: Oracle Software and Services</w:t>
            </w:r>
            <w:r w:rsidR="003D1D70">
              <w:rPr>
                <w:webHidden/>
              </w:rPr>
              <w:tab/>
            </w:r>
            <w:r w:rsidR="003D1D70">
              <w:rPr>
                <w:webHidden/>
              </w:rPr>
              <w:fldChar w:fldCharType="begin"/>
            </w:r>
            <w:r w:rsidR="003D1D70">
              <w:rPr>
                <w:webHidden/>
              </w:rPr>
              <w:instrText xml:space="preserve"> PAGEREF _Toc213421054 \h </w:instrText>
            </w:r>
            <w:r w:rsidR="003D1D70">
              <w:rPr>
                <w:webHidden/>
              </w:rPr>
            </w:r>
            <w:r w:rsidR="003D1D70">
              <w:rPr>
                <w:webHidden/>
              </w:rPr>
              <w:fldChar w:fldCharType="separate"/>
            </w:r>
            <w:r w:rsidR="003D1D70">
              <w:rPr>
                <w:webHidden/>
              </w:rPr>
              <w:t>1</w:t>
            </w:r>
            <w:r w:rsidR="003D1D70">
              <w:rPr>
                <w:webHidden/>
              </w:rPr>
              <w:fldChar w:fldCharType="end"/>
            </w:r>
          </w:hyperlink>
        </w:p>
        <w:p w14:paraId="52F79302" w14:textId="546C7E73" w:rsidR="003D1D70" w:rsidRDefault="003D1D70">
          <w:pPr>
            <w:pStyle w:val="TOC2"/>
            <w:tabs>
              <w:tab w:val="right" w:leader="dot" w:pos="4598"/>
            </w:tabs>
            <w:rPr>
              <w:rFonts w:cstheme="minorBidi"/>
              <w:noProof/>
              <w:kern w:val="2"/>
              <w:szCs w:val="24"/>
              <w14:ligatures w14:val="standardContextual"/>
            </w:rPr>
          </w:pPr>
          <w:hyperlink w:anchor="_Toc213421055" w:history="1">
            <w:r w:rsidRPr="00E006E1">
              <w:rPr>
                <w:rStyle w:val="Hyperlink"/>
                <w:noProof/>
              </w:rPr>
              <w:t>Contract Overview</w:t>
            </w:r>
            <w:r>
              <w:rPr>
                <w:noProof/>
                <w:webHidden/>
              </w:rPr>
              <w:tab/>
            </w:r>
            <w:r>
              <w:rPr>
                <w:noProof/>
                <w:webHidden/>
              </w:rPr>
              <w:fldChar w:fldCharType="begin"/>
            </w:r>
            <w:r>
              <w:rPr>
                <w:noProof/>
                <w:webHidden/>
              </w:rPr>
              <w:instrText xml:space="preserve"> PAGEREF _Toc213421055 \h </w:instrText>
            </w:r>
            <w:r>
              <w:rPr>
                <w:noProof/>
                <w:webHidden/>
              </w:rPr>
            </w:r>
            <w:r>
              <w:rPr>
                <w:noProof/>
                <w:webHidden/>
              </w:rPr>
              <w:fldChar w:fldCharType="separate"/>
            </w:r>
            <w:r>
              <w:rPr>
                <w:noProof/>
                <w:webHidden/>
              </w:rPr>
              <w:t>1</w:t>
            </w:r>
            <w:r>
              <w:rPr>
                <w:noProof/>
                <w:webHidden/>
              </w:rPr>
              <w:fldChar w:fldCharType="end"/>
            </w:r>
          </w:hyperlink>
        </w:p>
        <w:p w14:paraId="7ECFA1DE" w14:textId="52C672A7" w:rsidR="003D1D70" w:rsidRDefault="003D1D70">
          <w:pPr>
            <w:pStyle w:val="TOC2"/>
            <w:tabs>
              <w:tab w:val="right" w:leader="dot" w:pos="4598"/>
            </w:tabs>
            <w:rPr>
              <w:rFonts w:cstheme="minorBidi"/>
              <w:noProof/>
              <w:kern w:val="2"/>
              <w:szCs w:val="24"/>
              <w14:ligatures w14:val="standardContextual"/>
            </w:rPr>
          </w:pPr>
          <w:hyperlink w:anchor="_Toc213421056" w:history="1">
            <w:r w:rsidRPr="00E006E1">
              <w:rPr>
                <w:rStyle w:val="Hyperlink"/>
                <w:noProof/>
              </w:rPr>
              <w:t>Contract Summary</w:t>
            </w:r>
            <w:r>
              <w:rPr>
                <w:noProof/>
                <w:webHidden/>
              </w:rPr>
              <w:tab/>
            </w:r>
            <w:r>
              <w:rPr>
                <w:noProof/>
                <w:webHidden/>
              </w:rPr>
              <w:fldChar w:fldCharType="begin"/>
            </w:r>
            <w:r>
              <w:rPr>
                <w:noProof/>
                <w:webHidden/>
              </w:rPr>
              <w:instrText xml:space="preserve"> PAGEREF _Toc213421056 \h </w:instrText>
            </w:r>
            <w:r>
              <w:rPr>
                <w:noProof/>
                <w:webHidden/>
              </w:rPr>
            </w:r>
            <w:r>
              <w:rPr>
                <w:noProof/>
                <w:webHidden/>
              </w:rPr>
              <w:fldChar w:fldCharType="separate"/>
            </w:r>
            <w:r>
              <w:rPr>
                <w:noProof/>
                <w:webHidden/>
              </w:rPr>
              <w:t>3</w:t>
            </w:r>
            <w:r>
              <w:rPr>
                <w:noProof/>
                <w:webHidden/>
              </w:rPr>
              <w:fldChar w:fldCharType="end"/>
            </w:r>
          </w:hyperlink>
        </w:p>
        <w:p w14:paraId="7E81C24C" w14:textId="265860AD" w:rsidR="003D1D70" w:rsidRDefault="003D1D70">
          <w:pPr>
            <w:pStyle w:val="TOC3"/>
            <w:rPr>
              <w:rFonts w:cstheme="minorBidi"/>
              <w:iCs w:val="0"/>
              <w:noProof/>
              <w:kern w:val="2"/>
              <w:sz w:val="24"/>
              <w:szCs w:val="24"/>
              <w14:ligatures w14:val="standardContextual"/>
            </w:rPr>
          </w:pPr>
          <w:hyperlink w:anchor="_Toc213421057" w:history="1">
            <w:r w:rsidRPr="00E006E1">
              <w:rPr>
                <w:rStyle w:val="Hyperlink"/>
                <w:noProof/>
              </w:rPr>
              <w:t>Benefits and Cost Savings</w:t>
            </w:r>
            <w:r>
              <w:rPr>
                <w:noProof/>
                <w:webHidden/>
              </w:rPr>
              <w:tab/>
            </w:r>
            <w:r>
              <w:rPr>
                <w:noProof/>
                <w:webHidden/>
              </w:rPr>
              <w:fldChar w:fldCharType="begin"/>
            </w:r>
            <w:r>
              <w:rPr>
                <w:noProof/>
                <w:webHidden/>
              </w:rPr>
              <w:instrText xml:space="preserve"> PAGEREF _Toc213421057 \h </w:instrText>
            </w:r>
            <w:r>
              <w:rPr>
                <w:noProof/>
                <w:webHidden/>
              </w:rPr>
            </w:r>
            <w:r>
              <w:rPr>
                <w:noProof/>
                <w:webHidden/>
              </w:rPr>
              <w:fldChar w:fldCharType="separate"/>
            </w:r>
            <w:r>
              <w:rPr>
                <w:noProof/>
                <w:webHidden/>
              </w:rPr>
              <w:t>3</w:t>
            </w:r>
            <w:r>
              <w:rPr>
                <w:noProof/>
                <w:webHidden/>
              </w:rPr>
              <w:fldChar w:fldCharType="end"/>
            </w:r>
          </w:hyperlink>
        </w:p>
        <w:p w14:paraId="5307D92A" w14:textId="2F21B672" w:rsidR="003D1D70" w:rsidRDefault="003D1D70">
          <w:pPr>
            <w:pStyle w:val="TOC2"/>
            <w:tabs>
              <w:tab w:val="right" w:leader="dot" w:pos="4598"/>
            </w:tabs>
            <w:rPr>
              <w:rFonts w:cstheme="minorBidi"/>
              <w:noProof/>
              <w:kern w:val="2"/>
              <w:szCs w:val="24"/>
              <w14:ligatures w14:val="standardContextual"/>
            </w:rPr>
          </w:pPr>
          <w:hyperlink w:anchor="_Toc213421058" w:history="1">
            <w:r w:rsidRPr="00E006E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_Toc213421058 \h </w:instrText>
            </w:r>
            <w:r>
              <w:rPr>
                <w:noProof/>
                <w:webHidden/>
              </w:rPr>
            </w:r>
            <w:r>
              <w:rPr>
                <w:noProof/>
                <w:webHidden/>
              </w:rPr>
              <w:fldChar w:fldCharType="separate"/>
            </w:r>
            <w:r>
              <w:rPr>
                <w:noProof/>
                <w:webHidden/>
              </w:rPr>
              <w:t>3</w:t>
            </w:r>
            <w:r>
              <w:rPr>
                <w:noProof/>
                <w:webHidden/>
              </w:rPr>
              <w:fldChar w:fldCharType="end"/>
            </w:r>
          </w:hyperlink>
        </w:p>
        <w:p w14:paraId="6F230E53" w14:textId="129A2711" w:rsidR="003D1D70" w:rsidRDefault="003D1D70">
          <w:pPr>
            <w:pStyle w:val="TOC2"/>
            <w:tabs>
              <w:tab w:val="right" w:leader="dot" w:pos="4598"/>
            </w:tabs>
            <w:rPr>
              <w:rFonts w:cstheme="minorBidi"/>
              <w:noProof/>
              <w:kern w:val="2"/>
              <w:szCs w:val="24"/>
              <w14:ligatures w14:val="standardContextual"/>
            </w:rPr>
          </w:pPr>
          <w:hyperlink w:anchor="_Toc213421059" w:history="1">
            <w:r w:rsidRPr="00E006E1">
              <w:rPr>
                <w:rStyle w:val="Hyperlink"/>
                <w:noProof/>
              </w:rPr>
              <w:t>Who May Use the Contract</w:t>
            </w:r>
            <w:r>
              <w:rPr>
                <w:noProof/>
                <w:webHidden/>
              </w:rPr>
              <w:tab/>
            </w:r>
            <w:r>
              <w:rPr>
                <w:noProof/>
                <w:webHidden/>
              </w:rPr>
              <w:fldChar w:fldCharType="begin"/>
            </w:r>
            <w:r>
              <w:rPr>
                <w:noProof/>
                <w:webHidden/>
              </w:rPr>
              <w:instrText xml:space="preserve"> PAGEREF _Toc213421059 \h </w:instrText>
            </w:r>
            <w:r>
              <w:rPr>
                <w:noProof/>
                <w:webHidden/>
              </w:rPr>
            </w:r>
            <w:r>
              <w:rPr>
                <w:noProof/>
                <w:webHidden/>
              </w:rPr>
              <w:fldChar w:fldCharType="separate"/>
            </w:r>
            <w:r>
              <w:rPr>
                <w:noProof/>
                <w:webHidden/>
              </w:rPr>
              <w:t>4</w:t>
            </w:r>
            <w:r>
              <w:rPr>
                <w:noProof/>
                <w:webHidden/>
              </w:rPr>
              <w:fldChar w:fldCharType="end"/>
            </w:r>
          </w:hyperlink>
        </w:p>
        <w:p w14:paraId="2EE97FD6" w14:textId="390DB59D" w:rsidR="003D1D70" w:rsidRDefault="003D1D70">
          <w:pPr>
            <w:pStyle w:val="TOC2"/>
            <w:tabs>
              <w:tab w:val="right" w:leader="dot" w:pos="4598"/>
            </w:tabs>
            <w:rPr>
              <w:rFonts w:cstheme="minorBidi"/>
              <w:noProof/>
              <w:kern w:val="2"/>
              <w:szCs w:val="24"/>
              <w14:ligatures w14:val="standardContextual"/>
            </w:rPr>
          </w:pPr>
          <w:hyperlink w:anchor="_Toc213421060" w:history="1">
            <w:r w:rsidRPr="00E006E1">
              <w:rPr>
                <w:rStyle w:val="Hyperlink"/>
                <w:noProof/>
              </w:rPr>
              <w:t>Pricing Options</w:t>
            </w:r>
            <w:r>
              <w:rPr>
                <w:noProof/>
                <w:webHidden/>
              </w:rPr>
              <w:tab/>
            </w:r>
            <w:r>
              <w:rPr>
                <w:noProof/>
                <w:webHidden/>
              </w:rPr>
              <w:fldChar w:fldCharType="begin"/>
            </w:r>
            <w:r>
              <w:rPr>
                <w:noProof/>
                <w:webHidden/>
              </w:rPr>
              <w:instrText xml:space="preserve"> PAGEREF _Toc213421060 \h </w:instrText>
            </w:r>
            <w:r>
              <w:rPr>
                <w:noProof/>
                <w:webHidden/>
              </w:rPr>
            </w:r>
            <w:r>
              <w:rPr>
                <w:noProof/>
                <w:webHidden/>
              </w:rPr>
              <w:fldChar w:fldCharType="separate"/>
            </w:r>
            <w:r>
              <w:rPr>
                <w:noProof/>
                <w:webHidden/>
              </w:rPr>
              <w:t>4</w:t>
            </w:r>
            <w:r>
              <w:rPr>
                <w:noProof/>
                <w:webHidden/>
              </w:rPr>
              <w:fldChar w:fldCharType="end"/>
            </w:r>
          </w:hyperlink>
        </w:p>
        <w:p w14:paraId="4EDA0DFB" w14:textId="500CC272" w:rsidR="003D1D70" w:rsidRDefault="003D1D70">
          <w:pPr>
            <w:pStyle w:val="TOC2"/>
            <w:tabs>
              <w:tab w:val="right" w:leader="dot" w:pos="4598"/>
            </w:tabs>
            <w:rPr>
              <w:rFonts w:cstheme="minorBidi"/>
              <w:noProof/>
              <w:kern w:val="2"/>
              <w:szCs w:val="24"/>
              <w14:ligatures w14:val="standardContextual"/>
            </w:rPr>
          </w:pPr>
          <w:hyperlink w:anchor="_Toc213421061" w:history="1">
            <w:r w:rsidRPr="00E006E1">
              <w:rPr>
                <w:rStyle w:val="Hyperlink"/>
                <w:noProof/>
              </w:rPr>
              <w:t>Purchase Options</w:t>
            </w:r>
            <w:r>
              <w:rPr>
                <w:noProof/>
                <w:webHidden/>
              </w:rPr>
              <w:tab/>
            </w:r>
            <w:r>
              <w:rPr>
                <w:noProof/>
                <w:webHidden/>
              </w:rPr>
              <w:fldChar w:fldCharType="begin"/>
            </w:r>
            <w:r>
              <w:rPr>
                <w:noProof/>
                <w:webHidden/>
              </w:rPr>
              <w:instrText xml:space="preserve"> PAGEREF _Toc213421061 \h </w:instrText>
            </w:r>
            <w:r>
              <w:rPr>
                <w:noProof/>
                <w:webHidden/>
              </w:rPr>
            </w:r>
            <w:r>
              <w:rPr>
                <w:noProof/>
                <w:webHidden/>
              </w:rPr>
              <w:fldChar w:fldCharType="separate"/>
            </w:r>
            <w:r>
              <w:rPr>
                <w:noProof/>
                <w:webHidden/>
              </w:rPr>
              <w:t>5</w:t>
            </w:r>
            <w:r>
              <w:rPr>
                <w:noProof/>
                <w:webHidden/>
              </w:rPr>
              <w:fldChar w:fldCharType="end"/>
            </w:r>
          </w:hyperlink>
        </w:p>
        <w:p w14:paraId="1E573CD6" w14:textId="6CEA8F09" w:rsidR="003D1D70" w:rsidRDefault="003D1D70">
          <w:pPr>
            <w:pStyle w:val="TOC2"/>
            <w:tabs>
              <w:tab w:val="right" w:leader="dot" w:pos="4598"/>
            </w:tabs>
            <w:rPr>
              <w:rFonts w:cstheme="minorBidi"/>
              <w:noProof/>
              <w:kern w:val="2"/>
              <w:szCs w:val="24"/>
              <w14:ligatures w14:val="standardContextual"/>
            </w:rPr>
          </w:pPr>
          <w:hyperlink w:anchor="_Toc213421062" w:history="1">
            <w:r w:rsidRPr="00E006E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_Toc213421062 \h </w:instrText>
            </w:r>
            <w:r>
              <w:rPr>
                <w:noProof/>
                <w:webHidden/>
              </w:rPr>
            </w:r>
            <w:r>
              <w:rPr>
                <w:noProof/>
                <w:webHidden/>
              </w:rPr>
              <w:fldChar w:fldCharType="separate"/>
            </w:r>
            <w:r>
              <w:rPr>
                <w:noProof/>
                <w:webHidden/>
              </w:rPr>
              <w:t>6</w:t>
            </w:r>
            <w:r>
              <w:rPr>
                <w:noProof/>
                <w:webHidden/>
              </w:rPr>
              <w:fldChar w:fldCharType="end"/>
            </w:r>
          </w:hyperlink>
        </w:p>
        <w:p w14:paraId="13C5B1BD" w14:textId="71934C57" w:rsidR="003D1D70" w:rsidRDefault="003D1D70">
          <w:pPr>
            <w:pStyle w:val="TOC2"/>
            <w:tabs>
              <w:tab w:val="right" w:leader="dot" w:pos="4598"/>
            </w:tabs>
            <w:rPr>
              <w:rFonts w:cstheme="minorBidi"/>
              <w:noProof/>
              <w:kern w:val="2"/>
              <w:szCs w:val="24"/>
              <w14:ligatures w14:val="standardContextual"/>
            </w:rPr>
          </w:pPr>
          <w:hyperlink w:anchor="_Toc213421063" w:history="1">
            <w:r w:rsidRPr="00E006E1">
              <w:rPr>
                <w:rStyle w:val="Hyperlink"/>
                <w:noProof/>
              </w:rPr>
              <w:t>Setting Up a COMMBUYS Account</w:t>
            </w:r>
            <w:r>
              <w:rPr>
                <w:noProof/>
                <w:webHidden/>
              </w:rPr>
              <w:tab/>
            </w:r>
            <w:r>
              <w:rPr>
                <w:noProof/>
                <w:webHidden/>
              </w:rPr>
              <w:fldChar w:fldCharType="begin"/>
            </w:r>
            <w:r>
              <w:rPr>
                <w:noProof/>
                <w:webHidden/>
              </w:rPr>
              <w:instrText xml:space="preserve"> PAGEREF _Toc213421063 \h </w:instrText>
            </w:r>
            <w:r>
              <w:rPr>
                <w:noProof/>
                <w:webHidden/>
              </w:rPr>
            </w:r>
            <w:r>
              <w:rPr>
                <w:noProof/>
                <w:webHidden/>
              </w:rPr>
              <w:fldChar w:fldCharType="separate"/>
            </w:r>
            <w:r>
              <w:rPr>
                <w:noProof/>
                <w:webHidden/>
              </w:rPr>
              <w:t>6</w:t>
            </w:r>
            <w:r>
              <w:rPr>
                <w:noProof/>
                <w:webHidden/>
              </w:rPr>
              <w:fldChar w:fldCharType="end"/>
            </w:r>
          </w:hyperlink>
        </w:p>
        <w:p w14:paraId="22406AE4" w14:textId="6D27B112" w:rsidR="003D1D70" w:rsidRDefault="003D1D70">
          <w:pPr>
            <w:pStyle w:val="TOC2"/>
            <w:tabs>
              <w:tab w:val="right" w:leader="dot" w:pos="4598"/>
            </w:tabs>
            <w:rPr>
              <w:rFonts w:cstheme="minorBidi"/>
              <w:noProof/>
              <w:kern w:val="2"/>
              <w:szCs w:val="24"/>
              <w14:ligatures w14:val="standardContextual"/>
            </w:rPr>
          </w:pPr>
          <w:hyperlink w:anchor="_Toc213421064" w:history="1">
            <w:r w:rsidRPr="00E006E1">
              <w:rPr>
                <w:rStyle w:val="Hyperlink"/>
                <w:noProof/>
              </w:rPr>
              <w:t>Finding Contract Documents</w:t>
            </w:r>
            <w:r>
              <w:rPr>
                <w:noProof/>
                <w:webHidden/>
              </w:rPr>
              <w:tab/>
            </w:r>
            <w:r>
              <w:rPr>
                <w:noProof/>
                <w:webHidden/>
              </w:rPr>
              <w:fldChar w:fldCharType="begin"/>
            </w:r>
            <w:r>
              <w:rPr>
                <w:noProof/>
                <w:webHidden/>
              </w:rPr>
              <w:instrText xml:space="preserve"> PAGEREF _Toc213421064 \h </w:instrText>
            </w:r>
            <w:r>
              <w:rPr>
                <w:noProof/>
                <w:webHidden/>
              </w:rPr>
            </w:r>
            <w:r>
              <w:rPr>
                <w:noProof/>
                <w:webHidden/>
              </w:rPr>
              <w:fldChar w:fldCharType="separate"/>
            </w:r>
            <w:r>
              <w:rPr>
                <w:noProof/>
                <w:webHidden/>
              </w:rPr>
              <w:t>7</w:t>
            </w:r>
            <w:r>
              <w:rPr>
                <w:noProof/>
                <w:webHidden/>
              </w:rPr>
              <w:fldChar w:fldCharType="end"/>
            </w:r>
          </w:hyperlink>
        </w:p>
        <w:p w14:paraId="1C516E65" w14:textId="5145FA0E" w:rsidR="003D1D70" w:rsidRDefault="003D1D70">
          <w:pPr>
            <w:pStyle w:val="TOC2"/>
            <w:tabs>
              <w:tab w:val="right" w:leader="dot" w:pos="4598"/>
            </w:tabs>
            <w:rPr>
              <w:rFonts w:cstheme="minorBidi"/>
              <w:noProof/>
              <w:kern w:val="2"/>
              <w:szCs w:val="24"/>
              <w14:ligatures w14:val="standardContextual"/>
            </w:rPr>
          </w:pPr>
          <w:hyperlink w:anchor="_Toc213421065" w:history="1">
            <w:r w:rsidRPr="00E006E1">
              <w:rPr>
                <w:rStyle w:val="Hyperlink"/>
                <w:noProof/>
              </w:rPr>
              <w:t>Finding Vendor-Specific Documents</w:t>
            </w:r>
            <w:r>
              <w:rPr>
                <w:noProof/>
                <w:webHidden/>
              </w:rPr>
              <w:tab/>
            </w:r>
            <w:r>
              <w:rPr>
                <w:noProof/>
                <w:webHidden/>
              </w:rPr>
              <w:fldChar w:fldCharType="begin"/>
            </w:r>
            <w:r>
              <w:rPr>
                <w:noProof/>
                <w:webHidden/>
              </w:rPr>
              <w:instrText xml:space="preserve"> PAGEREF _Toc213421065 \h </w:instrText>
            </w:r>
            <w:r>
              <w:rPr>
                <w:noProof/>
                <w:webHidden/>
              </w:rPr>
            </w:r>
            <w:r>
              <w:rPr>
                <w:noProof/>
                <w:webHidden/>
              </w:rPr>
              <w:fldChar w:fldCharType="separate"/>
            </w:r>
            <w:r>
              <w:rPr>
                <w:noProof/>
                <w:webHidden/>
              </w:rPr>
              <w:t>7</w:t>
            </w:r>
            <w:r>
              <w:rPr>
                <w:noProof/>
                <w:webHidden/>
              </w:rPr>
              <w:fldChar w:fldCharType="end"/>
            </w:r>
          </w:hyperlink>
        </w:p>
        <w:p w14:paraId="7B04C9B1" w14:textId="261934C4" w:rsidR="003D1D70" w:rsidRDefault="003D1D70">
          <w:pPr>
            <w:pStyle w:val="TOC2"/>
            <w:tabs>
              <w:tab w:val="right" w:leader="dot" w:pos="4598"/>
            </w:tabs>
            <w:rPr>
              <w:rFonts w:cstheme="minorBidi"/>
              <w:noProof/>
              <w:kern w:val="2"/>
              <w:szCs w:val="24"/>
              <w14:ligatures w14:val="standardContextual"/>
            </w:rPr>
          </w:pPr>
          <w:hyperlink w:anchor="_Toc213421066" w:history="1">
            <w:r w:rsidRPr="00E006E1">
              <w:rPr>
                <w:rStyle w:val="Hyperlink"/>
                <w:noProof/>
              </w:rPr>
              <w:t>Supplier Diversity Office (SDO) Requirements</w:t>
            </w:r>
            <w:r>
              <w:rPr>
                <w:noProof/>
                <w:webHidden/>
              </w:rPr>
              <w:tab/>
            </w:r>
            <w:r>
              <w:rPr>
                <w:noProof/>
                <w:webHidden/>
              </w:rPr>
              <w:fldChar w:fldCharType="begin"/>
            </w:r>
            <w:r>
              <w:rPr>
                <w:noProof/>
                <w:webHidden/>
              </w:rPr>
              <w:instrText xml:space="preserve"> PAGEREF _Toc213421066 \h </w:instrText>
            </w:r>
            <w:r>
              <w:rPr>
                <w:noProof/>
                <w:webHidden/>
              </w:rPr>
            </w:r>
            <w:r>
              <w:rPr>
                <w:noProof/>
                <w:webHidden/>
              </w:rPr>
              <w:fldChar w:fldCharType="separate"/>
            </w:r>
            <w:r>
              <w:rPr>
                <w:noProof/>
                <w:webHidden/>
              </w:rPr>
              <w:t>8</w:t>
            </w:r>
            <w:r>
              <w:rPr>
                <w:noProof/>
                <w:webHidden/>
              </w:rPr>
              <w:fldChar w:fldCharType="end"/>
            </w:r>
          </w:hyperlink>
        </w:p>
        <w:p w14:paraId="01BA8391" w14:textId="09F89AFF" w:rsidR="003D1D70" w:rsidRDefault="003D1D70">
          <w:pPr>
            <w:pStyle w:val="TOC3"/>
            <w:rPr>
              <w:rFonts w:cstheme="minorBidi"/>
              <w:iCs w:val="0"/>
              <w:noProof/>
              <w:kern w:val="2"/>
              <w:sz w:val="24"/>
              <w:szCs w:val="24"/>
              <w14:ligatures w14:val="standardContextual"/>
            </w:rPr>
          </w:pPr>
          <w:hyperlink w:anchor="_Toc213421067" w:history="1">
            <w:r w:rsidRPr="00E006E1">
              <w:rPr>
                <w:rStyle w:val="Hyperlink"/>
                <w:noProof/>
              </w:rPr>
              <w:t>Supplier Diversity Program (SDP) Requirements</w:t>
            </w:r>
            <w:r>
              <w:rPr>
                <w:noProof/>
                <w:webHidden/>
              </w:rPr>
              <w:tab/>
            </w:r>
            <w:r>
              <w:rPr>
                <w:noProof/>
                <w:webHidden/>
              </w:rPr>
              <w:fldChar w:fldCharType="begin"/>
            </w:r>
            <w:r>
              <w:rPr>
                <w:noProof/>
                <w:webHidden/>
              </w:rPr>
              <w:instrText xml:space="preserve"> PAGEREF _Toc213421067 \h </w:instrText>
            </w:r>
            <w:r>
              <w:rPr>
                <w:noProof/>
                <w:webHidden/>
              </w:rPr>
            </w:r>
            <w:r>
              <w:rPr>
                <w:noProof/>
                <w:webHidden/>
              </w:rPr>
              <w:fldChar w:fldCharType="separate"/>
            </w:r>
            <w:r>
              <w:rPr>
                <w:noProof/>
                <w:webHidden/>
              </w:rPr>
              <w:t>8</w:t>
            </w:r>
            <w:r>
              <w:rPr>
                <w:noProof/>
                <w:webHidden/>
              </w:rPr>
              <w:fldChar w:fldCharType="end"/>
            </w:r>
          </w:hyperlink>
        </w:p>
        <w:p w14:paraId="6B55F351" w14:textId="51B0195E" w:rsidR="003D1D70" w:rsidRDefault="003D1D70">
          <w:pPr>
            <w:pStyle w:val="TOC3"/>
            <w:rPr>
              <w:rFonts w:cstheme="minorBidi"/>
              <w:iCs w:val="0"/>
              <w:noProof/>
              <w:kern w:val="2"/>
              <w:sz w:val="24"/>
              <w:szCs w:val="24"/>
              <w14:ligatures w14:val="standardContextual"/>
            </w:rPr>
          </w:pPr>
          <w:hyperlink w:anchor="_Toc213421068" w:history="1">
            <w:r w:rsidRPr="00E006E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_Toc213421068 \h </w:instrText>
            </w:r>
            <w:r>
              <w:rPr>
                <w:noProof/>
                <w:webHidden/>
              </w:rPr>
            </w:r>
            <w:r>
              <w:rPr>
                <w:noProof/>
                <w:webHidden/>
              </w:rPr>
              <w:fldChar w:fldCharType="separate"/>
            </w:r>
            <w:r>
              <w:rPr>
                <w:noProof/>
                <w:webHidden/>
              </w:rPr>
              <w:t>8</w:t>
            </w:r>
            <w:r>
              <w:rPr>
                <w:noProof/>
                <w:webHidden/>
              </w:rPr>
              <w:fldChar w:fldCharType="end"/>
            </w:r>
          </w:hyperlink>
        </w:p>
        <w:p w14:paraId="5B64599F" w14:textId="405F0D62" w:rsidR="003D1D70" w:rsidRDefault="003D1D70">
          <w:pPr>
            <w:pStyle w:val="TOC2"/>
            <w:tabs>
              <w:tab w:val="right" w:leader="dot" w:pos="4598"/>
            </w:tabs>
            <w:rPr>
              <w:rFonts w:cstheme="minorBidi"/>
              <w:noProof/>
              <w:kern w:val="2"/>
              <w:szCs w:val="24"/>
              <w14:ligatures w14:val="standardContextual"/>
            </w:rPr>
          </w:pPr>
          <w:hyperlink w:anchor="_Toc213421069" w:history="1">
            <w:r w:rsidRPr="00E006E1">
              <w:rPr>
                <w:rStyle w:val="Hyperlink"/>
                <w:noProof/>
              </w:rPr>
              <w:t>Subcontractors</w:t>
            </w:r>
            <w:r>
              <w:rPr>
                <w:noProof/>
                <w:webHidden/>
              </w:rPr>
              <w:tab/>
            </w:r>
            <w:r>
              <w:rPr>
                <w:noProof/>
                <w:webHidden/>
              </w:rPr>
              <w:fldChar w:fldCharType="begin"/>
            </w:r>
            <w:r>
              <w:rPr>
                <w:noProof/>
                <w:webHidden/>
              </w:rPr>
              <w:instrText xml:space="preserve"> PAGEREF _Toc213421069 \h </w:instrText>
            </w:r>
            <w:r>
              <w:rPr>
                <w:noProof/>
                <w:webHidden/>
              </w:rPr>
            </w:r>
            <w:r>
              <w:rPr>
                <w:noProof/>
                <w:webHidden/>
              </w:rPr>
              <w:fldChar w:fldCharType="separate"/>
            </w:r>
            <w:r>
              <w:rPr>
                <w:noProof/>
                <w:webHidden/>
              </w:rPr>
              <w:t>9</w:t>
            </w:r>
            <w:r>
              <w:rPr>
                <w:noProof/>
                <w:webHidden/>
              </w:rPr>
              <w:fldChar w:fldCharType="end"/>
            </w:r>
          </w:hyperlink>
        </w:p>
        <w:p w14:paraId="33CF0899" w14:textId="75A02FDB" w:rsidR="003D1D70" w:rsidRDefault="003D1D70">
          <w:pPr>
            <w:pStyle w:val="TOC2"/>
            <w:tabs>
              <w:tab w:val="right" w:leader="dot" w:pos="4598"/>
            </w:tabs>
            <w:rPr>
              <w:rFonts w:cstheme="minorBidi"/>
              <w:noProof/>
              <w:kern w:val="2"/>
              <w:szCs w:val="24"/>
              <w14:ligatures w14:val="standardContextual"/>
            </w:rPr>
          </w:pPr>
          <w:hyperlink w:anchor="_Toc213421070" w:history="1">
            <w:r w:rsidRPr="00E006E1">
              <w:rPr>
                <w:rStyle w:val="Hyperlink"/>
                <w:noProof/>
              </w:rPr>
              <w:t>Additional Discounts</w:t>
            </w:r>
            <w:r>
              <w:rPr>
                <w:noProof/>
                <w:webHidden/>
              </w:rPr>
              <w:tab/>
            </w:r>
            <w:r>
              <w:rPr>
                <w:noProof/>
                <w:webHidden/>
              </w:rPr>
              <w:fldChar w:fldCharType="begin"/>
            </w:r>
            <w:r>
              <w:rPr>
                <w:noProof/>
                <w:webHidden/>
              </w:rPr>
              <w:instrText xml:space="preserve"> PAGEREF _Toc213421070 \h </w:instrText>
            </w:r>
            <w:r>
              <w:rPr>
                <w:noProof/>
                <w:webHidden/>
              </w:rPr>
            </w:r>
            <w:r>
              <w:rPr>
                <w:noProof/>
                <w:webHidden/>
              </w:rPr>
              <w:fldChar w:fldCharType="separate"/>
            </w:r>
            <w:r>
              <w:rPr>
                <w:noProof/>
                <w:webHidden/>
              </w:rPr>
              <w:t>9</w:t>
            </w:r>
            <w:r>
              <w:rPr>
                <w:noProof/>
                <w:webHidden/>
              </w:rPr>
              <w:fldChar w:fldCharType="end"/>
            </w:r>
          </w:hyperlink>
        </w:p>
        <w:p w14:paraId="28899546" w14:textId="761920E9" w:rsidR="003D1D70" w:rsidRDefault="003D1D70">
          <w:pPr>
            <w:pStyle w:val="TOC2"/>
            <w:tabs>
              <w:tab w:val="right" w:leader="dot" w:pos="4598"/>
            </w:tabs>
            <w:rPr>
              <w:rFonts w:cstheme="minorBidi"/>
              <w:noProof/>
              <w:kern w:val="2"/>
              <w:szCs w:val="24"/>
              <w14:ligatures w14:val="standardContextual"/>
            </w:rPr>
          </w:pPr>
          <w:hyperlink w:anchor="_Toc213421071" w:history="1">
            <w:r w:rsidRPr="00E006E1">
              <w:rPr>
                <w:rStyle w:val="Hyperlink"/>
                <w:noProof/>
              </w:rPr>
              <w:t>Vendor Performance</w:t>
            </w:r>
            <w:r>
              <w:rPr>
                <w:noProof/>
                <w:webHidden/>
              </w:rPr>
              <w:tab/>
            </w:r>
            <w:r>
              <w:rPr>
                <w:noProof/>
                <w:webHidden/>
              </w:rPr>
              <w:fldChar w:fldCharType="begin"/>
            </w:r>
            <w:r>
              <w:rPr>
                <w:noProof/>
                <w:webHidden/>
              </w:rPr>
              <w:instrText xml:space="preserve"> PAGEREF _Toc213421071 \h </w:instrText>
            </w:r>
            <w:r>
              <w:rPr>
                <w:noProof/>
                <w:webHidden/>
              </w:rPr>
            </w:r>
            <w:r>
              <w:rPr>
                <w:noProof/>
                <w:webHidden/>
              </w:rPr>
              <w:fldChar w:fldCharType="separate"/>
            </w:r>
            <w:r>
              <w:rPr>
                <w:noProof/>
                <w:webHidden/>
              </w:rPr>
              <w:t>9</w:t>
            </w:r>
            <w:r>
              <w:rPr>
                <w:noProof/>
                <w:webHidden/>
              </w:rPr>
              <w:fldChar w:fldCharType="end"/>
            </w:r>
          </w:hyperlink>
        </w:p>
        <w:p w14:paraId="4130610B" w14:textId="3F43D1A6" w:rsidR="003D1D70" w:rsidRDefault="003D1D70">
          <w:pPr>
            <w:pStyle w:val="TOC2"/>
            <w:tabs>
              <w:tab w:val="right" w:leader="dot" w:pos="4598"/>
            </w:tabs>
            <w:rPr>
              <w:rFonts w:cstheme="minorBidi"/>
              <w:noProof/>
              <w:kern w:val="2"/>
              <w:szCs w:val="24"/>
              <w14:ligatures w14:val="standardContextual"/>
            </w:rPr>
          </w:pPr>
          <w:hyperlink w:anchor="_Toc213421072" w:history="1">
            <w:r w:rsidRPr="00E006E1">
              <w:rPr>
                <w:rStyle w:val="Hyperlink"/>
                <w:noProof/>
              </w:rPr>
              <w:t>General Procurement Guidelines and Best Practices</w:t>
            </w:r>
            <w:r>
              <w:rPr>
                <w:noProof/>
                <w:webHidden/>
              </w:rPr>
              <w:tab/>
            </w:r>
            <w:r>
              <w:rPr>
                <w:noProof/>
                <w:webHidden/>
              </w:rPr>
              <w:fldChar w:fldCharType="begin"/>
            </w:r>
            <w:r>
              <w:rPr>
                <w:noProof/>
                <w:webHidden/>
              </w:rPr>
              <w:instrText xml:space="preserve"> PAGEREF _Toc213421072 \h </w:instrText>
            </w:r>
            <w:r>
              <w:rPr>
                <w:noProof/>
                <w:webHidden/>
              </w:rPr>
            </w:r>
            <w:r>
              <w:rPr>
                <w:noProof/>
                <w:webHidden/>
              </w:rPr>
              <w:fldChar w:fldCharType="separate"/>
            </w:r>
            <w:r>
              <w:rPr>
                <w:noProof/>
                <w:webHidden/>
              </w:rPr>
              <w:t>10</w:t>
            </w:r>
            <w:r>
              <w:rPr>
                <w:noProof/>
                <w:webHidden/>
              </w:rPr>
              <w:fldChar w:fldCharType="end"/>
            </w:r>
          </w:hyperlink>
        </w:p>
        <w:p w14:paraId="7807A8D3" w14:textId="3FA11496" w:rsidR="003D1D70" w:rsidRDefault="003D1D70">
          <w:pPr>
            <w:pStyle w:val="TOC2"/>
            <w:tabs>
              <w:tab w:val="right" w:leader="dot" w:pos="4598"/>
            </w:tabs>
            <w:rPr>
              <w:rFonts w:cstheme="minorBidi"/>
              <w:noProof/>
              <w:kern w:val="2"/>
              <w:szCs w:val="24"/>
              <w14:ligatures w14:val="standardContextual"/>
            </w:rPr>
          </w:pPr>
          <w:hyperlink w:anchor="_Toc213421073" w:history="1">
            <w:r w:rsidRPr="00E006E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_Toc213421073 \h </w:instrText>
            </w:r>
            <w:r>
              <w:rPr>
                <w:noProof/>
                <w:webHidden/>
              </w:rPr>
            </w:r>
            <w:r>
              <w:rPr>
                <w:noProof/>
                <w:webHidden/>
              </w:rPr>
              <w:fldChar w:fldCharType="separate"/>
            </w:r>
            <w:r>
              <w:rPr>
                <w:noProof/>
                <w:webHidden/>
              </w:rPr>
              <w:t>10</w:t>
            </w:r>
            <w:r>
              <w:rPr>
                <w:noProof/>
                <w:webHidden/>
              </w:rPr>
              <w:fldChar w:fldCharType="end"/>
            </w:r>
          </w:hyperlink>
        </w:p>
        <w:p w14:paraId="58E4B1F1" w14:textId="014DB5F2" w:rsidR="003D1D70" w:rsidRDefault="003D1D70">
          <w:pPr>
            <w:pStyle w:val="TOC2"/>
            <w:tabs>
              <w:tab w:val="right" w:leader="dot" w:pos="4598"/>
            </w:tabs>
            <w:rPr>
              <w:rFonts w:cstheme="minorBidi"/>
              <w:noProof/>
              <w:kern w:val="2"/>
              <w:szCs w:val="24"/>
              <w14:ligatures w14:val="standardContextual"/>
            </w:rPr>
          </w:pPr>
          <w:hyperlink w:anchor="_Toc213421074" w:history="1">
            <w:r w:rsidRPr="00E006E1">
              <w:rPr>
                <w:rStyle w:val="Hyperlink"/>
                <w:noProof/>
              </w:rPr>
              <w:t>Key Documents and Terms (Please Read Before Placing an Order)</w:t>
            </w:r>
            <w:r>
              <w:rPr>
                <w:noProof/>
                <w:webHidden/>
              </w:rPr>
              <w:tab/>
            </w:r>
            <w:r>
              <w:rPr>
                <w:noProof/>
                <w:webHidden/>
              </w:rPr>
              <w:fldChar w:fldCharType="begin"/>
            </w:r>
            <w:r>
              <w:rPr>
                <w:noProof/>
                <w:webHidden/>
              </w:rPr>
              <w:instrText xml:space="preserve"> PAGEREF _Toc213421074 \h </w:instrText>
            </w:r>
            <w:r>
              <w:rPr>
                <w:noProof/>
                <w:webHidden/>
              </w:rPr>
            </w:r>
            <w:r>
              <w:rPr>
                <w:noProof/>
                <w:webHidden/>
              </w:rPr>
              <w:fldChar w:fldCharType="separate"/>
            </w:r>
            <w:r>
              <w:rPr>
                <w:noProof/>
                <w:webHidden/>
              </w:rPr>
              <w:t>11</w:t>
            </w:r>
            <w:r>
              <w:rPr>
                <w:noProof/>
                <w:webHidden/>
              </w:rPr>
              <w:fldChar w:fldCharType="end"/>
            </w:r>
          </w:hyperlink>
        </w:p>
        <w:p w14:paraId="588B5E2A" w14:textId="2EE35522" w:rsidR="003D1D70" w:rsidRDefault="003D1D70">
          <w:pPr>
            <w:pStyle w:val="TOC3"/>
            <w:rPr>
              <w:rFonts w:cstheme="minorBidi"/>
              <w:iCs w:val="0"/>
              <w:noProof/>
              <w:kern w:val="2"/>
              <w:sz w:val="24"/>
              <w:szCs w:val="24"/>
              <w14:ligatures w14:val="standardContextual"/>
            </w:rPr>
          </w:pPr>
          <w:hyperlink w:anchor="_Toc213421075" w:history="1">
            <w:r w:rsidRPr="00E006E1">
              <w:rPr>
                <w:rStyle w:val="Hyperlink"/>
                <w:noProof/>
              </w:rPr>
              <w:t>Umbrella Agreement</w:t>
            </w:r>
            <w:r>
              <w:rPr>
                <w:noProof/>
                <w:webHidden/>
              </w:rPr>
              <w:tab/>
            </w:r>
            <w:r>
              <w:rPr>
                <w:noProof/>
                <w:webHidden/>
              </w:rPr>
              <w:fldChar w:fldCharType="begin"/>
            </w:r>
            <w:r>
              <w:rPr>
                <w:noProof/>
                <w:webHidden/>
              </w:rPr>
              <w:instrText xml:space="preserve"> PAGEREF _Toc213421075 \h </w:instrText>
            </w:r>
            <w:r>
              <w:rPr>
                <w:noProof/>
                <w:webHidden/>
              </w:rPr>
            </w:r>
            <w:r>
              <w:rPr>
                <w:noProof/>
                <w:webHidden/>
              </w:rPr>
              <w:fldChar w:fldCharType="separate"/>
            </w:r>
            <w:r>
              <w:rPr>
                <w:noProof/>
                <w:webHidden/>
              </w:rPr>
              <w:t>11</w:t>
            </w:r>
            <w:r>
              <w:rPr>
                <w:noProof/>
                <w:webHidden/>
              </w:rPr>
              <w:fldChar w:fldCharType="end"/>
            </w:r>
          </w:hyperlink>
        </w:p>
        <w:p w14:paraId="75A85582" w14:textId="2AF089FB" w:rsidR="003D1D70" w:rsidRDefault="003D1D70">
          <w:pPr>
            <w:pStyle w:val="TOC3"/>
            <w:rPr>
              <w:rFonts w:cstheme="minorBidi"/>
              <w:iCs w:val="0"/>
              <w:noProof/>
              <w:kern w:val="2"/>
              <w:sz w:val="24"/>
              <w:szCs w:val="24"/>
              <w14:ligatures w14:val="standardContextual"/>
            </w:rPr>
          </w:pPr>
          <w:hyperlink w:anchor="_Toc213421076" w:history="1">
            <w:r w:rsidRPr="00E006E1">
              <w:rPr>
                <w:rStyle w:val="Hyperlink"/>
                <w:noProof/>
              </w:rPr>
              <w:t>Cloud Services Data Processing Agreement</w:t>
            </w:r>
            <w:r>
              <w:rPr>
                <w:noProof/>
                <w:webHidden/>
              </w:rPr>
              <w:tab/>
            </w:r>
            <w:r>
              <w:rPr>
                <w:noProof/>
                <w:webHidden/>
              </w:rPr>
              <w:fldChar w:fldCharType="begin"/>
            </w:r>
            <w:r>
              <w:rPr>
                <w:noProof/>
                <w:webHidden/>
              </w:rPr>
              <w:instrText xml:space="preserve"> PAGEREF _Toc213421076 \h </w:instrText>
            </w:r>
            <w:r>
              <w:rPr>
                <w:noProof/>
                <w:webHidden/>
              </w:rPr>
            </w:r>
            <w:r>
              <w:rPr>
                <w:noProof/>
                <w:webHidden/>
              </w:rPr>
              <w:fldChar w:fldCharType="separate"/>
            </w:r>
            <w:r>
              <w:rPr>
                <w:noProof/>
                <w:webHidden/>
              </w:rPr>
              <w:t>12</w:t>
            </w:r>
            <w:r>
              <w:rPr>
                <w:noProof/>
                <w:webHidden/>
              </w:rPr>
              <w:fldChar w:fldCharType="end"/>
            </w:r>
          </w:hyperlink>
        </w:p>
        <w:p w14:paraId="55E55DC7" w14:textId="79840C96" w:rsidR="003D1D70" w:rsidRDefault="003D1D70">
          <w:pPr>
            <w:pStyle w:val="TOC3"/>
            <w:rPr>
              <w:rFonts w:cstheme="minorBidi"/>
              <w:iCs w:val="0"/>
              <w:noProof/>
              <w:kern w:val="2"/>
              <w:sz w:val="24"/>
              <w:szCs w:val="24"/>
              <w14:ligatures w14:val="standardContextual"/>
            </w:rPr>
          </w:pPr>
          <w:hyperlink w:anchor="_Toc213421077" w:history="1">
            <w:r w:rsidRPr="00E006E1">
              <w:rPr>
                <w:rStyle w:val="Hyperlink"/>
                <w:noProof/>
              </w:rPr>
              <w:t>EOTSS Enterprise Policies and Standards Applicable to Cloud Services</w:t>
            </w:r>
            <w:r>
              <w:rPr>
                <w:noProof/>
                <w:webHidden/>
              </w:rPr>
              <w:tab/>
            </w:r>
            <w:r>
              <w:rPr>
                <w:noProof/>
                <w:webHidden/>
              </w:rPr>
              <w:fldChar w:fldCharType="begin"/>
            </w:r>
            <w:r>
              <w:rPr>
                <w:noProof/>
                <w:webHidden/>
              </w:rPr>
              <w:instrText xml:space="preserve"> PAGEREF _Toc213421077 \h </w:instrText>
            </w:r>
            <w:r>
              <w:rPr>
                <w:noProof/>
                <w:webHidden/>
              </w:rPr>
            </w:r>
            <w:r>
              <w:rPr>
                <w:noProof/>
                <w:webHidden/>
              </w:rPr>
              <w:fldChar w:fldCharType="separate"/>
            </w:r>
            <w:r>
              <w:rPr>
                <w:noProof/>
                <w:webHidden/>
              </w:rPr>
              <w:t>12</w:t>
            </w:r>
            <w:r>
              <w:rPr>
                <w:noProof/>
                <w:webHidden/>
              </w:rPr>
              <w:fldChar w:fldCharType="end"/>
            </w:r>
          </w:hyperlink>
        </w:p>
        <w:p w14:paraId="5B4B7761" w14:textId="13B06800" w:rsidR="003D1D70" w:rsidRDefault="003D1D70">
          <w:pPr>
            <w:pStyle w:val="TOC3"/>
            <w:rPr>
              <w:rFonts w:cstheme="minorBidi"/>
              <w:iCs w:val="0"/>
              <w:noProof/>
              <w:kern w:val="2"/>
              <w:sz w:val="24"/>
              <w:szCs w:val="24"/>
              <w14:ligatures w14:val="standardContextual"/>
            </w:rPr>
          </w:pPr>
          <w:hyperlink w:anchor="_Toc213421078" w:history="1">
            <w:r w:rsidRPr="00E006E1">
              <w:rPr>
                <w:rStyle w:val="Hyperlink"/>
                <w:noProof/>
              </w:rPr>
              <w:t>Oracle Renewal Amendment 2023</w:t>
            </w:r>
            <w:r>
              <w:rPr>
                <w:noProof/>
                <w:webHidden/>
              </w:rPr>
              <w:tab/>
            </w:r>
            <w:r>
              <w:rPr>
                <w:noProof/>
                <w:webHidden/>
              </w:rPr>
              <w:fldChar w:fldCharType="begin"/>
            </w:r>
            <w:r>
              <w:rPr>
                <w:noProof/>
                <w:webHidden/>
              </w:rPr>
              <w:instrText xml:space="preserve"> PAGEREF _Toc213421078 \h </w:instrText>
            </w:r>
            <w:r>
              <w:rPr>
                <w:noProof/>
                <w:webHidden/>
              </w:rPr>
            </w:r>
            <w:r>
              <w:rPr>
                <w:noProof/>
                <w:webHidden/>
              </w:rPr>
              <w:fldChar w:fldCharType="separate"/>
            </w:r>
            <w:r>
              <w:rPr>
                <w:noProof/>
                <w:webHidden/>
              </w:rPr>
              <w:t>13</w:t>
            </w:r>
            <w:r>
              <w:rPr>
                <w:noProof/>
                <w:webHidden/>
              </w:rPr>
              <w:fldChar w:fldCharType="end"/>
            </w:r>
          </w:hyperlink>
        </w:p>
        <w:p w14:paraId="792FA724" w14:textId="1B166ED0" w:rsidR="003D1D70" w:rsidRDefault="003D1D70">
          <w:pPr>
            <w:pStyle w:val="TOC2"/>
            <w:tabs>
              <w:tab w:val="right" w:leader="dot" w:pos="4598"/>
            </w:tabs>
            <w:rPr>
              <w:rFonts w:cstheme="minorBidi"/>
              <w:noProof/>
              <w:kern w:val="2"/>
              <w:szCs w:val="24"/>
              <w14:ligatures w14:val="standardContextual"/>
            </w:rPr>
          </w:pPr>
          <w:hyperlink w:anchor="_Toc213421079" w:history="1">
            <w:r w:rsidRPr="00E006E1">
              <w:rPr>
                <w:rStyle w:val="Hyperlink"/>
                <w:noProof/>
              </w:rPr>
              <w:t>Vendor List and Information</w:t>
            </w:r>
            <w:r>
              <w:rPr>
                <w:noProof/>
                <w:webHidden/>
              </w:rPr>
              <w:tab/>
            </w:r>
            <w:r>
              <w:rPr>
                <w:noProof/>
                <w:webHidden/>
              </w:rPr>
              <w:fldChar w:fldCharType="begin"/>
            </w:r>
            <w:r>
              <w:rPr>
                <w:noProof/>
                <w:webHidden/>
              </w:rPr>
              <w:instrText xml:space="preserve"> PAGEREF _Toc213421079 \h </w:instrText>
            </w:r>
            <w:r>
              <w:rPr>
                <w:noProof/>
                <w:webHidden/>
              </w:rPr>
            </w:r>
            <w:r>
              <w:rPr>
                <w:noProof/>
                <w:webHidden/>
              </w:rPr>
              <w:fldChar w:fldCharType="separate"/>
            </w:r>
            <w:r>
              <w:rPr>
                <w:noProof/>
                <w:webHidden/>
              </w:rPr>
              <w:t>15</w:t>
            </w:r>
            <w:r>
              <w:rPr>
                <w:noProof/>
                <w:webHidden/>
              </w:rPr>
              <w:fldChar w:fldCharType="end"/>
            </w:r>
          </w:hyperlink>
        </w:p>
        <w:p w14:paraId="342C074A" w14:textId="67A7BBBA" w:rsidR="003D1D70" w:rsidRDefault="003D1D70">
          <w:pPr>
            <w:pStyle w:val="TOC2"/>
            <w:tabs>
              <w:tab w:val="right" w:leader="dot" w:pos="4598"/>
            </w:tabs>
            <w:rPr>
              <w:rFonts w:cstheme="minorBidi"/>
              <w:noProof/>
              <w:kern w:val="2"/>
              <w:szCs w:val="24"/>
              <w14:ligatures w14:val="standardContextual"/>
            </w:rPr>
          </w:pPr>
          <w:hyperlink w:anchor="_Toc213421080" w:history="1">
            <w:r w:rsidRPr="00E006E1">
              <w:rPr>
                <w:rStyle w:val="Hyperlink"/>
                <w:noProof/>
              </w:rPr>
              <w:t>United Nations Standard Products and Services Code</w:t>
            </w:r>
            <w:r w:rsidRPr="00E006E1">
              <w:rPr>
                <w:rStyle w:val="Hyperlink"/>
                <w:noProof/>
                <w:vertAlign w:val="superscript"/>
              </w:rPr>
              <w:t>®</w:t>
            </w:r>
            <w:r w:rsidRPr="00E006E1">
              <w:rPr>
                <w:rStyle w:val="Hyperlink"/>
                <w:noProof/>
              </w:rPr>
              <w:t xml:space="preserve"> (UNSPSC</w:t>
            </w:r>
            <w:r w:rsidRPr="00E006E1">
              <w:rPr>
                <w:rStyle w:val="Hyperlink"/>
                <w:noProof/>
                <w:vertAlign w:val="superscript"/>
              </w:rPr>
              <w:t>®</w:t>
            </w:r>
            <w:r w:rsidRPr="00E006E1">
              <w:rPr>
                <w:rStyle w:val="Hyperlink"/>
                <w:noProof/>
              </w:rPr>
              <w:t>)</w:t>
            </w:r>
            <w:r>
              <w:rPr>
                <w:noProof/>
                <w:webHidden/>
              </w:rPr>
              <w:tab/>
            </w:r>
            <w:r>
              <w:rPr>
                <w:noProof/>
                <w:webHidden/>
              </w:rPr>
              <w:fldChar w:fldCharType="begin"/>
            </w:r>
            <w:r>
              <w:rPr>
                <w:noProof/>
                <w:webHidden/>
              </w:rPr>
              <w:instrText xml:space="preserve"> PAGEREF _Toc213421080 \h </w:instrText>
            </w:r>
            <w:r>
              <w:rPr>
                <w:noProof/>
                <w:webHidden/>
              </w:rPr>
            </w:r>
            <w:r>
              <w:rPr>
                <w:noProof/>
                <w:webHidden/>
              </w:rPr>
              <w:fldChar w:fldCharType="separate"/>
            </w:r>
            <w:r>
              <w:rPr>
                <w:noProof/>
                <w:webHidden/>
              </w:rPr>
              <w:t>16</w:t>
            </w:r>
            <w:r>
              <w:rPr>
                <w:noProof/>
                <w:webHidden/>
              </w:rPr>
              <w:fldChar w:fldCharType="end"/>
            </w:r>
          </w:hyperlink>
        </w:p>
        <w:p w14:paraId="50AC2B20" w14:textId="18207B6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91CB67F" w14:textId="77777777" w:rsidR="00F76B20" w:rsidRDefault="00F76B20" w:rsidP="00B854B6">
      <w:pPr>
        <w:jc w:val="center"/>
        <w:rPr>
          <w:b/>
          <w:bCs/>
          <w:sz w:val="26"/>
          <w:szCs w:val="26"/>
        </w:rPr>
      </w:pPr>
    </w:p>
    <w:p w14:paraId="76DCC826" w14:textId="0050DC36"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3421056"/>
      <w:r w:rsidRPr="00564A93">
        <w:lastRenderedPageBreak/>
        <w:t>Contract</w:t>
      </w:r>
      <w:r w:rsidR="00C0549D" w:rsidRPr="00564A93">
        <w:t xml:space="preserve"> </w:t>
      </w:r>
      <w:r w:rsidR="00B15B3F" w:rsidRPr="00633557">
        <w:t>Summary</w:t>
      </w:r>
      <w:bookmarkEnd w:id="4"/>
      <w:bookmarkEnd w:id="5"/>
    </w:p>
    <w:p w14:paraId="59ABEB8E" w14:textId="1A9737AD" w:rsidR="00A67069" w:rsidRDefault="003A5B39" w:rsidP="003A5B39">
      <w:pPr>
        <w:tabs>
          <w:tab w:val="left" w:pos="540"/>
        </w:tabs>
        <w:spacing w:after="0" w:line="240" w:lineRule="auto"/>
        <w:rPr>
          <w:rFonts w:cs="Arial"/>
          <w:bCs/>
          <w:color w:val="000000"/>
          <w:szCs w:val="24"/>
        </w:rPr>
      </w:pPr>
      <w:r w:rsidRPr="004509EA">
        <w:rPr>
          <w:b/>
          <w:bCs/>
          <w:szCs w:val="24"/>
        </w:rPr>
        <w:t>ITS64</w:t>
      </w:r>
      <w:r w:rsidR="00F76B20">
        <w:rPr>
          <w:b/>
          <w:bCs/>
          <w:szCs w:val="24"/>
        </w:rPr>
        <w:t>–</w:t>
      </w:r>
      <w:r w:rsidRPr="004509EA">
        <w:rPr>
          <w:b/>
          <w:bCs/>
          <w:szCs w:val="24"/>
        </w:rPr>
        <w:t>Oracle Software and Services:</w:t>
      </w:r>
      <w:r w:rsidRPr="00A12C2C">
        <w:rPr>
          <w:szCs w:val="24"/>
        </w:rPr>
        <w:t xml:space="preserve"> </w:t>
      </w:r>
      <w:r w:rsidR="00A67069">
        <w:rPr>
          <w:rFonts w:cs="Arial"/>
          <w:bCs/>
          <w:color w:val="000000"/>
          <w:szCs w:val="24"/>
        </w:rPr>
        <w:t xml:space="preserve">This Statewide Contract </w:t>
      </w:r>
      <w:r w:rsidR="00A67069" w:rsidRPr="00A67069">
        <w:rPr>
          <w:rFonts w:cs="Arial"/>
          <w:bCs/>
          <w:color w:val="000000"/>
          <w:szCs w:val="24"/>
        </w:rPr>
        <w:t xml:space="preserve">governs the provision of </w:t>
      </w:r>
      <w:r w:rsidR="00A67069">
        <w:rPr>
          <w:rFonts w:cs="Arial"/>
          <w:bCs/>
          <w:color w:val="000000"/>
          <w:szCs w:val="24"/>
        </w:rPr>
        <w:t>the Oracle</w:t>
      </w:r>
      <w:r w:rsidR="00A67069" w:rsidRPr="00A67069">
        <w:rPr>
          <w:rFonts w:cs="Arial"/>
          <w:bCs/>
          <w:color w:val="000000"/>
          <w:szCs w:val="24"/>
        </w:rPr>
        <w:t xml:space="preserve"> software and related services. The software may be delivered through a premise-based model (installed on </w:t>
      </w:r>
      <w:r w:rsidR="00A67069">
        <w:rPr>
          <w:rFonts w:cs="Arial"/>
          <w:bCs/>
          <w:color w:val="000000"/>
          <w:szCs w:val="24"/>
        </w:rPr>
        <w:t>c</w:t>
      </w:r>
      <w:r w:rsidR="00A67069" w:rsidRPr="00A67069">
        <w:rPr>
          <w:rFonts w:cs="Arial"/>
          <w:bCs/>
          <w:color w:val="000000"/>
          <w:szCs w:val="24"/>
        </w:rPr>
        <w:t xml:space="preserve">ustomer's infrastructure) or </w:t>
      </w:r>
      <w:proofErr w:type="gramStart"/>
      <w:r w:rsidR="00A67069" w:rsidRPr="00A67069">
        <w:rPr>
          <w:rFonts w:cs="Arial"/>
          <w:bCs/>
          <w:color w:val="000000"/>
          <w:szCs w:val="24"/>
        </w:rPr>
        <w:t xml:space="preserve">a </w:t>
      </w:r>
      <w:r w:rsidR="000E168D">
        <w:rPr>
          <w:rFonts w:cs="Arial"/>
          <w:bCs/>
          <w:color w:val="000000"/>
          <w:szCs w:val="24"/>
        </w:rPr>
        <w:t>s</w:t>
      </w:r>
      <w:r w:rsidR="00A67069" w:rsidRPr="00A67069">
        <w:rPr>
          <w:rFonts w:cs="Arial"/>
          <w:bCs/>
          <w:color w:val="000000"/>
          <w:szCs w:val="24"/>
        </w:rPr>
        <w:t>oftware</w:t>
      </w:r>
      <w:proofErr w:type="gramEnd"/>
      <w:r w:rsidR="00A67069" w:rsidRPr="00A67069">
        <w:rPr>
          <w:rFonts w:cs="Arial"/>
          <w:bCs/>
          <w:color w:val="000000"/>
          <w:szCs w:val="24"/>
        </w:rPr>
        <w:t xml:space="preserve"> as a </w:t>
      </w:r>
      <w:r w:rsidR="000E168D">
        <w:rPr>
          <w:rFonts w:cs="Arial"/>
          <w:bCs/>
          <w:color w:val="000000"/>
          <w:szCs w:val="24"/>
        </w:rPr>
        <w:t>s</w:t>
      </w:r>
      <w:r w:rsidR="00A67069" w:rsidRPr="00A67069">
        <w:rPr>
          <w:rFonts w:cs="Arial"/>
          <w:bCs/>
          <w:color w:val="000000"/>
          <w:szCs w:val="24"/>
        </w:rPr>
        <w:t xml:space="preserve">ervice (SaaS) model (accessed remotely via the </w:t>
      </w:r>
      <w:r w:rsidR="00A67069">
        <w:rPr>
          <w:rFonts w:cs="Arial"/>
          <w:bCs/>
          <w:color w:val="000000"/>
          <w:szCs w:val="24"/>
        </w:rPr>
        <w:t>v</w:t>
      </w:r>
      <w:r w:rsidR="00A67069" w:rsidRPr="00A67069">
        <w:rPr>
          <w:rFonts w:cs="Arial"/>
          <w:bCs/>
          <w:color w:val="000000"/>
          <w:szCs w:val="24"/>
        </w:rPr>
        <w:t xml:space="preserve">endor's hosted environment). The scope of services includes ongoing maintenance and support for the software. </w:t>
      </w:r>
      <w:r w:rsidR="00472555" w:rsidRPr="00472555">
        <w:rPr>
          <w:rFonts w:cs="Arial"/>
          <w:bCs/>
          <w:color w:val="000000"/>
          <w:szCs w:val="24"/>
        </w:rPr>
        <w:t xml:space="preserve">Additionally, the </w:t>
      </w:r>
      <w:r w:rsidR="00472555">
        <w:rPr>
          <w:rFonts w:cs="Arial"/>
          <w:bCs/>
          <w:color w:val="000000"/>
          <w:szCs w:val="24"/>
        </w:rPr>
        <w:t>v</w:t>
      </w:r>
      <w:r w:rsidR="00472555" w:rsidRPr="00472555">
        <w:rPr>
          <w:rFonts w:cs="Arial"/>
          <w:bCs/>
          <w:color w:val="000000"/>
          <w:szCs w:val="24"/>
        </w:rPr>
        <w:t xml:space="preserve">endor shall provide </w:t>
      </w:r>
      <w:r w:rsidR="00472555">
        <w:rPr>
          <w:rFonts w:cs="Arial"/>
          <w:bCs/>
          <w:color w:val="000000"/>
          <w:szCs w:val="24"/>
        </w:rPr>
        <w:t>p</w:t>
      </w:r>
      <w:r w:rsidR="00472555" w:rsidRPr="00472555">
        <w:rPr>
          <w:rFonts w:cs="Arial"/>
          <w:bCs/>
          <w:color w:val="000000"/>
          <w:szCs w:val="24"/>
        </w:rPr>
        <w:t xml:space="preserve">rofessional </w:t>
      </w:r>
      <w:r w:rsidR="00305E30">
        <w:rPr>
          <w:rFonts w:cs="Arial"/>
          <w:bCs/>
          <w:color w:val="000000"/>
          <w:szCs w:val="24"/>
        </w:rPr>
        <w:t>s</w:t>
      </w:r>
      <w:r w:rsidR="00472555" w:rsidRPr="00472555">
        <w:rPr>
          <w:rFonts w:cs="Arial"/>
          <w:bCs/>
          <w:color w:val="000000"/>
          <w:szCs w:val="24"/>
        </w:rPr>
        <w:t>ervices, which may include, but are not limited to, consulting, training, and other software-related implementation and advisory services</w:t>
      </w:r>
      <w:r w:rsidR="00305E30">
        <w:rPr>
          <w:rFonts w:cs="Arial"/>
          <w:bCs/>
          <w:color w:val="000000"/>
          <w:szCs w:val="24"/>
        </w:rPr>
        <w:t>.</w:t>
      </w:r>
    </w:p>
    <w:p w14:paraId="479ABA18" w14:textId="77777777" w:rsidR="003A5B39" w:rsidRDefault="003A5B39" w:rsidP="003A5B39">
      <w:pPr>
        <w:tabs>
          <w:tab w:val="left" w:pos="540"/>
        </w:tabs>
        <w:spacing w:after="0" w:line="240" w:lineRule="auto"/>
        <w:rPr>
          <w:rFonts w:cs="Arial"/>
          <w:bCs/>
          <w:color w:val="000000"/>
          <w:szCs w:val="24"/>
        </w:rPr>
      </w:pPr>
    </w:p>
    <w:p w14:paraId="7D6A54C5" w14:textId="135086F0" w:rsidR="009A2F4E" w:rsidRDefault="009A2F4E" w:rsidP="003A5B39">
      <w:pPr>
        <w:tabs>
          <w:tab w:val="left" w:pos="540"/>
        </w:tabs>
        <w:spacing w:after="0" w:line="240" w:lineRule="auto"/>
        <w:rPr>
          <w:rFonts w:cs="Arial"/>
          <w:bCs/>
          <w:color w:val="000000"/>
          <w:szCs w:val="24"/>
        </w:rPr>
      </w:pPr>
      <w:r w:rsidRPr="00505933">
        <w:rPr>
          <w:szCs w:val="24"/>
        </w:rPr>
        <w:t xml:space="preserve">For </w:t>
      </w:r>
      <w:r>
        <w:rPr>
          <w:szCs w:val="24"/>
        </w:rPr>
        <w:t xml:space="preserve">the </w:t>
      </w:r>
      <w:r w:rsidRPr="00505933">
        <w:rPr>
          <w:szCs w:val="24"/>
        </w:rPr>
        <w:t xml:space="preserve">Master Contract Record, </w:t>
      </w:r>
      <w:r>
        <w:rPr>
          <w:szCs w:val="24"/>
        </w:rPr>
        <w:t>refer to the</w:t>
      </w:r>
      <w:r w:rsidRPr="00505933">
        <w:rPr>
          <w:szCs w:val="24"/>
        </w:rPr>
        <w:t xml:space="preserve"> </w:t>
      </w:r>
      <w:hyperlink r:id="rId21" w:history="1">
        <w:r w:rsidR="006371F6">
          <w:rPr>
            <w:rStyle w:val="Hyperlink"/>
            <w:szCs w:val="24"/>
          </w:rPr>
          <w:t>ITS64 Master Contract Record</w:t>
        </w:r>
      </w:hyperlink>
      <w:r>
        <w:t>.</w:t>
      </w:r>
    </w:p>
    <w:p w14:paraId="1979E346" w14:textId="77777777" w:rsidR="003A5B39" w:rsidRDefault="003A5B39" w:rsidP="003A5B39">
      <w:pPr>
        <w:tabs>
          <w:tab w:val="left" w:pos="540"/>
        </w:tabs>
        <w:spacing w:after="0" w:line="240" w:lineRule="auto"/>
        <w:rPr>
          <w:rFonts w:cs="Arial"/>
          <w:bCs/>
          <w:color w:val="000000"/>
          <w:sz w:val="20"/>
          <w:szCs w:val="20"/>
        </w:rPr>
      </w:pP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3421057"/>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A67069">
      <w:pPr>
        <w:pStyle w:val="ListParagraph"/>
        <w:numPr>
          <w:ilvl w:val="0"/>
          <w:numId w:val="7"/>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A67069">
      <w:pPr>
        <w:pStyle w:val="ListParagraph"/>
        <w:numPr>
          <w:ilvl w:val="0"/>
          <w:numId w:val="7"/>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A67069">
      <w:pPr>
        <w:pStyle w:val="ListParagraph"/>
        <w:numPr>
          <w:ilvl w:val="0"/>
          <w:numId w:val="7"/>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A67069">
      <w:pPr>
        <w:pStyle w:val="ListParagraph"/>
        <w:numPr>
          <w:ilvl w:val="0"/>
          <w:numId w:val="7"/>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A67069">
      <w:pPr>
        <w:pStyle w:val="ListParagraph"/>
        <w:numPr>
          <w:ilvl w:val="0"/>
          <w:numId w:val="7"/>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A67069">
      <w:pPr>
        <w:pStyle w:val="ListParagraph"/>
        <w:numPr>
          <w:ilvl w:val="0"/>
          <w:numId w:val="7"/>
        </w:numPr>
        <w:rPr>
          <w:color w:val="000000" w:themeColor="text1"/>
          <w:szCs w:val="24"/>
        </w:rPr>
      </w:pPr>
      <w:r w:rsidRPr="00A12C2C">
        <w:rPr>
          <w:color w:val="000000" w:themeColor="text1"/>
          <w:szCs w:val="24"/>
        </w:rPr>
        <w:t xml:space="preserve">Partnering with a pool of qualified and experienced vendors </w:t>
      </w:r>
    </w:p>
    <w:p w14:paraId="183100F8" w14:textId="77777777" w:rsidR="00FE79FF" w:rsidRDefault="005D20CA" w:rsidP="00633557">
      <w:pPr>
        <w:pStyle w:val="Heading2"/>
      </w:pPr>
      <w:bookmarkStart w:id="9" w:name="_Toc213421058"/>
      <w:bookmarkStart w:id="10" w:name="_Toc194066595"/>
      <w:r w:rsidRPr="00564A93">
        <w:t>Contract Exclusions and Related Statewide Contracts</w:t>
      </w:r>
      <w:bookmarkEnd w:id="9"/>
    </w:p>
    <w:p w14:paraId="734BC766" w14:textId="77777777" w:rsidR="003A5B39" w:rsidRDefault="003A5B39" w:rsidP="003A5B39">
      <w:pPr>
        <w:rPr>
          <w:iCs/>
          <w:szCs w:val="24"/>
        </w:rPr>
      </w:pPr>
      <w:bookmarkStart w:id="11" w:name="_Toc194066594"/>
      <w:bookmarkEnd w:id="10"/>
      <w:r w:rsidRPr="00FE56B2">
        <w:rPr>
          <w:iCs/>
          <w:szCs w:val="24"/>
        </w:rPr>
        <w:t xml:space="preserve">No hardware may be offered under this contract.    </w:t>
      </w:r>
    </w:p>
    <w:p w14:paraId="3CE8FF79" w14:textId="1FA45D4F" w:rsidR="0067314A" w:rsidRPr="00FE56B2" w:rsidRDefault="0067314A" w:rsidP="003A5B39">
      <w:pPr>
        <w:rPr>
          <w:iCs/>
          <w:szCs w:val="24"/>
        </w:rPr>
      </w:pPr>
      <w:r w:rsidRPr="0067314A">
        <w:rPr>
          <w:iCs/>
          <w:szCs w:val="24"/>
        </w:rPr>
        <w:t xml:space="preserve">Under the ITS64 </w:t>
      </w:r>
      <w:r>
        <w:rPr>
          <w:iCs/>
          <w:szCs w:val="24"/>
        </w:rPr>
        <w:t>contract</w:t>
      </w:r>
      <w:r w:rsidRPr="0067314A">
        <w:rPr>
          <w:iCs/>
          <w:szCs w:val="24"/>
        </w:rPr>
        <w:t xml:space="preserve">, Oracle </w:t>
      </w:r>
      <w:r w:rsidR="00444DAA">
        <w:rPr>
          <w:iCs/>
          <w:szCs w:val="24"/>
        </w:rPr>
        <w:t>Platform as a Service (</w:t>
      </w:r>
      <w:r w:rsidRPr="0067314A">
        <w:rPr>
          <w:iCs/>
          <w:szCs w:val="24"/>
        </w:rPr>
        <w:t>PaaS</w:t>
      </w:r>
      <w:r w:rsidR="00444DAA">
        <w:rPr>
          <w:iCs/>
          <w:szCs w:val="24"/>
        </w:rPr>
        <w:t>)</w:t>
      </w:r>
      <w:r w:rsidRPr="0067314A">
        <w:rPr>
          <w:iCs/>
          <w:szCs w:val="24"/>
        </w:rPr>
        <w:t xml:space="preserve"> and </w:t>
      </w:r>
      <w:r w:rsidR="00E47E26">
        <w:rPr>
          <w:iCs/>
          <w:szCs w:val="24"/>
        </w:rPr>
        <w:t>Infrastructure as a Service (</w:t>
      </w:r>
      <w:r w:rsidRPr="0067314A">
        <w:rPr>
          <w:iCs/>
          <w:szCs w:val="24"/>
        </w:rPr>
        <w:t>IaaS</w:t>
      </w:r>
      <w:r w:rsidR="00E47E26">
        <w:rPr>
          <w:iCs/>
          <w:szCs w:val="24"/>
        </w:rPr>
        <w:t>)</w:t>
      </w:r>
      <w:r w:rsidRPr="0067314A">
        <w:rPr>
          <w:iCs/>
          <w:szCs w:val="24"/>
        </w:rPr>
        <w:t xml:space="preserve"> can only be used for Oracle technology or applications. They may not be used to support non-Oracle workloads, and an Eligible Entity can only migrate Oracle technology or applications programs to the cloud environment using these services</w:t>
      </w:r>
      <w:r w:rsidR="002131E8">
        <w:rPr>
          <w:iCs/>
          <w:szCs w:val="24"/>
        </w:rPr>
        <w:t>.</w:t>
      </w:r>
    </w:p>
    <w:p w14:paraId="43E9CB97" w14:textId="480FE874" w:rsidR="005F7C01" w:rsidRPr="00DC5CC1" w:rsidRDefault="00B77AE5" w:rsidP="00633557">
      <w:pPr>
        <w:pStyle w:val="Heading2"/>
      </w:pPr>
      <w:bookmarkStart w:id="12" w:name="_Toc213421059"/>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A67069">
      <w:pPr>
        <w:pStyle w:val="ListParagraph"/>
        <w:numPr>
          <w:ilvl w:val="0"/>
          <w:numId w:val="6"/>
        </w:numPr>
        <w:rPr>
          <w:szCs w:val="24"/>
        </w:rPr>
      </w:pPr>
      <w:r w:rsidRPr="003C62B7">
        <w:rPr>
          <w:szCs w:val="24"/>
        </w:rPr>
        <w:t>Cities, towns, districts, counties, and other political subdivisions</w:t>
      </w:r>
    </w:p>
    <w:p w14:paraId="6FA83448" w14:textId="77777777" w:rsidR="00F355B6" w:rsidRPr="003C62B7" w:rsidRDefault="00F355B6" w:rsidP="00A67069">
      <w:pPr>
        <w:pStyle w:val="ListParagraph"/>
        <w:numPr>
          <w:ilvl w:val="0"/>
          <w:numId w:val="6"/>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A67069">
      <w:pPr>
        <w:pStyle w:val="ListParagraph"/>
        <w:numPr>
          <w:ilvl w:val="0"/>
          <w:numId w:val="6"/>
        </w:numPr>
        <w:rPr>
          <w:szCs w:val="24"/>
        </w:rPr>
      </w:pPr>
      <w:r w:rsidRPr="003C62B7">
        <w:rPr>
          <w:szCs w:val="24"/>
        </w:rPr>
        <w:t>Independent public authorities, commissions, and quasi-public agencies</w:t>
      </w:r>
    </w:p>
    <w:p w14:paraId="1D69D10A" w14:textId="77777777" w:rsidR="00F355B6" w:rsidRPr="003C62B7" w:rsidRDefault="00F355B6" w:rsidP="00A67069">
      <w:pPr>
        <w:pStyle w:val="ListParagraph"/>
        <w:numPr>
          <w:ilvl w:val="0"/>
          <w:numId w:val="6"/>
        </w:numPr>
        <w:rPr>
          <w:szCs w:val="24"/>
        </w:rPr>
      </w:pPr>
      <w:r w:rsidRPr="003C62B7">
        <w:rPr>
          <w:szCs w:val="24"/>
        </w:rPr>
        <w:t>Local public libraries, public school districts, and charter schools</w:t>
      </w:r>
    </w:p>
    <w:p w14:paraId="7F85341C" w14:textId="77777777" w:rsidR="00F355B6" w:rsidRPr="003C62B7" w:rsidRDefault="00F355B6" w:rsidP="00A67069">
      <w:pPr>
        <w:pStyle w:val="ListParagraph"/>
        <w:numPr>
          <w:ilvl w:val="0"/>
          <w:numId w:val="6"/>
        </w:numPr>
        <w:rPr>
          <w:szCs w:val="24"/>
        </w:rPr>
      </w:pPr>
      <w:r w:rsidRPr="003C62B7">
        <w:rPr>
          <w:szCs w:val="24"/>
        </w:rPr>
        <w:t>Public hospitals owned by the Commonwealth of Massachusetts</w:t>
      </w:r>
    </w:p>
    <w:p w14:paraId="342D2151" w14:textId="77777777" w:rsidR="00F355B6" w:rsidRPr="003C62B7" w:rsidRDefault="00F355B6" w:rsidP="00A67069">
      <w:pPr>
        <w:pStyle w:val="ListParagraph"/>
        <w:numPr>
          <w:ilvl w:val="0"/>
          <w:numId w:val="6"/>
        </w:numPr>
        <w:rPr>
          <w:szCs w:val="24"/>
        </w:rPr>
      </w:pPr>
      <w:r w:rsidRPr="003C62B7">
        <w:rPr>
          <w:szCs w:val="24"/>
        </w:rPr>
        <w:t>Public institutions of higher education</w:t>
      </w:r>
    </w:p>
    <w:p w14:paraId="4263DFBE" w14:textId="77777777" w:rsidR="00F355B6" w:rsidRPr="003C62B7" w:rsidRDefault="00F355B6" w:rsidP="00A67069">
      <w:pPr>
        <w:pStyle w:val="ListParagraph"/>
        <w:numPr>
          <w:ilvl w:val="0"/>
          <w:numId w:val="6"/>
        </w:numPr>
        <w:rPr>
          <w:szCs w:val="24"/>
        </w:rPr>
      </w:pPr>
      <w:r w:rsidRPr="003C62B7">
        <w:rPr>
          <w:szCs w:val="24"/>
        </w:rPr>
        <w:t>Public purchasing cooperatives</w:t>
      </w:r>
    </w:p>
    <w:p w14:paraId="0C8B4229" w14:textId="058CC811" w:rsidR="00F355B6" w:rsidRPr="003C62B7" w:rsidRDefault="00F355B6" w:rsidP="00A67069">
      <w:pPr>
        <w:pStyle w:val="ListParagraph"/>
        <w:numPr>
          <w:ilvl w:val="0"/>
          <w:numId w:val="6"/>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A67069">
      <w:pPr>
        <w:pStyle w:val="ListParagraph"/>
        <w:numPr>
          <w:ilvl w:val="0"/>
          <w:numId w:val="6"/>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A67069">
      <w:pPr>
        <w:pStyle w:val="ListParagraph"/>
        <w:numPr>
          <w:ilvl w:val="0"/>
          <w:numId w:val="6"/>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13421060"/>
      <w:r>
        <w:t>Pricing Options</w:t>
      </w:r>
      <w:bookmarkEnd w:id="13"/>
      <w:bookmarkEnd w:id="14"/>
    </w:p>
    <w:p w14:paraId="51B6A7E5" w14:textId="0DAD64EF" w:rsidR="00F35A63" w:rsidRDefault="00F35A63" w:rsidP="00F35A63">
      <w:pPr>
        <w:rPr>
          <w:szCs w:val="24"/>
        </w:rPr>
      </w:pPr>
      <w:bookmarkStart w:id="15"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5"/>
    </w:p>
    <w:p w14:paraId="0EA5B639" w14:textId="174D372F" w:rsidR="005120C8" w:rsidRDefault="005120C8" w:rsidP="00F35A63">
      <w:pPr>
        <w:rPr>
          <w:szCs w:val="24"/>
        </w:rPr>
      </w:pPr>
      <w:r w:rsidRPr="005120C8">
        <w:rPr>
          <w:iCs/>
          <w:szCs w:val="24"/>
        </w:rPr>
        <w:t>The pricing options are outlined as follows:</w:t>
      </w:r>
    </w:p>
    <w:p w14:paraId="1C59EFC1" w14:textId="77777777" w:rsidR="002C0BEB" w:rsidRDefault="002C0BEB" w:rsidP="00A67069">
      <w:pPr>
        <w:pStyle w:val="ListParagraph"/>
        <w:numPr>
          <w:ilvl w:val="0"/>
          <w:numId w:val="8"/>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414F6D7F" w14:textId="77777777" w:rsidR="002C0BEB" w:rsidRPr="00D04156" w:rsidRDefault="002C0BEB" w:rsidP="00A67069">
      <w:pPr>
        <w:pStyle w:val="ListParagraph"/>
        <w:numPr>
          <w:ilvl w:val="0"/>
          <w:numId w:val="8"/>
        </w:numPr>
        <w:rPr>
          <w:b/>
          <w:szCs w:val="24"/>
        </w:rPr>
      </w:pPr>
      <w:r w:rsidRPr="00D04156">
        <w:rPr>
          <w:b/>
          <w:szCs w:val="24"/>
        </w:rPr>
        <w:t xml:space="preserve">Discount </w:t>
      </w:r>
      <w:proofErr w:type="gramStart"/>
      <w:r w:rsidRPr="00D04156">
        <w:rPr>
          <w:b/>
          <w:szCs w:val="24"/>
        </w:rPr>
        <w:t>off of</w:t>
      </w:r>
      <w:proofErr w:type="gramEnd"/>
      <w:r w:rsidRPr="00D04156">
        <w:rPr>
          <w:b/>
          <w:szCs w:val="24"/>
        </w:rPr>
        <w:t xml:space="preserve"> the Vendor Catalog Price: </w:t>
      </w:r>
      <w:r w:rsidRPr="00D04156">
        <w:rPr>
          <w:bCs/>
          <w:szCs w:val="24"/>
        </w:rPr>
        <w:t xml:space="preserve">Contract pricing is a specified discount </w:t>
      </w:r>
      <w:proofErr w:type="gramStart"/>
      <w:r w:rsidRPr="00D04156">
        <w:rPr>
          <w:bCs/>
          <w:szCs w:val="24"/>
        </w:rPr>
        <w:t>off of</w:t>
      </w:r>
      <w:proofErr w:type="gramEnd"/>
      <w:r w:rsidRPr="00D04156">
        <w:rPr>
          <w:bCs/>
          <w:szCs w:val="24"/>
        </w:rPr>
        <w:t xml:space="preserve"> the vendor catalog price, which may be further negotiated.</w:t>
      </w:r>
    </w:p>
    <w:p w14:paraId="42F43A50" w14:textId="08571301" w:rsidR="00F35A63" w:rsidRDefault="009E2830" w:rsidP="00F35A63">
      <w:pPr>
        <w:rPr>
          <w:rFonts w:cs="Arial"/>
          <w:color w:val="000000" w:themeColor="text1"/>
          <w:szCs w:val="24"/>
        </w:rPr>
      </w:pPr>
      <w:r w:rsidRPr="009E2830">
        <w:rPr>
          <w:b/>
          <w:bCs/>
          <w:color w:val="000000" w:themeColor="text1"/>
          <w:szCs w:val="24"/>
        </w:rPr>
        <w:t>Note:</w:t>
      </w:r>
      <w:r>
        <w:rPr>
          <w:color w:val="000000" w:themeColor="text1"/>
          <w:szCs w:val="24"/>
        </w:rPr>
        <w:t xml:space="preserve"> </w:t>
      </w:r>
      <w:r w:rsidR="00F35A63" w:rsidRPr="00BC75FE">
        <w:rPr>
          <w:color w:val="000000" w:themeColor="text1"/>
          <w:szCs w:val="24"/>
        </w:rPr>
        <w:t xml:space="preserve">Product pricing may be found </w:t>
      </w:r>
      <w:r w:rsidR="00B0422B">
        <w:rPr>
          <w:color w:val="000000" w:themeColor="text1"/>
          <w:szCs w:val="24"/>
        </w:rPr>
        <w:t xml:space="preserve">within the </w:t>
      </w:r>
      <w:r w:rsidR="00B50B0B">
        <w:rPr>
          <w:color w:val="000000" w:themeColor="text1"/>
          <w:szCs w:val="24"/>
        </w:rPr>
        <w:t>vendor</w:t>
      </w:r>
      <w:r w:rsidR="00274B75">
        <w:rPr>
          <w:color w:val="000000" w:themeColor="text1"/>
          <w:szCs w:val="24"/>
        </w:rPr>
        <w:t>’s</w:t>
      </w:r>
      <w:r w:rsidR="00B50B0B">
        <w:rPr>
          <w:color w:val="000000" w:themeColor="text1"/>
          <w:szCs w:val="24"/>
        </w:rPr>
        <w:t xml:space="preserve"> </w:t>
      </w:r>
      <w:r w:rsidR="00B0422B">
        <w:rPr>
          <w:color w:val="000000" w:themeColor="text1"/>
          <w:szCs w:val="24"/>
        </w:rPr>
        <w:t>Master</w:t>
      </w:r>
      <w:r w:rsidR="00B50B0B">
        <w:rPr>
          <w:color w:val="000000" w:themeColor="text1"/>
          <w:szCs w:val="24"/>
        </w:rPr>
        <w:t xml:space="preserve"> Blanket Purchase Order</w:t>
      </w:r>
      <w:r w:rsidR="00274B75">
        <w:rPr>
          <w:color w:val="000000" w:themeColor="text1"/>
          <w:szCs w:val="24"/>
        </w:rPr>
        <w:t xml:space="preserve"> (MBPO)</w:t>
      </w:r>
      <w:r w:rsidR="00495BE9">
        <w:rPr>
          <w:color w:val="000000" w:themeColor="text1"/>
          <w:szCs w:val="24"/>
        </w:rPr>
        <w:t xml:space="preserve">. Links to the respective </w:t>
      </w:r>
      <w:r w:rsidR="009B164F">
        <w:rPr>
          <w:color w:val="000000" w:themeColor="text1"/>
          <w:szCs w:val="24"/>
        </w:rPr>
        <w:t>vendors’</w:t>
      </w:r>
      <w:r w:rsidR="005C4559">
        <w:rPr>
          <w:color w:val="000000" w:themeColor="text1"/>
          <w:szCs w:val="24"/>
        </w:rPr>
        <w:t xml:space="preserve"> </w:t>
      </w:r>
      <w:r w:rsidR="00495BE9">
        <w:rPr>
          <w:color w:val="000000" w:themeColor="text1"/>
          <w:szCs w:val="24"/>
        </w:rPr>
        <w:t>MBPO</w:t>
      </w:r>
      <w:r w:rsidR="009B164F">
        <w:rPr>
          <w:color w:val="000000" w:themeColor="text1"/>
          <w:szCs w:val="24"/>
        </w:rPr>
        <w:t>s</w:t>
      </w:r>
      <w:r w:rsidR="00495BE9">
        <w:rPr>
          <w:color w:val="000000" w:themeColor="text1"/>
          <w:szCs w:val="24"/>
        </w:rPr>
        <w:t xml:space="preserve"> a</w:t>
      </w:r>
      <w:r w:rsidR="00225386">
        <w:rPr>
          <w:color w:val="000000" w:themeColor="text1"/>
          <w:szCs w:val="24"/>
        </w:rPr>
        <w:t>re provided</w:t>
      </w:r>
      <w:r w:rsidR="00B50B0B">
        <w:rPr>
          <w:color w:val="000000" w:themeColor="text1"/>
          <w:szCs w:val="24"/>
        </w:rPr>
        <w:t xml:space="preserve"> </w:t>
      </w:r>
      <w:r w:rsidR="005C4559">
        <w:rPr>
          <w:color w:val="000000" w:themeColor="text1"/>
          <w:szCs w:val="24"/>
        </w:rPr>
        <w:t>in</w:t>
      </w:r>
      <w:r w:rsidR="00F35A63" w:rsidRPr="00BC75FE">
        <w:rPr>
          <w:color w:val="000000" w:themeColor="text1"/>
          <w:szCs w:val="24"/>
        </w:rPr>
        <w:t xml:space="preserve"> the </w:t>
      </w:r>
      <w:hyperlink w:anchor="_Appendix_A:_Vendor" w:history="1">
        <w:r w:rsidR="00EB3D32">
          <w:rPr>
            <w:rStyle w:val="Hyperlink"/>
            <w:rFonts w:cs="Arial"/>
            <w:szCs w:val="24"/>
          </w:rPr>
          <w:t>Vendor List and Information</w:t>
        </w:r>
      </w:hyperlink>
      <w:r w:rsidR="00225386">
        <w:rPr>
          <w:rFonts w:cs="Arial"/>
          <w:color w:val="000000" w:themeColor="text1"/>
          <w:szCs w:val="24"/>
        </w:rPr>
        <w:t>.</w:t>
      </w:r>
    </w:p>
    <w:p w14:paraId="45336D7C" w14:textId="04C58DEE" w:rsidR="00ED723A" w:rsidRDefault="00ED723A" w:rsidP="00633557">
      <w:pPr>
        <w:pStyle w:val="Heading2"/>
      </w:pPr>
      <w:bookmarkStart w:id="16" w:name="_Quote_Response_and"/>
      <w:bookmarkStart w:id="17" w:name="_Toc194066596"/>
      <w:bookmarkStart w:id="18" w:name="_Toc213421061"/>
      <w:bookmarkEnd w:id="16"/>
      <w:r w:rsidRPr="00564A93">
        <w:lastRenderedPageBreak/>
        <w:t>Purchase</w:t>
      </w:r>
      <w:r w:rsidR="00BC5DEA" w:rsidRPr="00564A93">
        <w:t xml:space="preserve"> Options</w:t>
      </w:r>
      <w:bookmarkEnd w:id="17"/>
      <w:bookmarkEnd w:id="18"/>
    </w:p>
    <w:p w14:paraId="49D982C2" w14:textId="1417A253" w:rsidR="006812FE" w:rsidRPr="003B0898" w:rsidRDefault="006812FE" w:rsidP="0098057D">
      <w:pPr>
        <w:rPr>
          <w:szCs w:val="24"/>
        </w:rPr>
      </w:pPr>
      <w:r w:rsidRPr="006812FE">
        <w:rPr>
          <w:szCs w:val="24"/>
        </w:rPr>
        <w:t>The purchase options identified below are the only acceptable options that may be used in this contract:</w:t>
      </w:r>
    </w:p>
    <w:p w14:paraId="4F79437B" w14:textId="0D2A2014" w:rsidR="002C0BEB" w:rsidRPr="00791842" w:rsidRDefault="002C0BEB" w:rsidP="00A67069">
      <w:pPr>
        <w:pStyle w:val="ListParagraph"/>
        <w:numPr>
          <w:ilvl w:val="0"/>
          <w:numId w:val="10"/>
        </w:numPr>
        <w:rPr>
          <w:szCs w:val="24"/>
        </w:rPr>
      </w:pPr>
      <w:r>
        <w:rPr>
          <w:szCs w:val="24"/>
        </w:rPr>
        <w:t>Fee</w:t>
      </w:r>
      <w:r w:rsidR="00BE1148">
        <w:rPr>
          <w:szCs w:val="24"/>
        </w:rPr>
        <w:t>-</w:t>
      </w:r>
      <w:r>
        <w:rPr>
          <w:szCs w:val="24"/>
        </w:rPr>
        <w:t>for</w:t>
      </w:r>
      <w:r w:rsidR="00BE1148">
        <w:rPr>
          <w:szCs w:val="24"/>
        </w:rPr>
        <w:t>-S</w:t>
      </w:r>
      <w:r>
        <w:rPr>
          <w:szCs w:val="24"/>
        </w:rPr>
        <w:t>ervice</w:t>
      </w:r>
    </w:p>
    <w:p w14:paraId="7A1EAD15" w14:textId="7B0B3452" w:rsidR="002C0BEB" w:rsidRPr="00791842" w:rsidRDefault="002C0BEB" w:rsidP="00A67069">
      <w:pPr>
        <w:pStyle w:val="ListParagraph"/>
        <w:numPr>
          <w:ilvl w:val="0"/>
          <w:numId w:val="10"/>
        </w:numPr>
        <w:rPr>
          <w:szCs w:val="24"/>
        </w:rPr>
      </w:pPr>
      <w:r>
        <w:rPr>
          <w:color w:val="000000" w:themeColor="text1"/>
          <w:szCs w:val="24"/>
        </w:rPr>
        <w:t>Direct</w:t>
      </w:r>
      <w:r w:rsidRPr="00791842">
        <w:rPr>
          <w:color w:val="000000" w:themeColor="text1"/>
          <w:szCs w:val="24"/>
        </w:rPr>
        <w:t>, outright purchases</w:t>
      </w:r>
    </w:p>
    <w:p w14:paraId="05E2F1F3" w14:textId="77777777" w:rsidR="002C0BEB" w:rsidRDefault="002C0BEB" w:rsidP="00A67069">
      <w:pPr>
        <w:pStyle w:val="ListParagraph"/>
        <w:numPr>
          <w:ilvl w:val="0"/>
          <w:numId w:val="10"/>
        </w:numPr>
        <w:rPr>
          <w:szCs w:val="24"/>
        </w:rPr>
      </w:pPr>
      <w:r w:rsidRPr="00791842">
        <w:rPr>
          <w:szCs w:val="24"/>
        </w:rPr>
        <w:t>Subscriptions</w:t>
      </w:r>
    </w:p>
    <w:p w14:paraId="62D991A6" w14:textId="77777777" w:rsidR="009E2830" w:rsidRDefault="009E2830" w:rsidP="009E2830">
      <w:pPr>
        <w:rPr>
          <w:szCs w:val="24"/>
        </w:rPr>
      </w:pPr>
      <w:r>
        <w:rPr>
          <w:szCs w:val="24"/>
        </w:rPr>
        <w:t>Please note the following:</w:t>
      </w:r>
    </w:p>
    <w:p w14:paraId="4FB58B09" w14:textId="77777777" w:rsidR="009E2830" w:rsidRDefault="009E2830" w:rsidP="009E2830">
      <w:pPr>
        <w:pStyle w:val="ListParagraph"/>
        <w:numPr>
          <w:ilvl w:val="0"/>
          <w:numId w:val="22"/>
        </w:numPr>
        <w:rPr>
          <w:szCs w:val="24"/>
        </w:rPr>
      </w:pPr>
      <w:r w:rsidRPr="00A7392F">
        <w:rPr>
          <w:szCs w:val="24"/>
        </w:rPr>
        <w:t xml:space="preserve">Oracle software licenses may be acquired through outright purchase or subscription. </w:t>
      </w:r>
    </w:p>
    <w:p w14:paraId="02A3AA2C" w14:textId="77777777" w:rsidR="009E2830" w:rsidRDefault="009E2830" w:rsidP="009E2830">
      <w:pPr>
        <w:pStyle w:val="ListParagraph"/>
        <w:numPr>
          <w:ilvl w:val="0"/>
          <w:numId w:val="22"/>
        </w:numPr>
        <w:rPr>
          <w:szCs w:val="24"/>
        </w:rPr>
      </w:pPr>
      <w:r w:rsidRPr="00A7392F">
        <w:rPr>
          <w:szCs w:val="24"/>
        </w:rPr>
        <w:t xml:space="preserve">Oracle technical support and maintenance may be paid through an annual subscription or other </w:t>
      </w:r>
      <w:proofErr w:type="gramStart"/>
      <w:r w:rsidRPr="00A7392F">
        <w:rPr>
          <w:szCs w:val="24"/>
        </w:rPr>
        <w:t>time period</w:t>
      </w:r>
      <w:proofErr w:type="gramEnd"/>
      <w:r w:rsidRPr="00A7392F">
        <w:rPr>
          <w:szCs w:val="24"/>
        </w:rPr>
        <w:t xml:space="preserve"> agreed to between the Eligible Entity and Oracle. </w:t>
      </w:r>
    </w:p>
    <w:p w14:paraId="5BC3FB8D" w14:textId="77777777" w:rsidR="009E2830" w:rsidRDefault="009E2830" w:rsidP="009E2830">
      <w:pPr>
        <w:pStyle w:val="ListParagraph"/>
        <w:numPr>
          <w:ilvl w:val="0"/>
          <w:numId w:val="22"/>
        </w:numPr>
        <w:rPr>
          <w:szCs w:val="24"/>
        </w:rPr>
      </w:pPr>
      <w:r w:rsidRPr="00A7392F">
        <w:rPr>
          <w:szCs w:val="24"/>
        </w:rPr>
        <w:t xml:space="preserve">Consulting services may be obtained on a time and materials basis or for a fixed fee.  </w:t>
      </w:r>
    </w:p>
    <w:p w14:paraId="08963874" w14:textId="77777777" w:rsidR="009E2830" w:rsidRDefault="009E2830" w:rsidP="009E2830">
      <w:pPr>
        <w:pStyle w:val="ListParagraph"/>
        <w:numPr>
          <w:ilvl w:val="0"/>
          <w:numId w:val="22"/>
        </w:numPr>
        <w:rPr>
          <w:szCs w:val="24"/>
        </w:rPr>
      </w:pPr>
      <w:r w:rsidRPr="00A7392F">
        <w:rPr>
          <w:szCs w:val="24"/>
        </w:rPr>
        <w:t>Education services are via subscription or fixed fee.</w:t>
      </w:r>
    </w:p>
    <w:p w14:paraId="60123B2C" w14:textId="77777777" w:rsidR="00E53F93" w:rsidRPr="00E53F93" w:rsidRDefault="009E2830" w:rsidP="00E53F93">
      <w:pPr>
        <w:pStyle w:val="ListParagraph"/>
        <w:numPr>
          <w:ilvl w:val="0"/>
          <w:numId w:val="22"/>
        </w:numPr>
        <w:rPr>
          <w:rFonts w:cs="Arial"/>
          <w:bCs/>
          <w:color w:val="000000"/>
          <w:szCs w:val="24"/>
        </w:rPr>
      </w:pPr>
      <w:r w:rsidRPr="00A7392F">
        <w:rPr>
          <w:szCs w:val="24"/>
        </w:rPr>
        <w:t>Cloud Services are available via subscription.</w:t>
      </w:r>
    </w:p>
    <w:p w14:paraId="5072109B" w14:textId="7392C165" w:rsidR="004E2544" w:rsidRDefault="00E53F93" w:rsidP="00E53F93">
      <w:pPr>
        <w:spacing w:after="120"/>
        <w:rPr>
          <w:rFonts w:cs="Arial"/>
          <w:bCs/>
          <w:color w:val="000000"/>
          <w:szCs w:val="24"/>
        </w:rPr>
      </w:pPr>
      <w:r w:rsidRPr="00E53F93">
        <w:rPr>
          <w:rFonts w:cs="Arial"/>
          <w:bCs/>
          <w:color w:val="000000"/>
          <w:szCs w:val="24"/>
        </w:rPr>
        <w:t>To get started:</w:t>
      </w:r>
    </w:p>
    <w:p w14:paraId="7DBAA7C4" w14:textId="260D4257" w:rsidR="00E53F93" w:rsidRDefault="00E53F93" w:rsidP="00E53F93">
      <w:pPr>
        <w:pStyle w:val="ListParagraph"/>
        <w:numPr>
          <w:ilvl w:val="0"/>
          <w:numId w:val="26"/>
        </w:numPr>
        <w:spacing w:after="120"/>
        <w:rPr>
          <w:rFonts w:cs="Arial"/>
          <w:bCs/>
          <w:color w:val="000000"/>
          <w:szCs w:val="24"/>
        </w:rPr>
      </w:pPr>
      <w:r w:rsidRPr="00E53F93">
        <w:rPr>
          <w:rFonts w:cs="Arial"/>
          <w:b/>
          <w:bCs/>
          <w:color w:val="000000"/>
          <w:szCs w:val="24"/>
        </w:rPr>
        <w:t>Contact your Oracle representative</w:t>
      </w:r>
      <w:r w:rsidRPr="00E53F93">
        <w:rPr>
          <w:rFonts w:cs="Arial"/>
          <w:bCs/>
          <w:color w:val="000000"/>
          <w:szCs w:val="24"/>
        </w:rPr>
        <w:t> for assistance with product selection and preparing the Ordering Document.</w:t>
      </w:r>
    </w:p>
    <w:p w14:paraId="68B687DA" w14:textId="418D5866" w:rsidR="00E53F93" w:rsidRPr="00E53F93" w:rsidRDefault="00E53F93" w:rsidP="00E53F93">
      <w:pPr>
        <w:numPr>
          <w:ilvl w:val="0"/>
          <w:numId w:val="26"/>
        </w:numPr>
        <w:spacing w:after="120"/>
        <w:rPr>
          <w:rFonts w:cs="Arial"/>
          <w:bCs/>
          <w:color w:val="000000"/>
          <w:szCs w:val="24"/>
        </w:rPr>
      </w:pPr>
      <w:r w:rsidRPr="00E53F93">
        <w:rPr>
          <w:rFonts w:cs="Arial"/>
          <w:b/>
          <w:bCs/>
          <w:color w:val="000000"/>
          <w:szCs w:val="24"/>
        </w:rPr>
        <w:t>If you do not have a representative,</w:t>
      </w:r>
      <w:r w:rsidRPr="00E53F93">
        <w:rPr>
          <w:rFonts w:cs="Arial"/>
          <w:bCs/>
          <w:color w:val="000000"/>
          <w:szCs w:val="24"/>
        </w:rPr>
        <w:t xml:space="preserve"> please contact one of the </w:t>
      </w:r>
      <w:r w:rsidR="003C2FB8">
        <w:rPr>
          <w:rFonts w:cs="Arial"/>
          <w:bCs/>
          <w:color w:val="000000"/>
          <w:szCs w:val="24"/>
        </w:rPr>
        <w:t>“</w:t>
      </w:r>
      <w:r w:rsidRPr="00E53F93">
        <w:rPr>
          <w:rFonts w:cs="Arial"/>
          <w:bCs/>
          <w:color w:val="000000"/>
          <w:szCs w:val="24"/>
        </w:rPr>
        <w:t>General questions…</w:t>
      </w:r>
      <w:r w:rsidR="003C2FB8">
        <w:rPr>
          <w:rFonts w:cs="Arial"/>
          <w:bCs/>
          <w:color w:val="000000"/>
          <w:szCs w:val="24"/>
        </w:rPr>
        <w:t>”</w:t>
      </w:r>
      <w:r w:rsidRPr="00E53F93">
        <w:rPr>
          <w:rFonts w:cs="Arial"/>
          <w:bCs/>
          <w:color w:val="000000"/>
          <w:szCs w:val="24"/>
        </w:rPr>
        <w:t xml:space="preserve"> contacts in the </w:t>
      </w:r>
      <w:hyperlink w:anchor="_Appendix_B:_Vendor" w:history="1">
        <w:r w:rsidRPr="003A3225">
          <w:rPr>
            <w:rStyle w:val="Hyperlink"/>
            <w:rFonts w:cs="Arial"/>
            <w:bCs/>
            <w:szCs w:val="24"/>
          </w:rPr>
          <w:t>Vendor List and Information</w:t>
        </w:r>
      </w:hyperlink>
      <w:r w:rsidRPr="00E53F93">
        <w:rPr>
          <w:rFonts w:cs="Arial"/>
          <w:bCs/>
          <w:color w:val="000000"/>
          <w:szCs w:val="24"/>
        </w:rPr>
        <w:t xml:space="preserve"> section of this guide.</w:t>
      </w:r>
    </w:p>
    <w:p w14:paraId="2FEA97A9" w14:textId="0D15A51B" w:rsidR="00E53F93" w:rsidRPr="00E53F93" w:rsidRDefault="00E53F93" w:rsidP="00E53F93">
      <w:pPr>
        <w:pStyle w:val="ListParagraph"/>
        <w:numPr>
          <w:ilvl w:val="0"/>
          <w:numId w:val="26"/>
        </w:numPr>
        <w:spacing w:after="120"/>
        <w:rPr>
          <w:rFonts w:cs="Arial"/>
          <w:bCs/>
          <w:color w:val="000000"/>
          <w:szCs w:val="24"/>
        </w:rPr>
      </w:pPr>
      <w:r w:rsidRPr="00E53F93">
        <w:rPr>
          <w:rFonts w:cs="Arial"/>
          <w:b/>
          <w:bCs/>
          <w:color w:val="000000"/>
          <w:szCs w:val="24"/>
        </w:rPr>
        <w:t>All Executive Department Agencies</w:t>
      </w:r>
      <w:r w:rsidRPr="00E53F93">
        <w:rPr>
          <w:rFonts w:cs="Arial"/>
          <w:bCs/>
          <w:color w:val="000000"/>
          <w:szCs w:val="24"/>
        </w:rPr>
        <w:t> must contact the</w:t>
      </w:r>
      <w:r>
        <w:rPr>
          <w:rFonts w:cs="Arial"/>
          <w:bCs/>
          <w:color w:val="000000"/>
          <w:szCs w:val="24"/>
        </w:rPr>
        <w:t xml:space="preserve"> </w:t>
      </w:r>
      <w:hyperlink r:id="rId23" w:history="1">
        <w:r w:rsidRPr="003D0BB5">
          <w:rPr>
            <w:rStyle w:val="Hyperlink"/>
            <w:rFonts w:cs="Arial"/>
            <w:bCs/>
            <w:szCs w:val="24"/>
          </w:rPr>
          <w:t>Executive Office of Technology Services and Security</w:t>
        </w:r>
      </w:hyperlink>
      <w:r w:rsidRPr="00E53F93">
        <w:rPr>
          <w:rFonts w:cs="Arial"/>
          <w:bCs/>
          <w:color w:val="000000"/>
          <w:szCs w:val="24"/>
        </w:rPr>
        <w:t> </w:t>
      </w:r>
      <w:r w:rsidRPr="00E53F93">
        <w:rPr>
          <w:rFonts w:cs="Arial"/>
          <w:b/>
          <w:color w:val="000000"/>
          <w:szCs w:val="24"/>
        </w:rPr>
        <w:t>before</w:t>
      </w:r>
      <w:r w:rsidRPr="00E53F93">
        <w:rPr>
          <w:rFonts w:cs="Arial"/>
          <w:bCs/>
          <w:color w:val="000000"/>
          <w:szCs w:val="24"/>
        </w:rPr>
        <w:t> making a purchase under ITS64.</w:t>
      </w:r>
    </w:p>
    <w:p w14:paraId="5300A827" w14:textId="77777777" w:rsidR="006E10BC" w:rsidRDefault="006E10BC" w:rsidP="006E10BC">
      <w:pPr>
        <w:pStyle w:val="ListParagraph"/>
        <w:widowControl w:val="0"/>
        <w:spacing w:before="120"/>
        <w:ind w:left="0"/>
        <w:rPr>
          <w:rFonts w:cs="Arial"/>
          <w:b/>
          <w:bCs/>
          <w:color w:val="000000"/>
          <w:szCs w:val="24"/>
        </w:rPr>
      </w:pPr>
    </w:p>
    <w:p w14:paraId="5B8B0FD5" w14:textId="30932638" w:rsidR="005938E0" w:rsidRDefault="005938E0" w:rsidP="006E10BC">
      <w:pPr>
        <w:pStyle w:val="ListParagraph"/>
        <w:widowControl w:val="0"/>
        <w:spacing w:before="120"/>
        <w:ind w:left="0"/>
        <w:rPr>
          <w:rFonts w:cs="Arial"/>
          <w:bCs/>
          <w:color w:val="000000"/>
          <w:szCs w:val="24"/>
        </w:rPr>
      </w:pPr>
      <w:r w:rsidRPr="005938E0">
        <w:rPr>
          <w:rFonts w:cs="Arial"/>
          <w:b/>
          <w:bCs/>
          <w:color w:val="000000"/>
          <w:szCs w:val="24"/>
        </w:rPr>
        <w:t>Review Key Documents and Terms Before Submitting Orders</w:t>
      </w:r>
      <w:r w:rsidR="003C2532">
        <w:rPr>
          <w:rFonts w:cs="Arial"/>
          <w:b/>
          <w:bCs/>
          <w:color w:val="000000"/>
          <w:szCs w:val="24"/>
        </w:rPr>
        <w:t xml:space="preserve">: </w:t>
      </w:r>
      <w:r w:rsidRPr="005938E0">
        <w:rPr>
          <w:rFonts w:cs="Arial"/>
          <w:bCs/>
          <w:color w:val="000000"/>
          <w:szCs w:val="24"/>
        </w:rPr>
        <w:t>Prior to submitting an Ordering Document, you must review the </w:t>
      </w:r>
      <w:hyperlink w:anchor="_Key_Documents_and" w:history="1">
        <w:r w:rsidR="006E10BC" w:rsidRPr="003A3225">
          <w:rPr>
            <w:rStyle w:val="Hyperlink"/>
            <w:rFonts w:cs="Arial"/>
            <w:bCs/>
            <w:szCs w:val="24"/>
          </w:rPr>
          <w:t>Key Documents and Terms</w:t>
        </w:r>
      </w:hyperlink>
      <w:r w:rsidR="006E10BC" w:rsidRPr="003A3225">
        <w:rPr>
          <w:rFonts w:cs="Arial"/>
          <w:bCs/>
          <w:color w:val="000000"/>
          <w:szCs w:val="24"/>
        </w:rPr>
        <w:t xml:space="preserve"> and </w:t>
      </w:r>
      <w:hyperlink w:anchor="_Oracle_Renewal_Amendment" w:history="1">
        <w:r w:rsidR="006E10BC" w:rsidRPr="003A3225">
          <w:rPr>
            <w:rStyle w:val="Hyperlink"/>
            <w:rFonts w:cs="Arial"/>
            <w:bCs/>
            <w:szCs w:val="24"/>
          </w:rPr>
          <w:t>Renewal Amendment</w:t>
        </w:r>
      </w:hyperlink>
      <w:r w:rsidRPr="005938E0">
        <w:rPr>
          <w:rFonts w:cs="Arial"/>
          <w:bCs/>
          <w:color w:val="000000"/>
          <w:szCs w:val="24"/>
        </w:rPr>
        <w:t> sections. It is crucial to fully understand the governing contract terms before placing an order. </w:t>
      </w:r>
    </w:p>
    <w:p w14:paraId="37C48DB3" w14:textId="77777777" w:rsidR="003C2532" w:rsidRPr="005938E0" w:rsidRDefault="003C2532" w:rsidP="006E10BC">
      <w:pPr>
        <w:pStyle w:val="ListParagraph"/>
        <w:widowControl w:val="0"/>
        <w:spacing w:before="120"/>
        <w:ind w:left="0"/>
        <w:rPr>
          <w:rFonts w:cs="Arial"/>
          <w:bCs/>
          <w:color w:val="000000"/>
          <w:szCs w:val="24"/>
        </w:rPr>
      </w:pPr>
    </w:p>
    <w:p w14:paraId="00EB4615" w14:textId="77777777" w:rsidR="005938E0" w:rsidRDefault="005938E0" w:rsidP="006E10BC">
      <w:pPr>
        <w:pStyle w:val="ListParagraph"/>
        <w:widowControl w:val="0"/>
        <w:spacing w:before="120"/>
        <w:ind w:left="0"/>
        <w:rPr>
          <w:rFonts w:cs="Arial"/>
          <w:b/>
          <w:bCs/>
          <w:color w:val="000000"/>
          <w:szCs w:val="24"/>
        </w:rPr>
      </w:pPr>
      <w:r w:rsidRPr="005938E0">
        <w:rPr>
          <w:rFonts w:cs="Arial"/>
          <w:b/>
          <w:bCs/>
          <w:color w:val="000000"/>
          <w:szCs w:val="24"/>
        </w:rPr>
        <w:t>Key considerations include:</w:t>
      </w:r>
    </w:p>
    <w:p w14:paraId="245D8E5D" w14:textId="7CC20967" w:rsidR="003C2532" w:rsidRDefault="003C2532" w:rsidP="003C2532">
      <w:pPr>
        <w:pStyle w:val="ListParagraph"/>
        <w:widowControl w:val="0"/>
        <w:numPr>
          <w:ilvl w:val="0"/>
          <w:numId w:val="24"/>
        </w:numPr>
        <w:spacing w:before="120"/>
        <w:rPr>
          <w:rFonts w:cs="Arial"/>
          <w:bCs/>
          <w:color w:val="000000"/>
          <w:szCs w:val="24"/>
        </w:rPr>
      </w:pPr>
      <w:r w:rsidRPr="005938E0">
        <w:rPr>
          <w:rFonts w:cs="Arial"/>
          <w:b/>
          <w:bCs/>
          <w:color w:val="000000"/>
          <w:szCs w:val="24"/>
        </w:rPr>
        <w:t>Order Cancellation:</w:t>
      </w:r>
      <w:r w:rsidRPr="005938E0">
        <w:rPr>
          <w:rFonts w:cs="Arial"/>
          <w:bCs/>
          <w:color w:val="000000"/>
          <w:szCs w:val="24"/>
        </w:rPr>
        <w:t> Be aware that some orders may be non-cancellable.</w:t>
      </w:r>
    </w:p>
    <w:p w14:paraId="1B04D183" w14:textId="454E60C5" w:rsidR="003C2532" w:rsidRDefault="003C2532" w:rsidP="003C2532">
      <w:pPr>
        <w:pStyle w:val="ListParagraph"/>
        <w:widowControl w:val="0"/>
        <w:numPr>
          <w:ilvl w:val="0"/>
          <w:numId w:val="24"/>
        </w:numPr>
        <w:spacing w:before="120"/>
        <w:rPr>
          <w:rFonts w:cs="Arial"/>
          <w:bCs/>
          <w:color w:val="000000"/>
          <w:szCs w:val="24"/>
        </w:rPr>
      </w:pPr>
      <w:r w:rsidRPr="005938E0">
        <w:rPr>
          <w:rFonts w:cs="Arial"/>
          <w:b/>
          <w:bCs/>
          <w:color w:val="000000"/>
          <w:szCs w:val="24"/>
        </w:rPr>
        <w:t>Custom Provisions:</w:t>
      </w:r>
      <w:r w:rsidRPr="005938E0">
        <w:rPr>
          <w:rFonts w:cs="Arial"/>
          <w:bCs/>
          <w:color w:val="000000"/>
          <w:szCs w:val="24"/>
        </w:rPr>
        <w:t xml:space="preserve"> You may occasionally need to add specific provisions directly to the </w:t>
      </w:r>
      <w:r w:rsidRPr="005938E0">
        <w:rPr>
          <w:rFonts w:cs="Arial"/>
          <w:bCs/>
          <w:color w:val="000000"/>
          <w:szCs w:val="24"/>
        </w:rPr>
        <w:lastRenderedPageBreak/>
        <w:t>Ordering Document.</w:t>
      </w:r>
    </w:p>
    <w:p w14:paraId="2C96B859" w14:textId="2FE0860C" w:rsidR="003C2532" w:rsidRPr="005938E0" w:rsidRDefault="003C2532" w:rsidP="003C2532">
      <w:pPr>
        <w:pStyle w:val="ListParagraph"/>
        <w:widowControl w:val="0"/>
        <w:numPr>
          <w:ilvl w:val="0"/>
          <w:numId w:val="24"/>
        </w:numPr>
        <w:spacing w:before="120"/>
        <w:rPr>
          <w:rFonts w:cs="Arial"/>
          <w:bCs/>
          <w:color w:val="000000"/>
          <w:szCs w:val="24"/>
        </w:rPr>
      </w:pPr>
      <w:r w:rsidRPr="005938E0">
        <w:rPr>
          <w:rFonts w:cs="Arial"/>
          <w:b/>
          <w:bCs/>
          <w:color w:val="000000"/>
          <w:szCs w:val="24"/>
        </w:rPr>
        <w:t>Data Processing Agreements (DPA):</w:t>
      </w:r>
      <w:r w:rsidRPr="005938E0">
        <w:rPr>
          <w:rFonts w:cs="Arial"/>
          <w:bCs/>
          <w:color w:val="000000"/>
          <w:szCs w:val="24"/>
        </w:rPr>
        <w:t> If your order involves products referencing the DPA, you must download and save a copy at the time of ordering. Services are governed by the DPA in effect when the order is placed, and the DPA is subject to change over time.</w:t>
      </w:r>
    </w:p>
    <w:p w14:paraId="0821E382" w14:textId="77777777" w:rsidR="003C2532" w:rsidRDefault="003C2532" w:rsidP="006E10BC">
      <w:pPr>
        <w:pStyle w:val="ListParagraph"/>
        <w:widowControl w:val="0"/>
        <w:spacing w:before="120"/>
        <w:ind w:left="0"/>
        <w:rPr>
          <w:rFonts w:cs="Arial"/>
          <w:b/>
          <w:bCs/>
          <w:color w:val="000000"/>
          <w:szCs w:val="24"/>
        </w:rPr>
      </w:pPr>
    </w:p>
    <w:p w14:paraId="32EF2C0B" w14:textId="5477C258" w:rsidR="005938E0" w:rsidRPr="005938E0" w:rsidRDefault="005938E0" w:rsidP="006E10BC">
      <w:pPr>
        <w:pStyle w:val="ListParagraph"/>
        <w:widowControl w:val="0"/>
        <w:spacing w:before="120"/>
        <w:ind w:left="0"/>
        <w:rPr>
          <w:rFonts w:cs="Arial"/>
          <w:bCs/>
          <w:color w:val="000000"/>
          <w:szCs w:val="24"/>
        </w:rPr>
      </w:pPr>
      <w:r w:rsidRPr="005938E0">
        <w:rPr>
          <w:rFonts w:cs="Arial"/>
          <w:b/>
          <w:bCs/>
          <w:color w:val="000000"/>
          <w:szCs w:val="24"/>
        </w:rPr>
        <w:t>Important Note:</w:t>
      </w:r>
      <w:r w:rsidRPr="005938E0">
        <w:rPr>
          <w:rFonts w:cs="Arial"/>
          <w:bCs/>
          <w:color w:val="000000"/>
          <w:szCs w:val="24"/>
        </w:rPr>
        <w:t> The terms outlined in the </w:t>
      </w:r>
      <w:r w:rsidRPr="005938E0">
        <w:rPr>
          <w:rFonts w:cs="Arial"/>
          <w:b/>
          <w:bCs/>
          <w:color w:val="000000"/>
          <w:szCs w:val="24"/>
        </w:rPr>
        <w:t>Umbrella Agreement</w:t>
      </w:r>
      <w:r w:rsidRPr="005938E0">
        <w:rPr>
          <w:rFonts w:cs="Arial"/>
          <w:bCs/>
          <w:color w:val="000000"/>
          <w:szCs w:val="24"/>
        </w:rPr>
        <w:t xml:space="preserve"> (found within the </w:t>
      </w:r>
      <w:r w:rsidRPr="005938E0">
        <w:rPr>
          <w:rFonts w:cs="Arial"/>
          <w:b/>
          <w:color w:val="000000"/>
          <w:szCs w:val="24"/>
        </w:rPr>
        <w:t>Agency Attachments</w:t>
      </w:r>
      <w:r w:rsidRPr="005938E0">
        <w:rPr>
          <w:rFonts w:cs="Arial"/>
          <w:bCs/>
          <w:color w:val="000000"/>
          <w:szCs w:val="24"/>
        </w:rPr>
        <w:t xml:space="preserve"> section of the </w:t>
      </w:r>
      <w:hyperlink r:id="rId24" w:history="1">
        <w:r w:rsidR="003C2532" w:rsidRPr="003A3225">
          <w:rPr>
            <w:rStyle w:val="Hyperlink"/>
            <w:rFonts w:cs="Arial"/>
            <w:bCs/>
            <w:szCs w:val="24"/>
          </w:rPr>
          <w:t>ITS64 Contract</w:t>
        </w:r>
      </w:hyperlink>
      <w:r w:rsidRPr="005938E0">
        <w:rPr>
          <w:rFonts w:cs="Arial"/>
          <w:bCs/>
          <w:color w:val="000000"/>
          <w:szCs w:val="24"/>
        </w:rPr>
        <w:t xml:space="preserve"> in COMMBUYS) take precedence and override any conflicting terms in the Ordering Document. </w:t>
      </w:r>
    </w:p>
    <w:p w14:paraId="1167FD80" w14:textId="77777777" w:rsidR="005938E0" w:rsidRPr="003A3225" w:rsidRDefault="005938E0" w:rsidP="00633E17">
      <w:pPr>
        <w:pStyle w:val="ListParagraph"/>
        <w:widowControl w:val="0"/>
        <w:spacing w:before="120" w:after="0"/>
        <w:ind w:left="0"/>
        <w:rPr>
          <w:rFonts w:cs="Arial"/>
          <w:bCs/>
          <w:color w:val="000000"/>
          <w:szCs w:val="24"/>
        </w:rPr>
      </w:pPr>
    </w:p>
    <w:p w14:paraId="03811000" w14:textId="2C5878F5" w:rsidR="002C0BEB" w:rsidRPr="003B0898" w:rsidRDefault="002C0BEB" w:rsidP="009C3AE4">
      <w:pPr>
        <w:rPr>
          <w:szCs w:val="24"/>
        </w:rPr>
      </w:pPr>
      <w:r w:rsidRPr="003A3225">
        <w:rPr>
          <w:rFonts w:cs="Arial"/>
          <w:bCs/>
          <w:color w:val="000000"/>
          <w:szCs w:val="24"/>
        </w:rPr>
        <w:t>Once the Ordering Document has been finalized, COMMBUYS users should attach it to their direct release purchase order in COMMBUYS.</w:t>
      </w:r>
      <w:r w:rsidR="00CB4E3D">
        <w:rPr>
          <w:rFonts w:cs="Arial"/>
          <w:bCs/>
          <w:color w:val="000000"/>
          <w:szCs w:val="24"/>
        </w:rPr>
        <w:t xml:space="preserve"> </w:t>
      </w:r>
      <w:r w:rsidR="009C3AE4">
        <w:rPr>
          <w:szCs w:val="24"/>
        </w:rPr>
        <w:t>Refer to</w:t>
      </w:r>
      <w:r w:rsidRPr="003B0898">
        <w:rPr>
          <w:szCs w:val="24"/>
        </w:rPr>
        <w:t xml:space="preserve"> the </w:t>
      </w:r>
      <w:hyperlink r:id="rId25">
        <w:r w:rsidRPr="003B0898">
          <w:rPr>
            <w:rStyle w:val="Hyperlink"/>
            <w:szCs w:val="24"/>
          </w:rPr>
          <w:t>How to Make a Statewide Contract Purchase in COMMBUYS</w:t>
        </w:r>
      </w:hyperlink>
      <w:r w:rsidRPr="003B0898">
        <w:rPr>
          <w:szCs w:val="24"/>
        </w:rPr>
        <w:t xml:space="preserve"> job aid for more details. </w:t>
      </w:r>
    </w:p>
    <w:p w14:paraId="14E32EE5" w14:textId="5A9F8C12" w:rsidR="00FE302E" w:rsidRPr="00136C46" w:rsidRDefault="00FE302E" w:rsidP="002C0BEB">
      <w:pPr>
        <w:pStyle w:val="Heading2"/>
        <w:rPr>
          <w:iCs/>
        </w:rPr>
      </w:pPr>
      <w:bookmarkStart w:id="19" w:name="_Extend_Beyond_(Performance"/>
      <w:bookmarkStart w:id="20" w:name="_Toc213421062"/>
      <w:bookmarkStart w:id="21" w:name="_Toc194066599"/>
      <w:bookmarkEnd w:id="19"/>
      <w:r>
        <w:t>Extend Beyond (Performance and Payment That Goes Beyond Contract End Date)</w:t>
      </w:r>
      <w:bookmarkEnd w:id="20"/>
      <w:r w:rsidR="001A489C">
        <w:t xml:space="preserve"> </w:t>
      </w:r>
      <w:bookmarkEnd w:id="21"/>
    </w:p>
    <w:p w14:paraId="19A07CFA" w14:textId="263DEAFD"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244733EB" w:rsidR="00FE302E" w:rsidRPr="00136C46" w:rsidRDefault="00FE302E" w:rsidP="00A67069">
      <w:pPr>
        <w:pStyle w:val="ListParagraph"/>
        <w:numPr>
          <w:ilvl w:val="0"/>
          <w:numId w:val="5"/>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2C0BEB">
        <w:rPr>
          <w:szCs w:val="24"/>
        </w:rPr>
        <w:t xml:space="preserve">sixty (60)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A67069">
      <w:pPr>
        <w:pStyle w:val="ListParagraph"/>
        <w:numPr>
          <w:ilvl w:val="0"/>
          <w:numId w:val="5"/>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2" w:name="_Toc213421063"/>
      <w:r>
        <w:t xml:space="preserve">Setting Up a </w:t>
      </w:r>
      <w:r w:rsidRPr="00633557">
        <w:t>COMMBUYS</w:t>
      </w:r>
      <w:r>
        <w:t xml:space="preserve"> Account</w:t>
      </w:r>
      <w:bookmarkEnd w:id="22"/>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3" w:name="_Toc213421064"/>
      <w:bookmarkStart w:id="24" w:name="_Toc194066601"/>
      <w:r w:rsidRPr="00AB211E">
        <w:t>Finding Contract Documents</w:t>
      </w:r>
      <w:bookmarkEnd w:id="23"/>
      <w:r w:rsidRPr="00AB211E">
        <w:t xml:space="preserve"> </w:t>
      </w:r>
      <w:bookmarkEnd w:id="24"/>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E1D2C18" w:rsidR="00AB211E" w:rsidRPr="00136C46" w:rsidRDefault="00AB211E" w:rsidP="00A67069">
      <w:pPr>
        <w:pStyle w:val="ListParagraph"/>
        <w:numPr>
          <w:ilvl w:val="0"/>
          <w:numId w:val="3"/>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2C0BEB" w:rsidRPr="002C0BEB">
        <w:rPr>
          <w:b/>
          <w:szCs w:val="24"/>
        </w:rPr>
        <w:t>ITS64</w:t>
      </w:r>
      <w:r w:rsidR="002C0BEB">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67069">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A67069">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47271B6" w:rsidR="00530D68" w:rsidRPr="00136C46" w:rsidRDefault="00D618B6" w:rsidP="00E5363E">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E5363E" w:rsidRPr="00136C46">
        <w:rPr>
          <w:szCs w:val="24"/>
        </w:rPr>
        <w:t xml:space="preserve"> </w:t>
      </w:r>
      <w:hyperlink r:id="rId28" w:history="1">
        <w:r w:rsidR="00011311">
          <w:rPr>
            <w:rStyle w:val="Hyperlink"/>
            <w:szCs w:val="24"/>
          </w:rPr>
          <w:t>ITS64 Master Contract Record</w:t>
        </w:r>
      </w:hyperlink>
      <w:r w:rsidR="00E5363E">
        <w:t>.</w:t>
      </w:r>
    </w:p>
    <w:p w14:paraId="44C1318A" w14:textId="3F2BFBD1" w:rsidR="003C3ABF" w:rsidRDefault="00554AF0" w:rsidP="00633557">
      <w:pPr>
        <w:pStyle w:val="Heading2"/>
      </w:pPr>
      <w:bookmarkStart w:id="25" w:name="_Toc194066602"/>
      <w:bookmarkStart w:id="26" w:name="_Toc213421065"/>
      <w:r>
        <w:t>Finding Vendor-Specific Documents</w:t>
      </w:r>
      <w:bookmarkEnd w:id="25"/>
      <w:bookmarkEnd w:id="26"/>
    </w:p>
    <w:p w14:paraId="60A82AFB" w14:textId="090A5F3C"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A67069">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A67069">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A67069">
      <w:pPr>
        <w:pStyle w:val="ListParagraph"/>
        <w:numPr>
          <w:ilvl w:val="0"/>
          <w:numId w:val="1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7" w:name="_Toc201925128"/>
      <w:bookmarkStart w:id="28" w:name="_Toc213421066"/>
      <w:r w:rsidRPr="00B6218B">
        <w:lastRenderedPageBreak/>
        <w:t xml:space="preserve">Supplier Diversity </w:t>
      </w:r>
      <w:r w:rsidR="006C2DAB">
        <w:t>Office</w:t>
      </w:r>
      <w:r>
        <w:t xml:space="preserve"> (SD</w:t>
      </w:r>
      <w:r w:rsidR="006C2DAB">
        <w:t>O</w:t>
      </w:r>
      <w:r>
        <w:t>) Requirements</w:t>
      </w:r>
      <w:bookmarkEnd w:id="27"/>
      <w:bookmarkEnd w:id="2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A67069">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A67069">
      <w:pPr>
        <w:pStyle w:val="ListParagraph"/>
        <w:numPr>
          <w:ilvl w:val="0"/>
          <w:numId w:val="4"/>
        </w:numPr>
        <w:rPr>
          <w:rFonts w:cstheme="minorHAnsi"/>
          <w:szCs w:val="24"/>
        </w:rPr>
      </w:pPr>
      <w:r w:rsidRPr="00D16914">
        <w:rPr>
          <w:rFonts w:cstheme="minorHAnsi"/>
          <w:szCs w:val="24"/>
        </w:rPr>
        <w:t xml:space="preserve">The </w:t>
      </w:r>
      <w:hyperlink r:id="rId3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A67069">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29" w:name="_Toc213421067"/>
      <w:r w:rsidRPr="00DD5236">
        <w:t>Supplier Diversity Program (SDP) Requirements</w:t>
      </w:r>
      <w:bookmarkEnd w:id="2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A67069">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A67069">
      <w:pPr>
        <w:pStyle w:val="ListParagraph"/>
        <w:numPr>
          <w:ilvl w:val="0"/>
          <w:numId w:val="1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A67069">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0" w:name="_Toc213421068"/>
      <w:r w:rsidRPr="007418B6">
        <w:t>Small Business Purchasing Program (SBPP) Requirements</w:t>
      </w:r>
      <w:bookmarkEnd w:id="3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A67069">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A67069">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A67069">
      <w:pPr>
        <w:pStyle w:val="ListParagraph"/>
        <w:numPr>
          <w:ilvl w:val="0"/>
          <w:numId w:val="4"/>
        </w:numPr>
        <w:rPr>
          <w:szCs w:val="24"/>
        </w:rPr>
      </w:pPr>
      <w:r w:rsidRPr="00ED6956">
        <w:rPr>
          <w:szCs w:val="24"/>
        </w:rPr>
        <w:lastRenderedPageBreak/>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261563FD" w:rsidR="00B41726" w:rsidRDefault="00DB33F1" w:rsidP="00633557">
      <w:pPr>
        <w:pStyle w:val="Heading2"/>
      </w:pPr>
      <w:bookmarkStart w:id="31" w:name="_Toc213421069"/>
      <w:bookmarkStart w:id="32" w:name="_Toc194066607"/>
      <w:r w:rsidRPr="003066B4">
        <w:t>Subcontractor</w:t>
      </w:r>
      <w:r w:rsidR="000E3C80" w:rsidRPr="003066B4">
        <w:t>s</w:t>
      </w:r>
      <w:bookmarkEnd w:id="31"/>
      <w:r w:rsidR="004D3A5D">
        <w:t xml:space="preserve"> </w:t>
      </w:r>
      <w:bookmarkEnd w:id="32"/>
    </w:p>
    <w:p w14:paraId="477867D8" w14:textId="266D38D2"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5" w:history="1">
        <w:r w:rsidRPr="009E12A3">
          <w:rPr>
            <w:rStyle w:val="Hyperlink"/>
            <w:szCs w:val="24"/>
          </w:rPr>
          <w:t>Commonwealth’s Terms and Conditions</w:t>
        </w:r>
      </w:hyperlink>
      <w:r w:rsidRPr="009E12A3">
        <w:rPr>
          <w:szCs w:val="24"/>
        </w:rPr>
        <w:t xml:space="preserve"> and </w:t>
      </w:r>
      <w:hyperlink r:id="rId36"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E5363E" w:rsidRPr="00411359">
        <w:rPr>
          <w:szCs w:val="24"/>
        </w:rPr>
        <w:t>Oracle may not use subcontractors to provide Professional Services in connection with Cloud Services without the Eligible Entity’s written consent.</w:t>
      </w:r>
    </w:p>
    <w:p w14:paraId="15B09715" w14:textId="22183C37" w:rsidR="006659DA" w:rsidRDefault="00F52DB7" w:rsidP="00633557">
      <w:pPr>
        <w:pStyle w:val="Heading2"/>
      </w:pPr>
      <w:bookmarkStart w:id="33" w:name="_Toc194066611"/>
      <w:bookmarkStart w:id="34" w:name="_Toc213421070"/>
      <w:r>
        <w:t>Additional Discounts</w:t>
      </w:r>
      <w:bookmarkEnd w:id="33"/>
      <w:bookmarkEnd w:id="34"/>
    </w:p>
    <w:p w14:paraId="38DF9C3E" w14:textId="272B4E7B" w:rsidR="00F52DB7" w:rsidRPr="009E12A3" w:rsidRDefault="000157ED" w:rsidP="00C32901">
      <w:pPr>
        <w:rPr>
          <w:color w:val="000000" w:themeColor="text1"/>
          <w:szCs w:val="24"/>
        </w:rPr>
      </w:pPr>
      <w:r w:rsidRPr="009E12A3">
        <w:rPr>
          <w:color w:val="000000" w:themeColor="text1"/>
          <w:szCs w:val="24"/>
        </w:rPr>
        <w:t xml:space="preserve">Vendors in this statewide contract offer </w:t>
      </w:r>
      <w:r w:rsidR="00C32901">
        <w:rPr>
          <w:color w:val="000000" w:themeColor="text1"/>
          <w:szCs w:val="24"/>
        </w:rPr>
        <w:t>a volume discount</w:t>
      </w:r>
      <w:r w:rsidRPr="009E12A3">
        <w:rPr>
          <w:color w:val="000000" w:themeColor="text1"/>
          <w:szCs w:val="24"/>
        </w:rPr>
        <w:t xml:space="preserve">, which </w:t>
      </w:r>
      <w:r w:rsidR="00187389">
        <w:rPr>
          <w:color w:val="000000" w:themeColor="text1"/>
          <w:szCs w:val="24"/>
        </w:rPr>
        <w:t>may</w:t>
      </w:r>
      <w:r w:rsidRPr="009E12A3">
        <w:rPr>
          <w:color w:val="000000" w:themeColor="text1"/>
          <w:szCs w:val="24"/>
        </w:rPr>
        <w:t xml:space="preserve"> vary for each vendor</w:t>
      </w:r>
      <w:r w:rsidR="00C32901">
        <w:rPr>
          <w:color w:val="000000" w:themeColor="text1"/>
          <w:szCs w:val="24"/>
        </w:rPr>
        <w:t xml:space="preserve">. A volume discount is a </w:t>
      </w:r>
      <w:r w:rsidR="0029418A" w:rsidRPr="0029418A">
        <w:rPr>
          <w:color w:val="000000" w:themeColor="text1"/>
          <w:szCs w:val="24"/>
        </w:rPr>
        <w:t xml:space="preserve">discount </w:t>
      </w:r>
      <w:r w:rsidR="0008181C">
        <w:rPr>
          <w:color w:val="000000" w:themeColor="text1"/>
          <w:szCs w:val="24"/>
        </w:rPr>
        <w:t xml:space="preserve">negotiated </w:t>
      </w:r>
      <w:r w:rsidR="0029418A" w:rsidRPr="0029418A">
        <w:rPr>
          <w:color w:val="000000" w:themeColor="text1"/>
          <w:szCs w:val="24"/>
        </w:rPr>
        <w:t>for buyers who purchase a certain quantity of product or service</w:t>
      </w:r>
      <w:r w:rsidR="00181857">
        <w:rPr>
          <w:color w:val="000000" w:themeColor="text1"/>
          <w:szCs w:val="24"/>
        </w:rPr>
        <w:t>.</w:t>
      </w:r>
    </w:p>
    <w:p w14:paraId="1F9FFCE7" w14:textId="5923C7C5"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w:t>
      </w:r>
      <w:r w:rsidR="00120411">
        <w:rPr>
          <w:color w:val="000000" w:themeColor="text1"/>
          <w:szCs w:val="24"/>
        </w:rPr>
        <w:t>may be</w:t>
      </w:r>
      <w:r w:rsidRPr="009E12A3">
        <w:rPr>
          <w:color w:val="000000" w:themeColor="text1"/>
          <w:szCs w:val="24"/>
        </w:rPr>
        <w:t xml:space="preserve"> </w:t>
      </w:r>
      <w:r w:rsidR="00ED588B">
        <w:rPr>
          <w:color w:val="000000" w:themeColor="text1"/>
          <w:szCs w:val="24"/>
        </w:rPr>
        <w:t>li</w:t>
      </w:r>
      <w:r w:rsidR="00A81F06">
        <w:rPr>
          <w:color w:val="000000" w:themeColor="text1"/>
          <w:szCs w:val="24"/>
        </w:rPr>
        <w:t>sted</w:t>
      </w:r>
      <w:r w:rsidRPr="009E12A3">
        <w:rPr>
          <w:color w:val="000000" w:themeColor="text1"/>
          <w:szCs w:val="24"/>
        </w:rPr>
        <w:t xml:space="preserve"> in</w:t>
      </w:r>
      <w:r w:rsidR="00ED588B">
        <w:rPr>
          <w:color w:val="000000" w:themeColor="text1"/>
          <w:szCs w:val="24"/>
        </w:rPr>
        <w:t xml:space="preserve"> the</w:t>
      </w:r>
      <w:r w:rsidRPr="009E12A3">
        <w:rPr>
          <w:color w:val="000000" w:themeColor="text1"/>
          <w:szCs w:val="24"/>
        </w:rPr>
        <w:t xml:space="preserv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0E2BA003" w14:textId="1E68B3FE" w:rsidR="00177A06" w:rsidRDefault="00177A06" w:rsidP="00633557">
      <w:pPr>
        <w:pStyle w:val="Heading2"/>
      </w:pPr>
      <w:bookmarkStart w:id="35" w:name="_Toc194066614"/>
      <w:bookmarkStart w:id="36" w:name="_Toc213421071"/>
      <w:r w:rsidRPr="00564A93">
        <w:t>Vendor Performance</w:t>
      </w:r>
      <w:bookmarkEnd w:id="35"/>
      <w:bookmarkEnd w:id="36"/>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A67069">
      <w:pPr>
        <w:pStyle w:val="ListParagraph"/>
        <w:numPr>
          <w:ilvl w:val="0"/>
          <w:numId w:val="12"/>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7"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3498355" w:rsidR="0060320F" w:rsidRPr="009E12A3" w:rsidRDefault="0060320F" w:rsidP="00A67069">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Manager</w:t>
      </w:r>
      <w:r w:rsidR="00FB6E0A">
        <w:rPr>
          <w:color w:val="000000" w:themeColor="text1"/>
          <w:szCs w:val="24"/>
        </w:rPr>
        <w:t xml:space="preserve"> </w:t>
      </w:r>
      <w:r w:rsidR="00A81F06">
        <w:rPr>
          <w:color w:val="000000" w:themeColor="text1"/>
          <w:szCs w:val="24"/>
        </w:rPr>
        <w:t>(</w:t>
      </w:r>
      <w:hyperlink r:id="rId38" w:history="1">
        <w:r w:rsidR="00A81F06" w:rsidRPr="00184B5C">
          <w:rPr>
            <w:rStyle w:val="Hyperlink"/>
          </w:rPr>
          <w:t>Kerri Quinn</w:t>
        </w:r>
      </w:hyperlink>
      <w:r w:rsidR="00A81F06">
        <w:t xml:space="preserve"> or </w:t>
      </w:r>
      <w:hyperlink r:id="rId39" w:history="1">
        <w:r w:rsidR="00A81F06" w:rsidRPr="00184B5C">
          <w:rPr>
            <w:rStyle w:val="Hyperlink"/>
            <w:szCs w:val="24"/>
          </w:rPr>
          <w:t>Joshua Flanagan-Lanier</w:t>
        </w:r>
      </w:hyperlink>
      <w:r w:rsidR="00A81F06">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A67069">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A67069">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A67069">
      <w:pPr>
        <w:pStyle w:val="ListParagraph"/>
        <w:numPr>
          <w:ilvl w:val="1"/>
          <w:numId w:val="12"/>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A67069">
      <w:pPr>
        <w:pStyle w:val="ListParagraph"/>
        <w:numPr>
          <w:ilvl w:val="0"/>
          <w:numId w:val="1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37" w:name="_Toc194066615"/>
      <w:bookmarkStart w:id="38" w:name="_Toc213421072"/>
      <w:r>
        <w:t>General Procurement Guidelines and Best Practices</w:t>
      </w:r>
      <w:bookmarkEnd w:id="37"/>
      <w:bookmarkEnd w:id="3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7807DF1" w:rsidR="000E01B4" w:rsidRPr="009E12A3" w:rsidRDefault="000E01B4" w:rsidP="00A67069">
      <w:pPr>
        <w:pStyle w:val="ListParagraph"/>
        <w:numPr>
          <w:ilvl w:val="0"/>
          <w:numId w:val="6"/>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FB6E0A" w:rsidRPr="00FB6E0A">
        <w:rPr>
          <w:b/>
          <w:szCs w:val="24"/>
        </w:rPr>
        <w:t>ITS64</w:t>
      </w:r>
      <w:r w:rsidR="00FB6E0A">
        <w:rPr>
          <w:bCs/>
          <w:szCs w:val="24"/>
        </w:rPr>
        <w:t xml:space="preserve"> </w:t>
      </w:r>
      <w:r w:rsidRPr="009E12A3">
        <w:rPr>
          <w:szCs w:val="24"/>
        </w:rPr>
        <w:t>on all quotes and invoices.</w:t>
      </w:r>
    </w:p>
    <w:p w14:paraId="3FAEA744" w14:textId="77777777" w:rsidR="000E01B4" w:rsidRPr="009E12A3" w:rsidRDefault="000E01B4" w:rsidP="00A67069">
      <w:pPr>
        <w:pStyle w:val="ListParagraph"/>
        <w:numPr>
          <w:ilvl w:val="0"/>
          <w:numId w:val="6"/>
        </w:numPr>
        <w:rPr>
          <w:szCs w:val="24"/>
        </w:rPr>
      </w:pPr>
      <w:r w:rsidRPr="009E12A3">
        <w:rPr>
          <w:szCs w:val="24"/>
        </w:rPr>
        <w:t>No prepayment should be made for products not yet delivered or services not yet rendered.</w:t>
      </w:r>
    </w:p>
    <w:p w14:paraId="2A53C235" w14:textId="77777777" w:rsidR="000E01B4" w:rsidRPr="009E12A3" w:rsidRDefault="000E01B4" w:rsidP="00A67069">
      <w:pPr>
        <w:pStyle w:val="ListParagraph"/>
        <w:numPr>
          <w:ilvl w:val="0"/>
          <w:numId w:val="6"/>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A67069">
      <w:pPr>
        <w:pStyle w:val="ListParagraph"/>
        <w:numPr>
          <w:ilvl w:val="0"/>
          <w:numId w:val="6"/>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A67069">
      <w:pPr>
        <w:pStyle w:val="ListParagraph"/>
        <w:numPr>
          <w:ilvl w:val="0"/>
          <w:numId w:val="6"/>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A67069">
      <w:pPr>
        <w:pStyle w:val="ListParagraph"/>
        <w:numPr>
          <w:ilvl w:val="0"/>
          <w:numId w:val="6"/>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8383599" w:rsidR="000E01B4" w:rsidRPr="009E12A3" w:rsidRDefault="000E01B4" w:rsidP="00A67069">
      <w:pPr>
        <w:pStyle w:val="ListParagraph"/>
        <w:numPr>
          <w:ilvl w:val="0"/>
          <w:numId w:val="6"/>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A81F06">
        <w:rPr>
          <w:rFonts w:cstheme="minorHAnsi"/>
          <w:szCs w:val="24"/>
        </w:rPr>
        <w:t xml:space="preserve"> </w:t>
      </w:r>
      <w:r w:rsidR="00A81F06">
        <w:rPr>
          <w:color w:val="000000" w:themeColor="text1"/>
          <w:szCs w:val="24"/>
        </w:rPr>
        <w:t>(</w:t>
      </w:r>
      <w:hyperlink r:id="rId40" w:history="1">
        <w:r w:rsidR="00A81F06" w:rsidRPr="00184B5C">
          <w:rPr>
            <w:rStyle w:val="Hyperlink"/>
          </w:rPr>
          <w:t>Kerri Quinn</w:t>
        </w:r>
      </w:hyperlink>
      <w:r w:rsidR="00A81F06">
        <w:t xml:space="preserve"> or </w:t>
      </w:r>
      <w:hyperlink r:id="rId41" w:history="1">
        <w:r w:rsidR="00A81F06" w:rsidRPr="00184B5C">
          <w:rPr>
            <w:rStyle w:val="Hyperlink"/>
            <w:szCs w:val="24"/>
          </w:rPr>
          <w:t>Joshua Flanagan-Lanier</w:t>
        </w:r>
      </w:hyperlink>
      <w:r w:rsidR="00A81F06">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A67069">
      <w:pPr>
        <w:pStyle w:val="ListParagraph"/>
        <w:numPr>
          <w:ilvl w:val="0"/>
          <w:numId w:val="5"/>
        </w:numPr>
        <w:rPr>
          <w:szCs w:val="24"/>
        </w:rPr>
      </w:pPr>
      <w:r w:rsidRPr="009E12A3">
        <w:rPr>
          <w:rFonts w:cstheme="minorHAnsi"/>
          <w:szCs w:val="24"/>
        </w:rPr>
        <w:t>Vendors must notify buyers of product substitutions.</w:t>
      </w:r>
    </w:p>
    <w:p w14:paraId="401E5311" w14:textId="10360EED" w:rsidR="004C38FD" w:rsidRPr="002E2D42" w:rsidRDefault="004C38FD" w:rsidP="00633557">
      <w:pPr>
        <w:pStyle w:val="Heading2"/>
      </w:pPr>
      <w:bookmarkStart w:id="39" w:name="_Toc194066620"/>
      <w:bookmarkStart w:id="40" w:name="_Toc213421073"/>
      <w:r w:rsidRPr="003066B4">
        <w:t>Instructions for</w:t>
      </w:r>
      <w:r w:rsidR="00BA483E">
        <w:t xml:space="preserve"> </w:t>
      </w:r>
      <w:r w:rsidR="00BA483E" w:rsidRPr="00BA483E">
        <w:t>Massachusetts Management Accounting and Reporting System (MMARS)</w:t>
      </w:r>
      <w:r w:rsidRPr="003066B4">
        <w:t xml:space="preserve"> Users</w:t>
      </w:r>
      <w:bookmarkEnd w:id="39"/>
      <w:bookmarkEnd w:id="40"/>
    </w:p>
    <w:p w14:paraId="57410B0C" w14:textId="3B2779EC" w:rsidR="00FB6E0A" w:rsidRDefault="006F493B" w:rsidP="00DC48F0">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FB6E0A" w:rsidRPr="00FB6E0A">
        <w:rPr>
          <w:b/>
          <w:bCs/>
          <w:szCs w:val="24"/>
        </w:rPr>
        <w:t>ITS64</w:t>
      </w:r>
      <w:r w:rsidR="00E33E5D">
        <w:rPr>
          <w:b/>
          <w:bCs/>
          <w:szCs w:val="24"/>
        </w:rPr>
        <w:t>*</w:t>
      </w:r>
      <w:r w:rsidR="00FB6E0A">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41" w:name="_Contract_Summary"/>
      <w:bookmarkStart w:id="42" w:name="_Who_Can_Use_2"/>
      <w:bookmarkStart w:id="43" w:name="_Find_Bid/Contract_Documents"/>
      <w:bookmarkStart w:id="44" w:name="_Who_Can_Use_3"/>
      <w:bookmarkStart w:id="45" w:name="_Contract_Categories_3"/>
      <w:bookmarkStart w:id="46" w:name="_Additional_Information/FAQs_3"/>
      <w:bookmarkStart w:id="47" w:name="_Frequently_Purchased_Items"/>
      <w:bookmarkEnd w:id="41"/>
      <w:bookmarkEnd w:id="42"/>
      <w:bookmarkEnd w:id="43"/>
      <w:bookmarkEnd w:id="44"/>
      <w:bookmarkEnd w:id="45"/>
      <w:bookmarkEnd w:id="46"/>
      <w:bookmarkEnd w:id="4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2"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7E58B0D1" w14:textId="09A698D0" w:rsidR="00266475" w:rsidRDefault="00A63214" w:rsidP="00DD18A0">
      <w:pPr>
        <w:rPr>
          <w:rFonts w:cs="Arial"/>
        </w:rPr>
      </w:pPr>
      <w:r>
        <w:t xml:space="preserve"> </w:t>
      </w:r>
    </w:p>
    <w:p w14:paraId="2BEC1701" w14:textId="18911E31" w:rsidR="00F247E7" w:rsidRDefault="00FB6E0A" w:rsidP="003D1D70">
      <w:pPr>
        <w:pStyle w:val="Heading2"/>
        <w:rPr>
          <w:rStyle w:val="Heading2Char"/>
          <w:b/>
          <w:bCs/>
        </w:rPr>
      </w:pPr>
      <w:bookmarkStart w:id="48" w:name="_Key_Documents_and"/>
      <w:bookmarkStart w:id="49" w:name="_Toc213421074"/>
      <w:bookmarkStart w:id="50" w:name="_Toc201051349"/>
      <w:bookmarkEnd w:id="48"/>
      <w:r w:rsidRPr="00F247E7">
        <w:rPr>
          <w:rStyle w:val="Heading2Char"/>
          <w:b/>
          <w:bCs/>
        </w:rPr>
        <w:lastRenderedPageBreak/>
        <w:t>Key Documents and Terms</w:t>
      </w:r>
      <w:r w:rsidR="00895F70">
        <w:rPr>
          <w:rStyle w:val="Heading2Char"/>
          <w:b/>
          <w:bCs/>
        </w:rPr>
        <w:t xml:space="preserve"> (Please Read Before Placing an Order)</w:t>
      </w:r>
      <w:bookmarkEnd w:id="49"/>
    </w:p>
    <w:bookmarkEnd w:id="50"/>
    <w:p w14:paraId="0A66C69C" w14:textId="7AE01DCD" w:rsidR="00FB6E0A" w:rsidRPr="00887F35" w:rsidRDefault="00FB6E0A" w:rsidP="00FB6E0A">
      <w:r w:rsidRPr="00C13717">
        <w:rPr>
          <w:b/>
          <w:bCs/>
        </w:rPr>
        <w:t xml:space="preserve">Important: </w:t>
      </w:r>
      <w:r>
        <w:t xml:space="preserve">Please note that the </w:t>
      </w:r>
      <w:hyperlink w:anchor="_Oracle_Renewal_Amendment" w:history="1">
        <w:r w:rsidRPr="00C7344B">
          <w:rPr>
            <w:rStyle w:val="Hyperlink"/>
          </w:rPr>
          <w:t>Renewal Amendment</w:t>
        </w:r>
      </w:hyperlink>
      <w:r>
        <w:t xml:space="preserve"> modifies, deletes, or adds to some of the terms of the documents referenced </w:t>
      </w:r>
      <w:r w:rsidR="00E5627A">
        <w:t>in the following sections</w:t>
      </w:r>
      <w:r>
        <w:t>.</w:t>
      </w:r>
    </w:p>
    <w:p w14:paraId="23DE0FA3" w14:textId="77777777" w:rsidR="00FB6E0A" w:rsidRPr="00E2311B" w:rsidRDefault="00FB6E0A" w:rsidP="00E5627A">
      <w:pPr>
        <w:pStyle w:val="Heading3"/>
      </w:pPr>
      <w:bookmarkStart w:id="51" w:name="_Toc201051350"/>
      <w:bookmarkStart w:id="52" w:name="_Toc213421075"/>
      <w:r w:rsidRPr="00E2311B">
        <w:t>Umbrella Agreement</w:t>
      </w:r>
      <w:bookmarkEnd w:id="51"/>
      <w:bookmarkEnd w:id="52"/>
    </w:p>
    <w:p w14:paraId="190AA633" w14:textId="3D0EBB9A" w:rsidR="00FB6E0A" w:rsidRPr="00D83F9D" w:rsidRDefault="00FB6E0A" w:rsidP="00FB6E0A">
      <w:pPr>
        <w:rPr>
          <w:szCs w:val="24"/>
        </w:rPr>
      </w:pPr>
      <w:r w:rsidRPr="00D83F9D">
        <w:rPr>
          <w:szCs w:val="24"/>
        </w:rPr>
        <w:t xml:space="preserve">The Umbrella </w:t>
      </w:r>
      <w:r w:rsidR="00E5627A">
        <w:rPr>
          <w:szCs w:val="24"/>
        </w:rPr>
        <w:t>A</w:t>
      </w:r>
      <w:r w:rsidRPr="00D83F9D">
        <w:rPr>
          <w:szCs w:val="24"/>
        </w:rPr>
        <w:t xml:space="preserve">greement sets out the order of precedence for all documents that are part of the Agreement. Any conflicting terms in Oracle's documents, such as Schedules and General Terms, are superseded by the Umbrella </w:t>
      </w:r>
      <w:r w:rsidR="00ED0B8B">
        <w:rPr>
          <w:szCs w:val="24"/>
        </w:rPr>
        <w:t>A</w:t>
      </w:r>
      <w:r w:rsidRPr="00D83F9D">
        <w:rPr>
          <w:szCs w:val="24"/>
        </w:rPr>
        <w:t xml:space="preserve">greement.  The order of precedence is: </w:t>
      </w:r>
    </w:p>
    <w:p w14:paraId="4896BF07" w14:textId="77777777" w:rsidR="00FB6E0A" w:rsidRDefault="00FB6E0A" w:rsidP="00A67069">
      <w:pPr>
        <w:pStyle w:val="ListParagraph"/>
        <w:numPr>
          <w:ilvl w:val="0"/>
          <w:numId w:val="19"/>
        </w:numPr>
        <w:rPr>
          <w:szCs w:val="24"/>
        </w:rPr>
      </w:pPr>
      <w:r w:rsidRPr="00D83F9D">
        <w:rPr>
          <w:szCs w:val="24"/>
        </w:rPr>
        <w:t>Umbrella Agreement</w:t>
      </w:r>
    </w:p>
    <w:p w14:paraId="5A2B5AD7" w14:textId="77777777" w:rsidR="00FB6E0A" w:rsidRPr="00D83F9D" w:rsidRDefault="00FB6E0A" w:rsidP="00A67069">
      <w:pPr>
        <w:pStyle w:val="ListParagraph"/>
        <w:numPr>
          <w:ilvl w:val="0"/>
          <w:numId w:val="19"/>
        </w:numPr>
        <w:rPr>
          <w:szCs w:val="24"/>
        </w:rPr>
      </w:pPr>
      <w:r w:rsidRPr="00D83F9D">
        <w:rPr>
          <w:szCs w:val="24"/>
        </w:rPr>
        <w:t>Commonwealth Terms and Conditions</w:t>
      </w:r>
    </w:p>
    <w:p w14:paraId="4C48C824" w14:textId="77777777" w:rsidR="00FB6E0A" w:rsidRPr="00D83F9D" w:rsidRDefault="00FB6E0A" w:rsidP="00A67069">
      <w:pPr>
        <w:pStyle w:val="ListParagraph"/>
        <w:numPr>
          <w:ilvl w:val="0"/>
          <w:numId w:val="19"/>
        </w:numPr>
        <w:rPr>
          <w:szCs w:val="24"/>
        </w:rPr>
      </w:pPr>
      <w:r w:rsidRPr="00D83F9D">
        <w:rPr>
          <w:szCs w:val="24"/>
        </w:rPr>
        <w:t>Standard Contract Form</w:t>
      </w:r>
    </w:p>
    <w:p w14:paraId="1F32E559" w14:textId="77777777" w:rsidR="00FB6E0A" w:rsidRPr="00D83F9D" w:rsidRDefault="00FB6E0A" w:rsidP="00A67069">
      <w:pPr>
        <w:pStyle w:val="ListParagraph"/>
        <w:numPr>
          <w:ilvl w:val="0"/>
          <w:numId w:val="19"/>
        </w:numPr>
        <w:rPr>
          <w:szCs w:val="24"/>
        </w:rPr>
      </w:pPr>
      <w:r w:rsidRPr="00D83F9D">
        <w:rPr>
          <w:szCs w:val="24"/>
        </w:rPr>
        <w:t>Amended and Restated ITS64 Due Diligence Posting</w:t>
      </w:r>
    </w:p>
    <w:p w14:paraId="7E9539C1" w14:textId="77777777" w:rsidR="00FB6E0A" w:rsidRPr="00D83F9D" w:rsidRDefault="00FB6E0A" w:rsidP="00A67069">
      <w:pPr>
        <w:pStyle w:val="ListParagraph"/>
        <w:numPr>
          <w:ilvl w:val="0"/>
          <w:numId w:val="19"/>
        </w:numPr>
        <w:rPr>
          <w:szCs w:val="24"/>
        </w:rPr>
      </w:pPr>
      <w:r w:rsidRPr="00D83F9D">
        <w:rPr>
          <w:szCs w:val="24"/>
        </w:rPr>
        <w:t>Data Processing Agreement (or the Data Processing Agreement expressly referenced in your Order)</w:t>
      </w:r>
    </w:p>
    <w:p w14:paraId="3DD5AAAF" w14:textId="77777777" w:rsidR="00FB6E0A" w:rsidRPr="00D83F9D" w:rsidRDefault="00FB6E0A" w:rsidP="00A67069">
      <w:pPr>
        <w:pStyle w:val="ListParagraph"/>
        <w:numPr>
          <w:ilvl w:val="0"/>
          <w:numId w:val="19"/>
        </w:numPr>
        <w:rPr>
          <w:szCs w:val="24"/>
        </w:rPr>
      </w:pPr>
      <w:r w:rsidRPr="00D83F9D">
        <w:rPr>
          <w:szCs w:val="24"/>
        </w:rPr>
        <w:t>Oracle Ordering Document (as agreed between you and Oracle)</w:t>
      </w:r>
    </w:p>
    <w:p w14:paraId="4901C1EF" w14:textId="77777777" w:rsidR="00FB6E0A" w:rsidRPr="00D83F9D" w:rsidRDefault="00FB6E0A" w:rsidP="00A67069">
      <w:pPr>
        <w:pStyle w:val="ListParagraph"/>
        <w:numPr>
          <w:ilvl w:val="0"/>
          <w:numId w:val="19"/>
        </w:numPr>
        <w:rPr>
          <w:szCs w:val="24"/>
        </w:rPr>
      </w:pPr>
      <w:r w:rsidRPr="00D83F9D">
        <w:rPr>
          <w:szCs w:val="24"/>
        </w:rPr>
        <w:t>Oracle’s Master Agreement consisting of:</w:t>
      </w:r>
    </w:p>
    <w:p w14:paraId="6379B6CD" w14:textId="6028C40D" w:rsidR="00FB6E0A" w:rsidRPr="00D83F9D" w:rsidRDefault="00FB6E0A" w:rsidP="00A67069">
      <w:pPr>
        <w:pStyle w:val="ListParagraph"/>
        <w:numPr>
          <w:ilvl w:val="0"/>
          <w:numId w:val="20"/>
        </w:numPr>
        <w:rPr>
          <w:szCs w:val="24"/>
        </w:rPr>
      </w:pPr>
      <w:r w:rsidRPr="00D83F9D">
        <w:rPr>
          <w:szCs w:val="24"/>
        </w:rPr>
        <w:t>General Terms–Public Sector and</w:t>
      </w:r>
    </w:p>
    <w:p w14:paraId="4F66D387" w14:textId="302E6492" w:rsidR="00FB6E0A" w:rsidRPr="00D83F9D" w:rsidRDefault="00FB6E0A" w:rsidP="00A67069">
      <w:pPr>
        <w:pStyle w:val="ListParagraph"/>
        <w:numPr>
          <w:ilvl w:val="0"/>
          <w:numId w:val="20"/>
        </w:numPr>
        <w:rPr>
          <w:szCs w:val="24"/>
        </w:rPr>
      </w:pPr>
      <w:r w:rsidRPr="00D83F9D">
        <w:rPr>
          <w:szCs w:val="24"/>
        </w:rPr>
        <w:t>Schedule P: Public Sector–Programs, Public Sections Schedule S-Services, and Schedule C- Cloud Services-Public Sector</w:t>
      </w:r>
    </w:p>
    <w:p w14:paraId="36CDC1F4" w14:textId="6414BADB" w:rsidR="00FB6E0A" w:rsidRPr="00D83F9D" w:rsidRDefault="00FB6E0A" w:rsidP="00FB6E0A">
      <w:pPr>
        <w:rPr>
          <w:szCs w:val="24"/>
        </w:rPr>
      </w:pPr>
      <w:r w:rsidRPr="00D83F9D">
        <w:rPr>
          <w:szCs w:val="24"/>
        </w:rPr>
        <w:t xml:space="preserve">The Umbrella </w:t>
      </w:r>
      <w:r w:rsidR="00E0419C">
        <w:rPr>
          <w:szCs w:val="24"/>
        </w:rPr>
        <w:t>A</w:t>
      </w:r>
      <w:r w:rsidRPr="00D83F9D">
        <w:rPr>
          <w:szCs w:val="24"/>
        </w:rPr>
        <w:t xml:space="preserve">greement includes clarifications to the Commonwealth Terms and Conditions and the Standard Contract Form. Contract users should review these clarifications as they specify some additional requirements on the part of the Commonwealth. </w:t>
      </w:r>
      <w:r w:rsidRPr="00E0419C">
        <w:rPr>
          <w:iCs/>
          <w:szCs w:val="24"/>
        </w:rPr>
        <w:t xml:space="preserve">Some key terms in the Umbrella Agreement are flagged </w:t>
      </w:r>
      <w:r w:rsidR="00044814">
        <w:rPr>
          <w:iCs/>
          <w:szCs w:val="24"/>
        </w:rPr>
        <w:t>in the following sections</w:t>
      </w:r>
      <w:r w:rsidRPr="00E0419C">
        <w:rPr>
          <w:iCs/>
          <w:szCs w:val="24"/>
        </w:rPr>
        <w:t>, but users should review the complete agreement to understand their rights and obligations.</w:t>
      </w:r>
    </w:p>
    <w:p w14:paraId="0E96744D" w14:textId="6876EA9A" w:rsidR="00FB6E0A" w:rsidRPr="00417B91" w:rsidRDefault="00FB6E0A" w:rsidP="00FB6E0A">
      <w:pPr>
        <w:rPr>
          <w:b/>
          <w:bCs/>
          <w:szCs w:val="24"/>
        </w:rPr>
      </w:pPr>
      <w:r w:rsidRPr="00417B91">
        <w:rPr>
          <w:b/>
          <w:bCs/>
          <w:szCs w:val="24"/>
        </w:rPr>
        <w:t>Section 1–ITS64 General Terms and Conditions, Modifications</w:t>
      </w:r>
      <w:r w:rsidR="00245D2A">
        <w:rPr>
          <w:b/>
          <w:bCs/>
          <w:szCs w:val="24"/>
        </w:rPr>
        <w:t>,</w:t>
      </w:r>
      <w:r w:rsidRPr="00417B91">
        <w:rPr>
          <w:b/>
          <w:bCs/>
          <w:szCs w:val="24"/>
        </w:rPr>
        <w:t xml:space="preserve"> and Clarifications</w:t>
      </w:r>
      <w:r w:rsidR="00417B91">
        <w:rPr>
          <w:b/>
          <w:bCs/>
          <w:szCs w:val="24"/>
        </w:rPr>
        <w:t>:</w:t>
      </w:r>
    </w:p>
    <w:p w14:paraId="3CF86C77" w14:textId="77777777" w:rsidR="00FB6E0A" w:rsidRPr="00245D2A" w:rsidRDefault="00FB6E0A" w:rsidP="00245D2A">
      <w:pPr>
        <w:rPr>
          <w:szCs w:val="24"/>
        </w:rPr>
      </w:pPr>
      <w:r w:rsidRPr="00245D2A">
        <w:rPr>
          <w:szCs w:val="24"/>
        </w:rPr>
        <w:t>Section 1.7, Executive Department Agencies may transfer or divest certain licenses, Professional Services deliverables, and cloud services. The transfer of programs with an “unlimited license model” are subject to additional restrictions and terms. Non-Executive Department users may negotiate specific transfer and divestiture rights as part of a specific order.</w:t>
      </w:r>
    </w:p>
    <w:p w14:paraId="2165D771" w14:textId="753A8688" w:rsidR="00FB6E0A" w:rsidRPr="00717C21" w:rsidRDefault="00FB6E0A" w:rsidP="00FB6E0A">
      <w:pPr>
        <w:rPr>
          <w:b/>
          <w:bCs/>
          <w:szCs w:val="24"/>
        </w:rPr>
      </w:pPr>
      <w:r w:rsidRPr="00717C21">
        <w:rPr>
          <w:b/>
          <w:bCs/>
          <w:szCs w:val="24"/>
        </w:rPr>
        <w:lastRenderedPageBreak/>
        <w:t>Section 2</w:t>
      </w:r>
      <w:r w:rsidR="00717C21" w:rsidRPr="00417B91">
        <w:rPr>
          <w:b/>
          <w:bCs/>
          <w:szCs w:val="24"/>
        </w:rPr>
        <w:t>–</w:t>
      </w:r>
      <w:r w:rsidRPr="00717C21">
        <w:rPr>
          <w:b/>
          <w:bCs/>
          <w:szCs w:val="24"/>
        </w:rPr>
        <w:t>Clarifications to the Commonwealth Terms and Conditions and the Standard Contract Form</w:t>
      </w:r>
      <w:r w:rsidR="00717C21">
        <w:rPr>
          <w:b/>
          <w:bCs/>
          <w:szCs w:val="24"/>
        </w:rPr>
        <w:t>:</w:t>
      </w:r>
    </w:p>
    <w:p w14:paraId="5B06C518" w14:textId="3EEFFF7F" w:rsidR="00FB6E0A" w:rsidRPr="00D83F9D" w:rsidRDefault="00FB6E0A" w:rsidP="00A67069">
      <w:pPr>
        <w:pStyle w:val="ListParagraph"/>
        <w:numPr>
          <w:ilvl w:val="0"/>
          <w:numId w:val="15"/>
        </w:numPr>
        <w:rPr>
          <w:szCs w:val="24"/>
        </w:rPr>
      </w:pPr>
      <w:r w:rsidRPr="00D83F9D">
        <w:rPr>
          <w:szCs w:val="24"/>
        </w:rPr>
        <w:t xml:space="preserve">Section 2.2, Professional Services deliverables are either joint property or Commonwealth property. Any deviation from this requirement by Executive Department Agencies must be approved by the </w:t>
      </w:r>
      <w:r w:rsidR="00CA48DF" w:rsidRPr="00CA48DF">
        <w:rPr>
          <w:szCs w:val="24"/>
        </w:rPr>
        <w:t>Executive Office of Technology Services and Security</w:t>
      </w:r>
      <w:r w:rsidR="00CA48DF">
        <w:rPr>
          <w:szCs w:val="24"/>
        </w:rPr>
        <w:t xml:space="preserve"> (</w:t>
      </w:r>
      <w:r w:rsidRPr="00D83F9D">
        <w:rPr>
          <w:szCs w:val="24"/>
        </w:rPr>
        <w:t>EOTSS</w:t>
      </w:r>
      <w:r w:rsidR="00CA48DF">
        <w:rPr>
          <w:szCs w:val="24"/>
        </w:rPr>
        <w:t>)</w:t>
      </w:r>
      <w:r w:rsidRPr="00D83F9D">
        <w:rPr>
          <w:szCs w:val="24"/>
        </w:rPr>
        <w:t xml:space="preserve"> General Counsel.</w:t>
      </w:r>
    </w:p>
    <w:p w14:paraId="2DC408A8" w14:textId="77777777" w:rsidR="00FB6E0A" w:rsidRPr="00D83F9D" w:rsidRDefault="00FB6E0A" w:rsidP="00A67069">
      <w:pPr>
        <w:pStyle w:val="ListParagraph"/>
        <w:numPr>
          <w:ilvl w:val="0"/>
          <w:numId w:val="15"/>
        </w:numPr>
        <w:rPr>
          <w:szCs w:val="24"/>
        </w:rPr>
      </w:pPr>
      <w:r w:rsidRPr="00D83F9D">
        <w:rPr>
          <w:szCs w:val="24"/>
        </w:rPr>
        <w:t xml:space="preserve">Section 2.2, Sub-Section 4, allows for Eligible Entities to </w:t>
      </w:r>
      <w:proofErr w:type="gramStart"/>
      <w:r w:rsidRPr="00D83F9D">
        <w:rPr>
          <w:szCs w:val="24"/>
        </w:rPr>
        <w:t>enter into</w:t>
      </w:r>
      <w:proofErr w:type="gramEnd"/>
      <w:r w:rsidRPr="00D83F9D">
        <w:rPr>
          <w:szCs w:val="24"/>
        </w:rPr>
        <w:t xml:space="preserve"> </w:t>
      </w:r>
      <w:r w:rsidRPr="00D83F9D">
        <w:rPr>
          <w:b/>
          <w:szCs w:val="24"/>
        </w:rPr>
        <w:t>non-cancellable orders for a period of up to one (1) year</w:t>
      </w:r>
      <w:r w:rsidRPr="00D83F9D">
        <w:rPr>
          <w:szCs w:val="24"/>
        </w:rPr>
        <w:t xml:space="preserve">.  </w:t>
      </w:r>
    </w:p>
    <w:p w14:paraId="548CCDD3" w14:textId="77777777" w:rsidR="00FB6E0A" w:rsidRPr="00D83F9D" w:rsidRDefault="00FB6E0A" w:rsidP="00A67069">
      <w:pPr>
        <w:pStyle w:val="ListParagraph"/>
        <w:numPr>
          <w:ilvl w:val="0"/>
          <w:numId w:val="15"/>
        </w:numPr>
        <w:rPr>
          <w:szCs w:val="24"/>
        </w:rPr>
      </w:pPr>
      <w:r w:rsidRPr="00D83F9D">
        <w:rPr>
          <w:szCs w:val="24"/>
        </w:rPr>
        <w:t xml:space="preserve">Section 2.3, Sub-Section 7, Executive Department Eligible Entities </w:t>
      </w:r>
      <w:r w:rsidRPr="00D83F9D">
        <w:rPr>
          <w:b/>
          <w:szCs w:val="24"/>
        </w:rPr>
        <w:t>must</w:t>
      </w:r>
      <w:r w:rsidRPr="00D83F9D">
        <w:rPr>
          <w:szCs w:val="24"/>
        </w:rPr>
        <w:t xml:space="preserve"> include the requirements of the </w:t>
      </w:r>
      <w:hyperlink r:id="rId43" w:history="1">
        <w:r w:rsidRPr="00D83F9D">
          <w:rPr>
            <w:rStyle w:val="Hyperlink"/>
            <w:szCs w:val="24"/>
          </w:rPr>
          <w:t>Information Technology Mandatory Specifications</w:t>
        </w:r>
      </w:hyperlink>
      <w:r w:rsidRPr="00D83F9D">
        <w:rPr>
          <w:szCs w:val="24"/>
        </w:rPr>
        <w:t xml:space="preserve"> and the </w:t>
      </w:r>
      <w:hyperlink r:id="rId44" w:history="1">
        <w:r w:rsidRPr="00D83F9D">
          <w:rPr>
            <w:rStyle w:val="Hyperlink"/>
            <w:szCs w:val="24"/>
          </w:rPr>
          <w:t>IT Acquisition Accessibility Contract Language</w:t>
        </w:r>
      </w:hyperlink>
      <w:r w:rsidRPr="00D83F9D">
        <w:rPr>
          <w:szCs w:val="24"/>
        </w:rPr>
        <w:t xml:space="preserve"> in the applicable solicitation and/or Ordering Document. </w:t>
      </w:r>
    </w:p>
    <w:p w14:paraId="38C10BB8" w14:textId="52057D44" w:rsidR="00FB6E0A" w:rsidRPr="0092579E" w:rsidRDefault="00FB6E0A" w:rsidP="00FB6E0A">
      <w:pPr>
        <w:rPr>
          <w:b/>
          <w:bCs/>
          <w:szCs w:val="24"/>
        </w:rPr>
      </w:pPr>
      <w:r w:rsidRPr="0092579E">
        <w:rPr>
          <w:b/>
          <w:bCs/>
          <w:szCs w:val="24"/>
        </w:rPr>
        <w:t>Section 3</w:t>
      </w:r>
      <w:r w:rsidR="0092579E" w:rsidRPr="00417B91">
        <w:rPr>
          <w:b/>
          <w:bCs/>
          <w:szCs w:val="24"/>
        </w:rPr>
        <w:t>–</w:t>
      </w:r>
      <w:r w:rsidRPr="0092579E">
        <w:rPr>
          <w:b/>
          <w:bCs/>
          <w:szCs w:val="24"/>
        </w:rPr>
        <w:t>Selected Clarifications to Oracle Documents</w:t>
      </w:r>
      <w:r w:rsidR="0092579E">
        <w:rPr>
          <w:b/>
          <w:bCs/>
          <w:szCs w:val="24"/>
        </w:rPr>
        <w:t>:</w:t>
      </w:r>
    </w:p>
    <w:p w14:paraId="60EB532E" w14:textId="77777777" w:rsidR="00FB6E0A" w:rsidRPr="00D83F9D" w:rsidRDefault="00FB6E0A" w:rsidP="00A67069">
      <w:pPr>
        <w:pStyle w:val="ListParagraph"/>
        <w:numPr>
          <w:ilvl w:val="0"/>
          <w:numId w:val="15"/>
        </w:numPr>
        <w:rPr>
          <w:szCs w:val="24"/>
        </w:rPr>
      </w:pPr>
      <w:r w:rsidRPr="00D83F9D">
        <w:rPr>
          <w:szCs w:val="24"/>
        </w:rPr>
        <w:t>Section 3.2.2, you are entitled to service credits if you experience downtime during your Cloud Services subscription. You are also permitted to terminate Cloud Services for chronic service unavailability.</w:t>
      </w:r>
    </w:p>
    <w:p w14:paraId="3EE2F489" w14:textId="77777777" w:rsidR="00FB6E0A" w:rsidRPr="00D83F9D" w:rsidRDefault="00FB6E0A" w:rsidP="00A67069">
      <w:pPr>
        <w:pStyle w:val="ListParagraph"/>
        <w:numPr>
          <w:ilvl w:val="0"/>
          <w:numId w:val="15"/>
        </w:numPr>
        <w:rPr>
          <w:szCs w:val="24"/>
        </w:rPr>
      </w:pPr>
      <w:r w:rsidRPr="00D83F9D">
        <w:rPr>
          <w:szCs w:val="24"/>
        </w:rPr>
        <w:t>Section 3.2.2.3, Oracle will maintain your Content for the length of your Cloud Services term plus sixty (60) days. You may retrieve your Content at any time during this period.</w:t>
      </w:r>
    </w:p>
    <w:p w14:paraId="23CC0A08" w14:textId="77777777" w:rsidR="00FB6E0A" w:rsidRPr="00EC5631" w:rsidRDefault="00FB6E0A" w:rsidP="00455DF6">
      <w:pPr>
        <w:pStyle w:val="Heading3"/>
      </w:pPr>
      <w:bookmarkStart w:id="53" w:name="_Toc201051351"/>
      <w:bookmarkStart w:id="54" w:name="_Toc213421076"/>
      <w:r w:rsidRPr="00EC5631">
        <w:t>Cloud Services Data Processing Agreement</w:t>
      </w:r>
      <w:bookmarkEnd w:id="53"/>
      <w:bookmarkEnd w:id="54"/>
    </w:p>
    <w:p w14:paraId="65A99BB6" w14:textId="160565B8" w:rsidR="00FB6E0A" w:rsidRPr="00D83F9D" w:rsidRDefault="00FB6E0A" w:rsidP="00FB6E0A">
      <w:pPr>
        <w:rPr>
          <w:szCs w:val="24"/>
        </w:rPr>
      </w:pPr>
      <w:proofErr w:type="gramStart"/>
      <w:r w:rsidRPr="00D83F9D">
        <w:rPr>
          <w:szCs w:val="24"/>
        </w:rPr>
        <w:t>If ordering</w:t>
      </w:r>
      <w:proofErr w:type="gramEnd"/>
      <w:r w:rsidRPr="00D83F9D">
        <w:rPr>
          <w:szCs w:val="24"/>
        </w:rPr>
        <w:t xml:space="preserve"> Cloud Services, read the Data Processing Agreement for Cloud Services (DPA). Oracle may change the Data Processing Agreement at will, so if you place an order for Cloud services after the first year of ITS64, you must download and review the current DPA, which will be referenced in your Ordering Document. That DPA will apply throughout the duration specified in your Ordering Document, so </w:t>
      </w:r>
      <w:r w:rsidRPr="00D83F9D">
        <w:rPr>
          <w:b/>
          <w:bCs/>
          <w:szCs w:val="24"/>
        </w:rPr>
        <w:t xml:space="preserve">it is important that you keep a copy of it </w:t>
      </w:r>
      <w:proofErr w:type="gramStart"/>
      <w:r w:rsidRPr="00D83F9D">
        <w:rPr>
          <w:b/>
          <w:bCs/>
          <w:szCs w:val="24"/>
        </w:rPr>
        <w:t>on</w:t>
      </w:r>
      <w:proofErr w:type="gramEnd"/>
      <w:r w:rsidRPr="00D83F9D">
        <w:rPr>
          <w:b/>
          <w:bCs/>
          <w:szCs w:val="24"/>
        </w:rPr>
        <w:t xml:space="preserve"> file</w:t>
      </w:r>
      <w:r w:rsidRPr="00D83F9D">
        <w:rPr>
          <w:szCs w:val="24"/>
        </w:rPr>
        <w:t>, as Oracle may modify it during that time.</w:t>
      </w:r>
    </w:p>
    <w:p w14:paraId="36C787E9" w14:textId="77777777" w:rsidR="00FB6E0A" w:rsidRPr="00EC5631" w:rsidRDefault="00FB6E0A" w:rsidP="00152E7B">
      <w:pPr>
        <w:pStyle w:val="Heading3"/>
      </w:pPr>
      <w:bookmarkStart w:id="55" w:name="_Toc201051352"/>
      <w:bookmarkStart w:id="56" w:name="_Toc213421077"/>
      <w:r w:rsidRPr="00EC5631">
        <w:t>EOTSS Enterprise Policies and Standards Applicable to Cloud Services</w:t>
      </w:r>
      <w:bookmarkEnd w:id="55"/>
      <w:bookmarkEnd w:id="56"/>
    </w:p>
    <w:p w14:paraId="1FB5B39D" w14:textId="77777777" w:rsidR="00FB6E0A" w:rsidRPr="00D83F9D" w:rsidRDefault="00FB6E0A" w:rsidP="00FB6E0A">
      <w:pPr>
        <w:rPr>
          <w:szCs w:val="24"/>
        </w:rPr>
      </w:pPr>
      <w:r w:rsidRPr="00D83F9D">
        <w:rPr>
          <w:szCs w:val="24"/>
        </w:rPr>
        <w:t xml:space="preserve">It is up to each ordering Eligible Entity to determine what EOTSS Enterprise Policies and Standards, including those listed below, are applicable to the services they are obtaining, and whether any </w:t>
      </w:r>
      <w:r w:rsidRPr="00D83F9D">
        <w:rPr>
          <w:szCs w:val="24"/>
        </w:rPr>
        <w:lastRenderedPageBreak/>
        <w:t xml:space="preserve">additional specifications are needed.  Any additional specifications must be included in the Ordering Document. </w:t>
      </w:r>
    </w:p>
    <w:p w14:paraId="18B849D5" w14:textId="0B1D16B8" w:rsidR="00FB6E0A" w:rsidRPr="00D83F9D" w:rsidRDefault="00FB6E0A" w:rsidP="004D0D0D">
      <w:pPr>
        <w:pStyle w:val="ListParagraph"/>
        <w:widowControl w:val="0"/>
        <w:numPr>
          <w:ilvl w:val="0"/>
          <w:numId w:val="27"/>
        </w:numPr>
        <w:tabs>
          <w:tab w:val="left" w:pos="461"/>
        </w:tabs>
        <w:spacing w:after="0" w:line="240" w:lineRule="auto"/>
        <w:ind w:right="544"/>
        <w:rPr>
          <w:rFonts w:ascii="Calibri" w:eastAsia="Calibri" w:hAnsi="Calibri" w:cs="Calibri"/>
          <w:szCs w:val="24"/>
        </w:rPr>
      </w:pPr>
      <w:hyperlink r:id="rId45" w:history="1">
        <w:r w:rsidRPr="004D0D0D">
          <w:rPr>
            <w:rStyle w:val="Hyperlink"/>
            <w:rFonts w:ascii="Calibri"/>
            <w:szCs w:val="24"/>
          </w:rPr>
          <w:t>Enterprise Information Security Policies and Standards</w:t>
        </w:r>
      </w:hyperlink>
      <w:r w:rsidRPr="00D83F9D">
        <w:rPr>
          <w:rFonts w:ascii="Calibri" w:eastAsia="Calibri" w:hAnsi="Calibri" w:cs="Calibri"/>
          <w:szCs w:val="24"/>
        </w:rPr>
        <w:t xml:space="preserve"> </w:t>
      </w:r>
    </w:p>
    <w:p w14:paraId="70F521E7" w14:textId="753DEAA6" w:rsidR="00FB6E0A" w:rsidRPr="00D83F9D" w:rsidRDefault="00FB6E0A" w:rsidP="004D0D0D">
      <w:pPr>
        <w:pStyle w:val="ListParagraph"/>
        <w:widowControl w:val="0"/>
        <w:numPr>
          <w:ilvl w:val="0"/>
          <w:numId w:val="27"/>
        </w:numPr>
        <w:spacing w:before="37" w:after="0" w:line="240" w:lineRule="auto"/>
        <w:ind w:right="370"/>
        <w:rPr>
          <w:szCs w:val="24"/>
        </w:rPr>
      </w:pPr>
      <w:hyperlink r:id="rId46" w:history="1">
        <w:r w:rsidRPr="004D0D0D">
          <w:rPr>
            <w:rStyle w:val="Hyperlink"/>
            <w:rFonts w:ascii="Calibri"/>
            <w:szCs w:val="24"/>
          </w:rPr>
          <w:t>Web accessibility standards</w:t>
        </w:r>
      </w:hyperlink>
      <w:r w:rsidR="004D0D0D" w:rsidRPr="00D83F9D">
        <w:rPr>
          <w:szCs w:val="24"/>
        </w:rPr>
        <w:t xml:space="preserve"> </w:t>
      </w:r>
    </w:p>
    <w:p w14:paraId="07229D99" w14:textId="77777777" w:rsidR="00FB6E0A" w:rsidRPr="00D83F9D" w:rsidRDefault="00FB6E0A" w:rsidP="00FB6E0A">
      <w:pPr>
        <w:pStyle w:val="Heading1"/>
        <w:rPr>
          <w:rFonts w:ascii="Calibri"/>
          <w:sz w:val="24"/>
          <w:szCs w:val="24"/>
        </w:rPr>
      </w:pPr>
    </w:p>
    <w:p w14:paraId="5604A1AA" w14:textId="77777777" w:rsidR="00FB6E0A" w:rsidRPr="00194FB3" w:rsidRDefault="00FB6E0A" w:rsidP="00FB6E0A">
      <w:pPr>
        <w:rPr>
          <w:b/>
          <w:bCs/>
        </w:rPr>
      </w:pPr>
      <w:r w:rsidRPr="00194FB3">
        <w:rPr>
          <w:b/>
          <w:bCs/>
        </w:rPr>
        <w:t>It is strongly recommended that all Executive Department Agencies include the following paragraph in all Ordering Documents, inclusive of all policies listed above:</w:t>
      </w:r>
    </w:p>
    <w:p w14:paraId="0ABAE19C" w14:textId="77777777" w:rsidR="00FB6E0A" w:rsidRPr="00D83F9D" w:rsidRDefault="00FB6E0A" w:rsidP="00FB6E0A">
      <w:pPr>
        <w:rPr>
          <w:iCs/>
          <w:szCs w:val="24"/>
        </w:rPr>
      </w:pPr>
      <w:r w:rsidRPr="00D83F9D">
        <w:rPr>
          <w:rFonts w:cstheme="minorHAnsi"/>
          <w:szCs w:val="24"/>
        </w:rPr>
        <w:t xml:space="preserve">“Oracle shall provide the products and services listed herein in accordance with the </w:t>
      </w:r>
      <w:hyperlink r:id="rId47" w:history="1">
        <w:r w:rsidRPr="00BD4A27">
          <w:rPr>
            <w:rStyle w:val="Hyperlink"/>
            <w:rFonts w:cstheme="minorHAnsi"/>
            <w:szCs w:val="24"/>
            <w:u w:val="none"/>
          </w:rPr>
          <w:t xml:space="preserve">Information </w:t>
        </w:r>
        <w:r w:rsidRPr="00BC7D6B">
          <w:rPr>
            <w:rStyle w:val="Hyperlink"/>
            <w:rFonts w:cstheme="minorHAnsi"/>
            <w:szCs w:val="24"/>
            <w:u w:val="none"/>
          </w:rPr>
          <w:t>Technology Mandatory Specifications</w:t>
        </w:r>
      </w:hyperlink>
      <w:r w:rsidRPr="00D83F9D">
        <w:rPr>
          <w:rFonts w:cstheme="minorHAnsi"/>
          <w:szCs w:val="24"/>
        </w:rPr>
        <w:t xml:space="preserve"> and the </w:t>
      </w:r>
      <w:hyperlink r:id="rId48" w:history="1">
        <w:r w:rsidRPr="00BD4A27">
          <w:rPr>
            <w:rStyle w:val="Hyperlink"/>
            <w:rFonts w:cstheme="minorHAnsi"/>
            <w:szCs w:val="24"/>
            <w:u w:val="none"/>
          </w:rPr>
          <w:t>IT Acquisition Accessibility Contract Language</w:t>
        </w:r>
      </w:hyperlink>
      <w:r w:rsidRPr="00D83F9D">
        <w:rPr>
          <w:rFonts w:cstheme="minorHAnsi"/>
          <w:szCs w:val="24"/>
        </w:rPr>
        <w:t xml:space="preserve">. In addition, Oracle will comply with the Security Policies and Standards available via </w:t>
      </w:r>
      <w:hyperlink r:id="rId49" w:history="1">
        <w:r w:rsidRPr="00D83F9D">
          <w:rPr>
            <w:rStyle w:val="Hyperlink"/>
            <w:rFonts w:cstheme="minorHAnsi"/>
            <w:szCs w:val="24"/>
          </w:rPr>
          <w:t>https://www.mass.gov/handbook/enterprise-information-security-policies-and-standards</w:t>
        </w:r>
      </w:hyperlink>
      <w:r w:rsidRPr="00D83F9D">
        <w:rPr>
          <w:rFonts w:cstheme="minorHAnsi"/>
          <w:szCs w:val="24"/>
        </w:rPr>
        <w:t>.”</w:t>
      </w:r>
    </w:p>
    <w:p w14:paraId="161A2F30" w14:textId="77777777" w:rsidR="00FB6E0A" w:rsidRPr="00EC5631" w:rsidRDefault="00FB6E0A" w:rsidP="006135F1">
      <w:pPr>
        <w:pStyle w:val="Heading3"/>
      </w:pPr>
      <w:bookmarkStart w:id="57" w:name="_Oracle_Renewal_Amendment"/>
      <w:bookmarkStart w:id="58" w:name="_Toc201051353"/>
      <w:bookmarkStart w:id="59" w:name="_Toc213421078"/>
      <w:bookmarkEnd w:id="57"/>
      <w:r w:rsidRPr="00EC5631">
        <w:t>Oracle Renewal Amendment 2023</w:t>
      </w:r>
      <w:bookmarkEnd w:id="58"/>
      <w:bookmarkEnd w:id="59"/>
    </w:p>
    <w:p w14:paraId="0590F49F" w14:textId="1D2C718F" w:rsidR="00FB6E0A" w:rsidRPr="00D56E9E" w:rsidRDefault="00FB6E0A" w:rsidP="00FB6E0A">
      <w:pPr>
        <w:rPr>
          <w:szCs w:val="24"/>
        </w:rPr>
      </w:pPr>
      <w:r w:rsidRPr="00D56E9E">
        <w:rPr>
          <w:szCs w:val="24"/>
        </w:rPr>
        <w:t xml:space="preserve">The </w:t>
      </w:r>
      <w:r w:rsidRPr="006135F1">
        <w:rPr>
          <w:b/>
          <w:bCs/>
          <w:szCs w:val="24"/>
        </w:rPr>
        <w:t>Renewal amendment with revised pricing and terms</w:t>
      </w:r>
      <w:r w:rsidR="006135F1">
        <w:rPr>
          <w:szCs w:val="24"/>
        </w:rPr>
        <w:t>,</w:t>
      </w:r>
      <w:r w:rsidRPr="00D56E9E">
        <w:rPr>
          <w:szCs w:val="24"/>
        </w:rPr>
        <w:t xml:space="preserve"> found </w:t>
      </w:r>
      <w:r w:rsidR="00105E56">
        <w:rPr>
          <w:szCs w:val="24"/>
        </w:rPr>
        <w:t>in</w:t>
      </w:r>
      <w:r w:rsidRPr="00D56E9E">
        <w:rPr>
          <w:szCs w:val="24"/>
        </w:rPr>
        <w:t xml:space="preserve"> the </w:t>
      </w:r>
      <w:hyperlink r:id="rId50" w:history="1">
        <w:r w:rsidRPr="00D56E9E">
          <w:rPr>
            <w:rStyle w:val="Hyperlink"/>
            <w:szCs w:val="24"/>
          </w:rPr>
          <w:t>ITS64 Contract</w:t>
        </w:r>
      </w:hyperlink>
      <w:r w:rsidRPr="00D56E9E">
        <w:rPr>
          <w:szCs w:val="24"/>
        </w:rPr>
        <w:t xml:space="preserve"> </w:t>
      </w:r>
      <w:r w:rsidR="00105E56">
        <w:rPr>
          <w:szCs w:val="24"/>
        </w:rPr>
        <w:t xml:space="preserve">under </w:t>
      </w:r>
      <w:r w:rsidR="00105E56" w:rsidRPr="00105E56">
        <w:rPr>
          <w:b/>
          <w:bCs/>
          <w:szCs w:val="24"/>
        </w:rPr>
        <w:t>Agency Attachments</w:t>
      </w:r>
      <w:r w:rsidR="00105E56">
        <w:rPr>
          <w:szCs w:val="24"/>
        </w:rPr>
        <w:t xml:space="preserve"> </w:t>
      </w:r>
      <w:r w:rsidR="00870E20">
        <w:rPr>
          <w:szCs w:val="24"/>
        </w:rPr>
        <w:t>i</w:t>
      </w:r>
      <w:r w:rsidRPr="00D56E9E">
        <w:rPr>
          <w:szCs w:val="24"/>
        </w:rPr>
        <w:t>n COMMBUYS</w:t>
      </w:r>
      <w:r w:rsidR="002E3A82">
        <w:rPr>
          <w:szCs w:val="24"/>
        </w:rPr>
        <w:t xml:space="preserve">, </w:t>
      </w:r>
      <w:r w:rsidRPr="00D56E9E">
        <w:rPr>
          <w:szCs w:val="24"/>
        </w:rPr>
        <w:t>includes the following documents:</w:t>
      </w:r>
    </w:p>
    <w:p w14:paraId="512AC269" w14:textId="30333AA0" w:rsidR="00FB6E0A" w:rsidRPr="000C6D98" w:rsidRDefault="00FB6E0A" w:rsidP="003520DA">
      <w:pPr>
        <w:pStyle w:val="ListParagraph"/>
        <w:numPr>
          <w:ilvl w:val="0"/>
          <w:numId w:val="28"/>
        </w:numPr>
        <w:spacing w:after="0"/>
        <w:rPr>
          <w:szCs w:val="24"/>
        </w:rPr>
      </w:pPr>
      <w:r w:rsidRPr="000C6D98">
        <w:rPr>
          <w:b/>
          <w:bCs/>
          <w:szCs w:val="24"/>
        </w:rPr>
        <w:t>Executed Standard Contract Form Amendment</w:t>
      </w:r>
      <w:r w:rsidR="000C6D98" w:rsidRPr="000C6D98">
        <w:rPr>
          <w:b/>
          <w:bCs/>
          <w:szCs w:val="24"/>
        </w:rPr>
        <w:t>:</w:t>
      </w:r>
      <w:r w:rsidR="000C6D98" w:rsidRPr="000C6D98">
        <w:rPr>
          <w:szCs w:val="24"/>
        </w:rPr>
        <w:t xml:space="preserve"> </w:t>
      </w:r>
      <w:r w:rsidRPr="000C6D98">
        <w:rPr>
          <w:szCs w:val="24"/>
        </w:rPr>
        <w:t>This is the Standard Contract Form that was in effect when Oracle signed the original ITS64 contract. It references the Commonwealth Terms and Conditions, not the Commonwealth Terms and Conditions for Information Technology Contracts, which was not in effect at that time.</w:t>
      </w:r>
    </w:p>
    <w:p w14:paraId="70711A3F" w14:textId="64B38E9D" w:rsidR="00FB6E0A" w:rsidRPr="000C6D98" w:rsidRDefault="00FB6E0A" w:rsidP="00870E20">
      <w:pPr>
        <w:pStyle w:val="ListParagraph"/>
        <w:numPr>
          <w:ilvl w:val="0"/>
          <w:numId w:val="28"/>
        </w:numPr>
        <w:spacing w:after="0"/>
        <w:rPr>
          <w:b/>
          <w:bCs/>
          <w:szCs w:val="24"/>
        </w:rPr>
      </w:pPr>
      <w:r w:rsidRPr="000C6D98">
        <w:rPr>
          <w:b/>
          <w:bCs/>
          <w:szCs w:val="24"/>
        </w:rPr>
        <w:t>Amendment One to Statewide Contract ITS64</w:t>
      </w:r>
      <w:r w:rsidR="00B167B9">
        <w:rPr>
          <w:b/>
          <w:bCs/>
          <w:szCs w:val="24"/>
        </w:rPr>
        <w:t>:</w:t>
      </w:r>
    </w:p>
    <w:p w14:paraId="3E08D680" w14:textId="77777777" w:rsidR="00FB6E0A" w:rsidRPr="00D56E9E" w:rsidRDefault="00FB6E0A" w:rsidP="0044054C">
      <w:pPr>
        <w:pStyle w:val="ListParagraph"/>
        <w:numPr>
          <w:ilvl w:val="0"/>
          <w:numId w:val="29"/>
        </w:numPr>
        <w:rPr>
          <w:szCs w:val="24"/>
        </w:rPr>
      </w:pPr>
      <w:r w:rsidRPr="00D56E9E">
        <w:rPr>
          <w:szCs w:val="24"/>
        </w:rPr>
        <w:t>Extends the contract term through June 30, 2028.</w:t>
      </w:r>
    </w:p>
    <w:p w14:paraId="7419D0D3" w14:textId="6FC57265" w:rsidR="00FB6E0A" w:rsidRPr="00D56E9E" w:rsidRDefault="00FB6E0A" w:rsidP="0044054C">
      <w:pPr>
        <w:pStyle w:val="ListParagraph"/>
        <w:numPr>
          <w:ilvl w:val="0"/>
          <w:numId w:val="29"/>
        </w:numPr>
        <w:rPr>
          <w:szCs w:val="24"/>
        </w:rPr>
      </w:pPr>
      <w:proofErr w:type="gramStart"/>
      <w:r w:rsidRPr="00D56E9E">
        <w:rPr>
          <w:szCs w:val="24"/>
        </w:rPr>
        <w:t>Adds</w:t>
      </w:r>
      <w:proofErr w:type="gramEnd"/>
      <w:r w:rsidRPr="00D56E9E">
        <w:rPr>
          <w:szCs w:val="24"/>
        </w:rPr>
        <w:t xml:space="preserve"> Schedule H, Hardware to the preamble of the Umbrella </w:t>
      </w:r>
      <w:r w:rsidR="00331AFC">
        <w:rPr>
          <w:szCs w:val="24"/>
        </w:rPr>
        <w:t>A</w:t>
      </w:r>
      <w:r w:rsidRPr="00D56E9E">
        <w:rPr>
          <w:szCs w:val="24"/>
        </w:rPr>
        <w:t>greement, with limitations on the applicability of certain clarifications and clauses relative to Oracle support services and prohibition of hardware sales. Only hardware maintenance and support services are available under ITS64.</w:t>
      </w:r>
    </w:p>
    <w:p w14:paraId="1D6D372D" w14:textId="77777777" w:rsidR="00FB6E0A" w:rsidRPr="00D56E9E" w:rsidRDefault="00FB6E0A" w:rsidP="0044054C">
      <w:pPr>
        <w:pStyle w:val="ListParagraph"/>
        <w:numPr>
          <w:ilvl w:val="0"/>
          <w:numId w:val="29"/>
        </w:numPr>
        <w:rPr>
          <w:szCs w:val="24"/>
        </w:rPr>
      </w:pPr>
      <w:r w:rsidRPr="00D56E9E">
        <w:rPr>
          <w:szCs w:val="24"/>
        </w:rPr>
        <w:t>Replaces the previous Pricing exhibit with the one included in this amendment.</w:t>
      </w:r>
    </w:p>
    <w:p w14:paraId="01EA6B07" w14:textId="4404A3A4" w:rsidR="00FB6E0A" w:rsidRPr="00D56E9E" w:rsidRDefault="00FB6E0A" w:rsidP="0044054C">
      <w:pPr>
        <w:pStyle w:val="ListParagraph"/>
        <w:numPr>
          <w:ilvl w:val="0"/>
          <w:numId w:val="29"/>
        </w:numPr>
        <w:rPr>
          <w:szCs w:val="24"/>
        </w:rPr>
      </w:pPr>
      <w:r w:rsidRPr="00D56E9E">
        <w:rPr>
          <w:szCs w:val="24"/>
        </w:rPr>
        <w:t>Adds a new Ordering Document, “Exhibit K to MA Contract ITS64 Sample Ordering Document Oracle Java SE Universal Subscription Part Number L107691”</w:t>
      </w:r>
      <w:r w:rsidR="000F4DD2">
        <w:rPr>
          <w:szCs w:val="24"/>
        </w:rPr>
        <w:t>.</w:t>
      </w:r>
    </w:p>
    <w:p w14:paraId="630ED82B" w14:textId="31137076" w:rsidR="00FB6E0A" w:rsidRPr="00451CB9" w:rsidRDefault="00FB6E0A" w:rsidP="00B04079">
      <w:pPr>
        <w:pStyle w:val="ListParagraph"/>
        <w:numPr>
          <w:ilvl w:val="0"/>
          <w:numId w:val="29"/>
        </w:numPr>
        <w:rPr>
          <w:szCs w:val="24"/>
        </w:rPr>
      </w:pPr>
      <w:r w:rsidRPr="00451CB9">
        <w:rPr>
          <w:szCs w:val="24"/>
        </w:rPr>
        <w:t xml:space="preserve">Adds new and modified terms to clarifications of Public Sector Schedule P–Program. Please </w:t>
      </w:r>
      <w:r w:rsidR="007213BC">
        <w:rPr>
          <w:szCs w:val="24"/>
        </w:rPr>
        <w:t>refer to</w:t>
      </w:r>
      <w:r w:rsidRPr="00451CB9">
        <w:rPr>
          <w:szCs w:val="24"/>
        </w:rPr>
        <w:t xml:space="preserve"> this document for additional modifications.</w:t>
      </w:r>
    </w:p>
    <w:p w14:paraId="32BE5367" w14:textId="05EA94A4" w:rsidR="00FB6E0A" w:rsidRPr="00B167B9" w:rsidRDefault="00FB6E0A" w:rsidP="0006018D">
      <w:pPr>
        <w:pStyle w:val="ListParagraph"/>
        <w:numPr>
          <w:ilvl w:val="0"/>
          <w:numId w:val="31"/>
        </w:numPr>
        <w:spacing w:after="0"/>
        <w:rPr>
          <w:szCs w:val="24"/>
        </w:rPr>
      </w:pPr>
      <w:r w:rsidRPr="00B167B9">
        <w:rPr>
          <w:b/>
          <w:bCs/>
          <w:szCs w:val="24"/>
        </w:rPr>
        <w:lastRenderedPageBreak/>
        <w:t>Public Sector Schedule H-Hardware</w:t>
      </w:r>
      <w:r w:rsidR="00B167B9" w:rsidRPr="00B167B9">
        <w:rPr>
          <w:b/>
          <w:bCs/>
          <w:szCs w:val="24"/>
        </w:rPr>
        <w:t>:</w:t>
      </w:r>
      <w:r w:rsidR="00B167B9" w:rsidRPr="00B167B9">
        <w:rPr>
          <w:szCs w:val="24"/>
        </w:rPr>
        <w:t xml:space="preserve"> </w:t>
      </w:r>
      <w:r w:rsidRPr="00B167B9">
        <w:rPr>
          <w:szCs w:val="24"/>
        </w:rPr>
        <w:t>Terms for Hardware services and support (no hardware may be purchased under ITS64).</w:t>
      </w:r>
    </w:p>
    <w:p w14:paraId="720A568B" w14:textId="77777777" w:rsidR="00F945DD" w:rsidRDefault="00FB6E0A" w:rsidP="00A67069">
      <w:pPr>
        <w:pStyle w:val="ListParagraph"/>
        <w:numPr>
          <w:ilvl w:val="0"/>
          <w:numId w:val="17"/>
        </w:numPr>
        <w:spacing w:after="0"/>
        <w:rPr>
          <w:szCs w:val="24"/>
        </w:rPr>
      </w:pPr>
      <w:r w:rsidRPr="00F945DD">
        <w:rPr>
          <w:b/>
          <w:bCs/>
          <w:szCs w:val="24"/>
        </w:rPr>
        <w:t>Exhibit K to MA Contract ITS64</w:t>
      </w:r>
      <w:r w:rsidR="00F945DD">
        <w:rPr>
          <w:szCs w:val="24"/>
        </w:rPr>
        <w:t>:</w:t>
      </w:r>
      <w:r w:rsidRPr="00B04079">
        <w:rPr>
          <w:szCs w:val="24"/>
        </w:rPr>
        <w:t xml:space="preserve"> </w:t>
      </w:r>
    </w:p>
    <w:p w14:paraId="4A925F06" w14:textId="2876D65C" w:rsidR="00FB6E0A" w:rsidRPr="00B04079" w:rsidRDefault="00FB6E0A" w:rsidP="00F945DD">
      <w:pPr>
        <w:pStyle w:val="ListParagraph"/>
        <w:numPr>
          <w:ilvl w:val="0"/>
          <w:numId w:val="33"/>
        </w:numPr>
        <w:spacing w:after="0"/>
        <w:rPr>
          <w:szCs w:val="24"/>
        </w:rPr>
      </w:pPr>
      <w:r w:rsidRPr="00B04079">
        <w:rPr>
          <w:szCs w:val="24"/>
        </w:rPr>
        <w:t>Sample Ordering Document–Oracle Java SE Universal Subscription</w:t>
      </w:r>
    </w:p>
    <w:p w14:paraId="6C544364" w14:textId="0E2D0E6D" w:rsidR="00FB6E0A" w:rsidRPr="00F945DD" w:rsidRDefault="00FB6E0A" w:rsidP="003034FD">
      <w:pPr>
        <w:pStyle w:val="ListParagraph"/>
        <w:numPr>
          <w:ilvl w:val="0"/>
          <w:numId w:val="33"/>
        </w:numPr>
        <w:spacing w:after="0"/>
        <w:rPr>
          <w:szCs w:val="24"/>
        </w:rPr>
      </w:pPr>
      <w:r w:rsidRPr="00F945DD">
        <w:rPr>
          <w:szCs w:val="24"/>
        </w:rPr>
        <w:t>To be used for purchases of Java SE. Purchases of Java can be documented under Oracle’s standard ordering documents.</w:t>
      </w:r>
    </w:p>
    <w:p w14:paraId="51CDE3A8" w14:textId="013D3034" w:rsidR="00FB6E0A" w:rsidRPr="004A61FD" w:rsidRDefault="00FB6E0A" w:rsidP="006530E4">
      <w:pPr>
        <w:pStyle w:val="ListParagraph"/>
        <w:numPr>
          <w:ilvl w:val="0"/>
          <w:numId w:val="17"/>
        </w:numPr>
        <w:spacing w:after="0"/>
        <w:rPr>
          <w:szCs w:val="24"/>
        </w:rPr>
      </w:pPr>
      <w:r w:rsidRPr="004A61FD">
        <w:rPr>
          <w:b/>
          <w:bCs/>
          <w:szCs w:val="24"/>
        </w:rPr>
        <w:t>Exhibit H Pricing</w:t>
      </w:r>
      <w:r w:rsidR="004A61FD" w:rsidRPr="004A61FD">
        <w:rPr>
          <w:b/>
          <w:bCs/>
          <w:szCs w:val="24"/>
        </w:rPr>
        <w:t>:</w:t>
      </w:r>
      <w:r w:rsidR="004A61FD" w:rsidRPr="004A61FD">
        <w:rPr>
          <w:szCs w:val="24"/>
        </w:rPr>
        <w:t xml:space="preserve"> </w:t>
      </w:r>
      <w:r w:rsidRPr="004A61FD">
        <w:rPr>
          <w:szCs w:val="24"/>
        </w:rPr>
        <w:t xml:space="preserve">Pricing is no longer provided for specific software items and services.  Discounts and conditions are provided with links to Oracle’s then current price links. This document is also posted as a stand-alone document on COMMBUYS for convenient access.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1"/>
          <w:type w:val="continuous"/>
          <w:pgSz w:w="12240" w:h="15840"/>
          <w:pgMar w:top="125" w:right="1152" w:bottom="1440" w:left="1152" w:header="864" w:footer="360" w:gutter="0"/>
          <w:cols w:space="720"/>
          <w:titlePg/>
          <w:docGrid w:linePitch="360"/>
        </w:sectPr>
      </w:pPr>
    </w:p>
    <w:p w14:paraId="3EA555B4" w14:textId="77777777" w:rsidR="004A61FD" w:rsidRDefault="00E51057" w:rsidP="00633557">
      <w:pPr>
        <w:pStyle w:val="Heading2"/>
      </w:pPr>
      <w:bookmarkStart w:id="60" w:name="_Appendix_A:_Vendor"/>
      <w:bookmarkStart w:id="61" w:name="_Vendor_Specific_Information"/>
      <w:bookmarkStart w:id="62" w:name="_Vendor_Information*"/>
      <w:bookmarkStart w:id="63" w:name="_Vendor_List_and"/>
      <w:bookmarkStart w:id="64" w:name="_Appendix_A:_1"/>
      <w:bookmarkStart w:id="65" w:name="_Toc194066623"/>
      <w:bookmarkStart w:id="66" w:name="_Toc213421079"/>
      <w:bookmarkEnd w:id="60"/>
      <w:bookmarkEnd w:id="61"/>
      <w:bookmarkEnd w:id="62"/>
      <w:bookmarkEnd w:id="63"/>
      <w:bookmarkEnd w:id="64"/>
      <w:r w:rsidRPr="00ED150D">
        <w:lastRenderedPageBreak/>
        <w:t xml:space="preserve">Vendor </w:t>
      </w:r>
      <w:r>
        <w:t xml:space="preserve">List and </w:t>
      </w:r>
      <w:r w:rsidRPr="00ED150D">
        <w:t>Information</w:t>
      </w:r>
      <w:bookmarkEnd w:id="65"/>
      <w:bookmarkEnd w:id="66"/>
    </w:p>
    <w:p w14:paraId="66F6F6D9" w14:textId="6F4DDC4B" w:rsidR="00E51057" w:rsidRPr="00ED150D" w:rsidRDefault="004A61FD" w:rsidP="004A61FD">
      <w:pPr>
        <w:rPr>
          <w:u w:val="double"/>
        </w:rPr>
      </w:pPr>
      <w:r w:rsidRPr="004A61FD">
        <w:rPr>
          <w:b/>
          <w:bCs/>
        </w:rPr>
        <w:t>Note:</w:t>
      </w:r>
      <w:r>
        <w:t xml:space="preserve"> N/A = Not Applicable</w:t>
      </w:r>
      <w:r w:rsidR="00E51057" w:rsidRPr="00B142B5">
        <w:t xml:space="preserve"> </w:t>
      </w:r>
    </w:p>
    <w:tbl>
      <w:tblPr>
        <w:tblStyle w:val="TableGrid"/>
        <w:tblW w:w="14310" w:type="dxa"/>
        <w:tblInd w:w="-108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980"/>
        <w:gridCol w:w="1193"/>
        <w:gridCol w:w="1327"/>
        <w:gridCol w:w="2610"/>
        <w:gridCol w:w="1350"/>
        <w:gridCol w:w="2070"/>
        <w:gridCol w:w="1710"/>
        <w:gridCol w:w="2070"/>
      </w:tblGrid>
      <w:tr w:rsidR="00C67F46" w:rsidRPr="00ED150D" w14:paraId="1E359185" w14:textId="77777777" w:rsidTr="00705F18">
        <w:trPr>
          <w:cantSplit/>
          <w:trHeight w:val="692"/>
          <w:tblHeader/>
        </w:trPr>
        <w:tc>
          <w:tcPr>
            <w:tcW w:w="1980" w:type="dxa"/>
            <w:shd w:val="clear" w:color="auto" w:fill="C8D9EB"/>
          </w:tcPr>
          <w:p w14:paraId="7B0F56E4" w14:textId="77777777" w:rsidR="00C67F46" w:rsidRPr="00EA3325" w:rsidRDefault="00C67F46" w:rsidP="00D82ACC">
            <w:pPr>
              <w:jc w:val="center"/>
              <w:rPr>
                <w:rFonts w:asciiTheme="minorHAnsi" w:hAnsiTheme="minorHAnsi"/>
                <w:sz w:val="18"/>
                <w:szCs w:val="18"/>
              </w:rPr>
            </w:pPr>
            <w:bookmarkStart w:id="67" w:name="_Appendix_A:_[add"/>
            <w:bookmarkStart w:id="68" w:name="_Toc194066624"/>
            <w:bookmarkEnd w:id="67"/>
            <w:r w:rsidRPr="00EA3325">
              <w:rPr>
                <w:rFonts w:asciiTheme="minorHAnsi" w:hAnsiTheme="minorHAnsi" w:cs="Arial"/>
                <w:b/>
                <w:sz w:val="18"/>
                <w:szCs w:val="18"/>
              </w:rPr>
              <w:t>Vendor</w:t>
            </w:r>
          </w:p>
        </w:tc>
        <w:tc>
          <w:tcPr>
            <w:tcW w:w="1193" w:type="dxa"/>
            <w:shd w:val="clear" w:color="auto" w:fill="C8D9EB"/>
          </w:tcPr>
          <w:p w14:paraId="16855660" w14:textId="34744F14" w:rsidR="00C67F46" w:rsidRPr="00EA3325" w:rsidRDefault="00C67F46" w:rsidP="00D82ACC">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4A61FD">
              <w:rPr>
                <w:rFonts w:asciiTheme="minorHAnsi" w:hAnsiTheme="minorHAnsi" w:cs="Arial"/>
                <w:b/>
                <w:sz w:val="18"/>
                <w:szCs w:val="18"/>
              </w:rPr>
              <w:t>Number</w:t>
            </w:r>
          </w:p>
        </w:tc>
        <w:tc>
          <w:tcPr>
            <w:tcW w:w="1327" w:type="dxa"/>
            <w:shd w:val="clear" w:color="auto" w:fill="C8D9EB"/>
          </w:tcPr>
          <w:p w14:paraId="144F69EF" w14:textId="77777777" w:rsidR="00C67F46" w:rsidRPr="00EA3325" w:rsidRDefault="00C67F46" w:rsidP="00D82ACC">
            <w:pPr>
              <w:jc w:val="center"/>
              <w:rPr>
                <w:rFonts w:asciiTheme="minorHAnsi" w:hAnsiTheme="minorHAnsi"/>
                <w:sz w:val="18"/>
                <w:szCs w:val="18"/>
              </w:rPr>
            </w:pPr>
            <w:r w:rsidRPr="00EA3325">
              <w:rPr>
                <w:rFonts w:asciiTheme="minorHAnsi" w:hAnsiTheme="minorHAnsi" w:cs="Arial"/>
                <w:b/>
                <w:sz w:val="18"/>
                <w:szCs w:val="18"/>
              </w:rPr>
              <w:t>Contact Person</w:t>
            </w:r>
          </w:p>
        </w:tc>
        <w:tc>
          <w:tcPr>
            <w:tcW w:w="2610" w:type="dxa"/>
            <w:shd w:val="clear" w:color="auto" w:fill="C8D9EB"/>
          </w:tcPr>
          <w:p w14:paraId="459FAD1F" w14:textId="77777777" w:rsidR="00C67F46" w:rsidRPr="00EA3325" w:rsidRDefault="00C67F46" w:rsidP="00D82ACC">
            <w:pPr>
              <w:jc w:val="center"/>
              <w:rPr>
                <w:rFonts w:cs="Arial"/>
                <w:b/>
                <w:sz w:val="18"/>
                <w:szCs w:val="18"/>
              </w:rPr>
            </w:pPr>
            <w:r>
              <w:rPr>
                <w:rFonts w:cs="Arial"/>
                <w:b/>
                <w:sz w:val="18"/>
                <w:szCs w:val="18"/>
              </w:rPr>
              <w:t>Role of Contact Person</w:t>
            </w:r>
          </w:p>
        </w:tc>
        <w:tc>
          <w:tcPr>
            <w:tcW w:w="1350" w:type="dxa"/>
            <w:shd w:val="clear" w:color="auto" w:fill="C8D9EB"/>
          </w:tcPr>
          <w:p w14:paraId="19C15A0D" w14:textId="5BF3409D" w:rsidR="00C67F46" w:rsidRPr="00EA3325" w:rsidRDefault="00C67F46" w:rsidP="00D82ACC">
            <w:pPr>
              <w:jc w:val="center"/>
              <w:rPr>
                <w:rFonts w:asciiTheme="minorHAnsi" w:hAnsiTheme="minorHAnsi"/>
                <w:sz w:val="18"/>
                <w:szCs w:val="18"/>
              </w:rPr>
            </w:pPr>
            <w:r w:rsidRPr="00EA3325">
              <w:rPr>
                <w:rFonts w:asciiTheme="minorHAnsi" w:hAnsiTheme="minorHAnsi" w:cs="Arial"/>
                <w:b/>
                <w:sz w:val="18"/>
                <w:szCs w:val="18"/>
              </w:rPr>
              <w:t xml:space="preserve">Phone </w:t>
            </w:r>
            <w:r w:rsidR="004A61FD">
              <w:rPr>
                <w:rFonts w:asciiTheme="minorHAnsi" w:hAnsiTheme="minorHAnsi" w:cs="Arial"/>
                <w:b/>
                <w:sz w:val="18"/>
                <w:szCs w:val="18"/>
              </w:rPr>
              <w:t>Number</w:t>
            </w:r>
          </w:p>
        </w:tc>
        <w:tc>
          <w:tcPr>
            <w:tcW w:w="2070" w:type="dxa"/>
            <w:shd w:val="clear" w:color="auto" w:fill="C8D9EB"/>
          </w:tcPr>
          <w:p w14:paraId="29A86BC2" w14:textId="77777777" w:rsidR="00C67F46" w:rsidRPr="00EA3325" w:rsidRDefault="00C67F46" w:rsidP="00D82ACC">
            <w:pPr>
              <w:jc w:val="center"/>
              <w:rPr>
                <w:rFonts w:asciiTheme="minorHAnsi" w:hAnsiTheme="minorHAnsi"/>
                <w:sz w:val="18"/>
                <w:szCs w:val="18"/>
              </w:rPr>
            </w:pPr>
            <w:r w:rsidRPr="00EA3325">
              <w:rPr>
                <w:rFonts w:asciiTheme="minorHAnsi" w:hAnsiTheme="minorHAnsi" w:cs="Arial"/>
                <w:b/>
                <w:sz w:val="18"/>
                <w:szCs w:val="18"/>
              </w:rPr>
              <w:t>Email</w:t>
            </w:r>
          </w:p>
        </w:tc>
        <w:tc>
          <w:tcPr>
            <w:tcW w:w="1710" w:type="dxa"/>
            <w:shd w:val="clear" w:color="auto" w:fill="C8D9EB"/>
          </w:tcPr>
          <w:p w14:paraId="3D3AAC72" w14:textId="105CA251" w:rsidR="00C67F46" w:rsidRPr="00EA3325" w:rsidRDefault="00B45220" w:rsidP="00D82ACC">
            <w:pPr>
              <w:jc w:val="center"/>
              <w:rPr>
                <w:rFonts w:asciiTheme="minorHAnsi" w:hAnsiTheme="minorHAnsi" w:cs="Arial"/>
                <w:b/>
                <w:sz w:val="18"/>
                <w:szCs w:val="18"/>
              </w:rPr>
            </w:pPr>
            <w:r w:rsidRPr="00B45220">
              <w:rPr>
                <w:rFonts w:asciiTheme="minorHAnsi" w:hAnsiTheme="minorHAnsi" w:cs="Arial"/>
                <w:b/>
                <w:sz w:val="18"/>
                <w:szCs w:val="18"/>
              </w:rPr>
              <w:t xml:space="preserve">Supplier Diversity Office </w:t>
            </w:r>
            <w:r>
              <w:rPr>
                <w:rFonts w:asciiTheme="minorHAnsi" w:hAnsiTheme="minorHAnsi" w:cs="Arial"/>
                <w:b/>
                <w:sz w:val="18"/>
                <w:szCs w:val="18"/>
              </w:rPr>
              <w:t>(</w:t>
            </w:r>
            <w:r w:rsidR="00C67F46">
              <w:rPr>
                <w:rFonts w:asciiTheme="minorHAnsi" w:hAnsiTheme="minorHAnsi" w:cs="Arial"/>
                <w:b/>
                <w:sz w:val="18"/>
                <w:szCs w:val="18"/>
              </w:rPr>
              <w:t>SDO</w:t>
            </w:r>
            <w:r>
              <w:rPr>
                <w:rFonts w:asciiTheme="minorHAnsi" w:hAnsiTheme="minorHAnsi" w:cs="Arial"/>
                <w:b/>
                <w:sz w:val="18"/>
                <w:szCs w:val="18"/>
              </w:rPr>
              <w:t>)</w:t>
            </w:r>
            <w:r w:rsidR="00C67F46">
              <w:rPr>
                <w:rFonts w:asciiTheme="minorHAnsi" w:hAnsiTheme="minorHAnsi" w:cs="Arial"/>
                <w:b/>
                <w:sz w:val="18"/>
                <w:szCs w:val="18"/>
              </w:rPr>
              <w:t xml:space="preserve"> Cert</w:t>
            </w:r>
            <w:r>
              <w:rPr>
                <w:rFonts w:asciiTheme="minorHAnsi" w:hAnsiTheme="minorHAnsi" w:cs="Arial"/>
                <w:b/>
                <w:sz w:val="18"/>
                <w:szCs w:val="18"/>
              </w:rPr>
              <w:t>ification</w:t>
            </w:r>
            <w:r w:rsidR="00C67F46" w:rsidRPr="00EA3325">
              <w:rPr>
                <w:rFonts w:asciiTheme="minorHAnsi" w:hAnsiTheme="minorHAnsi" w:cs="Arial"/>
                <w:b/>
                <w:sz w:val="18"/>
                <w:szCs w:val="18"/>
              </w:rPr>
              <w:t xml:space="preserve"> </w:t>
            </w:r>
          </w:p>
        </w:tc>
        <w:tc>
          <w:tcPr>
            <w:tcW w:w="2070" w:type="dxa"/>
            <w:shd w:val="clear" w:color="auto" w:fill="C8D9EB"/>
          </w:tcPr>
          <w:p w14:paraId="0EF66962" w14:textId="492A36ED" w:rsidR="00C67F46" w:rsidRPr="00EA3325" w:rsidRDefault="00B16FE1" w:rsidP="00D82ACC">
            <w:pPr>
              <w:jc w:val="center"/>
              <w:rPr>
                <w:rFonts w:asciiTheme="minorHAnsi" w:hAnsiTheme="minorHAnsi" w:cs="Arial"/>
                <w:b/>
                <w:sz w:val="18"/>
                <w:szCs w:val="18"/>
              </w:rPr>
            </w:pPr>
            <w:r w:rsidRPr="00B04869">
              <w:rPr>
                <w:rFonts w:asciiTheme="minorHAnsi" w:hAnsiTheme="minorHAnsi" w:cstheme="minorHAnsi"/>
                <w:b/>
                <w:sz w:val="18"/>
                <w:szCs w:val="18"/>
              </w:rPr>
              <w:t>Supplier Diversity Program</w:t>
            </w:r>
            <w:r>
              <w:rPr>
                <w:rFonts w:asciiTheme="minorHAnsi" w:hAnsiTheme="minorHAnsi" w:cs="Arial"/>
                <w:b/>
                <w:sz w:val="18"/>
                <w:szCs w:val="18"/>
              </w:rPr>
              <w:t xml:space="preserve"> (</w:t>
            </w:r>
            <w:r w:rsidR="00C67F46">
              <w:rPr>
                <w:rFonts w:asciiTheme="minorHAnsi" w:hAnsiTheme="minorHAnsi" w:cs="Arial"/>
                <w:b/>
                <w:sz w:val="18"/>
                <w:szCs w:val="18"/>
              </w:rPr>
              <w:t>SDP</w:t>
            </w:r>
            <w:r>
              <w:rPr>
                <w:rFonts w:asciiTheme="minorHAnsi" w:hAnsiTheme="minorHAnsi" w:cs="Arial"/>
                <w:b/>
                <w:sz w:val="18"/>
                <w:szCs w:val="18"/>
              </w:rPr>
              <w:t>)</w:t>
            </w:r>
            <w:r w:rsidR="00C67F46">
              <w:rPr>
                <w:rFonts w:asciiTheme="minorHAnsi" w:hAnsiTheme="minorHAnsi" w:cs="Arial"/>
                <w:b/>
                <w:sz w:val="18"/>
                <w:szCs w:val="18"/>
              </w:rPr>
              <w:t xml:space="preserve"> Commitment </w:t>
            </w:r>
          </w:p>
        </w:tc>
      </w:tr>
      <w:tr w:rsidR="00C67F46" w:rsidRPr="00A24785" w14:paraId="3FB921DD" w14:textId="77777777" w:rsidTr="00705F18">
        <w:trPr>
          <w:cantSplit/>
          <w:tblHeader/>
        </w:trPr>
        <w:tc>
          <w:tcPr>
            <w:tcW w:w="1980" w:type="dxa"/>
          </w:tcPr>
          <w:p w14:paraId="081C68A5" w14:textId="77777777" w:rsidR="00C67F46" w:rsidRPr="00A24785" w:rsidRDefault="00C67F46" w:rsidP="00D82ACC">
            <w:pPr>
              <w:rPr>
                <w:rFonts w:asciiTheme="minorHAnsi" w:hAnsiTheme="minorHAnsi"/>
                <w:sz w:val="16"/>
                <w:szCs w:val="16"/>
              </w:rPr>
            </w:pPr>
            <w:r>
              <w:rPr>
                <w:rFonts w:asciiTheme="minorHAnsi" w:hAnsiTheme="minorHAnsi"/>
                <w:sz w:val="16"/>
                <w:szCs w:val="16"/>
              </w:rPr>
              <w:t>Oracle America, Inc</w:t>
            </w:r>
          </w:p>
        </w:tc>
        <w:tc>
          <w:tcPr>
            <w:tcW w:w="1193" w:type="dxa"/>
          </w:tcPr>
          <w:p w14:paraId="44E746CD" w14:textId="77777777" w:rsidR="00C67F46" w:rsidRPr="00A24785" w:rsidRDefault="00C67F46" w:rsidP="00D82ACC">
            <w:pPr>
              <w:jc w:val="center"/>
              <w:rPr>
                <w:rFonts w:asciiTheme="minorHAnsi" w:hAnsiTheme="minorHAnsi"/>
                <w:sz w:val="16"/>
                <w:szCs w:val="16"/>
              </w:rPr>
            </w:pPr>
            <w:hyperlink r:id="rId52" w:history="1">
              <w:r w:rsidRPr="00B4012A">
                <w:rPr>
                  <w:rStyle w:val="Hyperlink"/>
                  <w:rFonts w:asciiTheme="minorHAnsi" w:hAnsiTheme="minorHAnsi" w:cstheme="minorHAnsi"/>
                  <w:sz w:val="16"/>
                  <w:szCs w:val="16"/>
                </w:rPr>
                <w:t>PO-18-1080-OSD03-SRC01-13443</w:t>
              </w:r>
            </w:hyperlink>
          </w:p>
        </w:tc>
        <w:tc>
          <w:tcPr>
            <w:tcW w:w="1327" w:type="dxa"/>
          </w:tcPr>
          <w:p w14:paraId="7793FD89"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Deborah Vaughn</w:t>
            </w:r>
          </w:p>
        </w:tc>
        <w:tc>
          <w:tcPr>
            <w:tcW w:w="2610" w:type="dxa"/>
          </w:tcPr>
          <w:p w14:paraId="03727386" w14:textId="77777777" w:rsidR="00C67F46" w:rsidRPr="00A24785" w:rsidRDefault="00C67F46" w:rsidP="00D82ACC">
            <w:pPr>
              <w:rPr>
                <w:sz w:val="16"/>
                <w:szCs w:val="16"/>
              </w:rPr>
            </w:pPr>
            <w:r w:rsidRPr="00B4012A">
              <w:rPr>
                <w:rFonts w:asciiTheme="minorHAnsi" w:eastAsiaTheme="minorEastAsia" w:hAnsiTheme="minorHAnsi" w:cstheme="minorHAnsi"/>
                <w:sz w:val="16"/>
                <w:szCs w:val="16"/>
              </w:rPr>
              <w:t>Contract Manager</w:t>
            </w:r>
          </w:p>
        </w:tc>
        <w:tc>
          <w:tcPr>
            <w:tcW w:w="1350" w:type="dxa"/>
          </w:tcPr>
          <w:p w14:paraId="58C68DCE"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703-364-0925</w:t>
            </w:r>
          </w:p>
        </w:tc>
        <w:tc>
          <w:tcPr>
            <w:tcW w:w="2070" w:type="dxa"/>
          </w:tcPr>
          <w:p w14:paraId="543B0588"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Deborah.vaughan@Oracle.com</w:t>
            </w:r>
          </w:p>
        </w:tc>
        <w:tc>
          <w:tcPr>
            <w:tcW w:w="1710" w:type="dxa"/>
          </w:tcPr>
          <w:p w14:paraId="7750093F"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N/A</w:t>
            </w:r>
          </w:p>
        </w:tc>
        <w:tc>
          <w:tcPr>
            <w:tcW w:w="2070" w:type="dxa"/>
          </w:tcPr>
          <w:p w14:paraId="547FA3BB"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$10,000 per year</w:t>
            </w:r>
          </w:p>
        </w:tc>
      </w:tr>
      <w:tr w:rsidR="00C67F46" w:rsidRPr="00A24785" w14:paraId="111839B8" w14:textId="77777777" w:rsidTr="00705F18">
        <w:trPr>
          <w:cantSplit/>
          <w:tblHeader/>
        </w:trPr>
        <w:tc>
          <w:tcPr>
            <w:tcW w:w="1980" w:type="dxa"/>
          </w:tcPr>
          <w:p w14:paraId="3C54E876"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2066D428"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23E5BB7B"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Ryan Lever</w:t>
            </w:r>
          </w:p>
        </w:tc>
        <w:tc>
          <w:tcPr>
            <w:tcW w:w="2610" w:type="dxa"/>
          </w:tcPr>
          <w:p w14:paraId="3F5612F5" w14:textId="77777777" w:rsidR="00C67F46" w:rsidRPr="00A24785" w:rsidRDefault="00C67F46" w:rsidP="00D82ACC">
            <w:pPr>
              <w:rPr>
                <w:sz w:val="16"/>
                <w:szCs w:val="16"/>
              </w:rPr>
            </w:pPr>
            <w:bookmarkStart w:id="69" w:name="GeneralQs"/>
            <w:bookmarkEnd w:id="69"/>
            <w:r w:rsidRPr="00B4012A">
              <w:rPr>
                <w:rFonts w:asciiTheme="minorHAnsi" w:eastAsiaTheme="minorEastAsia" w:hAnsiTheme="minorHAnsi" w:cstheme="minorHAnsi"/>
                <w:sz w:val="16"/>
                <w:szCs w:val="16"/>
              </w:rPr>
              <w:t>General questions, Business questions on Oracle Technology and Oracle Cloud</w:t>
            </w:r>
            <w:r>
              <w:rPr>
                <w:rFonts w:asciiTheme="minorHAnsi" w:eastAsiaTheme="minorEastAsia" w:hAnsiTheme="minorHAnsi" w:cstheme="minorHAnsi"/>
                <w:sz w:val="16"/>
                <w:szCs w:val="16"/>
              </w:rPr>
              <w:t xml:space="preserve"> (OCI)</w:t>
            </w:r>
          </w:p>
        </w:tc>
        <w:tc>
          <w:tcPr>
            <w:tcW w:w="1350" w:type="dxa"/>
          </w:tcPr>
          <w:p w14:paraId="64222076"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978-807-2917</w:t>
            </w:r>
          </w:p>
        </w:tc>
        <w:tc>
          <w:tcPr>
            <w:tcW w:w="2070" w:type="dxa"/>
          </w:tcPr>
          <w:p w14:paraId="0C443872"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ryan.lever@oracle.com</w:t>
            </w:r>
          </w:p>
        </w:tc>
        <w:tc>
          <w:tcPr>
            <w:tcW w:w="1710" w:type="dxa"/>
          </w:tcPr>
          <w:p w14:paraId="30361E45"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27340107"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1DED6234" w14:textId="77777777" w:rsidTr="00705F18">
        <w:trPr>
          <w:cantSplit/>
        </w:trPr>
        <w:tc>
          <w:tcPr>
            <w:tcW w:w="1980" w:type="dxa"/>
          </w:tcPr>
          <w:p w14:paraId="696B08F4"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4A4372EC"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189CB25C"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Bob Nevins</w:t>
            </w:r>
          </w:p>
        </w:tc>
        <w:tc>
          <w:tcPr>
            <w:tcW w:w="2610" w:type="dxa"/>
          </w:tcPr>
          <w:p w14:paraId="4E73391B" w14:textId="77777777" w:rsidR="00C67F46" w:rsidRPr="00A24785" w:rsidRDefault="00C67F46" w:rsidP="00D82ACC">
            <w:pPr>
              <w:rPr>
                <w:sz w:val="16"/>
                <w:szCs w:val="16"/>
              </w:rPr>
            </w:pPr>
            <w:r w:rsidRPr="00B4012A">
              <w:rPr>
                <w:rFonts w:asciiTheme="minorHAnsi" w:eastAsiaTheme="minorEastAsia" w:hAnsiTheme="minorHAnsi" w:cstheme="minorHAnsi"/>
                <w:sz w:val="16"/>
                <w:szCs w:val="16"/>
              </w:rPr>
              <w:t>General questions</w:t>
            </w:r>
          </w:p>
        </w:tc>
        <w:tc>
          <w:tcPr>
            <w:tcW w:w="1350" w:type="dxa"/>
          </w:tcPr>
          <w:p w14:paraId="356297CD"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781-589-4193</w:t>
            </w:r>
          </w:p>
        </w:tc>
        <w:tc>
          <w:tcPr>
            <w:tcW w:w="2070" w:type="dxa"/>
          </w:tcPr>
          <w:p w14:paraId="226668E5"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Bob.nevins@oracle.com</w:t>
            </w:r>
          </w:p>
        </w:tc>
        <w:tc>
          <w:tcPr>
            <w:tcW w:w="1710" w:type="dxa"/>
          </w:tcPr>
          <w:p w14:paraId="4DD2CF5D"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2B6A0924"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4154000F" w14:textId="77777777" w:rsidTr="00705F18">
        <w:trPr>
          <w:cantSplit/>
        </w:trPr>
        <w:tc>
          <w:tcPr>
            <w:tcW w:w="1980" w:type="dxa"/>
          </w:tcPr>
          <w:p w14:paraId="36DD1A3E"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5B447C96"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6D6C6BF1"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Sang Lee</w:t>
            </w:r>
          </w:p>
        </w:tc>
        <w:tc>
          <w:tcPr>
            <w:tcW w:w="2610" w:type="dxa"/>
          </w:tcPr>
          <w:p w14:paraId="7375FA81" w14:textId="77777777" w:rsidR="00C67F46" w:rsidRPr="00A24785" w:rsidRDefault="00C67F46" w:rsidP="00D82ACC">
            <w:pPr>
              <w:rPr>
                <w:sz w:val="16"/>
                <w:szCs w:val="16"/>
              </w:rPr>
            </w:pPr>
            <w:r w:rsidRPr="00B4012A">
              <w:rPr>
                <w:rFonts w:asciiTheme="minorHAnsi" w:hAnsiTheme="minorHAnsi" w:cstheme="minorHAnsi"/>
                <w:sz w:val="16"/>
                <w:szCs w:val="16"/>
              </w:rPr>
              <w:t xml:space="preserve">Business </w:t>
            </w:r>
            <w:proofErr w:type="gramStart"/>
            <w:r w:rsidRPr="00B4012A">
              <w:rPr>
                <w:rFonts w:asciiTheme="minorHAnsi" w:hAnsiTheme="minorHAnsi" w:cstheme="minorHAnsi"/>
                <w:sz w:val="16"/>
                <w:szCs w:val="16"/>
              </w:rPr>
              <w:t>questions</w:t>
            </w:r>
            <w:proofErr w:type="gramEnd"/>
            <w:r w:rsidRPr="00B4012A">
              <w:rPr>
                <w:rFonts w:asciiTheme="minorHAnsi" w:hAnsiTheme="minorHAnsi" w:cstheme="minorHAnsi"/>
                <w:sz w:val="16"/>
                <w:szCs w:val="16"/>
              </w:rPr>
              <w:t xml:space="preserve"> on Oracle </w:t>
            </w:r>
            <w:r>
              <w:rPr>
                <w:rFonts w:asciiTheme="minorHAnsi" w:hAnsiTheme="minorHAnsi" w:cstheme="minorHAnsi"/>
                <w:sz w:val="16"/>
                <w:szCs w:val="16"/>
              </w:rPr>
              <w:t xml:space="preserve">SaaS Applications </w:t>
            </w:r>
          </w:p>
        </w:tc>
        <w:tc>
          <w:tcPr>
            <w:tcW w:w="1350" w:type="dxa"/>
          </w:tcPr>
          <w:p w14:paraId="10180DBE" w14:textId="77777777" w:rsidR="00C67F46" w:rsidRPr="00A24785" w:rsidRDefault="00C67F46" w:rsidP="00D82ACC">
            <w:pPr>
              <w:rPr>
                <w:rFonts w:asciiTheme="minorHAnsi" w:hAnsiTheme="minorHAnsi"/>
                <w:sz w:val="16"/>
                <w:szCs w:val="16"/>
              </w:rPr>
            </w:pPr>
            <w:r w:rsidRPr="00B4012A">
              <w:rPr>
                <w:rStyle w:val="i18n-phonenumber"/>
                <w:rFonts w:asciiTheme="minorHAnsi" w:hAnsiTheme="minorHAnsi" w:cstheme="minorHAnsi"/>
                <w:sz w:val="16"/>
                <w:szCs w:val="16"/>
                <w:shd w:val="clear" w:color="auto" w:fill="FFFFFF"/>
              </w:rPr>
              <w:t>571-643-5343</w:t>
            </w:r>
          </w:p>
        </w:tc>
        <w:tc>
          <w:tcPr>
            <w:tcW w:w="2070" w:type="dxa"/>
          </w:tcPr>
          <w:p w14:paraId="05D3F4A3"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Sang.lee@oracle.com</w:t>
            </w:r>
          </w:p>
        </w:tc>
        <w:tc>
          <w:tcPr>
            <w:tcW w:w="1710" w:type="dxa"/>
          </w:tcPr>
          <w:p w14:paraId="2F5CD70D"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17B2CC4A"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5FB5A991" w14:textId="77777777" w:rsidTr="00705F18">
        <w:trPr>
          <w:cantSplit/>
        </w:trPr>
        <w:tc>
          <w:tcPr>
            <w:tcW w:w="1980" w:type="dxa"/>
          </w:tcPr>
          <w:p w14:paraId="4E931CBC"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7CC2379A"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41DC10F2" w14:textId="55D126AE" w:rsidR="00C67F46" w:rsidRPr="00A24785" w:rsidRDefault="007213BC" w:rsidP="00D82ACC">
            <w:pPr>
              <w:rPr>
                <w:rFonts w:asciiTheme="minorHAnsi" w:hAnsiTheme="minorHAnsi"/>
                <w:sz w:val="16"/>
                <w:szCs w:val="16"/>
              </w:rPr>
            </w:pPr>
            <w:r>
              <w:rPr>
                <w:rFonts w:asciiTheme="minorHAnsi" w:hAnsiTheme="minorHAnsi" w:cstheme="minorHAnsi"/>
                <w:sz w:val="16"/>
                <w:szCs w:val="16"/>
              </w:rPr>
              <w:t>Refer to</w:t>
            </w:r>
            <w:r w:rsidR="00C67F46">
              <w:rPr>
                <w:rFonts w:asciiTheme="minorHAnsi" w:hAnsiTheme="minorHAnsi" w:cstheme="minorHAnsi"/>
                <w:sz w:val="16"/>
                <w:szCs w:val="16"/>
              </w:rPr>
              <w:t xml:space="preserve"> Email</w:t>
            </w:r>
          </w:p>
        </w:tc>
        <w:tc>
          <w:tcPr>
            <w:tcW w:w="2610" w:type="dxa"/>
          </w:tcPr>
          <w:p w14:paraId="3282F373" w14:textId="77777777" w:rsidR="00C67F46" w:rsidRPr="00A24785" w:rsidRDefault="00C67F46" w:rsidP="00D82ACC">
            <w:pPr>
              <w:rPr>
                <w:sz w:val="16"/>
                <w:szCs w:val="16"/>
              </w:rPr>
            </w:pPr>
            <w:r w:rsidRPr="00B4012A">
              <w:rPr>
                <w:rFonts w:asciiTheme="minorHAnsi" w:hAnsiTheme="minorHAnsi" w:cstheme="minorHAnsi"/>
                <w:sz w:val="16"/>
                <w:szCs w:val="16"/>
              </w:rPr>
              <w:t xml:space="preserve">Business </w:t>
            </w:r>
            <w:proofErr w:type="gramStart"/>
            <w:r w:rsidRPr="00B4012A">
              <w:rPr>
                <w:rFonts w:asciiTheme="minorHAnsi" w:hAnsiTheme="minorHAnsi" w:cstheme="minorHAnsi"/>
                <w:sz w:val="16"/>
                <w:szCs w:val="16"/>
              </w:rPr>
              <w:t>questions</w:t>
            </w:r>
            <w:proofErr w:type="gramEnd"/>
            <w:r w:rsidRPr="00B4012A">
              <w:rPr>
                <w:rFonts w:asciiTheme="minorHAnsi" w:hAnsiTheme="minorHAnsi" w:cstheme="minorHAnsi"/>
                <w:sz w:val="16"/>
                <w:szCs w:val="16"/>
              </w:rPr>
              <w:t xml:space="preserve"> on Oracle Billing</w:t>
            </w:r>
          </w:p>
        </w:tc>
        <w:tc>
          <w:tcPr>
            <w:tcW w:w="1350" w:type="dxa"/>
          </w:tcPr>
          <w:p w14:paraId="64C24CF4"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888-803-7414</w:t>
            </w:r>
          </w:p>
        </w:tc>
        <w:tc>
          <w:tcPr>
            <w:tcW w:w="2070" w:type="dxa"/>
          </w:tcPr>
          <w:p w14:paraId="0D0F261A"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Collections_us@oracle.com</w:t>
            </w:r>
          </w:p>
        </w:tc>
        <w:tc>
          <w:tcPr>
            <w:tcW w:w="1710" w:type="dxa"/>
          </w:tcPr>
          <w:p w14:paraId="193577C8"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3341004F"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4A434A1F" w14:textId="77777777" w:rsidTr="00705F18">
        <w:trPr>
          <w:cantSplit/>
          <w:trHeight w:val="323"/>
        </w:trPr>
        <w:tc>
          <w:tcPr>
            <w:tcW w:w="1980" w:type="dxa"/>
          </w:tcPr>
          <w:p w14:paraId="57371BD5"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78339364"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6DAA5B70" w14:textId="77777777" w:rsidR="00C67F46" w:rsidRPr="00A24785" w:rsidRDefault="00C67F46" w:rsidP="00D82ACC">
            <w:pPr>
              <w:rPr>
                <w:rFonts w:asciiTheme="minorHAnsi" w:hAnsiTheme="minorHAnsi"/>
                <w:sz w:val="16"/>
                <w:szCs w:val="16"/>
              </w:rPr>
            </w:pPr>
            <w:proofErr w:type="spellStart"/>
            <w:r w:rsidRPr="00B4012A">
              <w:rPr>
                <w:rFonts w:asciiTheme="minorHAnsi" w:hAnsiTheme="minorHAnsi" w:cstheme="minorHAnsi"/>
                <w:sz w:val="16"/>
                <w:szCs w:val="16"/>
              </w:rPr>
              <w:t>Alok.Singh</w:t>
            </w:r>
            <w:proofErr w:type="spellEnd"/>
          </w:p>
        </w:tc>
        <w:tc>
          <w:tcPr>
            <w:tcW w:w="2610" w:type="dxa"/>
          </w:tcPr>
          <w:p w14:paraId="3B82B81F" w14:textId="77777777" w:rsidR="00C67F46" w:rsidRPr="00A24785" w:rsidRDefault="00C67F46" w:rsidP="00D82ACC">
            <w:pPr>
              <w:rPr>
                <w:sz w:val="16"/>
                <w:szCs w:val="16"/>
              </w:rPr>
            </w:pPr>
            <w:r w:rsidRPr="00B4012A">
              <w:rPr>
                <w:rFonts w:asciiTheme="minorHAnsi" w:hAnsiTheme="minorHAnsi" w:cstheme="minorHAnsi"/>
                <w:sz w:val="16"/>
                <w:szCs w:val="16"/>
              </w:rPr>
              <w:t>Technical questions about Oracle</w:t>
            </w:r>
            <w:r>
              <w:rPr>
                <w:rFonts w:asciiTheme="minorHAnsi" w:hAnsiTheme="minorHAnsi" w:cstheme="minorHAnsi"/>
                <w:sz w:val="16"/>
                <w:szCs w:val="16"/>
              </w:rPr>
              <w:t xml:space="preserve"> technology and OCI</w:t>
            </w:r>
          </w:p>
        </w:tc>
        <w:tc>
          <w:tcPr>
            <w:tcW w:w="1350" w:type="dxa"/>
          </w:tcPr>
          <w:p w14:paraId="20DE4E69"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908-547-6324</w:t>
            </w:r>
          </w:p>
        </w:tc>
        <w:tc>
          <w:tcPr>
            <w:tcW w:w="2070" w:type="dxa"/>
          </w:tcPr>
          <w:p w14:paraId="0B72E11F"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Alok.kr.singh@oracle.com</w:t>
            </w:r>
          </w:p>
        </w:tc>
        <w:tc>
          <w:tcPr>
            <w:tcW w:w="1710" w:type="dxa"/>
          </w:tcPr>
          <w:p w14:paraId="513326F8"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326AE797"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2F98BDA4" w14:textId="77777777" w:rsidTr="00705F18">
        <w:trPr>
          <w:cantSplit/>
        </w:trPr>
        <w:tc>
          <w:tcPr>
            <w:tcW w:w="1980" w:type="dxa"/>
          </w:tcPr>
          <w:p w14:paraId="127F5EEE"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3B6997DE"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5CF3FD75"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Wendi Monahan</w:t>
            </w:r>
          </w:p>
        </w:tc>
        <w:tc>
          <w:tcPr>
            <w:tcW w:w="2610" w:type="dxa"/>
          </w:tcPr>
          <w:p w14:paraId="174F5B3B" w14:textId="77777777" w:rsidR="00C67F46" w:rsidRPr="00A24785" w:rsidRDefault="00C67F46" w:rsidP="00D82ACC">
            <w:pPr>
              <w:rPr>
                <w:sz w:val="16"/>
                <w:szCs w:val="16"/>
              </w:rPr>
            </w:pPr>
            <w:r w:rsidRPr="00B4012A">
              <w:rPr>
                <w:rFonts w:asciiTheme="minorHAnsi" w:hAnsiTheme="minorHAnsi" w:cstheme="minorHAnsi"/>
                <w:sz w:val="16"/>
                <w:szCs w:val="16"/>
              </w:rPr>
              <w:t>Questions about Oracle Consulting Services</w:t>
            </w:r>
          </w:p>
        </w:tc>
        <w:tc>
          <w:tcPr>
            <w:tcW w:w="1350" w:type="dxa"/>
          </w:tcPr>
          <w:p w14:paraId="5A6BA539"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941-376-3508</w:t>
            </w:r>
          </w:p>
        </w:tc>
        <w:tc>
          <w:tcPr>
            <w:tcW w:w="2070" w:type="dxa"/>
          </w:tcPr>
          <w:p w14:paraId="6EAE5DC9"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Wendi.monahan@oracle.com</w:t>
            </w:r>
          </w:p>
        </w:tc>
        <w:tc>
          <w:tcPr>
            <w:tcW w:w="1710" w:type="dxa"/>
          </w:tcPr>
          <w:p w14:paraId="3250DF4E"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639393C4"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3A8881FC" w14:textId="77777777" w:rsidTr="00705F18">
        <w:trPr>
          <w:cantSplit/>
        </w:trPr>
        <w:tc>
          <w:tcPr>
            <w:tcW w:w="1980" w:type="dxa"/>
          </w:tcPr>
          <w:p w14:paraId="11B00496"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28ACB753"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0501B3E9"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Melanie Schwabe</w:t>
            </w:r>
          </w:p>
        </w:tc>
        <w:tc>
          <w:tcPr>
            <w:tcW w:w="2610" w:type="dxa"/>
          </w:tcPr>
          <w:p w14:paraId="2D5FB36F" w14:textId="77777777" w:rsidR="00C67F46" w:rsidRPr="00A24785" w:rsidRDefault="00C67F46" w:rsidP="00D82ACC">
            <w:pPr>
              <w:rPr>
                <w:sz w:val="16"/>
                <w:szCs w:val="16"/>
              </w:rPr>
            </w:pPr>
            <w:r w:rsidRPr="00B4012A">
              <w:rPr>
                <w:rFonts w:asciiTheme="minorHAnsi" w:hAnsiTheme="minorHAnsi" w:cstheme="minorHAnsi"/>
                <w:sz w:val="16"/>
                <w:szCs w:val="16"/>
              </w:rPr>
              <w:t>Questions about Advanced Customer Services</w:t>
            </w:r>
          </w:p>
        </w:tc>
        <w:tc>
          <w:tcPr>
            <w:tcW w:w="1350" w:type="dxa"/>
          </w:tcPr>
          <w:p w14:paraId="4B736F3B"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301-509-0604</w:t>
            </w:r>
          </w:p>
        </w:tc>
        <w:tc>
          <w:tcPr>
            <w:tcW w:w="2070" w:type="dxa"/>
          </w:tcPr>
          <w:p w14:paraId="267F1655" w14:textId="77777777" w:rsidR="00C67F46" w:rsidRPr="00A24785" w:rsidRDefault="00C67F46" w:rsidP="00D82ACC">
            <w:pPr>
              <w:rPr>
                <w:rFonts w:asciiTheme="minorHAnsi" w:hAnsiTheme="minorHAnsi"/>
                <w:sz w:val="16"/>
                <w:szCs w:val="16"/>
              </w:rPr>
            </w:pPr>
            <w:r w:rsidRPr="00B4012A">
              <w:rPr>
                <w:rFonts w:asciiTheme="minorHAnsi" w:hAnsiTheme="minorHAnsi" w:cstheme="minorHAnsi"/>
                <w:sz w:val="16"/>
                <w:szCs w:val="16"/>
              </w:rPr>
              <w:t>Melanie.schwabe@oracle.com</w:t>
            </w:r>
          </w:p>
        </w:tc>
        <w:tc>
          <w:tcPr>
            <w:tcW w:w="1710" w:type="dxa"/>
          </w:tcPr>
          <w:p w14:paraId="748883EE"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343A457C"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r w:rsidR="00C67F46" w:rsidRPr="00A24785" w14:paraId="2EBEEBD4" w14:textId="77777777" w:rsidTr="00705F18">
        <w:trPr>
          <w:cantSplit/>
        </w:trPr>
        <w:tc>
          <w:tcPr>
            <w:tcW w:w="1980" w:type="dxa"/>
          </w:tcPr>
          <w:p w14:paraId="21EF7585" w14:textId="77777777" w:rsidR="00C67F46" w:rsidRPr="00A24785" w:rsidRDefault="00C67F46" w:rsidP="00D82ACC">
            <w:pPr>
              <w:rPr>
                <w:rFonts w:asciiTheme="minorHAnsi" w:hAnsiTheme="minorHAnsi"/>
                <w:sz w:val="16"/>
                <w:szCs w:val="16"/>
              </w:rPr>
            </w:pPr>
            <w:r w:rsidRPr="00B4012A">
              <w:rPr>
                <w:rFonts w:asciiTheme="minorHAnsi" w:eastAsiaTheme="minorEastAsia" w:hAnsiTheme="minorHAnsi" w:cstheme="minorHAnsi"/>
                <w:sz w:val="16"/>
                <w:szCs w:val="16"/>
              </w:rPr>
              <w:t xml:space="preserve">Additional Oracle contact </w:t>
            </w:r>
          </w:p>
        </w:tc>
        <w:tc>
          <w:tcPr>
            <w:tcW w:w="1193" w:type="dxa"/>
          </w:tcPr>
          <w:p w14:paraId="7A7C220A"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1327" w:type="dxa"/>
          </w:tcPr>
          <w:p w14:paraId="0732D8B7" w14:textId="77777777" w:rsidR="00C67F46" w:rsidRPr="00A24785" w:rsidRDefault="00C67F46" w:rsidP="00D82ACC">
            <w:pPr>
              <w:rPr>
                <w:rFonts w:asciiTheme="minorHAnsi" w:hAnsiTheme="minorHAnsi"/>
                <w:sz w:val="16"/>
                <w:szCs w:val="16"/>
              </w:rPr>
            </w:pPr>
            <w:r>
              <w:rPr>
                <w:rFonts w:asciiTheme="minorHAnsi" w:hAnsiTheme="minorHAnsi" w:cstheme="minorHAnsi"/>
                <w:sz w:val="16"/>
                <w:szCs w:val="16"/>
              </w:rPr>
              <w:t>Jason Langus</w:t>
            </w:r>
          </w:p>
        </w:tc>
        <w:tc>
          <w:tcPr>
            <w:tcW w:w="2610" w:type="dxa"/>
          </w:tcPr>
          <w:p w14:paraId="44B09A5B" w14:textId="77777777" w:rsidR="00C67F46" w:rsidRPr="00A24785" w:rsidRDefault="00C67F46" w:rsidP="00D82ACC">
            <w:pPr>
              <w:rPr>
                <w:sz w:val="16"/>
                <w:szCs w:val="16"/>
              </w:rPr>
            </w:pPr>
            <w:r w:rsidRPr="00B4012A">
              <w:rPr>
                <w:rFonts w:asciiTheme="minorHAnsi" w:hAnsiTheme="minorHAnsi" w:cstheme="minorHAnsi"/>
                <w:sz w:val="16"/>
                <w:szCs w:val="16"/>
              </w:rPr>
              <w:t xml:space="preserve">Questions about </w:t>
            </w:r>
            <w:r>
              <w:rPr>
                <w:rFonts w:asciiTheme="minorHAnsi" w:hAnsiTheme="minorHAnsi" w:cstheme="minorHAnsi"/>
                <w:sz w:val="16"/>
                <w:szCs w:val="16"/>
              </w:rPr>
              <w:t>Oracle Hardware</w:t>
            </w:r>
          </w:p>
        </w:tc>
        <w:tc>
          <w:tcPr>
            <w:tcW w:w="1350" w:type="dxa"/>
          </w:tcPr>
          <w:p w14:paraId="461E5F8A" w14:textId="77777777" w:rsidR="00C67F46" w:rsidRPr="00A24785" w:rsidRDefault="00C67F46" w:rsidP="00D82ACC">
            <w:pPr>
              <w:rPr>
                <w:rFonts w:asciiTheme="minorHAnsi" w:hAnsiTheme="minorHAnsi"/>
                <w:sz w:val="16"/>
                <w:szCs w:val="16"/>
              </w:rPr>
            </w:pPr>
            <w:r>
              <w:rPr>
                <w:rFonts w:asciiTheme="minorHAnsi" w:hAnsiTheme="minorHAnsi" w:cstheme="minorHAnsi"/>
                <w:sz w:val="16"/>
                <w:szCs w:val="16"/>
              </w:rPr>
              <w:t>781-993-7235</w:t>
            </w:r>
          </w:p>
        </w:tc>
        <w:tc>
          <w:tcPr>
            <w:tcW w:w="2070" w:type="dxa"/>
          </w:tcPr>
          <w:p w14:paraId="1643F9BE" w14:textId="77777777" w:rsidR="00C67F46" w:rsidRPr="00A24785" w:rsidRDefault="00C67F46" w:rsidP="00D82ACC">
            <w:pPr>
              <w:rPr>
                <w:rFonts w:asciiTheme="minorHAnsi" w:hAnsiTheme="minorHAnsi"/>
                <w:sz w:val="16"/>
                <w:szCs w:val="16"/>
              </w:rPr>
            </w:pPr>
            <w:r>
              <w:rPr>
                <w:rFonts w:asciiTheme="minorHAnsi" w:hAnsiTheme="minorHAnsi" w:cstheme="minorHAnsi"/>
                <w:sz w:val="16"/>
                <w:szCs w:val="16"/>
              </w:rPr>
              <w:t>Jason.langus</w:t>
            </w:r>
            <w:r w:rsidRPr="00B4012A">
              <w:rPr>
                <w:rFonts w:asciiTheme="minorHAnsi" w:hAnsiTheme="minorHAnsi" w:cstheme="minorHAnsi"/>
                <w:sz w:val="16"/>
                <w:szCs w:val="16"/>
              </w:rPr>
              <w:t>@oracle.com</w:t>
            </w:r>
          </w:p>
        </w:tc>
        <w:tc>
          <w:tcPr>
            <w:tcW w:w="1710" w:type="dxa"/>
          </w:tcPr>
          <w:p w14:paraId="48D0A1E0"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c>
          <w:tcPr>
            <w:tcW w:w="2070" w:type="dxa"/>
          </w:tcPr>
          <w:p w14:paraId="06DEDC87" w14:textId="77777777" w:rsidR="00C67F46" w:rsidRPr="00A24785" w:rsidRDefault="00C67F46" w:rsidP="00D82ACC">
            <w:pPr>
              <w:rPr>
                <w:rFonts w:asciiTheme="minorHAnsi" w:hAnsiTheme="minorHAnsi"/>
                <w:sz w:val="16"/>
                <w:szCs w:val="16"/>
              </w:rPr>
            </w:pPr>
            <w:r w:rsidRPr="00280E59">
              <w:rPr>
                <w:rFonts w:asciiTheme="minorHAnsi" w:hAnsiTheme="minorHAnsi" w:cstheme="minorHAnsi"/>
                <w:sz w:val="16"/>
                <w:szCs w:val="16"/>
              </w:rPr>
              <w:t>N/A</w:t>
            </w:r>
          </w:p>
        </w:tc>
      </w:tr>
    </w:tbl>
    <w:p w14:paraId="0A4235A2" w14:textId="77777777" w:rsidR="00705F18" w:rsidRDefault="00705F18" w:rsidP="00705F18"/>
    <w:p w14:paraId="387CC61A" w14:textId="67D8FBD6" w:rsidR="00304C6F" w:rsidRDefault="00275216" w:rsidP="00C67F46">
      <w:pPr>
        <w:pStyle w:val="Heading2"/>
      </w:pPr>
      <w:bookmarkStart w:id="70" w:name="_Toc213421080"/>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0"/>
      <w:r w:rsidR="00F0545F" w:rsidRPr="00E23F4C">
        <w:rPr>
          <w:highlight w:val="yellow"/>
        </w:rPr>
        <w:t xml:space="preserve"> </w:t>
      </w:r>
      <w:bookmarkEnd w:id="68"/>
    </w:p>
    <w:p w14:paraId="59BFD38A" w14:textId="48D4E2BB" w:rsidR="00E53E55" w:rsidRDefault="00D119CD" w:rsidP="00304C6F">
      <w:pPr>
        <w:rPr>
          <w:szCs w:val="24"/>
        </w:rPr>
      </w:pPr>
      <w:r w:rsidRPr="00D119CD">
        <w:rPr>
          <w:szCs w:val="24"/>
        </w:rPr>
        <w:t xml:space="preserve">UNSPSC </w:t>
      </w:r>
      <w:r w:rsidR="00E53E55" w:rsidRPr="00E53E55">
        <w:rPr>
          <w:szCs w:val="24"/>
        </w:rPr>
        <w:t xml:space="preserve">for </w:t>
      </w:r>
      <w:r w:rsidR="00C67F46" w:rsidRPr="00C67F46">
        <w:rPr>
          <w:b/>
          <w:szCs w:val="24"/>
        </w:rPr>
        <w:t>ITS64</w:t>
      </w:r>
      <w:r w:rsidR="00C67F46">
        <w:rPr>
          <w:bCs/>
          <w:szCs w:val="24"/>
        </w:rPr>
        <w:t>:</w:t>
      </w:r>
    </w:p>
    <w:p w14:paraId="104357A7" w14:textId="574AC852" w:rsidR="00C67F46" w:rsidRPr="00B0276B" w:rsidRDefault="00C67F46" w:rsidP="00A67069">
      <w:pPr>
        <w:pStyle w:val="ListParagraph"/>
        <w:numPr>
          <w:ilvl w:val="0"/>
          <w:numId w:val="21"/>
        </w:numPr>
        <w:spacing w:after="0"/>
        <w:rPr>
          <w:szCs w:val="24"/>
        </w:rPr>
      </w:pPr>
      <w:bookmarkStart w:id="71" w:name="_Toc194066625"/>
      <w:r w:rsidRPr="0067535E">
        <w:rPr>
          <w:b/>
          <w:bCs/>
          <w:szCs w:val="24"/>
        </w:rPr>
        <w:t>43</w:t>
      </w:r>
      <w:r w:rsidR="003C7EF6" w:rsidRPr="0067535E">
        <w:rPr>
          <w:b/>
          <w:bCs/>
          <w:szCs w:val="24"/>
        </w:rPr>
        <w:t>–</w:t>
      </w:r>
      <w:r w:rsidRPr="0067535E">
        <w:rPr>
          <w:b/>
          <w:bCs/>
          <w:szCs w:val="24"/>
        </w:rPr>
        <w:t>23</w:t>
      </w:r>
      <w:r w:rsidR="003C7EF6" w:rsidRPr="0067535E">
        <w:rPr>
          <w:b/>
          <w:bCs/>
          <w:szCs w:val="24"/>
        </w:rPr>
        <w:t>–</w:t>
      </w:r>
      <w:r w:rsidRPr="0067535E">
        <w:rPr>
          <w:b/>
          <w:bCs/>
          <w:szCs w:val="24"/>
        </w:rPr>
        <w:t>00</w:t>
      </w:r>
      <w:r w:rsidR="003C7EF6" w:rsidRPr="0067535E">
        <w:rPr>
          <w:b/>
          <w:bCs/>
          <w:szCs w:val="24"/>
        </w:rPr>
        <w:t>–</w:t>
      </w:r>
      <w:r w:rsidRPr="0067535E">
        <w:rPr>
          <w:b/>
          <w:bCs/>
          <w:szCs w:val="24"/>
        </w:rPr>
        <w:t>00</w:t>
      </w:r>
      <w:r w:rsidRPr="00B0276B">
        <w:rPr>
          <w:szCs w:val="24"/>
        </w:rPr>
        <w:t xml:space="preserve"> Software</w:t>
      </w:r>
    </w:p>
    <w:p w14:paraId="02865CB7" w14:textId="273C2120" w:rsidR="00C67F46" w:rsidRPr="00B0276B" w:rsidRDefault="00C67F46" w:rsidP="00A67069">
      <w:pPr>
        <w:pStyle w:val="ListParagraph"/>
        <w:numPr>
          <w:ilvl w:val="0"/>
          <w:numId w:val="21"/>
        </w:numPr>
        <w:spacing w:after="0"/>
        <w:rPr>
          <w:szCs w:val="24"/>
        </w:rPr>
      </w:pPr>
      <w:r w:rsidRPr="0067535E">
        <w:rPr>
          <w:b/>
          <w:bCs/>
          <w:szCs w:val="24"/>
        </w:rPr>
        <w:t>81</w:t>
      </w:r>
      <w:r w:rsidR="003C7EF6" w:rsidRPr="0067535E">
        <w:rPr>
          <w:b/>
          <w:bCs/>
          <w:szCs w:val="24"/>
        </w:rPr>
        <w:t>–</w:t>
      </w:r>
      <w:r w:rsidRPr="0067535E">
        <w:rPr>
          <w:b/>
          <w:bCs/>
          <w:szCs w:val="24"/>
        </w:rPr>
        <w:t>11</w:t>
      </w:r>
      <w:r w:rsidR="003C7EF6" w:rsidRPr="0067535E">
        <w:rPr>
          <w:b/>
          <w:bCs/>
          <w:szCs w:val="24"/>
        </w:rPr>
        <w:t>–</w:t>
      </w:r>
      <w:r w:rsidRPr="0067535E">
        <w:rPr>
          <w:b/>
          <w:bCs/>
          <w:szCs w:val="24"/>
        </w:rPr>
        <w:t>22</w:t>
      </w:r>
      <w:r w:rsidR="003C7EF6" w:rsidRPr="0067535E">
        <w:rPr>
          <w:b/>
          <w:bCs/>
          <w:szCs w:val="24"/>
        </w:rPr>
        <w:t>–</w:t>
      </w:r>
      <w:r w:rsidRPr="0067535E">
        <w:rPr>
          <w:b/>
          <w:bCs/>
          <w:szCs w:val="24"/>
        </w:rPr>
        <w:t>00</w:t>
      </w:r>
      <w:r w:rsidRPr="00B0276B">
        <w:rPr>
          <w:szCs w:val="24"/>
        </w:rPr>
        <w:t xml:space="preserve"> Software Maintenance and Support</w:t>
      </w:r>
    </w:p>
    <w:p w14:paraId="6B85F581" w14:textId="5EB596A1" w:rsidR="00931DF2" w:rsidRPr="00C67F46" w:rsidRDefault="00C67F46" w:rsidP="00A67069">
      <w:pPr>
        <w:pStyle w:val="ListParagraph"/>
        <w:numPr>
          <w:ilvl w:val="0"/>
          <w:numId w:val="21"/>
        </w:numPr>
        <w:spacing w:after="0"/>
        <w:rPr>
          <w:szCs w:val="24"/>
        </w:rPr>
      </w:pPr>
      <w:r w:rsidRPr="0067535E">
        <w:rPr>
          <w:b/>
          <w:bCs/>
          <w:szCs w:val="24"/>
        </w:rPr>
        <w:t>81</w:t>
      </w:r>
      <w:r w:rsidR="003C7EF6" w:rsidRPr="0067535E">
        <w:rPr>
          <w:b/>
          <w:bCs/>
          <w:szCs w:val="24"/>
        </w:rPr>
        <w:t>–</w:t>
      </w:r>
      <w:r w:rsidRPr="0067535E">
        <w:rPr>
          <w:b/>
          <w:bCs/>
          <w:szCs w:val="24"/>
        </w:rPr>
        <w:t>11</w:t>
      </w:r>
      <w:r w:rsidR="003C7EF6" w:rsidRPr="0067535E">
        <w:rPr>
          <w:b/>
          <w:bCs/>
          <w:szCs w:val="24"/>
        </w:rPr>
        <w:t>–</w:t>
      </w:r>
      <w:r w:rsidRPr="0067535E">
        <w:rPr>
          <w:b/>
          <w:bCs/>
          <w:szCs w:val="24"/>
        </w:rPr>
        <w:t>15</w:t>
      </w:r>
      <w:r w:rsidR="003C7EF6" w:rsidRPr="0067535E">
        <w:rPr>
          <w:b/>
          <w:bCs/>
          <w:szCs w:val="24"/>
        </w:rPr>
        <w:t>–</w:t>
      </w:r>
      <w:r w:rsidRPr="0067535E">
        <w:rPr>
          <w:b/>
          <w:bCs/>
          <w:szCs w:val="24"/>
        </w:rPr>
        <w:t>07</w:t>
      </w:r>
      <w:r w:rsidRPr="00B0276B">
        <w:rPr>
          <w:szCs w:val="24"/>
        </w:rPr>
        <w:t xml:space="preserve"> Services, including Hardware Maintenance and Support</w:t>
      </w:r>
      <w:bookmarkEnd w:id="71"/>
    </w:p>
    <w:sectPr w:rsidR="00931DF2" w:rsidRPr="00C67F4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F335" w14:textId="77777777" w:rsidR="00E63A27" w:rsidRDefault="00E63A27" w:rsidP="00BA4C0C">
      <w:pPr>
        <w:spacing w:after="0" w:line="240" w:lineRule="auto"/>
      </w:pPr>
      <w:r>
        <w:separator/>
      </w:r>
    </w:p>
    <w:p w14:paraId="79DE26B2" w14:textId="77777777" w:rsidR="00E63A27" w:rsidRDefault="00E63A27"/>
  </w:endnote>
  <w:endnote w:type="continuationSeparator" w:id="0">
    <w:p w14:paraId="661839B9" w14:textId="77777777" w:rsidR="00E63A27" w:rsidRDefault="00E63A27" w:rsidP="00BA4C0C">
      <w:pPr>
        <w:spacing w:after="0" w:line="240" w:lineRule="auto"/>
      </w:pPr>
      <w:r>
        <w:continuationSeparator/>
      </w:r>
    </w:p>
    <w:p w14:paraId="4A6B5DB3" w14:textId="77777777" w:rsidR="00E63A27" w:rsidRDefault="00E63A27"/>
  </w:endnote>
  <w:endnote w:type="continuationNotice" w:id="1">
    <w:p w14:paraId="72B284B2" w14:textId="77777777" w:rsidR="00E63A27" w:rsidRDefault="00E63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3C33A2FC" w:rsidR="00B564C1" w:rsidRDefault="00B564C1" w:rsidP="00480D68">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0464047F" w:rsidR="005851F6" w:rsidRDefault="005851F6" w:rsidP="00480D68">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21BD" w14:textId="77777777" w:rsidR="00E63A27" w:rsidRDefault="00E63A27" w:rsidP="00BA4C0C">
      <w:pPr>
        <w:spacing w:after="0" w:line="240" w:lineRule="auto"/>
      </w:pPr>
      <w:r>
        <w:separator/>
      </w:r>
    </w:p>
    <w:p w14:paraId="10012861" w14:textId="77777777" w:rsidR="00E63A27" w:rsidRDefault="00E63A27"/>
  </w:footnote>
  <w:footnote w:type="continuationSeparator" w:id="0">
    <w:p w14:paraId="42C16E04" w14:textId="77777777" w:rsidR="00E63A27" w:rsidRDefault="00E63A27" w:rsidP="00BA4C0C">
      <w:pPr>
        <w:spacing w:after="0" w:line="240" w:lineRule="auto"/>
      </w:pPr>
      <w:r>
        <w:continuationSeparator/>
      </w:r>
    </w:p>
    <w:p w14:paraId="11A65810" w14:textId="77777777" w:rsidR="00E63A27" w:rsidRDefault="00E63A27"/>
  </w:footnote>
  <w:footnote w:type="continuationNotice" w:id="1">
    <w:p w14:paraId="7FEB74E8" w14:textId="77777777" w:rsidR="00E63A27" w:rsidRDefault="00E63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5917FBA">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75348181" w:rsidR="00913691" w:rsidRPr="005D4B8A" w:rsidRDefault="002C0BEB" w:rsidP="00913691">
                          <w:pPr>
                            <w:ind w:right="-50"/>
                            <w:jc w:val="right"/>
                            <w:rPr>
                              <w:b/>
                              <w:sz w:val="48"/>
                            </w:rPr>
                          </w:pPr>
                          <w:r>
                            <w:rPr>
                              <w:b/>
                              <w:sz w:val="48"/>
                            </w:rPr>
                            <w:t>ITS64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75348181" w:rsidR="00913691" w:rsidRPr="005D4B8A" w:rsidRDefault="002C0BEB" w:rsidP="00913691">
                    <w:pPr>
                      <w:ind w:right="-50"/>
                      <w:jc w:val="right"/>
                      <w:rPr>
                        <w:b/>
                        <w:sz w:val="48"/>
                      </w:rPr>
                    </w:pPr>
                    <w:r>
                      <w:rPr>
                        <w:b/>
                        <w:sz w:val="48"/>
                      </w:rPr>
                      <w:t>ITS64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1B7D81D5">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56A947B" w:rsidR="00DD35D3" w:rsidRPr="00492CC3" w:rsidRDefault="003A5B39">
                          <w:pPr>
                            <w:ind w:right="-50"/>
                            <w:jc w:val="right"/>
                            <w:rPr>
                              <w:b/>
                              <w:sz w:val="52"/>
                              <w:szCs w:val="24"/>
                            </w:rPr>
                          </w:pPr>
                          <w:r>
                            <w:rPr>
                              <w:b/>
                              <w:sz w:val="48"/>
                            </w:rPr>
                            <w:t>ITS64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56A947B" w:rsidR="00DD35D3" w:rsidRPr="00492CC3" w:rsidRDefault="003A5B39">
                    <w:pPr>
                      <w:ind w:right="-50"/>
                      <w:jc w:val="right"/>
                      <w:rPr>
                        <w:b/>
                        <w:sz w:val="52"/>
                        <w:szCs w:val="24"/>
                      </w:rPr>
                    </w:pPr>
                    <w:r>
                      <w:rPr>
                        <w:b/>
                        <w:sz w:val="48"/>
                      </w:rPr>
                      <w:t>ITS64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F70D2"/>
    <w:multiLevelType w:val="hybridMultilevel"/>
    <w:tmpl w:val="F69C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E6680"/>
    <w:multiLevelType w:val="hybridMultilevel"/>
    <w:tmpl w:val="13B4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A731E"/>
    <w:multiLevelType w:val="hybridMultilevel"/>
    <w:tmpl w:val="1F78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C5139"/>
    <w:multiLevelType w:val="hybridMultilevel"/>
    <w:tmpl w:val="B2EC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D3658"/>
    <w:multiLevelType w:val="hybridMultilevel"/>
    <w:tmpl w:val="5754B3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12B4B"/>
    <w:multiLevelType w:val="multilevel"/>
    <w:tmpl w:val="54A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911DBE"/>
    <w:multiLevelType w:val="hybridMultilevel"/>
    <w:tmpl w:val="59B4B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90498"/>
    <w:multiLevelType w:val="hybridMultilevel"/>
    <w:tmpl w:val="D38E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E56C8"/>
    <w:multiLevelType w:val="hybridMultilevel"/>
    <w:tmpl w:val="677A090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26147"/>
    <w:multiLevelType w:val="hybridMultilevel"/>
    <w:tmpl w:val="7F4863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09204A"/>
    <w:multiLevelType w:val="hybridMultilevel"/>
    <w:tmpl w:val="9D1495D6"/>
    <w:lvl w:ilvl="0" w:tplc="04090001">
      <w:start w:val="1"/>
      <w:numFmt w:val="bullet"/>
      <w:lvlText w:val=""/>
      <w:lvlJc w:val="left"/>
      <w:pPr>
        <w:ind w:left="820" w:hanging="360"/>
      </w:pPr>
      <w:rPr>
        <w:rFonts w:ascii="Symbol" w:hAnsi="Symbol"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3" w15:restartNumberingAfterBreak="0">
    <w:nsid w:val="5BE228FB"/>
    <w:multiLevelType w:val="hybridMultilevel"/>
    <w:tmpl w:val="CA52521E"/>
    <w:lvl w:ilvl="0" w:tplc="48020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494C22"/>
    <w:multiLevelType w:val="multilevel"/>
    <w:tmpl w:val="EDD259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19C6A14"/>
    <w:multiLevelType w:val="hybridMultilevel"/>
    <w:tmpl w:val="A1D84E9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68380572"/>
    <w:multiLevelType w:val="hybridMultilevel"/>
    <w:tmpl w:val="121066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721769"/>
    <w:multiLevelType w:val="hybridMultilevel"/>
    <w:tmpl w:val="4BFA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42F35"/>
    <w:multiLevelType w:val="hybridMultilevel"/>
    <w:tmpl w:val="E4F05D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F05ED"/>
    <w:multiLevelType w:val="hybridMultilevel"/>
    <w:tmpl w:val="096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45633"/>
    <w:multiLevelType w:val="hybridMultilevel"/>
    <w:tmpl w:val="089E011A"/>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8107D5"/>
    <w:multiLevelType w:val="hybridMultilevel"/>
    <w:tmpl w:val="4170D4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8"/>
  </w:num>
  <w:num w:numId="4" w16cid:durableId="896821583">
    <w:abstractNumId w:val="20"/>
  </w:num>
  <w:num w:numId="5" w16cid:durableId="1108283029">
    <w:abstractNumId w:val="6"/>
  </w:num>
  <w:num w:numId="6" w16cid:durableId="1586958684">
    <w:abstractNumId w:val="11"/>
  </w:num>
  <w:num w:numId="7" w16cid:durableId="517740112">
    <w:abstractNumId w:val="14"/>
  </w:num>
  <w:num w:numId="8" w16cid:durableId="599144571">
    <w:abstractNumId w:val="29"/>
  </w:num>
  <w:num w:numId="9" w16cid:durableId="55519776">
    <w:abstractNumId w:val="16"/>
  </w:num>
  <w:num w:numId="10" w16cid:durableId="452554056">
    <w:abstractNumId w:val="10"/>
  </w:num>
  <w:num w:numId="11" w16cid:durableId="9114506">
    <w:abstractNumId w:val="13"/>
  </w:num>
  <w:num w:numId="12" w16cid:durableId="1840392131">
    <w:abstractNumId w:val="2"/>
  </w:num>
  <w:num w:numId="13" w16cid:durableId="271716133">
    <w:abstractNumId w:val="12"/>
  </w:num>
  <w:num w:numId="14" w16cid:durableId="1438595447">
    <w:abstractNumId w:val="17"/>
  </w:num>
  <w:num w:numId="15" w16cid:durableId="1727222231">
    <w:abstractNumId w:val="5"/>
  </w:num>
  <w:num w:numId="16" w16cid:durableId="1693652702">
    <w:abstractNumId w:val="25"/>
  </w:num>
  <w:num w:numId="17" w16cid:durableId="1415398405">
    <w:abstractNumId w:val="7"/>
  </w:num>
  <w:num w:numId="18" w16cid:durableId="1101415562">
    <w:abstractNumId w:val="23"/>
  </w:num>
  <w:num w:numId="19" w16cid:durableId="1155221591">
    <w:abstractNumId w:val="27"/>
  </w:num>
  <w:num w:numId="20" w16cid:durableId="608851003">
    <w:abstractNumId w:val="9"/>
  </w:num>
  <w:num w:numId="21" w16cid:durableId="494538269">
    <w:abstractNumId w:val="3"/>
  </w:num>
  <w:num w:numId="22" w16cid:durableId="391656476">
    <w:abstractNumId w:val="18"/>
  </w:num>
  <w:num w:numId="23" w16cid:durableId="1800294957">
    <w:abstractNumId w:val="24"/>
  </w:num>
  <w:num w:numId="24" w16cid:durableId="119954855">
    <w:abstractNumId w:val="4"/>
  </w:num>
  <w:num w:numId="25" w16cid:durableId="1095516196">
    <w:abstractNumId w:val="15"/>
  </w:num>
  <w:num w:numId="26" w16cid:durableId="1215891542">
    <w:abstractNumId w:val="30"/>
  </w:num>
  <w:num w:numId="27" w16cid:durableId="11297443">
    <w:abstractNumId w:val="22"/>
  </w:num>
  <w:num w:numId="28" w16cid:durableId="1272588082">
    <w:abstractNumId w:val="26"/>
  </w:num>
  <w:num w:numId="29" w16cid:durableId="1970626263">
    <w:abstractNumId w:val="19"/>
  </w:num>
  <w:num w:numId="30" w16cid:durableId="958949939">
    <w:abstractNumId w:val="31"/>
  </w:num>
  <w:num w:numId="31" w16cid:durableId="816412565">
    <w:abstractNumId w:val="28"/>
  </w:num>
  <w:num w:numId="32" w16cid:durableId="438525998">
    <w:abstractNumId w:val="32"/>
  </w:num>
  <w:num w:numId="33" w16cid:durableId="11742198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311"/>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14"/>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3FBB"/>
    <w:rsid w:val="00054340"/>
    <w:rsid w:val="0005508B"/>
    <w:rsid w:val="00055156"/>
    <w:rsid w:val="00055222"/>
    <w:rsid w:val="00055356"/>
    <w:rsid w:val="0005582A"/>
    <w:rsid w:val="0005642B"/>
    <w:rsid w:val="0005684F"/>
    <w:rsid w:val="000569DD"/>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81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6D98"/>
    <w:rsid w:val="000C7194"/>
    <w:rsid w:val="000C794C"/>
    <w:rsid w:val="000C7969"/>
    <w:rsid w:val="000C7A46"/>
    <w:rsid w:val="000D012D"/>
    <w:rsid w:val="000D0603"/>
    <w:rsid w:val="000D134C"/>
    <w:rsid w:val="000D1573"/>
    <w:rsid w:val="000D1F0B"/>
    <w:rsid w:val="000D2CE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08C"/>
    <w:rsid w:val="000D73B9"/>
    <w:rsid w:val="000D758F"/>
    <w:rsid w:val="000D7FAE"/>
    <w:rsid w:val="000E01B4"/>
    <w:rsid w:val="000E0426"/>
    <w:rsid w:val="000E0A48"/>
    <w:rsid w:val="000E0B52"/>
    <w:rsid w:val="000E165F"/>
    <w:rsid w:val="000E168D"/>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4DD2"/>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5E56"/>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11"/>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87C"/>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2E7B"/>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66A"/>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4B5C"/>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1E8"/>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386"/>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D2A"/>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4B75"/>
    <w:rsid w:val="00275216"/>
    <w:rsid w:val="002759CB"/>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0BEB"/>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A82"/>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4FD"/>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5E30"/>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5E70"/>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245"/>
    <w:rsid w:val="0032736B"/>
    <w:rsid w:val="00327761"/>
    <w:rsid w:val="00327853"/>
    <w:rsid w:val="00327932"/>
    <w:rsid w:val="003300E5"/>
    <w:rsid w:val="00330C0C"/>
    <w:rsid w:val="00330D13"/>
    <w:rsid w:val="00331685"/>
    <w:rsid w:val="003317A0"/>
    <w:rsid w:val="00331A19"/>
    <w:rsid w:val="00331AFC"/>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B39"/>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2532"/>
    <w:rsid w:val="003C2FB8"/>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C7EF6"/>
    <w:rsid w:val="003D03B0"/>
    <w:rsid w:val="003D098B"/>
    <w:rsid w:val="003D0B01"/>
    <w:rsid w:val="003D0BB5"/>
    <w:rsid w:val="003D171F"/>
    <w:rsid w:val="003D1D70"/>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0EDE"/>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B91"/>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4C"/>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4DAA"/>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CB9"/>
    <w:rsid w:val="00451F2D"/>
    <w:rsid w:val="0045231F"/>
    <w:rsid w:val="004525F4"/>
    <w:rsid w:val="00452A75"/>
    <w:rsid w:val="0045374F"/>
    <w:rsid w:val="004537FC"/>
    <w:rsid w:val="0045437F"/>
    <w:rsid w:val="004553B6"/>
    <w:rsid w:val="004553D2"/>
    <w:rsid w:val="00455920"/>
    <w:rsid w:val="00455A03"/>
    <w:rsid w:val="00455DF6"/>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555"/>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D68"/>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BE9"/>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56"/>
    <w:rsid w:val="004A22D8"/>
    <w:rsid w:val="004A2317"/>
    <w:rsid w:val="004A254C"/>
    <w:rsid w:val="004A2DAA"/>
    <w:rsid w:val="004A3325"/>
    <w:rsid w:val="004A34AA"/>
    <w:rsid w:val="004A38BA"/>
    <w:rsid w:val="004A3E72"/>
    <w:rsid w:val="004A41FD"/>
    <w:rsid w:val="004A5164"/>
    <w:rsid w:val="004A54AD"/>
    <w:rsid w:val="004A551A"/>
    <w:rsid w:val="004A556D"/>
    <w:rsid w:val="004A573D"/>
    <w:rsid w:val="004A61F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D0D"/>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544"/>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C7A"/>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8E0"/>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5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18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5F1"/>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6F4"/>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E17"/>
    <w:rsid w:val="00633F74"/>
    <w:rsid w:val="006344F5"/>
    <w:rsid w:val="0063450C"/>
    <w:rsid w:val="00634AC3"/>
    <w:rsid w:val="006351A2"/>
    <w:rsid w:val="006353BA"/>
    <w:rsid w:val="0063614C"/>
    <w:rsid w:val="006369D5"/>
    <w:rsid w:val="00636A64"/>
    <w:rsid w:val="00636ABA"/>
    <w:rsid w:val="00636FE2"/>
    <w:rsid w:val="006371F6"/>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80A"/>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B52"/>
    <w:rsid w:val="00672EDB"/>
    <w:rsid w:val="0067314A"/>
    <w:rsid w:val="00674652"/>
    <w:rsid w:val="00674E3D"/>
    <w:rsid w:val="0067535E"/>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46A3"/>
    <w:rsid w:val="006C53C2"/>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0BC"/>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5F18"/>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C21"/>
    <w:rsid w:val="00717F45"/>
    <w:rsid w:val="007206C5"/>
    <w:rsid w:val="00720B50"/>
    <w:rsid w:val="00720C80"/>
    <w:rsid w:val="00720FCF"/>
    <w:rsid w:val="007213BC"/>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23"/>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67D4"/>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3DF9"/>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0E20"/>
    <w:rsid w:val="008711DC"/>
    <w:rsid w:val="00871B2A"/>
    <w:rsid w:val="00871F89"/>
    <w:rsid w:val="008730B3"/>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5F70"/>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741"/>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673E"/>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579E"/>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0970"/>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2F4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64F"/>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778A"/>
    <w:rsid w:val="009C04CB"/>
    <w:rsid w:val="009C08B7"/>
    <w:rsid w:val="009C0D72"/>
    <w:rsid w:val="009C11B8"/>
    <w:rsid w:val="009C15B9"/>
    <w:rsid w:val="009C1D63"/>
    <w:rsid w:val="009C1ECD"/>
    <w:rsid w:val="009C275B"/>
    <w:rsid w:val="009C3AE4"/>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30"/>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0E29"/>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492"/>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069"/>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392F"/>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1F06"/>
    <w:rsid w:val="00A823C1"/>
    <w:rsid w:val="00A8273C"/>
    <w:rsid w:val="00A82EE7"/>
    <w:rsid w:val="00A831DA"/>
    <w:rsid w:val="00A83E4F"/>
    <w:rsid w:val="00A84325"/>
    <w:rsid w:val="00A84D37"/>
    <w:rsid w:val="00A84F4C"/>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11B5"/>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079"/>
    <w:rsid w:val="00B042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7B9"/>
    <w:rsid w:val="00B16931"/>
    <w:rsid w:val="00B16A2E"/>
    <w:rsid w:val="00B16A8E"/>
    <w:rsid w:val="00B16D23"/>
    <w:rsid w:val="00B16FE1"/>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220"/>
    <w:rsid w:val="00B454CA"/>
    <w:rsid w:val="00B45644"/>
    <w:rsid w:val="00B45EF5"/>
    <w:rsid w:val="00B465DF"/>
    <w:rsid w:val="00B46675"/>
    <w:rsid w:val="00B47A8E"/>
    <w:rsid w:val="00B50291"/>
    <w:rsid w:val="00B502B9"/>
    <w:rsid w:val="00B50593"/>
    <w:rsid w:val="00B50603"/>
    <w:rsid w:val="00B50B0B"/>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C7D6B"/>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4A27"/>
    <w:rsid w:val="00BD523D"/>
    <w:rsid w:val="00BD59DC"/>
    <w:rsid w:val="00BD62F1"/>
    <w:rsid w:val="00BD658C"/>
    <w:rsid w:val="00BD68D3"/>
    <w:rsid w:val="00BD6A11"/>
    <w:rsid w:val="00BD6AE4"/>
    <w:rsid w:val="00BD6E51"/>
    <w:rsid w:val="00BD7316"/>
    <w:rsid w:val="00BD7747"/>
    <w:rsid w:val="00BD7B75"/>
    <w:rsid w:val="00BE1148"/>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4C2E"/>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290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1A8"/>
    <w:rsid w:val="00C653B3"/>
    <w:rsid w:val="00C65C36"/>
    <w:rsid w:val="00C6715F"/>
    <w:rsid w:val="00C67564"/>
    <w:rsid w:val="00C67682"/>
    <w:rsid w:val="00C67C10"/>
    <w:rsid w:val="00C67F4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8DF"/>
    <w:rsid w:val="00CA4C3A"/>
    <w:rsid w:val="00CA4DFD"/>
    <w:rsid w:val="00CA4E94"/>
    <w:rsid w:val="00CA542A"/>
    <w:rsid w:val="00CA58AB"/>
    <w:rsid w:val="00CA6586"/>
    <w:rsid w:val="00CA6641"/>
    <w:rsid w:val="00CA6DF2"/>
    <w:rsid w:val="00CA72C8"/>
    <w:rsid w:val="00CA74B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E3D"/>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2F"/>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18A0"/>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19C"/>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921"/>
    <w:rsid w:val="00E30D14"/>
    <w:rsid w:val="00E31727"/>
    <w:rsid w:val="00E31AA3"/>
    <w:rsid w:val="00E31AC0"/>
    <w:rsid w:val="00E3202F"/>
    <w:rsid w:val="00E32E01"/>
    <w:rsid w:val="00E33503"/>
    <w:rsid w:val="00E3354F"/>
    <w:rsid w:val="00E3399C"/>
    <w:rsid w:val="00E33C01"/>
    <w:rsid w:val="00E33E5D"/>
    <w:rsid w:val="00E348FD"/>
    <w:rsid w:val="00E35733"/>
    <w:rsid w:val="00E35A26"/>
    <w:rsid w:val="00E35F7B"/>
    <w:rsid w:val="00E365B8"/>
    <w:rsid w:val="00E37447"/>
    <w:rsid w:val="00E37549"/>
    <w:rsid w:val="00E3784A"/>
    <w:rsid w:val="00E37E18"/>
    <w:rsid w:val="00E4037B"/>
    <w:rsid w:val="00E4091E"/>
    <w:rsid w:val="00E412A2"/>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26"/>
    <w:rsid w:val="00E47EF9"/>
    <w:rsid w:val="00E501C0"/>
    <w:rsid w:val="00E507FC"/>
    <w:rsid w:val="00E5099A"/>
    <w:rsid w:val="00E51057"/>
    <w:rsid w:val="00E5125C"/>
    <w:rsid w:val="00E51D03"/>
    <w:rsid w:val="00E51F06"/>
    <w:rsid w:val="00E52167"/>
    <w:rsid w:val="00E52312"/>
    <w:rsid w:val="00E523CF"/>
    <w:rsid w:val="00E53092"/>
    <w:rsid w:val="00E5363E"/>
    <w:rsid w:val="00E53E55"/>
    <w:rsid w:val="00E53F93"/>
    <w:rsid w:val="00E54235"/>
    <w:rsid w:val="00E54275"/>
    <w:rsid w:val="00E54602"/>
    <w:rsid w:val="00E54801"/>
    <w:rsid w:val="00E548FF"/>
    <w:rsid w:val="00E54D0E"/>
    <w:rsid w:val="00E55A13"/>
    <w:rsid w:val="00E55AAB"/>
    <w:rsid w:val="00E55DBC"/>
    <w:rsid w:val="00E56042"/>
    <w:rsid w:val="00E5627A"/>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A27"/>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3D32"/>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0B8B"/>
    <w:rsid w:val="00ED150D"/>
    <w:rsid w:val="00ED195A"/>
    <w:rsid w:val="00ED1C51"/>
    <w:rsid w:val="00ED21D8"/>
    <w:rsid w:val="00ED2378"/>
    <w:rsid w:val="00ED285F"/>
    <w:rsid w:val="00ED2E9B"/>
    <w:rsid w:val="00ED4906"/>
    <w:rsid w:val="00ED563B"/>
    <w:rsid w:val="00ED588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AF"/>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7E7"/>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3F"/>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578"/>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2C16"/>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B20"/>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5DD"/>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B8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6E0A"/>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EDD"/>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E79FF"/>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1"/>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i18n-phonenumber">
    <w:name w:val="i18n-phonenumber"/>
    <w:basedOn w:val="DefaultParagraphFont"/>
    <w:rsid w:val="00C6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ua.flanagan-lanier@mass.gov" TargetMode="External"/><Relationship Id="rId18" Type="http://schemas.openxmlformats.org/officeDocument/2006/relationships/footer" Target="footer2.xml"/><Relationship Id="rId26" Type="http://schemas.openxmlformats.org/officeDocument/2006/relationships/hyperlink" Target="mailto:OSDhelpdesk@mass.gov" TargetMode="External"/><Relationship Id="rId39" Type="http://schemas.openxmlformats.org/officeDocument/2006/relationships/hyperlink" Target="mailto:joshua.flanagan-lanier@mass.gov" TargetMode="External"/><Relationship Id="rId3" Type="http://schemas.openxmlformats.org/officeDocument/2006/relationships/customXml" Target="../customXml/item3.xml"/><Relationship Id="rId21" Type="http://schemas.openxmlformats.org/officeDocument/2006/relationships/hyperlink" Target="https://www.commbuys.com/bso/external/purchaseorder/poSummary.sdo?docId=PO-18-1080-OSD03-SRC01-13443&amp;releaseNbr=0&amp;parentUrl=contract" TargetMode="External"/><Relationship Id="rId34" Type="http://schemas.openxmlformats.org/officeDocument/2006/relationships/hyperlink" Target="https://www.mass.gov/doc/best-value-evaluation-of-responses-to-small-procurements-a-guide-for-strategic-sourcing-teams/download" TargetMode="External"/><Relationship Id="rId42" Type="http://schemas.openxmlformats.org/officeDocument/2006/relationships/hyperlink" Target="mailto:Comptroller.Info@mass.gov" TargetMode="External"/><Relationship Id="rId47" Type="http://schemas.openxmlformats.org/officeDocument/2006/relationships/hyperlink" Target="http://www.mass.gov/anf/docs/osd/forms/req-it.doc" TargetMode="External"/><Relationship Id="rId50" Type="http://schemas.openxmlformats.org/officeDocument/2006/relationships/hyperlink" Target="https://www.commbuys.com/bso/external/purchaseorder/poSummary.sdo?docId=PO-18-1080-OSD03-SRC01-13443&amp;releaseNbr=0&amp;parentUrl=contract" TargetMode="External"/><Relationship Id="rId7" Type="http://schemas.openxmlformats.org/officeDocument/2006/relationships/settings" Target="settings.xml"/><Relationship Id="rId12" Type="http://schemas.openxmlformats.org/officeDocument/2006/relationships/hyperlink" Target="mailto:Kerri.quinn@mass.gov" TargetMode="External"/><Relationship Id="rId17" Type="http://schemas.openxmlformats.org/officeDocument/2006/relationships/header" Target="header2.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https://www.mass.gov/doc/best-value-evaluation-of-sdp-plan-forms-a-guide-for-strategic-sourcing-teams/download" TargetMode="External"/><Relationship Id="rId38" Type="http://schemas.openxmlformats.org/officeDocument/2006/relationships/hyperlink" Target="mailto:Kerri.quinn@mass.gov" TargetMode="External"/><Relationship Id="rId46" Type="http://schemas.openxmlformats.org/officeDocument/2006/relationships/hyperlink" Target="https://www.mass.gov/guides/web-accessibility-standard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www.mass.gov/orgs/supplier-diversity-office-sdo" TargetMode="External"/><Relationship Id="rId41" Type="http://schemas.openxmlformats.org/officeDocument/2006/relationships/hyperlink" Target="mailto:joshua.flanagan-lanier@mas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mmbuys.com/bso/external/purchaseorder/poSummary.sdo?docId=PO-18-1080-OSD03-SRC01-13443&amp;releaseNbr=0&amp;parentUrl=contract" TargetMode="External"/><Relationship Id="rId32" Type="http://schemas.openxmlformats.org/officeDocument/2006/relationships/hyperlink" Target="https://www.mass.gov/doc/statewide-contract-index" TargetMode="External"/><Relationship Id="rId37" Type="http://schemas.openxmlformats.org/officeDocument/2006/relationships/hyperlink" Target="https://go.procurated.com/ma-statewide/" TargetMode="External"/><Relationship Id="rId40" Type="http://schemas.openxmlformats.org/officeDocument/2006/relationships/hyperlink" Target="mailto:Kerri.quinn@mass.gov" TargetMode="External"/><Relationship Id="rId45" Type="http://schemas.openxmlformats.org/officeDocument/2006/relationships/hyperlink" Target="https://www.mass.gov/handbook/enterprise-information-security-policies-and-standards"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tcontracts@mass.gov" TargetMode="External"/><Relationship Id="rId28" Type="http://schemas.openxmlformats.org/officeDocument/2006/relationships/hyperlink" Target="https://www.commbuys.com/bso/external/purchaseorder/poSummary.sdo?docId=PO-18-1080-OSD03-SRC01-13443&amp;releaseNbr=0&amp;parentUrl=contract" TargetMode="External"/><Relationship Id="rId36" Type="http://schemas.openxmlformats.org/officeDocument/2006/relationships/hyperlink" Target="https://www.macomptroller.org/wp-content/uploads/instructions_standard-contract-form.pdf" TargetMode="External"/><Relationship Id="rId49" Type="http://schemas.openxmlformats.org/officeDocument/2006/relationships/hyperlink" Target="https://www.mass.gov/handbook/enterprise-information-security-policies-and-standard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mass.gov/supplier-diversity-program-sdp?_gl=1*1dd4k06*_ga*NDExMTU1ODA0LjE3MzYzNDk5NDE.*_ga_MCLPEGW7WM*czE3NTY5MTE2ODkkbzM2OSRnMSR0MTc1NjkxMzk5MCRqNTckbDAkaDA." TargetMode="External"/><Relationship Id="rId44" Type="http://schemas.openxmlformats.org/officeDocument/2006/relationships/hyperlink" Target="https://www.mass.gov/service-details/accessibility-for-it-solutions-contract-language" TargetMode="External"/><Relationship Id="rId52" Type="http://schemas.openxmlformats.org/officeDocument/2006/relationships/hyperlink" Target="https://www.commbuys.com/bso/external/purchaseorder/poSummary.sdo?docId=PO-18-1080-OSD03-SRC01-13443&amp;releaseNbr=0&amp;parentUrl=contr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3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3" Type="http://schemas.openxmlformats.org/officeDocument/2006/relationships/hyperlink" Target="https://www.mass.gov/doc/rfr-required-specifications-for-information-technology/download" TargetMode="External"/><Relationship Id="rId48" Type="http://schemas.openxmlformats.org/officeDocument/2006/relationships/hyperlink" Target="https://www.mass.gov/service-details/accessibility-for-it-solutions-contract-language" TargetMode="External"/><Relationship Id="rId8" Type="http://schemas.openxmlformats.org/officeDocument/2006/relationships/webSettings" Target="webSettings.xml"/><Relationship Id="rId51"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6ee9f50-18ec-4818-97aa-2747471add99"/>
    <ds:schemaRef ds:uri="http://www.w3.org/XML/1998/namespace"/>
    <ds:schemaRef ds:uri="http://purl.org/dc/dcmitype/"/>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49F41713-3C2F-4069-BEDE-77DCDEEAA189}"/>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327</TotalTime>
  <Pages>16</Pages>
  <Words>4478</Words>
  <Characters>25529</Characters>
  <Application>Microsoft Office Word</Application>
  <DocSecurity>2</DocSecurity>
  <Lines>212</Lines>
  <Paragraphs>59</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29948</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Pierre, Suzzanne (OSD)</cp:lastModifiedBy>
  <cp:revision>113</cp:revision>
  <cp:lastPrinted>2025-03-26T02:19:00Z</cp:lastPrinted>
  <dcterms:created xsi:type="dcterms:W3CDTF">2025-11-07T14:51:00Z</dcterms:created>
  <dcterms:modified xsi:type="dcterms:W3CDTF">2025-11-10T21:50:00Z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