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9CEC" w14:textId="6C2C04CB" w:rsidR="00D45CA9" w:rsidRDefault="002F0479" w:rsidP="00DA1A1E">
      <w:pPr>
        <w:jc w:val="center"/>
      </w:pPr>
      <w:r>
        <w:t>Testimony DPH February 13, 2026</w:t>
      </w:r>
    </w:p>
    <w:p w14:paraId="370B9044" w14:textId="77777777" w:rsidR="002F0479" w:rsidRDefault="002F0479" w:rsidP="00DA1A1E">
      <w:pPr>
        <w:jc w:val="center"/>
      </w:pPr>
    </w:p>
    <w:p w14:paraId="6CA895F2" w14:textId="40F187ED" w:rsidR="002F0479" w:rsidRDefault="00DA1A1E" w:rsidP="00DA1A1E">
      <w:pPr>
        <w:pStyle w:val="p1"/>
        <w:jc w:val="center"/>
      </w:pPr>
      <w:r>
        <w:t>James Lomastro PhD</w:t>
      </w:r>
    </w:p>
    <w:p w14:paraId="2EE4A79F" w14:textId="20DA278D" w:rsidR="00DA1A1E" w:rsidRDefault="00DA1A1E" w:rsidP="00DA1A1E">
      <w:pPr>
        <w:pStyle w:val="p1"/>
        <w:jc w:val="center"/>
      </w:pPr>
      <w:r>
        <w:t>Facilities Committee Coordinator. Dignity Alliance of Massachusetts</w:t>
      </w:r>
    </w:p>
    <w:p w14:paraId="16D80252" w14:textId="41C0DF8F" w:rsidR="00DA1A1E" w:rsidRDefault="00DA1A1E" w:rsidP="00DA1A1E">
      <w:pPr>
        <w:pStyle w:val="p1"/>
        <w:jc w:val="center"/>
      </w:pPr>
      <w:r>
        <w:t xml:space="preserve">Oral Testimony </w:t>
      </w:r>
    </w:p>
    <w:p w14:paraId="0366ECD0" w14:textId="00EE3E30" w:rsidR="00DA1A1E" w:rsidRDefault="00DA1A1E" w:rsidP="002F0479">
      <w:pPr>
        <w:pStyle w:val="p1"/>
      </w:pPr>
    </w:p>
    <w:p w14:paraId="1C3E2160" w14:textId="39F95140" w:rsidR="002F0479" w:rsidRDefault="002F0479" w:rsidP="00DA1A1E">
      <w:pPr>
        <w:pStyle w:val="p1"/>
      </w:pPr>
      <w:r>
        <w:t xml:space="preserve">Good </w:t>
      </w:r>
      <w:r w:rsidR="00DA1A1E">
        <w:t>morning and</w:t>
      </w:r>
      <w:r>
        <w:t xml:space="preserve"> thank you for the opportunity to testify.</w:t>
      </w:r>
    </w:p>
    <w:p w14:paraId="16930EEF" w14:textId="77777777" w:rsidR="002F0479" w:rsidRDefault="002F0479" w:rsidP="002F0479">
      <w:pPr>
        <w:pStyle w:val="p1"/>
      </w:pPr>
      <w:r>
        <w:t>My name is James Lomastro, and I’m speaking today regarding the proposed amendments to 105 CMR 150 and 105 CMR 153 implementing Chapter 197 of the Acts of 2024.</w:t>
      </w:r>
    </w:p>
    <w:p w14:paraId="6C83C8FD" w14:textId="77777777" w:rsidR="002F0479" w:rsidRDefault="002F0479" w:rsidP="002F0479">
      <w:pPr>
        <w:pStyle w:val="p1"/>
      </w:pPr>
      <w:r>
        <w:t>Let me begin by acknowledging something important: these regulations are legally grounded and largely faithful to the statute. The Department has acted within its authority in expanding suitability review, strengthening outbreak response planning, requiring annual inspections, regulating small house nursing homes, and mandating training protections for LGBTQI+ residents and individuals living with HIV.</w:t>
      </w:r>
    </w:p>
    <w:p w14:paraId="3C5EAE7B" w14:textId="77777777" w:rsidR="002F0479" w:rsidRDefault="002F0479" w:rsidP="002F0479">
      <w:pPr>
        <w:pStyle w:val="p1"/>
      </w:pPr>
      <w:r>
        <w:t>Those are meaningful steps.</w:t>
      </w:r>
    </w:p>
    <w:p w14:paraId="36292CD0" w14:textId="77777777" w:rsidR="002F0479" w:rsidRDefault="002F0479" w:rsidP="002F0479">
      <w:pPr>
        <w:pStyle w:val="p1"/>
      </w:pPr>
      <w:r>
        <w:t>At the same time, Chapter 197 was enacted in response to systemic breakdowns in long-term care governance. It was not simply about adding procedural steps. It was about restoring confidence — for residents, families, providers, and regulators — that the system can prevent recurring harm.</w:t>
      </w:r>
    </w:p>
    <w:p w14:paraId="6E885A7A" w14:textId="570A530C" w:rsidR="002F0479" w:rsidRDefault="00DA1A1E" w:rsidP="00DA1A1E">
      <w:pPr>
        <w:pStyle w:val="p1"/>
      </w:pPr>
      <w:r>
        <w:t>T</w:t>
      </w:r>
      <w:r w:rsidR="002F0479">
        <w:t>hat is where I believe this conversation needs to focus.</w:t>
      </w:r>
    </w:p>
    <w:p w14:paraId="0003E58C" w14:textId="77777777" w:rsidR="002F0479" w:rsidRDefault="002F0479" w:rsidP="002F0479">
      <w:pPr>
        <w:pStyle w:val="p1"/>
      </w:pPr>
      <w:r>
        <w:t>The proposed regulations expand oversight authority. But in several areas, they continue to rely primarily on administrative discretion rather than embedding clearer governance standards.</w:t>
      </w:r>
    </w:p>
    <w:p w14:paraId="093A8F29" w14:textId="4220D7C3" w:rsidR="002F0479" w:rsidRDefault="002F0479" w:rsidP="00DA1A1E">
      <w:pPr>
        <w:pStyle w:val="p1"/>
      </w:pPr>
      <w:r>
        <w:t>For example:</w:t>
      </w:r>
    </w:p>
    <w:p w14:paraId="6AA04573" w14:textId="01023CF8" w:rsidR="002F0479" w:rsidRDefault="002F0479" w:rsidP="00DA1A1E">
      <w:pPr>
        <w:pStyle w:val="p1"/>
      </w:pPr>
      <w:r>
        <w:t>Suitability review authority has been broadened — and that is significant. But the regulations do not require structured written findings tied to objective risk indicators such as repeated understaffing across affiliated facilities, cross-facility enforcement patterns, or material related-party financial transactions. Without clearer guardrails, suitability determinations risk remaining episodic rather than preventive.</w:t>
      </w:r>
    </w:p>
    <w:p w14:paraId="21954467" w14:textId="77777777" w:rsidR="002F0479" w:rsidRDefault="002F0479" w:rsidP="002F0479">
      <w:pPr>
        <w:pStyle w:val="p1"/>
      </w:pPr>
      <w:r>
        <w:t>Outbreak response plans are required and reviewed. But the emphasis is on submission and updating, not on outcome evaluation. If a plan fails during a real event, there is no mandatory post-incident assessment comparing assumptions to actual outcomes and requiring structural revision where mitigation measures proved insufficient.</w:t>
      </w:r>
    </w:p>
    <w:p w14:paraId="766DE9B3" w14:textId="77777777" w:rsidR="002F0479" w:rsidRDefault="002F0479" w:rsidP="002F0479">
      <w:pPr>
        <w:pStyle w:val="p2"/>
      </w:pPr>
    </w:p>
    <w:p w14:paraId="569E2A4E" w14:textId="4DE9A380" w:rsidR="002F0479" w:rsidRDefault="002F0479" w:rsidP="00DA1A1E">
      <w:pPr>
        <w:pStyle w:val="p1"/>
      </w:pPr>
      <w:r>
        <w:t>Training requirements are necessary and appropriate. Yet the regulations focus on completion of training, not on demonstrating how that training changes policy, supervision, and accountability inside the facility.</w:t>
      </w:r>
    </w:p>
    <w:p w14:paraId="36935609" w14:textId="17324231" w:rsidR="002F0479" w:rsidRDefault="002F0479" w:rsidP="00DA1A1E">
      <w:pPr>
        <w:pStyle w:val="p1"/>
      </w:pPr>
      <w:r>
        <w:t>And finally, enforcement authority is preserved — but escalation criteria remain largely discretionary. Providers in this room deserve predictability. Regulators deserve clarity. Articulating non-exclusive factors that trigger enhanced oversight would strengthen both fairness and deterrence.</w:t>
      </w:r>
    </w:p>
    <w:p w14:paraId="5365A2F3" w14:textId="7E2204D3" w:rsidR="002F0479" w:rsidRDefault="002F0479" w:rsidP="00DA1A1E">
      <w:pPr>
        <w:pStyle w:val="p1"/>
      </w:pPr>
      <w:r>
        <w:t>To be clear: none of these observations challenge the Department’s authority. And they do not presume bad faith by providers. Many facilities are operating in difficult financial and workforce conditions.</w:t>
      </w:r>
    </w:p>
    <w:p w14:paraId="2D9D74C3" w14:textId="7A20073D" w:rsidR="002F0479" w:rsidRDefault="002F0479" w:rsidP="00DA1A1E">
      <w:pPr>
        <w:pStyle w:val="p1"/>
      </w:pPr>
      <w:r>
        <w:t>But strong governance architecture protects everyone — residents first, certainly — but also responsible operators who should not be undercut by those who externalize risk.</w:t>
      </w:r>
    </w:p>
    <w:p w14:paraId="5068A506" w14:textId="39C2A147" w:rsidR="002F0479" w:rsidRDefault="002F0479" w:rsidP="00DA1A1E">
      <w:pPr>
        <w:pStyle w:val="p1"/>
      </w:pPr>
      <w:r>
        <w:t>Chapter 197 created an opportunity not just to expand oversight, but to make oversight more structural, more transparent, and more preventive.</w:t>
      </w:r>
    </w:p>
    <w:p w14:paraId="598FBE5B" w14:textId="77777777" w:rsidR="002F0479" w:rsidRDefault="002F0479" w:rsidP="002F0479">
      <w:pPr>
        <w:pStyle w:val="p1"/>
      </w:pPr>
      <w:r>
        <w:t>I respectfully urge the Department to consider targeted clarifications:</w:t>
      </w:r>
    </w:p>
    <w:p w14:paraId="7A868777" w14:textId="77777777" w:rsidR="002F0479" w:rsidRDefault="002F0479" w:rsidP="002F0479">
      <w:pPr>
        <w:pStyle w:val="p2"/>
      </w:pPr>
    </w:p>
    <w:p w14:paraId="1607DB57" w14:textId="77777777" w:rsidR="002F0479" w:rsidRDefault="002F0479" w:rsidP="002F0479">
      <w:pPr>
        <w:pStyle w:val="p1"/>
      </w:pPr>
      <w:r>
        <w:t>Requiring written suitability findings tied to defined governance risk factors.</w:t>
      </w:r>
    </w:p>
    <w:p w14:paraId="46765CDD" w14:textId="77777777" w:rsidR="002F0479" w:rsidRDefault="002F0479" w:rsidP="002F0479">
      <w:pPr>
        <w:pStyle w:val="p2"/>
      </w:pPr>
    </w:p>
    <w:p w14:paraId="45D57655" w14:textId="77777777" w:rsidR="002F0479" w:rsidRDefault="002F0479" w:rsidP="002F0479">
      <w:pPr>
        <w:pStyle w:val="p1"/>
      </w:pPr>
      <w:r>
        <w:t>Mandating post-outbreak outcome assessments.</w:t>
      </w:r>
    </w:p>
    <w:p w14:paraId="292971DF" w14:textId="77777777" w:rsidR="002F0479" w:rsidRDefault="002F0479" w:rsidP="002F0479">
      <w:pPr>
        <w:pStyle w:val="p2"/>
      </w:pPr>
    </w:p>
    <w:p w14:paraId="36024D6E" w14:textId="77777777" w:rsidR="002F0479" w:rsidRDefault="002F0479" w:rsidP="002F0479">
      <w:pPr>
        <w:pStyle w:val="p1"/>
      </w:pPr>
      <w:r>
        <w:t>Requiring documentation showing how mandated training is operationalized.</w:t>
      </w:r>
    </w:p>
    <w:p w14:paraId="11615180" w14:textId="77777777" w:rsidR="002F0479" w:rsidRDefault="002F0479" w:rsidP="002F0479">
      <w:pPr>
        <w:pStyle w:val="p2"/>
      </w:pPr>
    </w:p>
    <w:p w14:paraId="5D805B7D" w14:textId="77777777" w:rsidR="002F0479" w:rsidRDefault="002F0479" w:rsidP="002F0479">
      <w:pPr>
        <w:pStyle w:val="p1"/>
      </w:pPr>
      <w:r>
        <w:t>And articulating clear, though flexible, factors that guide enforcement escalation.</w:t>
      </w:r>
    </w:p>
    <w:p w14:paraId="2042A8E6" w14:textId="77777777" w:rsidR="002F0479" w:rsidRDefault="002F0479" w:rsidP="002F0479">
      <w:pPr>
        <w:pStyle w:val="p2"/>
      </w:pPr>
    </w:p>
    <w:p w14:paraId="385634E8" w14:textId="77777777" w:rsidR="002F0479" w:rsidRDefault="002F0479" w:rsidP="002F0479">
      <w:pPr>
        <w:pStyle w:val="p1"/>
      </w:pPr>
      <w:r>
        <w:t>These are not radical changes. They are refinements that align authority with accountability.</w:t>
      </w:r>
    </w:p>
    <w:p w14:paraId="5E386858" w14:textId="77777777" w:rsidR="002F0479" w:rsidRDefault="002F0479" w:rsidP="002F0479">
      <w:pPr>
        <w:pStyle w:val="p2"/>
      </w:pPr>
    </w:p>
    <w:p w14:paraId="3507DD6C" w14:textId="77777777" w:rsidR="002F0479" w:rsidRDefault="002F0479" w:rsidP="002F0479">
      <w:pPr>
        <w:pStyle w:val="p1"/>
      </w:pPr>
      <w:r>
        <w:lastRenderedPageBreak/>
        <w:t>In a room like this, we all share a common interest: durable quality, predictable standards, and public trust.</w:t>
      </w:r>
    </w:p>
    <w:p w14:paraId="09C64FD4" w14:textId="77777777" w:rsidR="002F0479" w:rsidRDefault="002F0479" w:rsidP="002F0479">
      <w:pPr>
        <w:pStyle w:val="p2"/>
      </w:pPr>
    </w:p>
    <w:p w14:paraId="17F13875" w14:textId="77777777" w:rsidR="002F0479" w:rsidRDefault="002F0479" w:rsidP="002F0479">
      <w:pPr>
        <w:pStyle w:val="p1"/>
      </w:pPr>
      <w:r>
        <w:t>The question is not whether the regulations comply with the statute.</w:t>
      </w:r>
    </w:p>
    <w:p w14:paraId="1C0F9C13" w14:textId="77777777" w:rsidR="002F0479" w:rsidRDefault="002F0479" w:rsidP="002F0479">
      <w:pPr>
        <w:pStyle w:val="p2"/>
      </w:pPr>
    </w:p>
    <w:p w14:paraId="1DE347E4" w14:textId="77777777" w:rsidR="002F0479" w:rsidRDefault="002F0479" w:rsidP="002F0479">
      <w:pPr>
        <w:pStyle w:val="p1"/>
      </w:pPr>
      <w:r>
        <w:t>They do.</w:t>
      </w:r>
    </w:p>
    <w:p w14:paraId="3349B824" w14:textId="77777777" w:rsidR="002F0479" w:rsidRDefault="002F0479" w:rsidP="002F0479">
      <w:pPr>
        <w:pStyle w:val="p2"/>
      </w:pPr>
    </w:p>
    <w:p w14:paraId="2E2A0D67" w14:textId="77777777" w:rsidR="002F0479" w:rsidRDefault="002F0479" w:rsidP="002F0479">
      <w:pPr>
        <w:pStyle w:val="p1"/>
      </w:pPr>
      <w:r>
        <w:t>The question is whether they fully realize the opportunity the Legislature intended.</w:t>
      </w:r>
    </w:p>
    <w:p w14:paraId="1E50F778" w14:textId="77777777" w:rsidR="002F0479" w:rsidRDefault="002F0479" w:rsidP="002F0479">
      <w:pPr>
        <w:pStyle w:val="p2"/>
      </w:pPr>
    </w:p>
    <w:p w14:paraId="23328246" w14:textId="77777777" w:rsidR="002F0479" w:rsidRDefault="002F0479" w:rsidP="002F0479">
      <w:pPr>
        <w:pStyle w:val="p1"/>
      </w:pPr>
      <w:r>
        <w:t>Thank you for your time and consideration.</w:t>
      </w:r>
    </w:p>
    <w:p w14:paraId="0CFEF397" w14:textId="77777777" w:rsidR="002F0479" w:rsidRDefault="002F0479"/>
    <w:sectPr w:rsidR="002F0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9"/>
    <w:rsid w:val="002F0479"/>
    <w:rsid w:val="00C43841"/>
    <w:rsid w:val="00D45CA9"/>
    <w:rsid w:val="00DA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26A1"/>
  <w15:chartTrackingRefBased/>
  <w15:docId w15:val="{695E3CE5-FA21-EE49-86BC-581B8FC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8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2F0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4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4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4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4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479"/>
    <w:rPr>
      <w:rFonts w:eastAsiaTheme="majorEastAsia" w:cstheme="majorBidi"/>
      <w:color w:val="272727" w:themeColor="text1" w:themeTint="D8"/>
    </w:rPr>
  </w:style>
  <w:style w:type="paragraph" w:styleId="Title">
    <w:name w:val="Title"/>
    <w:basedOn w:val="Normal"/>
    <w:next w:val="Normal"/>
    <w:link w:val="TitleChar"/>
    <w:uiPriority w:val="10"/>
    <w:qFormat/>
    <w:rsid w:val="002F04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47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4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0479"/>
    <w:rPr>
      <w:i/>
      <w:iCs/>
      <w:color w:val="404040" w:themeColor="text1" w:themeTint="BF"/>
    </w:rPr>
  </w:style>
  <w:style w:type="paragraph" w:styleId="ListParagraph">
    <w:name w:val="List Paragraph"/>
    <w:basedOn w:val="Normal"/>
    <w:uiPriority w:val="34"/>
    <w:qFormat/>
    <w:rsid w:val="002F0479"/>
    <w:pPr>
      <w:ind w:left="720"/>
      <w:contextualSpacing/>
    </w:pPr>
  </w:style>
  <w:style w:type="character" w:styleId="IntenseEmphasis">
    <w:name w:val="Intense Emphasis"/>
    <w:basedOn w:val="DefaultParagraphFont"/>
    <w:uiPriority w:val="21"/>
    <w:qFormat/>
    <w:rsid w:val="002F0479"/>
    <w:rPr>
      <w:i/>
      <w:iCs/>
      <w:color w:val="0F4761" w:themeColor="accent1" w:themeShade="BF"/>
    </w:rPr>
  </w:style>
  <w:style w:type="paragraph" w:styleId="IntenseQuote">
    <w:name w:val="Intense Quote"/>
    <w:basedOn w:val="Normal"/>
    <w:next w:val="Normal"/>
    <w:link w:val="IntenseQuoteChar"/>
    <w:uiPriority w:val="30"/>
    <w:qFormat/>
    <w:rsid w:val="002F0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479"/>
    <w:rPr>
      <w:i/>
      <w:iCs/>
      <w:color w:val="0F4761" w:themeColor="accent1" w:themeShade="BF"/>
    </w:rPr>
  </w:style>
  <w:style w:type="character" w:styleId="IntenseReference">
    <w:name w:val="Intense Reference"/>
    <w:basedOn w:val="DefaultParagraphFont"/>
    <w:uiPriority w:val="32"/>
    <w:qFormat/>
    <w:rsid w:val="002F0479"/>
    <w:rPr>
      <w:b/>
      <w:bCs/>
      <w:smallCaps/>
      <w:color w:val="0F4761" w:themeColor="accent1" w:themeShade="BF"/>
      <w:spacing w:val="5"/>
    </w:rPr>
  </w:style>
  <w:style w:type="paragraph" w:customStyle="1" w:styleId="p1">
    <w:name w:val="p1"/>
    <w:basedOn w:val="Normal"/>
    <w:rsid w:val="002F0479"/>
    <w:pPr>
      <w:spacing w:before="100" w:beforeAutospacing="1" w:after="100" w:afterAutospacing="1"/>
      <w:ind w:firstLine="0"/>
    </w:pPr>
    <w:rPr>
      <w:rFonts w:ascii="Times New Roman" w:eastAsia="Times New Roman" w:hAnsi="Times New Roman" w:cs="Times New Roman"/>
      <w:kern w:val="0"/>
      <w14:ligatures w14:val="none"/>
    </w:rPr>
  </w:style>
  <w:style w:type="paragraph" w:customStyle="1" w:styleId="p2">
    <w:name w:val="p2"/>
    <w:basedOn w:val="Normal"/>
    <w:rsid w:val="002F0479"/>
    <w:pPr>
      <w:spacing w:before="100" w:beforeAutospacing="1" w:after="100" w:afterAutospacing="1"/>
      <w:ind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494</Words>
  <Characters>3406</Characters>
  <Application>Microsoft Office Word</Application>
  <DocSecurity>0</DocSecurity>
  <Lines>59</Lines>
  <Paragraphs>27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Lomastro</dc:creator>
  <cp:keywords/>
  <dc:description/>
  <cp:lastModifiedBy>James Lomastro</cp:lastModifiedBy>
  <cp:revision>2</cp:revision>
  <dcterms:created xsi:type="dcterms:W3CDTF">2026-02-11T15:26:00Z</dcterms:created>
  <dcterms:modified xsi:type="dcterms:W3CDTF">2026-02-11T15:41:00Z</dcterms:modified>
</cp:coreProperties>
</file>