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AED3" w14:textId="7CD8AAC1" w:rsidR="00DF0B5C" w:rsidRDefault="00DF0B5C" w:rsidP="00DF0B5C">
      <w:pPr>
        <w:spacing w:before="100" w:beforeAutospacing="1" w:after="100" w:afterAutospacing="1"/>
        <w:ind w:firstLine="0"/>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Testimony</w:t>
      </w:r>
    </w:p>
    <w:p w14:paraId="5015AE77" w14:textId="357F6F4E" w:rsidR="00DF0B5C" w:rsidRDefault="00DF0B5C" w:rsidP="00DF0B5C">
      <w:pPr>
        <w:spacing w:before="100" w:beforeAutospacing="1" w:after="100" w:afterAutospacing="1"/>
        <w:ind w:firstLine="0"/>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James A. Lomastro PhD</w:t>
      </w:r>
    </w:p>
    <w:p w14:paraId="7ED6D4E1" w14:textId="049CDDE1" w:rsidR="00DF0B5C" w:rsidRDefault="00DF0B5C" w:rsidP="00DF0B5C">
      <w:pPr>
        <w:spacing w:before="100" w:beforeAutospacing="1" w:after="100" w:afterAutospacing="1"/>
        <w:ind w:firstLine="0"/>
        <w:jc w:val="center"/>
        <w:rPr>
          <w:rFonts w:ascii="Times New Roman" w:eastAsia="Times New Roman" w:hAnsi="Times New Roman" w:cs="Times New Roman"/>
          <w:b/>
          <w:bCs/>
          <w:kern w:val="0"/>
          <w14:ligatures w14:val="none"/>
        </w:rPr>
      </w:pPr>
      <w:hyperlink r:id="rId5" w:history="1">
        <w:r w:rsidRPr="00F32C20">
          <w:rPr>
            <w:rStyle w:val="Hyperlink"/>
            <w:rFonts w:ascii="Times New Roman" w:eastAsia="Times New Roman" w:hAnsi="Times New Roman" w:cs="Times New Roman"/>
            <w:b/>
            <w:bCs/>
            <w:kern w:val="0"/>
            <w14:ligatures w14:val="none"/>
          </w:rPr>
          <w:t>jimlomastro@comcast.net</w:t>
        </w:r>
      </w:hyperlink>
    </w:p>
    <w:p w14:paraId="1FEFDA75" w14:textId="1E3CF11D" w:rsidR="00DF0B5C" w:rsidRDefault="00DF0B5C" w:rsidP="00DF0B5C">
      <w:pPr>
        <w:spacing w:before="100" w:beforeAutospacing="1" w:after="100" w:afterAutospacing="1"/>
        <w:ind w:firstLine="0"/>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45 Larchmeadow Drive</w:t>
      </w:r>
    </w:p>
    <w:p w14:paraId="0675EF9B" w14:textId="0659B132" w:rsidR="00DF0B5C" w:rsidRDefault="00DF0B5C" w:rsidP="00DF0B5C">
      <w:pPr>
        <w:spacing w:before="100" w:beforeAutospacing="1" w:after="100" w:afterAutospacing="1"/>
        <w:ind w:firstLine="0"/>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Conway, Massachusetts 01341</w:t>
      </w:r>
    </w:p>
    <w:p w14:paraId="33C32C49" w14:textId="77777777" w:rsidR="00DF0B5C" w:rsidRDefault="00DF0B5C" w:rsidP="00E50477">
      <w:pPr>
        <w:spacing w:before="100" w:beforeAutospacing="1" w:after="100" w:afterAutospacing="1"/>
        <w:ind w:firstLine="0"/>
        <w:rPr>
          <w:rFonts w:ascii="Times New Roman" w:eastAsia="Times New Roman" w:hAnsi="Times New Roman" w:cs="Times New Roman"/>
          <w:b/>
          <w:bCs/>
          <w:kern w:val="0"/>
          <w14:ligatures w14:val="none"/>
        </w:rPr>
      </w:pPr>
    </w:p>
    <w:p w14:paraId="4035766F" w14:textId="77777777" w:rsidR="00DF0B5C" w:rsidRDefault="00DF0B5C" w:rsidP="00E50477">
      <w:pPr>
        <w:spacing w:before="100" w:beforeAutospacing="1" w:after="100" w:afterAutospacing="1"/>
        <w:ind w:firstLine="0"/>
        <w:rPr>
          <w:rFonts w:ascii="Times New Roman" w:eastAsia="Times New Roman" w:hAnsi="Times New Roman" w:cs="Times New Roman"/>
          <w:b/>
          <w:bCs/>
          <w:kern w:val="0"/>
          <w14:ligatures w14:val="none"/>
        </w:rPr>
      </w:pPr>
    </w:p>
    <w:p w14:paraId="2FBA95CB" w14:textId="610CB981" w:rsidR="00E50477" w:rsidRDefault="00E50477" w:rsidP="00E50477">
      <w:pPr>
        <w:spacing w:before="100" w:beforeAutospacing="1" w:after="100" w:afterAutospacing="1"/>
        <w:ind w:firstLine="0"/>
        <w:rPr>
          <w:rFonts w:ascii="Times New Roman" w:eastAsia="Times New Roman" w:hAnsi="Times New Roman" w:cs="Times New Roman"/>
          <w:b/>
          <w:bCs/>
          <w:kern w:val="0"/>
          <w14:ligatures w14:val="none"/>
        </w:rPr>
      </w:pPr>
      <w:r w:rsidRPr="00E50477">
        <w:rPr>
          <w:rFonts w:ascii="Times New Roman" w:eastAsia="Times New Roman" w:hAnsi="Times New Roman" w:cs="Times New Roman"/>
          <w:b/>
          <w:bCs/>
          <w:kern w:val="0"/>
          <w14:ligatures w14:val="none"/>
        </w:rPr>
        <w:t>Re: Transitional Coordination and Adult Residential Options for Residents of Skilled Nursing Care Facilities for Children (SNCFCs)</w:t>
      </w:r>
    </w:p>
    <w:p w14:paraId="2411556E"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Thank you for the opportunity to provide testimony regarding discharge and transfer planning requirements for residents of Skilled Nursing Care Facilities for Children (SNCFCs) who are approaching adulthood.</w:t>
      </w:r>
    </w:p>
    <w:p w14:paraId="480717C8"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53281DAF"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The current regulatory framework appropriately requires that discharge or transfer planning begin at age 20, with the objective of transition to adult services by age 22, and that referrals be made under Massachusetts General Laws Chapter 688. These provisions have played an important role in preventing abrupt aging-out without planning and ensuring that an adult service agency is identified prior to exit from pediatric care.</w:t>
      </w:r>
    </w:p>
    <w:p w14:paraId="4507AE19"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52AEC1A8"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My testimony does not seek to alter that framework. Rather, I respectfully offer two related considerations: first, modest enhancements to strengthen transitional coordination; and second, the need to examine whether the adult residential options available at the point of transfer are sufficiently aligned with long-term developmental needs.</w:t>
      </w:r>
    </w:p>
    <w:p w14:paraId="15483C4D" w14:textId="77777777" w:rsidR="00E50477" w:rsidRPr="00E50477" w:rsidRDefault="004B008C" w:rsidP="00E50477">
      <w:pPr>
        <w:ind w:firstLine="0"/>
        <w:rPr>
          <w:rFonts w:ascii="Times New Roman" w:eastAsia="Times New Roman" w:hAnsi="Times New Roman" w:cs="Times New Roman"/>
          <w:kern w:val="0"/>
          <w14:ligatures w14:val="none"/>
        </w:rPr>
      </w:pPr>
      <w:r w:rsidRPr="004B008C">
        <w:rPr>
          <w:rFonts w:ascii="Times New Roman" w:eastAsia="Times New Roman" w:hAnsi="Times New Roman" w:cs="Times New Roman"/>
          <w:noProof/>
          <w:kern w:val="0"/>
        </w:rPr>
        <w:pict w14:anchorId="67E121AD">
          <v:rect id="_x0000_i1027" alt="" style="width:468pt;height:.05pt;mso-width-percent:0;mso-height-percent:0;mso-width-percent:0;mso-height-percent:0" o:hralign="center" o:hrstd="t" o:hr="t" fillcolor="#a0a0a0" stroked="f"/>
        </w:pict>
      </w:r>
    </w:p>
    <w:p w14:paraId="0F3E0987" w14:textId="77777777" w:rsidR="00E50477" w:rsidRPr="00E50477" w:rsidRDefault="00E50477" w:rsidP="00E50477">
      <w:pPr>
        <w:spacing w:before="100" w:beforeAutospacing="1" w:after="100" w:afterAutospacing="1"/>
        <w:ind w:firstLine="0"/>
        <w:outlineLvl w:val="2"/>
        <w:rPr>
          <w:rFonts w:ascii="Times New Roman" w:eastAsia="Times New Roman" w:hAnsi="Times New Roman" w:cs="Times New Roman"/>
          <w:b/>
          <w:bCs/>
          <w:kern w:val="0"/>
          <w:sz w:val="27"/>
          <w:szCs w:val="27"/>
          <w14:ligatures w14:val="none"/>
        </w:rPr>
      </w:pPr>
      <w:r w:rsidRPr="00E50477">
        <w:rPr>
          <w:rFonts w:ascii="Times New Roman" w:eastAsia="Times New Roman" w:hAnsi="Times New Roman" w:cs="Times New Roman"/>
          <w:b/>
          <w:bCs/>
          <w:kern w:val="0"/>
          <w:sz w:val="27"/>
          <w:szCs w:val="27"/>
          <w14:ligatures w14:val="none"/>
        </w:rPr>
        <w:t>I. Strengthening Transitional Coordination</w:t>
      </w:r>
    </w:p>
    <w:p w14:paraId="5A003252"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5497490E"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The current system successfully establishes timelines and referral requirements. However, there is an opportunity to strengthen coordination between SNCFC discharge planning and Chapter 688 adult service planning to reduce service gaps during transfer.</w:t>
      </w:r>
    </w:p>
    <w:p w14:paraId="4ADA930C"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3E4821F4"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I recommend three measured enhancements:</w:t>
      </w:r>
    </w:p>
    <w:p w14:paraId="704B6B60"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186324A2"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b/>
          <w:bCs/>
          <w:kern w:val="0"/>
          <w14:ligatures w14:val="none"/>
        </w:rPr>
        <w:t>1. Transitional Coordination Record</w:t>
      </w:r>
    </w:p>
    <w:p w14:paraId="2E811DC4"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2A5FA38C"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Beginning at age 20, facilities should document not only that a Chapter 688 referral has been made, but also:</w:t>
      </w:r>
    </w:p>
    <w:p w14:paraId="3212064E" w14:textId="77777777" w:rsidR="00E50477" w:rsidRPr="00E50477" w:rsidRDefault="00E50477" w:rsidP="00E50477">
      <w:pPr>
        <w:numPr>
          <w:ilvl w:val="0"/>
          <w:numId w:val="5"/>
        </w:numPr>
        <w:spacing w:before="100" w:beforeAutospacing="1" w:after="100" w:afterAutospacing="1"/>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The anticipated adult service agency;</w:t>
      </w:r>
    </w:p>
    <w:p w14:paraId="7888AD02" w14:textId="77777777" w:rsidR="00E50477" w:rsidRPr="00E50477" w:rsidRDefault="00E50477" w:rsidP="00E50477">
      <w:pPr>
        <w:numPr>
          <w:ilvl w:val="0"/>
          <w:numId w:val="5"/>
        </w:numPr>
        <w:spacing w:before="100" w:beforeAutospacing="1" w:after="100" w:afterAutospacing="1"/>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The status of eligibility determination;</w:t>
      </w:r>
    </w:p>
    <w:p w14:paraId="2E621B4A" w14:textId="77777777" w:rsidR="00E50477" w:rsidRPr="00E50477" w:rsidRDefault="00E50477" w:rsidP="00E50477">
      <w:pPr>
        <w:numPr>
          <w:ilvl w:val="0"/>
          <w:numId w:val="5"/>
        </w:numPr>
        <w:spacing w:before="100" w:beforeAutospacing="1" w:after="100" w:afterAutospacing="1"/>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The anticipated adult service array;</w:t>
      </w:r>
    </w:p>
    <w:p w14:paraId="04BDBF93" w14:textId="77777777" w:rsidR="00E50477" w:rsidRPr="00E50477" w:rsidRDefault="00E50477" w:rsidP="00E50477">
      <w:pPr>
        <w:numPr>
          <w:ilvl w:val="0"/>
          <w:numId w:val="5"/>
        </w:numPr>
        <w:spacing w:before="100" w:beforeAutospacing="1" w:after="100" w:afterAutospacing="1"/>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The anticipated housing setting, if known; and</w:t>
      </w:r>
    </w:p>
    <w:p w14:paraId="7E6B2E22" w14:textId="77777777" w:rsidR="00E50477" w:rsidRPr="00E50477" w:rsidRDefault="00E50477" w:rsidP="00E50477">
      <w:pPr>
        <w:numPr>
          <w:ilvl w:val="0"/>
          <w:numId w:val="5"/>
        </w:numPr>
        <w:spacing w:before="100" w:beforeAutospacing="1" w:after="100" w:afterAutospacing="1"/>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The designated adult care coordination contact, once assigned.</w:t>
      </w:r>
    </w:p>
    <w:p w14:paraId="70D5D658"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568CE1E2"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This would not create new obligations, but would ensure that coordination is structured and visible.</w:t>
      </w:r>
    </w:p>
    <w:p w14:paraId="75C274F0"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400D1339"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b/>
          <w:bCs/>
          <w:kern w:val="0"/>
          <w14:ligatures w14:val="none"/>
        </w:rPr>
        <w:t>2. Pre-Transfer Coordination Review</w:t>
      </w:r>
    </w:p>
    <w:p w14:paraId="50A74B19"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3CF8CC4F"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Within 60 days prior to transfer, a documented review should confirm:</w:t>
      </w:r>
    </w:p>
    <w:p w14:paraId="2FC2BE74" w14:textId="77777777" w:rsidR="00E50477" w:rsidRPr="00E50477" w:rsidRDefault="00E50477" w:rsidP="00E50477">
      <w:pPr>
        <w:numPr>
          <w:ilvl w:val="0"/>
          <w:numId w:val="6"/>
        </w:numPr>
        <w:spacing w:before="100" w:beforeAutospacing="1" w:after="100" w:afterAutospacing="1"/>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Adult agency assignment;</w:t>
      </w:r>
    </w:p>
    <w:p w14:paraId="5D11341E" w14:textId="77777777" w:rsidR="00E50477" w:rsidRPr="00E50477" w:rsidRDefault="00E50477" w:rsidP="00E50477">
      <w:pPr>
        <w:numPr>
          <w:ilvl w:val="0"/>
          <w:numId w:val="6"/>
        </w:numPr>
        <w:spacing w:before="100" w:beforeAutospacing="1" w:after="100" w:afterAutospacing="1"/>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Service authorization status;</w:t>
      </w:r>
    </w:p>
    <w:p w14:paraId="780943C7" w14:textId="77777777" w:rsidR="00E50477" w:rsidRPr="00E50477" w:rsidRDefault="00E50477" w:rsidP="00E50477">
      <w:pPr>
        <w:numPr>
          <w:ilvl w:val="0"/>
          <w:numId w:val="6"/>
        </w:numPr>
        <w:spacing w:before="100" w:beforeAutospacing="1" w:after="100" w:afterAutospacing="1"/>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Identification of an adult primary medical provider; and</w:t>
      </w:r>
    </w:p>
    <w:p w14:paraId="167A242E" w14:textId="77777777" w:rsidR="00E50477" w:rsidRPr="00E50477" w:rsidRDefault="00E50477" w:rsidP="00E50477">
      <w:pPr>
        <w:numPr>
          <w:ilvl w:val="0"/>
          <w:numId w:val="6"/>
        </w:numPr>
        <w:spacing w:before="100" w:beforeAutospacing="1" w:after="100" w:afterAutospacing="1"/>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Transmission of medical records and care plans.</w:t>
      </w:r>
    </w:p>
    <w:p w14:paraId="66CAA7FD"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079B865B"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This review would serve as a structured checkpoint to minimize avoidable service disruption.</w:t>
      </w:r>
    </w:p>
    <w:p w14:paraId="747E04AE"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21868D2F"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b/>
          <w:bCs/>
          <w:kern w:val="0"/>
          <w14:ligatures w14:val="none"/>
        </w:rPr>
        <w:t>3. Post-Transfer Follow-Up Communication</w:t>
      </w:r>
    </w:p>
    <w:p w14:paraId="41E31539"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3FB1FAAF"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lastRenderedPageBreak/>
        <w:t>Within 30 days of transfer, the facility should make reasonable efforts to confirm that services have initiated as planned and that adult care coordination responsibilities have been assumed. Documentation of these reasonable efforts would satisfy the requirement. This is not intended to extend facility liability, but to promote continuity during the early transition period.</w:t>
      </w:r>
    </w:p>
    <w:p w14:paraId="29EAD049"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304549A7"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These enhancements are modest. They preserve the age-based transfer requirement, do not alter Chapter 688 statutory obligations, and do not create new sanctions. They strengthen communication and accountability at a critical moment of handoff.</w:t>
      </w:r>
    </w:p>
    <w:p w14:paraId="6D2749EE" w14:textId="77777777" w:rsidR="00E50477" w:rsidRPr="00E50477" w:rsidRDefault="004B008C" w:rsidP="00E50477">
      <w:pPr>
        <w:ind w:firstLine="0"/>
        <w:rPr>
          <w:rFonts w:ascii="Times New Roman" w:eastAsia="Times New Roman" w:hAnsi="Times New Roman" w:cs="Times New Roman"/>
          <w:kern w:val="0"/>
          <w14:ligatures w14:val="none"/>
        </w:rPr>
      </w:pPr>
      <w:r w:rsidRPr="004B008C">
        <w:rPr>
          <w:rFonts w:ascii="Times New Roman" w:eastAsia="Times New Roman" w:hAnsi="Times New Roman" w:cs="Times New Roman"/>
          <w:noProof/>
          <w:kern w:val="0"/>
        </w:rPr>
        <w:pict w14:anchorId="242EA2C3">
          <v:rect id="_x0000_i1026" alt="" style="width:468pt;height:.05pt;mso-width-percent:0;mso-height-percent:0;mso-width-percent:0;mso-height-percent:0" o:hralign="center" o:hrstd="t" o:hr="t" fillcolor="#a0a0a0" stroked="f"/>
        </w:pict>
      </w:r>
    </w:p>
    <w:p w14:paraId="174C2D7E" w14:textId="77777777" w:rsidR="00E50477" w:rsidRPr="00E50477" w:rsidRDefault="00E50477" w:rsidP="00E50477">
      <w:pPr>
        <w:spacing w:before="100" w:beforeAutospacing="1" w:after="100" w:afterAutospacing="1"/>
        <w:ind w:firstLine="0"/>
        <w:outlineLvl w:val="2"/>
        <w:rPr>
          <w:rFonts w:ascii="Times New Roman" w:eastAsia="Times New Roman" w:hAnsi="Times New Roman" w:cs="Times New Roman"/>
          <w:b/>
          <w:bCs/>
          <w:kern w:val="0"/>
          <w:sz w:val="27"/>
          <w:szCs w:val="27"/>
          <w14:ligatures w14:val="none"/>
        </w:rPr>
      </w:pPr>
      <w:r w:rsidRPr="00E50477">
        <w:rPr>
          <w:rFonts w:ascii="Times New Roman" w:eastAsia="Times New Roman" w:hAnsi="Times New Roman" w:cs="Times New Roman"/>
          <w:b/>
          <w:bCs/>
          <w:kern w:val="0"/>
          <w:sz w:val="27"/>
          <w:szCs w:val="27"/>
          <w14:ligatures w14:val="none"/>
        </w:rPr>
        <w:t>II. Adult Residential Options: Institutional Default vs. Community Design</w:t>
      </w:r>
    </w:p>
    <w:p w14:paraId="607A022E"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43B27C85"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I offer the following comments based on direct administrative experience.</w:t>
      </w:r>
    </w:p>
    <w:p w14:paraId="315FE40B"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46BC38C9"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I previously served as the administrator of a skilled nursing–based pediatric unit with twenty-four residents. Many of those residents were chronologically adults, though they remained in a pediatric setting due to medical complexity and system capacity constraints. During my tenure, most were ultimately transferred to less restrictive skilled nursing or community-based settings.</w:t>
      </w:r>
    </w:p>
    <w:p w14:paraId="3DDB591A"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22F60B5F"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When the early deinstitutionalization efforts and related directives were first implemented in Massachusetts, I was skeptical that individuals at this level of care could transition successfully to community settings. That skepticism was grounded in practical experience. However, over time, I observed that with sustained planning, appropriate staffing, and careful coordination, many individuals could and did transition successfully. In most cases, individuals and families ultimately reported greater satisfaction in smaller, community-based environments than in institutional settings.</w:t>
      </w:r>
    </w:p>
    <w:p w14:paraId="541EF595"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42C02634"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My concern is not a criticism of the quality of care in pediatric skilled nursing facilities. Many provide exceptional, compassionate services. The issue is structural.</w:t>
      </w:r>
    </w:p>
    <w:p w14:paraId="608660E5"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1E402063"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Pediatric skilled nursing facilities remain institutional environments. Regardless of programming, their architecture, staffing hierarchies, and regulatory frameworks are institutional in nature. Even when made as home-like as possible, they are not homes.</w:t>
      </w:r>
    </w:p>
    <w:p w14:paraId="1D273EB9"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059E00FF"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When individuals remain in institutional models into adulthood, we risk perpetuating institutional care as the default because it is safe, secure, and available—not necessarily because it is developmentally optimal.</w:t>
      </w:r>
    </w:p>
    <w:p w14:paraId="1998FC8C"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1D1D4C65"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For medically stable young adults who require ongoing supports but not hospital-level intervention, the development of small adult homes serving three to four residents warrants serious consideration. Such models could:</w:t>
      </w:r>
    </w:p>
    <w:p w14:paraId="080887C0" w14:textId="77777777" w:rsidR="00E50477" w:rsidRPr="00E50477" w:rsidRDefault="00E50477" w:rsidP="00E50477">
      <w:pPr>
        <w:numPr>
          <w:ilvl w:val="0"/>
          <w:numId w:val="7"/>
        </w:numPr>
        <w:spacing w:before="100" w:beforeAutospacing="1" w:after="100" w:afterAutospacing="1"/>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Provide individualized care in a more normalized setting;</w:t>
      </w:r>
    </w:p>
    <w:p w14:paraId="4A4C880C" w14:textId="77777777" w:rsidR="00E50477" w:rsidRPr="00E50477" w:rsidRDefault="00E50477" w:rsidP="00E50477">
      <w:pPr>
        <w:numPr>
          <w:ilvl w:val="0"/>
          <w:numId w:val="7"/>
        </w:numPr>
        <w:spacing w:before="100" w:beforeAutospacing="1" w:after="100" w:afterAutospacing="1"/>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Reduce reliance on larger institutional placements;</w:t>
      </w:r>
    </w:p>
    <w:p w14:paraId="750C1025" w14:textId="77777777" w:rsidR="00E50477" w:rsidRPr="00E50477" w:rsidRDefault="00E50477" w:rsidP="00E50477">
      <w:pPr>
        <w:numPr>
          <w:ilvl w:val="0"/>
          <w:numId w:val="7"/>
        </w:numPr>
        <w:spacing w:before="100" w:beforeAutospacing="1" w:after="100" w:afterAutospacing="1"/>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Improve geographic accessibility for families;</w:t>
      </w:r>
    </w:p>
    <w:p w14:paraId="6AD448D6" w14:textId="77777777" w:rsidR="00E50477" w:rsidRPr="00E50477" w:rsidRDefault="00E50477" w:rsidP="00E50477">
      <w:pPr>
        <w:numPr>
          <w:ilvl w:val="0"/>
          <w:numId w:val="7"/>
        </w:numPr>
        <w:spacing w:before="100" w:beforeAutospacing="1" w:after="100" w:afterAutospacing="1"/>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Support long-term community integration.</w:t>
      </w:r>
    </w:p>
    <w:p w14:paraId="6CFB1B12"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784A7FF1"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At present, availability of such small-scale adult residential options is uneven across the Commonwealth. In some regions, institutional placements remain the practical default due to limited community-based capacity.</w:t>
      </w:r>
    </w:p>
    <w:p w14:paraId="5D1B2ADF"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7648A39F"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As we refine transitional coordination mechanisms between SNCFC discharge requirements and Chapter 688 planning, we should also examine whether the adult residential inventory itself is sufficiently diversified. Without expansion of appropriate small-home options, transition planning may result in movement between institutional settings rather than a genuine shift toward community-based adulthood.</w:t>
      </w:r>
    </w:p>
    <w:p w14:paraId="5BB9F934" w14:textId="77777777" w:rsidR="00E50477" w:rsidRPr="00E50477" w:rsidRDefault="004B008C" w:rsidP="00E50477">
      <w:pPr>
        <w:ind w:firstLine="0"/>
        <w:rPr>
          <w:rFonts w:ascii="Times New Roman" w:eastAsia="Times New Roman" w:hAnsi="Times New Roman" w:cs="Times New Roman"/>
          <w:kern w:val="0"/>
          <w14:ligatures w14:val="none"/>
        </w:rPr>
      </w:pPr>
      <w:r w:rsidRPr="004B008C">
        <w:rPr>
          <w:rFonts w:ascii="Times New Roman" w:eastAsia="Times New Roman" w:hAnsi="Times New Roman" w:cs="Times New Roman"/>
          <w:noProof/>
          <w:kern w:val="0"/>
        </w:rPr>
        <w:pict w14:anchorId="1A3B3A33">
          <v:rect id="_x0000_i1025" alt="" style="width:468pt;height:.05pt;mso-width-percent:0;mso-height-percent:0;mso-width-percent:0;mso-height-percent:0" o:hralign="center" o:hrstd="t" o:hr="t" fillcolor="#a0a0a0" stroked="f"/>
        </w:pict>
      </w:r>
    </w:p>
    <w:p w14:paraId="089A360E" w14:textId="77777777" w:rsidR="00E50477" w:rsidRPr="00E50477" w:rsidRDefault="00E50477" w:rsidP="00E50477">
      <w:pPr>
        <w:spacing w:before="100" w:beforeAutospacing="1" w:after="100" w:afterAutospacing="1"/>
        <w:ind w:firstLine="0"/>
        <w:outlineLvl w:val="2"/>
        <w:rPr>
          <w:rFonts w:ascii="Times New Roman" w:eastAsia="Times New Roman" w:hAnsi="Times New Roman" w:cs="Times New Roman"/>
          <w:b/>
          <w:bCs/>
          <w:kern w:val="0"/>
          <w:sz w:val="27"/>
          <w:szCs w:val="27"/>
          <w14:ligatures w14:val="none"/>
        </w:rPr>
      </w:pPr>
      <w:r w:rsidRPr="00E50477">
        <w:rPr>
          <w:rFonts w:ascii="Times New Roman" w:eastAsia="Times New Roman" w:hAnsi="Times New Roman" w:cs="Times New Roman"/>
          <w:b/>
          <w:bCs/>
          <w:kern w:val="0"/>
          <w:sz w:val="27"/>
          <w:szCs w:val="27"/>
          <w14:ligatures w14:val="none"/>
        </w:rPr>
        <w:t>Conclusion</w:t>
      </w:r>
    </w:p>
    <w:p w14:paraId="1F187BB9"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094F2A5F"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The transition from pediatric to adult services is one of the most consequential structural shifts in the life of a medically fragile young adult. Strengthening coordination at the point of transfer is necessary. Ensuring that appropriate adult residential options exist is equally important.</w:t>
      </w:r>
    </w:p>
    <w:p w14:paraId="3D1940E6"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0CDB8ED9"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This testimony does not propose dismantling existing systems. It proposes modest coordination enhancements and thoughtful expansion of community-based residential alternatives, building on reforms the Commonwealth has successfully implemented in prior eras.</w:t>
      </w:r>
    </w:p>
    <w:p w14:paraId="5E03E5C2"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569235E4"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Transitions are not merely administrative events; they are decisions about how adulthood is structured for individuals with lifelong disabilities. We have an opportunity to align process, placement, and long-term dignity.</w:t>
      </w:r>
    </w:p>
    <w:p w14:paraId="422A53AE"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6CD90A9B"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Thank you for your consideration.</w:t>
      </w:r>
    </w:p>
    <w:p w14:paraId="5D78D8B0"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p>
    <w:p w14:paraId="001DC5DD"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Respectfully submitted,</w:t>
      </w:r>
    </w:p>
    <w:p w14:paraId="113C4E4F" w14:textId="77777777" w:rsidR="00E50477" w:rsidRPr="00E50477" w:rsidRDefault="00E50477" w:rsidP="00E50477">
      <w:pPr>
        <w:spacing w:before="100" w:beforeAutospacing="1" w:after="100" w:afterAutospacing="1"/>
        <w:ind w:firstLine="0"/>
        <w:rPr>
          <w:rFonts w:ascii="Times New Roman" w:eastAsia="Times New Roman" w:hAnsi="Times New Roman" w:cs="Times New Roman"/>
          <w:kern w:val="0"/>
          <w14:ligatures w14:val="none"/>
        </w:rPr>
      </w:pPr>
      <w:r w:rsidRPr="00E50477">
        <w:rPr>
          <w:rFonts w:ascii="Times New Roman" w:eastAsia="Times New Roman" w:hAnsi="Times New Roman" w:cs="Times New Roman"/>
          <w:kern w:val="0"/>
          <w14:ligatures w14:val="none"/>
        </w:rPr>
        <w:t>James Lomastro</w:t>
      </w:r>
    </w:p>
    <w:p w14:paraId="7E5C3476" w14:textId="77777777" w:rsidR="00D579A6" w:rsidRDefault="00D579A6"/>
    <w:sectPr w:rsidR="00D57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F41"/>
    <w:multiLevelType w:val="multilevel"/>
    <w:tmpl w:val="800C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687A"/>
    <w:multiLevelType w:val="multilevel"/>
    <w:tmpl w:val="BF9A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C0B43"/>
    <w:multiLevelType w:val="multilevel"/>
    <w:tmpl w:val="9B3A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185230"/>
    <w:multiLevelType w:val="multilevel"/>
    <w:tmpl w:val="8524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B335C7"/>
    <w:multiLevelType w:val="multilevel"/>
    <w:tmpl w:val="A0E8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C778E"/>
    <w:multiLevelType w:val="multilevel"/>
    <w:tmpl w:val="9B2C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796F43"/>
    <w:multiLevelType w:val="multilevel"/>
    <w:tmpl w:val="65E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94339">
    <w:abstractNumId w:val="2"/>
  </w:num>
  <w:num w:numId="2" w16cid:durableId="1938251077">
    <w:abstractNumId w:val="1"/>
  </w:num>
  <w:num w:numId="3" w16cid:durableId="576671248">
    <w:abstractNumId w:val="4"/>
  </w:num>
  <w:num w:numId="4" w16cid:durableId="378863940">
    <w:abstractNumId w:val="6"/>
  </w:num>
  <w:num w:numId="5" w16cid:durableId="990475631">
    <w:abstractNumId w:val="5"/>
  </w:num>
  <w:num w:numId="6" w16cid:durableId="1502115931">
    <w:abstractNumId w:val="3"/>
  </w:num>
  <w:num w:numId="7" w16cid:durableId="16359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77"/>
    <w:rsid w:val="004B008C"/>
    <w:rsid w:val="0053153D"/>
    <w:rsid w:val="00D579A6"/>
    <w:rsid w:val="00DF0B5C"/>
    <w:rsid w:val="00E50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3D53"/>
  <w15:chartTrackingRefBased/>
  <w15:docId w15:val="{EC928671-B6C5-EA45-A8C6-C3E463B0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8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E50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0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0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4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4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4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4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0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50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477"/>
    <w:rPr>
      <w:rFonts w:eastAsiaTheme="majorEastAsia" w:cstheme="majorBidi"/>
      <w:color w:val="272727" w:themeColor="text1" w:themeTint="D8"/>
    </w:rPr>
  </w:style>
  <w:style w:type="paragraph" w:styleId="Title">
    <w:name w:val="Title"/>
    <w:basedOn w:val="Normal"/>
    <w:next w:val="Normal"/>
    <w:link w:val="TitleChar"/>
    <w:uiPriority w:val="10"/>
    <w:qFormat/>
    <w:rsid w:val="00E504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477"/>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4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0477"/>
    <w:rPr>
      <w:i/>
      <w:iCs/>
      <w:color w:val="404040" w:themeColor="text1" w:themeTint="BF"/>
    </w:rPr>
  </w:style>
  <w:style w:type="paragraph" w:styleId="ListParagraph">
    <w:name w:val="List Paragraph"/>
    <w:basedOn w:val="Normal"/>
    <w:uiPriority w:val="34"/>
    <w:qFormat/>
    <w:rsid w:val="00E50477"/>
    <w:pPr>
      <w:ind w:left="720"/>
      <w:contextualSpacing/>
    </w:pPr>
  </w:style>
  <w:style w:type="character" w:styleId="IntenseEmphasis">
    <w:name w:val="Intense Emphasis"/>
    <w:basedOn w:val="DefaultParagraphFont"/>
    <w:uiPriority w:val="21"/>
    <w:qFormat/>
    <w:rsid w:val="00E50477"/>
    <w:rPr>
      <w:i/>
      <w:iCs/>
      <w:color w:val="0F4761" w:themeColor="accent1" w:themeShade="BF"/>
    </w:rPr>
  </w:style>
  <w:style w:type="paragraph" w:styleId="IntenseQuote">
    <w:name w:val="Intense Quote"/>
    <w:basedOn w:val="Normal"/>
    <w:next w:val="Normal"/>
    <w:link w:val="IntenseQuoteChar"/>
    <w:uiPriority w:val="30"/>
    <w:qFormat/>
    <w:rsid w:val="00E50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477"/>
    <w:rPr>
      <w:i/>
      <w:iCs/>
      <w:color w:val="0F4761" w:themeColor="accent1" w:themeShade="BF"/>
    </w:rPr>
  </w:style>
  <w:style w:type="character" w:styleId="IntenseReference">
    <w:name w:val="Intense Reference"/>
    <w:basedOn w:val="DefaultParagraphFont"/>
    <w:uiPriority w:val="32"/>
    <w:qFormat/>
    <w:rsid w:val="00E50477"/>
    <w:rPr>
      <w:b/>
      <w:bCs/>
      <w:smallCaps/>
      <w:color w:val="0F4761" w:themeColor="accent1" w:themeShade="BF"/>
      <w:spacing w:val="5"/>
    </w:rPr>
  </w:style>
  <w:style w:type="paragraph" w:customStyle="1" w:styleId="p1">
    <w:name w:val="p1"/>
    <w:basedOn w:val="Normal"/>
    <w:rsid w:val="00E50477"/>
    <w:pPr>
      <w:spacing w:before="100" w:beforeAutospacing="1" w:after="100" w:afterAutospacing="1"/>
      <w:ind w:firstLine="0"/>
    </w:pPr>
    <w:rPr>
      <w:rFonts w:ascii="Times New Roman" w:eastAsia="Times New Roman" w:hAnsi="Times New Roman" w:cs="Times New Roman"/>
      <w:kern w:val="0"/>
      <w14:ligatures w14:val="none"/>
    </w:rPr>
  </w:style>
  <w:style w:type="character" w:customStyle="1" w:styleId="s1">
    <w:name w:val="s1"/>
    <w:basedOn w:val="DefaultParagraphFont"/>
    <w:rsid w:val="00E50477"/>
  </w:style>
  <w:style w:type="paragraph" w:customStyle="1" w:styleId="p2">
    <w:name w:val="p2"/>
    <w:basedOn w:val="Normal"/>
    <w:rsid w:val="00E50477"/>
    <w:pPr>
      <w:spacing w:before="100" w:beforeAutospacing="1" w:after="100" w:afterAutospacing="1"/>
      <w:ind w:firstLine="0"/>
    </w:pPr>
    <w:rPr>
      <w:rFonts w:ascii="Times New Roman" w:eastAsia="Times New Roman" w:hAnsi="Times New Roman" w:cs="Times New Roman"/>
      <w:kern w:val="0"/>
      <w14:ligatures w14:val="none"/>
    </w:rPr>
  </w:style>
  <w:style w:type="paragraph" w:customStyle="1" w:styleId="p3">
    <w:name w:val="p3"/>
    <w:basedOn w:val="Normal"/>
    <w:rsid w:val="00E50477"/>
    <w:pPr>
      <w:spacing w:before="100" w:beforeAutospacing="1" w:after="100" w:afterAutospacing="1"/>
      <w:ind w:firstLine="0"/>
    </w:pPr>
    <w:rPr>
      <w:rFonts w:ascii="Times New Roman" w:eastAsia="Times New Roman" w:hAnsi="Times New Roman" w:cs="Times New Roman"/>
      <w:kern w:val="0"/>
      <w14:ligatures w14:val="none"/>
    </w:rPr>
  </w:style>
  <w:style w:type="paragraph" w:customStyle="1" w:styleId="p4">
    <w:name w:val="p4"/>
    <w:basedOn w:val="Normal"/>
    <w:rsid w:val="00E50477"/>
    <w:pPr>
      <w:spacing w:before="100" w:beforeAutospacing="1" w:after="100" w:afterAutospacing="1"/>
      <w:ind w:firstLine="0"/>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F0B5C"/>
    <w:rPr>
      <w:color w:val="467886" w:themeColor="hyperlink"/>
      <w:u w:val="single"/>
    </w:rPr>
  </w:style>
  <w:style w:type="character" w:styleId="UnresolvedMention">
    <w:name w:val="Unresolved Mention"/>
    <w:basedOn w:val="DefaultParagraphFont"/>
    <w:uiPriority w:val="99"/>
    <w:semiHidden/>
    <w:unhideWhenUsed/>
    <w:rsid w:val="00DF0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imlomastro@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978</Words>
  <Characters>5810</Characters>
  <Application>Microsoft Office Word</Application>
  <DocSecurity>0</DocSecurity>
  <Lines>88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Lomastro</dc:creator>
  <cp:keywords/>
  <dc:description/>
  <cp:lastModifiedBy>James Lomastro</cp:lastModifiedBy>
  <cp:revision>1</cp:revision>
  <dcterms:created xsi:type="dcterms:W3CDTF">2026-02-14T13:03:00Z</dcterms:created>
  <dcterms:modified xsi:type="dcterms:W3CDTF">2026-02-14T15:56:00Z</dcterms:modified>
</cp:coreProperties>
</file>