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882" w:type="dxa"/>
        <w:tblLayout w:type="fixed"/>
        <w:tblCellMar>
          <w:left w:w="0" w:type="dxa"/>
          <w:right w:w="0" w:type="dxa"/>
        </w:tblCellMar>
        <w:tblLook w:val="04A0" w:firstRow="1" w:lastRow="0" w:firstColumn="1" w:lastColumn="0" w:noHBand="0" w:noVBand="1"/>
      </w:tblPr>
      <w:tblGrid>
        <w:gridCol w:w="4860"/>
        <w:gridCol w:w="6480"/>
      </w:tblGrid>
      <w:tr w:rsidR="008D5637" w:rsidRPr="00274E25" w:rsidTr="00133538">
        <w:trPr>
          <w:trHeight w:val="505"/>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1B6AAB" w:rsidRDefault="004A72B6" w:rsidP="00E615D3">
            <w:pPr>
              <w:pStyle w:val="NoSpacing"/>
              <w:jc w:val="center"/>
              <w:rPr>
                <w:b/>
                <w:sz w:val="20"/>
                <w:szCs w:val="20"/>
              </w:rPr>
            </w:pPr>
            <w:r>
              <w:rPr>
                <w:b/>
                <w:color w:val="FFFFFF" w:themeColor="background1"/>
                <w:sz w:val="20"/>
                <w:szCs w:val="20"/>
              </w:rPr>
              <w:t xml:space="preserve">Medication Assisted Treatment (MAT) Commission </w:t>
            </w:r>
          </w:p>
        </w:tc>
      </w:tr>
      <w:tr w:rsidR="008D5637" w:rsidRPr="00274E25" w:rsidTr="008709B4">
        <w:trPr>
          <w:trHeight w:val="505"/>
        </w:trPr>
        <w:tc>
          <w:tcPr>
            <w:tcW w:w="486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1B6AAB" w:rsidRDefault="0006317B" w:rsidP="00593D37">
            <w:pPr>
              <w:pStyle w:val="NoSpacing"/>
              <w:rPr>
                <w:b/>
                <w:sz w:val="20"/>
                <w:szCs w:val="20"/>
              </w:rPr>
            </w:pPr>
            <w:r w:rsidRPr="001B6AAB">
              <w:rPr>
                <w:b/>
                <w:sz w:val="20"/>
                <w:szCs w:val="20"/>
              </w:rPr>
              <w:t>M</w:t>
            </w:r>
            <w:r w:rsidR="001E4C75" w:rsidRPr="001B6AAB">
              <w:rPr>
                <w:b/>
                <w:sz w:val="20"/>
                <w:szCs w:val="20"/>
              </w:rPr>
              <w:t xml:space="preserve">eeting </w:t>
            </w:r>
            <w:r w:rsidR="00593D37" w:rsidRPr="001B6AAB">
              <w:rPr>
                <w:b/>
                <w:sz w:val="20"/>
                <w:szCs w:val="20"/>
              </w:rPr>
              <w:t>a</w:t>
            </w:r>
            <w:r w:rsidR="001E4C75" w:rsidRPr="001B6AAB">
              <w:rPr>
                <w:b/>
                <w:sz w:val="20"/>
                <w:szCs w:val="20"/>
              </w:rPr>
              <w:t>genda</w:t>
            </w:r>
          </w:p>
        </w:tc>
        <w:tc>
          <w:tcPr>
            <w:tcW w:w="64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1B6AAB" w:rsidRDefault="001E4C75" w:rsidP="008D5637">
            <w:pPr>
              <w:pStyle w:val="NoSpacing"/>
              <w:rPr>
                <w:b/>
                <w:sz w:val="20"/>
                <w:szCs w:val="20"/>
              </w:rPr>
            </w:pPr>
            <w:r w:rsidRPr="001B6AAB">
              <w:rPr>
                <w:b/>
                <w:sz w:val="20"/>
                <w:szCs w:val="20"/>
              </w:rPr>
              <w:t xml:space="preserve">Commission </w:t>
            </w:r>
            <w:r w:rsidR="008D5637" w:rsidRPr="001B6AAB">
              <w:rPr>
                <w:b/>
                <w:sz w:val="20"/>
                <w:szCs w:val="20"/>
              </w:rPr>
              <w:t>c</w:t>
            </w:r>
            <w:r w:rsidR="004932D8" w:rsidRPr="001B6AAB">
              <w:rPr>
                <w:b/>
                <w:sz w:val="20"/>
                <w:szCs w:val="20"/>
              </w:rPr>
              <w:t>harge</w:t>
            </w:r>
            <w:r w:rsidR="00A63B65" w:rsidRPr="001B6AAB">
              <w:rPr>
                <w:b/>
                <w:sz w:val="20"/>
                <w:szCs w:val="20"/>
              </w:rPr>
              <w:t>(s)</w:t>
            </w:r>
            <w:r w:rsidR="004932D8" w:rsidRPr="001B6AAB">
              <w:rPr>
                <w:b/>
                <w:sz w:val="20"/>
                <w:szCs w:val="20"/>
              </w:rPr>
              <w:t xml:space="preserve"> discussed during meet</w:t>
            </w:r>
            <w:r w:rsidR="008D5637" w:rsidRPr="001B6AAB">
              <w:rPr>
                <w:b/>
                <w:sz w:val="20"/>
                <w:szCs w:val="20"/>
              </w:rPr>
              <w:t>ing</w:t>
            </w:r>
          </w:p>
        </w:tc>
      </w:tr>
      <w:tr w:rsidR="001E4C75" w:rsidRPr="00274E25" w:rsidTr="008709B4">
        <w:trPr>
          <w:trHeight w:val="3259"/>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Pr="001B6AAB" w:rsidRDefault="004932D8" w:rsidP="008E72DC">
            <w:pPr>
              <w:pStyle w:val="NoSpacing"/>
              <w:rPr>
                <w:b/>
                <w:sz w:val="20"/>
                <w:szCs w:val="20"/>
              </w:rPr>
            </w:pPr>
          </w:p>
          <w:p w:rsidR="001E4C75" w:rsidRPr="001B6AAB" w:rsidRDefault="0006317B" w:rsidP="008E72DC">
            <w:pPr>
              <w:pStyle w:val="NoSpacing"/>
              <w:rPr>
                <w:b/>
                <w:sz w:val="20"/>
                <w:szCs w:val="20"/>
              </w:rPr>
            </w:pPr>
            <w:r w:rsidRPr="001B6AAB">
              <w:rPr>
                <w:b/>
                <w:sz w:val="20"/>
                <w:szCs w:val="20"/>
              </w:rPr>
              <w:t>January 24, 2019</w:t>
            </w:r>
          </w:p>
          <w:p w:rsidR="008E72DC" w:rsidRPr="001B6AAB" w:rsidRDefault="008E72DC" w:rsidP="008E72DC">
            <w:pPr>
              <w:pStyle w:val="NoSpacing"/>
              <w:rPr>
                <w:b/>
                <w:sz w:val="20"/>
                <w:szCs w:val="20"/>
                <w:u w:val="single"/>
              </w:rPr>
            </w:pPr>
          </w:p>
          <w:p w:rsidR="001E4C75" w:rsidRPr="001B6AAB" w:rsidRDefault="001E4C75" w:rsidP="008E72DC">
            <w:pPr>
              <w:pStyle w:val="NoSpacing"/>
              <w:rPr>
                <w:b/>
                <w:sz w:val="20"/>
                <w:szCs w:val="20"/>
                <w:u w:val="single"/>
              </w:rPr>
            </w:pPr>
            <w:r w:rsidRPr="001B6AAB">
              <w:rPr>
                <w:b/>
                <w:sz w:val="20"/>
                <w:szCs w:val="20"/>
                <w:u w:val="single"/>
              </w:rPr>
              <w:t>Agenda</w:t>
            </w:r>
          </w:p>
          <w:p w:rsidR="00C71C46" w:rsidRPr="001B6AAB" w:rsidRDefault="00C71C46" w:rsidP="008E72DC">
            <w:pPr>
              <w:pStyle w:val="NoSpacing"/>
              <w:rPr>
                <w:b/>
                <w:sz w:val="20"/>
                <w:szCs w:val="20"/>
              </w:rPr>
            </w:pPr>
          </w:p>
          <w:p w:rsidR="0006317B" w:rsidRPr="001B6AAB" w:rsidRDefault="0006317B" w:rsidP="0006317B">
            <w:pPr>
              <w:pStyle w:val="NoSpacing"/>
              <w:numPr>
                <w:ilvl w:val="0"/>
                <w:numId w:val="17"/>
              </w:numPr>
              <w:rPr>
                <w:b/>
                <w:sz w:val="20"/>
                <w:szCs w:val="20"/>
              </w:rPr>
            </w:pPr>
            <w:r w:rsidRPr="001B6AAB">
              <w:rPr>
                <w:b/>
                <w:sz w:val="20"/>
                <w:szCs w:val="20"/>
              </w:rPr>
              <w:t>Welcome and Introductions</w:t>
            </w:r>
          </w:p>
          <w:p w:rsidR="0006317B" w:rsidRPr="001B6AAB" w:rsidRDefault="0006317B" w:rsidP="0006317B">
            <w:pPr>
              <w:pStyle w:val="NoSpacing"/>
              <w:ind w:left="720"/>
              <w:rPr>
                <w:b/>
                <w:sz w:val="20"/>
                <w:szCs w:val="20"/>
              </w:rPr>
            </w:pPr>
          </w:p>
          <w:p w:rsidR="00BE6270" w:rsidRDefault="00BE6270" w:rsidP="0006317B">
            <w:pPr>
              <w:pStyle w:val="NoSpacing"/>
              <w:numPr>
                <w:ilvl w:val="0"/>
                <w:numId w:val="17"/>
              </w:numPr>
              <w:rPr>
                <w:b/>
                <w:sz w:val="20"/>
                <w:szCs w:val="20"/>
              </w:rPr>
            </w:pPr>
            <w:r>
              <w:rPr>
                <w:b/>
                <w:sz w:val="20"/>
                <w:szCs w:val="20"/>
              </w:rPr>
              <w:t xml:space="preserve">Swearing in –Governor’s Office </w:t>
            </w:r>
          </w:p>
          <w:p w:rsidR="00BE6270" w:rsidRDefault="00BE6270" w:rsidP="00BE6270">
            <w:pPr>
              <w:pStyle w:val="NoSpacing"/>
              <w:ind w:left="720"/>
              <w:rPr>
                <w:b/>
                <w:sz w:val="20"/>
                <w:szCs w:val="20"/>
              </w:rPr>
            </w:pPr>
          </w:p>
          <w:p w:rsidR="006C5D94" w:rsidRPr="001B6AAB" w:rsidRDefault="0006317B" w:rsidP="0006317B">
            <w:pPr>
              <w:pStyle w:val="NoSpacing"/>
              <w:numPr>
                <w:ilvl w:val="0"/>
                <w:numId w:val="17"/>
              </w:numPr>
              <w:rPr>
                <w:b/>
                <w:sz w:val="20"/>
                <w:szCs w:val="20"/>
              </w:rPr>
            </w:pPr>
            <w:r w:rsidRPr="001B6AAB">
              <w:rPr>
                <w:b/>
                <w:sz w:val="20"/>
                <w:szCs w:val="20"/>
              </w:rPr>
              <w:t>Presentation on Open Meeting Law</w:t>
            </w:r>
          </w:p>
          <w:p w:rsidR="0006317B" w:rsidRPr="001B6AAB" w:rsidRDefault="0006317B" w:rsidP="0006317B">
            <w:pPr>
              <w:pStyle w:val="NoSpacing"/>
              <w:ind w:left="720"/>
              <w:rPr>
                <w:b/>
                <w:sz w:val="20"/>
                <w:szCs w:val="20"/>
              </w:rPr>
            </w:pPr>
          </w:p>
          <w:p w:rsidR="0006317B" w:rsidRDefault="0006317B" w:rsidP="0006317B">
            <w:pPr>
              <w:pStyle w:val="NoSpacing"/>
              <w:numPr>
                <w:ilvl w:val="0"/>
                <w:numId w:val="17"/>
              </w:numPr>
              <w:rPr>
                <w:b/>
                <w:sz w:val="20"/>
                <w:szCs w:val="20"/>
              </w:rPr>
            </w:pPr>
            <w:r w:rsidRPr="001B6AAB">
              <w:rPr>
                <w:b/>
                <w:sz w:val="20"/>
                <w:szCs w:val="20"/>
              </w:rPr>
              <w:t>Presentation on Code of Ethics</w:t>
            </w:r>
          </w:p>
          <w:p w:rsidR="00BE6270" w:rsidRDefault="00BE6270" w:rsidP="00BE6270">
            <w:pPr>
              <w:pStyle w:val="NoSpacing"/>
              <w:ind w:left="720"/>
              <w:rPr>
                <w:b/>
                <w:sz w:val="20"/>
                <w:szCs w:val="20"/>
              </w:rPr>
            </w:pPr>
          </w:p>
          <w:p w:rsidR="0006317B" w:rsidRPr="001B6AAB" w:rsidRDefault="00BE6270" w:rsidP="00BE6270">
            <w:pPr>
              <w:pStyle w:val="NoSpacing"/>
              <w:ind w:left="360"/>
              <w:rPr>
                <w:b/>
                <w:sz w:val="20"/>
                <w:szCs w:val="20"/>
              </w:rPr>
            </w:pPr>
            <w:r>
              <w:rPr>
                <w:b/>
                <w:sz w:val="20"/>
                <w:szCs w:val="20"/>
              </w:rPr>
              <w:t>5.     Presentation of</w:t>
            </w:r>
            <w:r w:rsidR="004A72B6">
              <w:rPr>
                <w:b/>
                <w:sz w:val="20"/>
                <w:szCs w:val="20"/>
              </w:rPr>
              <w:t xml:space="preserve"> Medication Assisted Treatment </w:t>
            </w:r>
          </w:p>
          <w:p w:rsidR="0006317B" w:rsidRPr="001B6AAB" w:rsidRDefault="0006317B" w:rsidP="0006317B">
            <w:pPr>
              <w:pStyle w:val="NoSpacing"/>
              <w:ind w:left="360"/>
              <w:rPr>
                <w:sz w:val="20"/>
                <w:szCs w:val="20"/>
              </w:rPr>
            </w:pPr>
          </w:p>
          <w:p w:rsidR="008E72DC" w:rsidRPr="001B6AAB" w:rsidRDefault="008E72DC" w:rsidP="008049AF">
            <w:pPr>
              <w:pStyle w:val="NoSpacing"/>
              <w:ind w:left="720"/>
              <w:rPr>
                <w:sz w:val="20"/>
                <w:szCs w:val="20"/>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8447E" w:rsidRPr="001B6AAB" w:rsidRDefault="0068447E" w:rsidP="00357CE3">
            <w:pPr>
              <w:pStyle w:val="NoSpacing"/>
              <w:rPr>
                <w:b/>
                <w:sz w:val="20"/>
                <w:szCs w:val="20"/>
              </w:rPr>
            </w:pPr>
          </w:p>
          <w:p w:rsidR="00067A95" w:rsidRPr="001B6AAB" w:rsidRDefault="00F06B78" w:rsidP="00357CE3">
            <w:pPr>
              <w:pStyle w:val="NoSpacing"/>
              <w:rPr>
                <w:b/>
                <w:sz w:val="20"/>
                <w:szCs w:val="20"/>
              </w:rPr>
            </w:pPr>
            <w:r w:rsidRPr="001B6AAB">
              <w:rPr>
                <w:b/>
                <w:sz w:val="20"/>
                <w:szCs w:val="20"/>
              </w:rPr>
              <w:t>The Commission must:</w:t>
            </w:r>
          </w:p>
          <w:p w:rsidR="001B6AAB"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 xml:space="preserve">create aggregate demographic and geographic profiles of individuals who use medication-assisted treatment; </w:t>
            </w:r>
          </w:p>
          <w:p w:rsidR="001B6AAB"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 xml:space="preserve">examine the availability of and barriers to accessing medication-assisted treatment, including federal, state and local laws and regulations; </w:t>
            </w:r>
          </w:p>
          <w:p w:rsidR="001B6AAB"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 xml:space="preserve">determine the current utilization of, and projected need for, medication-assisted treatment in inpatient and outpatient settings, including, but not limited to, inpatient and residential substance use treatment facilities, inpatient psychiatric settings, pharmacy settings, mobile settings and primary care settings; </w:t>
            </w:r>
          </w:p>
          <w:p w:rsidR="001B6AAB"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identify ways to expand access to medication-assisted treatment in both inpatient and outpatient settings;</w:t>
            </w:r>
          </w:p>
          <w:p w:rsidR="001B6AAB"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 xml:space="preserve">identify ways to encourage practitioners to seek waivers to administer buprenorphine to treat patients with opioid use disorder; </w:t>
            </w:r>
          </w:p>
          <w:p w:rsidR="001B6AAB"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 xml:space="preserve">study the availability of and concurrent use of behavioral health therapy for individuals receiving medication-assisted treatment; </w:t>
            </w:r>
          </w:p>
          <w:p w:rsidR="00F06B78" w:rsidRPr="001B6AAB" w:rsidRDefault="001B6AAB" w:rsidP="001B6AAB">
            <w:pPr>
              <w:pStyle w:val="ListParagraph"/>
              <w:numPr>
                <w:ilvl w:val="0"/>
                <w:numId w:val="18"/>
              </w:numPr>
              <w:rPr>
                <w:rFonts w:asciiTheme="minorHAnsi" w:hAnsiTheme="minorHAnsi" w:cs="Helvetica"/>
                <w:color w:val="333333"/>
                <w:sz w:val="20"/>
                <w:szCs w:val="20"/>
              </w:rPr>
            </w:pPr>
            <w:r w:rsidRPr="001B6AAB">
              <w:rPr>
                <w:rFonts w:asciiTheme="minorHAnsi" w:hAnsiTheme="minorHAnsi" w:cs="Helvetica"/>
                <w:color w:val="333333"/>
                <w:sz w:val="20"/>
                <w:szCs w:val="20"/>
              </w:rPr>
              <w:t>study other related matters</w:t>
            </w:r>
          </w:p>
        </w:tc>
      </w:tr>
      <w:tr w:rsidR="005E75EC" w:rsidRPr="00274E25" w:rsidTr="00FC7813">
        <w:trPr>
          <w:trHeight w:val="532"/>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E75EC" w:rsidRPr="00FD111C" w:rsidRDefault="005E75EC" w:rsidP="00FC7813">
            <w:pPr>
              <w:pStyle w:val="NormalWeb"/>
              <w:spacing w:before="0" w:beforeAutospacing="0" w:after="0" w:afterAutospacing="0" w:line="276" w:lineRule="auto"/>
              <w:rPr>
                <w:rFonts w:asciiTheme="minorHAnsi" w:eastAsia="Calibri" w:hAnsiTheme="minorHAnsi"/>
                <w:bCs/>
                <w:color w:val="000000" w:themeColor="text1"/>
                <w:kern w:val="24"/>
                <w:sz w:val="20"/>
                <w:szCs w:val="20"/>
              </w:rPr>
            </w:pPr>
            <w:r>
              <w:rPr>
                <w:rFonts w:asciiTheme="minorHAnsi" w:eastAsia="Calibri" w:hAnsiTheme="minorHAnsi"/>
                <w:b/>
                <w:bCs/>
                <w:color w:val="000000" w:themeColor="text1"/>
                <w:kern w:val="24"/>
                <w:sz w:val="20"/>
                <w:szCs w:val="20"/>
              </w:rPr>
              <w:t xml:space="preserve">Upcoming Meeting dates:  </w:t>
            </w:r>
            <w:r w:rsidRPr="00FD111C">
              <w:rPr>
                <w:rFonts w:asciiTheme="minorHAnsi" w:eastAsia="Calibri" w:hAnsiTheme="minorHAnsi"/>
                <w:bCs/>
                <w:color w:val="000000" w:themeColor="text1"/>
                <w:kern w:val="24"/>
                <w:sz w:val="20"/>
                <w:szCs w:val="20"/>
              </w:rPr>
              <w:t>March 19, 1-3pm</w:t>
            </w:r>
            <w:r w:rsidR="0070048E" w:rsidRPr="00FD111C">
              <w:rPr>
                <w:rFonts w:asciiTheme="minorHAnsi" w:eastAsia="Calibri" w:hAnsiTheme="minorHAnsi"/>
                <w:bCs/>
                <w:color w:val="000000" w:themeColor="text1"/>
                <w:kern w:val="24"/>
                <w:sz w:val="20"/>
                <w:szCs w:val="20"/>
              </w:rPr>
              <w:t>; May</w:t>
            </w:r>
            <w:r w:rsidRPr="00FD111C">
              <w:rPr>
                <w:rFonts w:asciiTheme="minorHAnsi" w:eastAsia="Calibri" w:hAnsiTheme="minorHAnsi"/>
                <w:bCs/>
                <w:color w:val="000000" w:themeColor="text1"/>
                <w:kern w:val="24"/>
                <w:sz w:val="20"/>
                <w:szCs w:val="20"/>
              </w:rPr>
              <w:t xml:space="preserve"> 21, 1-3pm; June 26, 1-3pm; July 30, 1-3pm</w:t>
            </w:r>
            <w:r w:rsidR="00FD111C">
              <w:rPr>
                <w:rFonts w:asciiTheme="minorHAnsi" w:eastAsia="Calibri" w:hAnsiTheme="minorHAnsi"/>
                <w:b/>
                <w:bCs/>
                <w:color w:val="000000" w:themeColor="text1"/>
                <w:kern w:val="24"/>
                <w:sz w:val="20"/>
                <w:szCs w:val="20"/>
              </w:rPr>
              <w:t xml:space="preserve">.  </w:t>
            </w:r>
            <w:r w:rsidR="00FD111C">
              <w:rPr>
                <w:rFonts w:asciiTheme="minorHAnsi" w:eastAsia="Calibri" w:hAnsiTheme="minorHAnsi"/>
                <w:bCs/>
                <w:color w:val="000000" w:themeColor="text1"/>
                <w:kern w:val="24"/>
                <w:sz w:val="20"/>
                <w:szCs w:val="20"/>
              </w:rPr>
              <w:t xml:space="preserve">All meetings to be held in the Public Health Council (PHC) </w:t>
            </w:r>
            <w:r w:rsidR="00967211">
              <w:rPr>
                <w:rFonts w:asciiTheme="minorHAnsi" w:eastAsia="Calibri" w:hAnsiTheme="minorHAnsi"/>
                <w:bCs/>
                <w:color w:val="000000" w:themeColor="text1"/>
                <w:kern w:val="24"/>
                <w:sz w:val="20"/>
                <w:szCs w:val="20"/>
              </w:rPr>
              <w:t xml:space="preserve">250 Washington Street Boston MA </w:t>
            </w:r>
          </w:p>
        </w:tc>
      </w:tr>
      <w:tr w:rsidR="00967211" w:rsidRPr="00274E25" w:rsidTr="00FC7813">
        <w:trPr>
          <w:trHeight w:val="532"/>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967211" w:rsidRDefault="00967211" w:rsidP="00FC7813">
            <w:pPr>
              <w:pStyle w:val="NormalWeb"/>
              <w:spacing w:before="0" w:beforeAutospacing="0" w:after="0" w:afterAutospacing="0" w:line="276" w:lineRule="auto"/>
              <w:rPr>
                <w:rStyle w:val="Hyperlink"/>
                <w:rFonts w:asciiTheme="minorHAnsi" w:eastAsia="Calibri" w:hAnsiTheme="minorHAnsi"/>
                <w:b/>
                <w:bCs/>
                <w:kern w:val="24"/>
                <w:sz w:val="20"/>
                <w:szCs w:val="20"/>
              </w:rPr>
            </w:pPr>
            <w:r>
              <w:rPr>
                <w:rFonts w:asciiTheme="minorHAnsi" w:eastAsia="Calibri" w:hAnsiTheme="minorHAnsi"/>
                <w:b/>
                <w:bCs/>
                <w:color w:val="000000" w:themeColor="text1"/>
                <w:kern w:val="24"/>
                <w:sz w:val="20"/>
                <w:szCs w:val="20"/>
              </w:rPr>
              <w:t xml:space="preserve">Commission Website: </w:t>
            </w:r>
            <w:hyperlink r:id="rId9" w:history="1">
              <w:r w:rsidRPr="0050311E">
                <w:rPr>
                  <w:rStyle w:val="Hyperlink"/>
                  <w:rFonts w:asciiTheme="minorHAnsi" w:eastAsia="Calibri" w:hAnsiTheme="minorHAnsi"/>
                  <w:b/>
                  <w:bCs/>
                  <w:kern w:val="24"/>
                  <w:sz w:val="20"/>
                  <w:szCs w:val="20"/>
                </w:rPr>
                <w:t>https://www.mass.gov/orgs/medication-assisted-treatment-mat-commission</w:t>
              </w:r>
            </w:hyperlink>
          </w:p>
          <w:p w:rsidR="00021CFE" w:rsidRDefault="00021CFE" w:rsidP="00FC7813">
            <w:pPr>
              <w:pStyle w:val="NormalWeb"/>
              <w:spacing w:before="0" w:beforeAutospacing="0" w:after="0" w:afterAutospacing="0" w:line="276" w:lineRule="auto"/>
              <w:rPr>
                <w:rFonts w:asciiTheme="minorHAnsi" w:eastAsia="Calibri" w:hAnsiTheme="minorHAnsi"/>
                <w:bCs/>
                <w:color w:val="000000" w:themeColor="text1"/>
                <w:kern w:val="24"/>
                <w:sz w:val="20"/>
                <w:szCs w:val="20"/>
              </w:rPr>
            </w:pPr>
            <w:r w:rsidRPr="00021CFE">
              <w:rPr>
                <w:rFonts w:asciiTheme="minorHAnsi" w:eastAsia="Calibri" w:hAnsiTheme="minorHAnsi"/>
                <w:b/>
                <w:bCs/>
                <w:color w:val="000000" w:themeColor="text1"/>
                <w:kern w:val="24"/>
                <w:sz w:val="20"/>
                <w:szCs w:val="20"/>
              </w:rPr>
              <w:t>Commission Email</w:t>
            </w:r>
            <w:r>
              <w:rPr>
                <w:rFonts w:asciiTheme="minorHAnsi" w:eastAsia="Calibri" w:hAnsiTheme="minorHAnsi"/>
                <w:bCs/>
                <w:color w:val="000000" w:themeColor="text1"/>
                <w:kern w:val="24"/>
                <w:sz w:val="20"/>
                <w:szCs w:val="20"/>
              </w:rPr>
              <w:t xml:space="preserve">: </w:t>
            </w:r>
            <w:hyperlink r:id="rId10" w:history="1">
              <w:r w:rsidRPr="00201B25">
                <w:rPr>
                  <w:rStyle w:val="Hyperlink"/>
                  <w:rFonts w:asciiTheme="minorHAnsi" w:eastAsia="Calibri" w:hAnsiTheme="minorHAnsi"/>
                  <w:bCs/>
                  <w:kern w:val="24"/>
                  <w:sz w:val="20"/>
                  <w:szCs w:val="20"/>
                </w:rPr>
                <w:t>MAT.Commission@state.ma.us</w:t>
              </w:r>
            </w:hyperlink>
          </w:p>
          <w:p w:rsidR="00850997" w:rsidRPr="001B6AAB" w:rsidRDefault="00850997" w:rsidP="00850997">
            <w:pPr>
              <w:pStyle w:val="NormalWeb"/>
              <w:spacing w:before="0" w:beforeAutospacing="0" w:after="0" w:afterAutospacing="0" w:line="276" w:lineRule="auto"/>
              <w:rPr>
                <w:rFonts w:asciiTheme="minorHAnsi" w:eastAsia="Calibri" w:hAnsiTheme="minorHAnsi"/>
                <w:b/>
                <w:bCs/>
                <w:color w:val="000000" w:themeColor="text1"/>
                <w:kern w:val="24"/>
                <w:sz w:val="20"/>
                <w:szCs w:val="20"/>
              </w:rPr>
            </w:pPr>
          </w:p>
        </w:tc>
      </w:tr>
      <w:tr w:rsidR="00FC7813" w:rsidRPr="00274E25" w:rsidTr="00FC7813">
        <w:trPr>
          <w:trHeight w:val="532"/>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C7813" w:rsidRPr="001B6AAB" w:rsidRDefault="00FC7813" w:rsidP="00FC7813">
            <w:pPr>
              <w:pStyle w:val="NormalWeb"/>
              <w:spacing w:before="0" w:beforeAutospacing="0" w:after="0" w:afterAutospacing="0" w:line="276" w:lineRule="auto"/>
              <w:rPr>
                <w:rFonts w:asciiTheme="minorHAnsi" w:eastAsia="Calibri" w:hAnsiTheme="minorHAnsi"/>
                <w:b/>
                <w:bCs/>
                <w:color w:val="000000" w:themeColor="text1"/>
                <w:kern w:val="24"/>
                <w:sz w:val="20"/>
                <w:szCs w:val="20"/>
              </w:rPr>
            </w:pPr>
          </w:p>
          <w:p w:rsidR="00FC7813" w:rsidRPr="00FD111C" w:rsidRDefault="00BE6270" w:rsidP="00FC7813">
            <w:pPr>
              <w:pStyle w:val="NormalWeb"/>
              <w:spacing w:before="0" w:beforeAutospacing="0" w:after="0" w:afterAutospacing="0" w:line="276" w:lineRule="auto"/>
              <w:rPr>
                <w:rFonts w:asciiTheme="minorHAnsi" w:eastAsia="Calibri" w:hAnsiTheme="minorHAnsi"/>
                <w:color w:val="000000" w:themeColor="text1"/>
                <w:kern w:val="24"/>
                <w:sz w:val="20"/>
                <w:szCs w:val="20"/>
              </w:rPr>
            </w:pPr>
            <w:r>
              <w:rPr>
                <w:rFonts w:asciiTheme="minorHAnsi" w:eastAsia="Calibri" w:hAnsiTheme="minorHAnsi"/>
                <w:b/>
                <w:bCs/>
                <w:color w:val="000000" w:themeColor="text1"/>
                <w:kern w:val="24"/>
                <w:sz w:val="20"/>
                <w:szCs w:val="20"/>
              </w:rPr>
              <w:t xml:space="preserve">August </w:t>
            </w:r>
            <w:r w:rsidR="005E75EC">
              <w:rPr>
                <w:rFonts w:asciiTheme="minorHAnsi" w:eastAsia="Calibri" w:hAnsiTheme="minorHAnsi"/>
                <w:b/>
                <w:bCs/>
                <w:color w:val="000000" w:themeColor="text1"/>
                <w:kern w:val="24"/>
                <w:sz w:val="20"/>
                <w:szCs w:val="20"/>
              </w:rPr>
              <w:t>9</w:t>
            </w:r>
            <w:r w:rsidR="00FC7813" w:rsidRPr="001B6AAB">
              <w:rPr>
                <w:rFonts w:asciiTheme="minorHAnsi" w:eastAsia="Calibri" w:hAnsiTheme="minorHAnsi"/>
                <w:b/>
                <w:bCs/>
                <w:color w:val="000000" w:themeColor="text1"/>
                <w:kern w:val="24"/>
                <w:sz w:val="20"/>
                <w:szCs w:val="20"/>
              </w:rPr>
              <w:t xml:space="preserve">, 2019    –    </w:t>
            </w:r>
            <w:r w:rsidR="00FC7813" w:rsidRPr="00FD111C">
              <w:rPr>
                <w:rFonts w:asciiTheme="minorHAnsi" w:eastAsia="Calibri" w:hAnsiTheme="minorHAnsi"/>
                <w:color w:val="000000" w:themeColor="text1"/>
                <w:kern w:val="24"/>
                <w:sz w:val="20"/>
                <w:szCs w:val="20"/>
              </w:rPr>
              <w:t>Submission of Commission’s fin</w:t>
            </w:r>
            <w:r w:rsidR="00D026FD" w:rsidRPr="00FD111C">
              <w:rPr>
                <w:rFonts w:asciiTheme="minorHAnsi" w:eastAsia="Calibri" w:hAnsiTheme="minorHAnsi"/>
                <w:color w:val="000000" w:themeColor="text1"/>
                <w:kern w:val="24"/>
                <w:sz w:val="20"/>
                <w:szCs w:val="20"/>
              </w:rPr>
              <w:t>dings and</w:t>
            </w:r>
            <w:r w:rsidR="00FC7813" w:rsidRPr="00FD111C">
              <w:rPr>
                <w:rFonts w:asciiTheme="minorHAnsi" w:eastAsia="Calibri" w:hAnsiTheme="minorHAnsi"/>
                <w:color w:val="000000" w:themeColor="text1"/>
                <w:kern w:val="24"/>
                <w:sz w:val="20"/>
                <w:szCs w:val="20"/>
              </w:rPr>
              <w:t xml:space="preserve"> recommendations to the Legislature</w:t>
            </w:r>
          </w:p>
          <w:p w:rsidR="00FC7813" w:rsidRPr="001B6AAB" w:rsidRDefault="00FC7813" w:rsidP="00FC7813">
            <w:pPr>
              <w:pStyle w:val="NormalWeb"/>
              <w:spacing w:before="0" w:beforeAutospacing="0" w:after="0" w:afterAutospacing="0" w:line="276" w:lineRule="auto"/>
              <w:rPr>
                <w:rFonts w:asciiTheme="minorHAnsi" w:hAnsiTheme="minorHAnsi" w:cs="Arial"/>
                <w:sz w:val="20"/>
                <w:szCs w:val="20"/>
              </w:rPr>
            </w:pPr>
          </w:p>
        </w:tc>
      </w:tr>
    </w:tbl>
    <w:p w:rsidR="00E17AB7" w:rsidRDefault="00E17AB7" w:rsidP="00E17AB7">
      <w:pPr>
        <w:rPr>
          <w:rFonts w:ascii="Gill Sans MT" w:hAnsi="Gill Sans MT"/>
          <w:sz w:val="24"/>
          <w:szCs w:val="24"/>
        </w:rPr>
      </w:pPr>
    </w:p>
    <w:p w:rsidR="00E17AB7" w:rsidRPr="00E17AB7" w:rsidRDefault="00E17AB7" w:rsidP="00E17AB7">
      <w:pPr>
        <w:spacing w:after="0" w:line="240" w:lineRule="auto"/>
        <w:ind w:hanging="990"/>
      </w:pPr>
      <w:r w:rsidRPr="00E17AB7">
        <w:t>Attendance and Summary of Votes:</w:t>
      </w:r>
    </w:p>
    <w:p w:rsidR="00E17AB7" w:rsidRDefault="00E17AB7" w:rsidP="00E17AB7">
      <w:pPr>
        <w:spacing w:after="0" w:line="240" w:lineRule="auto"/>
        <w:ind w:hanging="990"/>
      </w:pPr>
      <w:r w:rsidRPr="00E17AB7">
        <w:t>Presented below is a summary of the meeting, including time-keeping, attendance and votes cas</w:t>
      </w:r>
      <w:r>
        <w:t>t</w:t>
      </w:r>
      <w:r w:rsidRPr="00E17AB7">
        <w:t>.</w:t>
      </w:r>
    </w:p>
    <w:p w:rsidR="00E17AB7" w:rsidRDefault="00E17AB7" w:rsidP="00E17AB7">
      <w:pPr>
        <w:spacing w:after="0" w:line="240" w:lineRule="auto"/>
        <w:ind w:hanging="990"/>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902B4A" w:rsidRPr="00902B4A" w:rsidTr="002A390D">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b/>
                <w:bCs/>
                <w:color w:val="000000"/>
                <w:sz w:val="18"/>
                <w:szCs w:val="18"/>
                <w:u w:color="000000"/>
                <w:bdr w:val="nil"/>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b/>
                <w:bCs/>
                <w:color w:val="000000"/>
                <w:sz w:val="18"/>
                <w:szCs w:val="18"/>
                <w:u w:color="000000"/>
                <w:bdr w:val="nil"/>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b/>
                <w:bCs/>
                <w:color w:val="000000"/>
                <w:sz w:val="18"/>
                <w:szCs w:val="18"/>
                <w:u w:color="000000"/>
                <w:bdr w:val="nil"/>
              </w:rPr>
              <w:t xml:space="preserve">Allowance for Remote Participation (Vote) </w:t>
            </w:r>
          </w:p>
        </w:tc>
      </w:tr>
      <w:tr w:rsidR="00902B4A" w:rsidRPr="00902B4A" w:rsidTr="002A390D">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r>
      <w:tr w:rsidR="00902B4A" w:rsidRPr="00902B4A" w:rsidTr="00902B4A">
        <w:tblPrEx>
          <w:shd w:val="clear" w:color="auto" w:fill="CED7E7"/>
        </w:tblPrEx>
        <w:trPr>
          <w:trHeight w:val="63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proofErr w:type="spellStart"/>
            <w:r>
              <w:rPr>
                <w:rFonts w:ascii="Calibri" w:eastAsia="Calibri" w:hAnsi="Calibri" w:cs="Calibri"/>
                <w:color w:val="000000"/>
                <w:sz w:val="18"/>
                <w:szCs w:val="18"/>
                <w:u w:color="000000"/>
                <w:bdr w:val="nil"/>
              </w:rPr>
              <w:t>Deliliah</w:t>
            </w:r>
            <w:proofErr w:type="spellEnd"/>
            <w:r>
              <w:rPr>
                <w:rFonts w:ascii="Calibri" w:eastAsia="Calibri" w:hAnsi="Calibri" w:cs="Calibri"/>
                <w:color w:val="000000"/>
                <w:sz w:val="18"/>
                <w:szCs w:val="18"/>
                <w:u w:color="000000"/>
                <w:bdr w:val="nil"/>
              </w:rPr>
              <w:t xml:space="preserve"> Barnes</w:t>
            </w:r>
            <w:r w:rsidRPr="00902B4A">
              <w:rPr>
                <w:rFonts w:ascii="Calibri" w:eastAsia="Calibri" w:hAnsi="Calibri" w:cs="Calibri"/>
                <w:color w:val="000000"/>
                <w:sz w:val="18"/>
                <w:szCs w:val="18"/>
                <w:u w:color="000000"/>
                <w:bdr w:val="nil"/>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p>
        </w:tc>
      </w:tr>
      <w:tr w:rsidR="00902B4A" w:rsidRPr="00902B4A" w:rsidTr="002A390D">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Vic DiGravio</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tabs>
                <w:tab w:val="left" w:pos="1038"/>
                <w:tab w:val="center" w:pos="1168"/>
              </w:tabs>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Dennis Dimitri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Yes </w:t>
            </w:r>
          </w:p>
        </w:tc>
      </w:tr>
      <w:tr w:rsidR="00902B4A" w:rsidRPr="00902B4A" w:rsidTr="002A390D">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Ken Duckworth</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lastRenderedPageBreak/>
              <w:t>Cindy Friedman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Peg Harvey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15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Jeff Hillis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Andrew Klein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spacing w:after="0" w:line="240" w:lineRule="auto"/>
              <w:jc w:val="center"/>
              <w:rPr>
                <w:rFonts w:ascii="Times New Roman" w:eastAsia="Times New Roman" w:hAnsi="Times New Roman" w:cs="Times New Roman"/>
                <w:sz w:val="18"/>
                <w:szCs w:val="18"/>
              </w:rPr>
            </w:pPr>
            <w:r>
              <w:rPr>
                <w:rFonts w:ascii="Calibri" w:eastAsia="Calibri" w:hAnsi="Calibri" w:cs="Calibri"/>
                <w:color w:val="000000"/>
                <w:sz w:val="18"/>
                <w:szCs w:val="18"/>
                <w:u w:color="000000"/>
              </w:rPr>
              <w:t>Hannah Kloomok</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spacing w:after="0" w:line="240" w:lineRule="auto"/>
              <w:jc w:val="center"/>
              <w:rPr>
                <w:rFonts w:ascii="Times New Roman" w:eastAsia="Times New Roman" w:hAnsi="Times New Roman" w:cs="Times New Roman"/>
                <w:sz w:val="18"/>
                <w:szCs w:val="18"/>
              </w:rPr>
            </w:pPr>
            <w:r w:rsidRPr="00902B4A">
              <w:rPr>
                <w:rFonts w:ascii="Calibri" w:eastAsia="Calibri" w:hAnsi="Calibri" w:cs="Calibri"/>
                <w:color w:val="000000"/>
                <w:sz w:val="18"/>
                <w:szCs w:val="18"/>
                <w:u w:color="000000"/>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jc w:val="center"/>
              <w:rPr>
                <w:rFonts w:ascii="Times New Roman" w:eastAsia="Times New Roman" w:hAnsi="Times New Roman" w:cs="Times New Roman"/>
                <w:sz w:val="18"/>
                <w:szCs w:val="18"/>
              </w:rPr>
            </w:pPr>
            <w:r w:rsidRPr="00902B4A">
              <w:rPr>
                <w:rFonts w:ascii="Calibri" w:eastAsia="Calibri" w:hAnsi="Calibri" w:cs="Calibri"/>
                <w:color w:val="000000"/>
                <w:sz w:val="18"/>
                <w:szCs w:val="18"/>
                <w:u w:color="000000"/>
              </w:rPr>
              <w:t>Yes</w:t>
            </w:r>
          </w:p>
        </w:tc>
      </w:tr>
      <w:tr w:rsidR="00902B4A" w:rsidRPr="00902B4A" w:rsidTr="002A390D">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proofErr w:type="spellStart"/>
            <w:r>
              <w:rPr>
                <w:rFonts w:ascii="Calibri" w:eastAsia="Calibri" w:hAnsi="Calibri" w:cs="Calibri"/>
                <w:color w:val="000000"/>
                <w:sz w:val="18"/>
                <w:szCs w:val="18"/>
                <w:u w:color="000000"/>
                <w:bdr w:val="nil"/>
              </w:rPr>
              <w:t>Myeshia</w:t>
            </w:r>
            <w:proofErr w:type="spellEnd"/>
            <w:r>
              <w:rPr>
                <w:rFonts w:ascii="Calibri" w:eastAsia="Calibri" w:hAnsi="Calibri" w:cs="Calibri"/>
                <w:color w:val="000000"/>
                <w:sz w:val="18"/>
                <w:szCs w:val="18"/>
                <w:u w:color="000000"/>
                <w:bdr w:val="nil"/>
              </w:rPr>
              <w:t xml:space="preserve"> Minter Jordan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keepNext/>
              <w:keepLines/>
              <w:pBdr>
                <w:top w:val="nil"/>
                <w:left w:val="nil"/>
                <w:bottom w:val="nil"/>
                <w:right w:val="nil"/>
                <w:between w:val="nil"/>
                <w:bar w:val="nil"/>
              </w:pBdr>
              <w:spacing w:after="0"/>
              <w:jc w:val="center"/>
              <w:outlineLvl w:val="0"/>
              <w:rPr>
                <w:rFonts w:ascii="Calibri" w:eastAsia="Calibri" w:hAnsi="Calibri" w:cs="Calibri"/>
                <w:color w:val="000000"/>
                <w:sz w:val="18"/>
                <w:szCs w:val="18"/>
                <w:u w:color="000000"/>
                <w:bdr w:val="nil"/>
              </w:rPr>
            </w:pPr>
            <w:r>
              <w:rPr>
                <w:rFonts w:ascii="Calibri" w:eastAsia="Calibri" w:hAnsi="Calibri" w:cs="Calibri"/>
                <w:color w:val="000000"/>
                <w:sz w:val="18"/>
                <w:szCs w:val="18"/>
                <w:u w:color="365F91"/>
                <w:bdr w:val="nil"/>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p>
        </w:tc>
      </w:tr>
      <w:tr w:rsidR="00902B4A" w:rsidRPr="00902B4A" w:rsidTr="002A390D">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Shaunna O’Connell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Yes </w:t>
            </w:r>
          </w:p>
        </w:tc>
      </w:tr>
      <w:tr w:rsidR="00902B4A" w:rsidRPr="00902B4A" w:rsidTr="002A390D">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Jared Owen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Elizabeth Ross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sidRPr="00902B4A">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Dan Ryan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proofErr w:type="spellStart"/>
            <w:r>
              <w:rPr>
                <w:rFonts w:ascii="Calibri" w:eastAsia="Calibri" w:hAnsi="Calibri" w:cs="Calibri"/>
                <w:color w:val="000000"/>
                <w:sz w:val="18"/>
                <w:szCs w:val="18"/>
                <w:u w:color="000000"/>
                <w:bdr w:val="nil"/>
              </w:rPr>
              <w:t>Joji</w:t>
            </w:r>
            <w:proofErr w:type="spellEnd"/>
            <w:r>
              <w:rPr>
                <w:rFonts w:ascii="Calibri" w:eastAsia="Calibri" w:hAnsi="Calibri" w:cs="Calibri"/>
                <w:color w:val="000000"/>
                <w:sz w:val="18"/>
                <w:szCs w:val="18"/>
                <w:u w:color="000000"/>
                <w:bdr w:val="nil"/>
              </w:rPr>
              <w:t xml:space="preserve"> Suzuki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Yes</w:t>
            </w:r>
          </w:p>
        </w:tc>
      </w:tr>
      <w:tr w:rsidR="00902B4A" w:rsidRPr="00902B4A" w:rsidTr="002A390D">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Sarah Wakeman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p>
        </w:tc>
      </w:tr>
      <w:tr w:rsidR="00902B4A" w:rsidRPr="00902B4A" w:rsidTr="002A390D">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Leigh Youmans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spacing w:after="0" w:line="240" w:lineRule="auto"/>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Yes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2B4A" w:rsidRPr="00902B4A" w:rsidRDefault="00902B4A" w:rsidP="00902B4A">
            <w:pPr>
              <w:pBdr>
                <w:top w:val="nil"/>
                <w:left w:val="nil"/>
                <w:bottom w:val="nil"/>
                <w:right w:val="nil"/>
                <w:between w:val="nil"/>
                <w:bar w:val="nil"/>
              </w:pBdr>
              <w:jc w:val="center"/>
              <w:rPr>
                <w:rFonts w:ascii="Calibri" w:eastAsia="Calibri" w:hAnsi="Calibri" w:cs="Calibri"/>
                <w:color w:val="000000"/>
                <w:sz w:val="18"/>
                <w:szCs w:val="18"/>
                <w:u w:color="000000"/>
                <w:bdr w:val="nil"/>
              </w:rPr>
            </w:pPr>
            <w:r>
              <w:rPr>
                <w:rFonts w:ascii="Calibri" w:eastAsia="Calibri" w:hAnsi="Calibri" w:cs="Calibri"/>
                <w:color w:val="000000"/>
                <w:sz w:val="18"/>
                <w:szCs w:val="18"/>
                <w:u w:color="000000"/>
                <w:bdr w:val="nil"/>
              </w:rPr>
              <w:t xml:space="preserve">Yes </w:t>
            </w:r>
          </w:p>
        </w:tc>
      </w:tr>
    </w:tbl>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902B4A" w:rsidRDefault="00902B4A" w:rsidP="001E4C75"/>
    <w:p w:rsidR="00154874" w:rsidRPr="00E17AB7" w:rsidRDefault="00154874" w:rsidP="001E4C75">
      <w:r w:rsidRPr="00E17AB7">
        <w:t xml:space="preserve">Minutes: Commissioner Bharel began the meeting at 1:05PM.  Noah </w:t>
      </w:r>
      <w:proofErr w:type="spellStart"/>
      <w:r w:rsidRPr="00E17AB7">
        <w:t>McClenan</w:t>
      </w:r>
      <w:proofErr w:type="spellEnd"/>
      <w:r w:rsidRPr="00E17AB7">
        <w:t xml:space="preserve"> administered the Oath to the Commission members and Senior Deputy General Counsel Beth McLaughlin presented on Open Meeting Law and Ethics. </w:t>
      </w:r>
    </w:p>
    <w:p w:rsidR="00E27F56" w:rsidRPr="00E17AB7" w:rsidRDefault="00A7257C" w:rsidP="001E4C75">
      <w:r w:rsidRPr="00E17AB7">
        <w:t>Dr. Alex Walley presented on Medication Assisted Treatment to set a baseline for the members about the three types of medication, access to treatment settings and ability to manage withdrawal</w:t>
      </w:r>
      <w:r w:rsidR="00E27F56" w:rsidRPr="00E17AB7">
        <w:t xml:space="preserve">. </w:t>
      </w:r>
    </w:p>
    <w:p w:rsidR="00152BA0" w:rsidRPr="00E17AB7" w:rsidRDefault="00152BA0" w:rsidP="001E4C75">
      <w:r w:rsidRPr="00E17AB7">
        <w:t xml:space="preserve">Naltrexone in the </w:t>
      </w:r>
      <w:r w:rsidR="00C856F9" w:rsidRPr="00E17AB7">
        <w:t>system block</w:t>
      </w:r>
      <w:r w:rsidRPr="00E17AB7">
        <w:t>s</w:t>
      </w:r>
      <w:r w:rsidR="00C856F9" w:rsidRPr="00E17AB7">
        <w:t xml:space="preserve"> receptors, how does this impact mood and motivation?  When you stop taking are you more prone to relapse?  Studies haven’t showed this yet; personal experience</w:t>
      </w:r>
      <w:r w:rsidRPr="00E17AB7">
        <w:t xml:space="preserve"> from </w:t>
      </w:r>
      <w:r w:rsidR="00C856F9" w:rsidRPr="00E17AB7">
        <w:t xml:space="preserve">patients </w:t>
      </w:r>
      <w:r w:rsidRPr="00E17AB7">
        <w:t xml:space="preserve">is that they </w:t>
      </w:r>
      <w:r w:rsidR="00C856F9" w:rsidRPr="00E17AB7">
        <w:t xml:space="preserve">come off of </w:t>
      </w:r>
      <w:proofErr w:type="gramStart"/>
      <w:r w:rsidR="00C856F9" w:rsidRPr="00E17AB7">
        <w:t>naltrexone,</w:t>
      </w:r>
      <w:proofErr w:type="gramEnd"/>
      <w:r w:rsidR="00C856F9" w:rsidRPr="00E17AB7">
        <w:t xml:space="preserve"> patients start to feel better and then want to come off since they </w:t>
      </w:r>
      <w:r w:rsidRPr="00E17AB7">
        <w:t>‘</w:t>
      </w:r>
      <w:r w:rsidR="00C856F9" w:rsidRPr="00E17AB7">
        <w:t>don’t have a problem anymore</w:t>
      </w:r>
      <w:r w:rsidRPr="00E17AB7">
        <w:t>’</w:t>
      </w:r>
      <w:r w:rsidR="00C856F9" w:rsidRPr="00E17AB7">
        <w:t xml:space="preserve">.  </w:t>
      </w:r>
    </w:p>
    <w:p w:rsidR="00C856F9" w:rsidRPr="00E17AB7" w:rsidRDefault="00152BA0" w:rsidP="001E4C75">
      <w:r w:rsidRPr="00E17AB7">
        <w:t>Look into i</w:t>
      </w:r>
      <w:r w:rsidR="00C856F9" w:rsidRPr="00E17AB7">
        <w:t xml:space="preserve">nductions for those already actively using.  What evidence for people on </w:t>
      </w:r>
      <w:r w:rsidRPr="00E17AB7">
        <w:t>buprenorphine</w:t>
      </w:r>
      <w:r w:rsidR="00C856F9" w:rsidRPr="00E17AB7">
        <w:t xml:space="preserve"> who are currently abstinent or in treatment facilities?  Start at lower dose and ramp up.  </w:t>
      </w:r>
      <w:r w:rsidRPr="00E17AB7">
        <w:t>Buprenorphine</w:t>
      </w:r>
      <w:r w:rsidR="00C856F9" w:rsidRPr="00E17AB7">
        <w:t xml:space="preserve"> behind the wall- distributing micro doses ($25/2mg behind the wall) further restrict from incarcerated settings. Treat behind the wall, can manage diversion (RI) under cut black market. </w:t>
      </w:r>
      <w:r w:rsidR="00902B4A">
        <w:t>We s</w:t>
      </w:r>
      <w:r w:rsidRPr="00E17AB7">
        <w:t>hould look into y</w:t>
      </w:r>
      <w:r w:rsidR="00C856F9" w:rsidRPr="00E17AB7">
        <w:t xml:space="preserve">oung adults and youth –special outreach and population.  </w:t>
      </w:r>
      <w:proofErr w:type="gramStart"/>
      <w:r w:rsidR="00C856F9" w:rsidRPr="00E17AB7">
        <w:t>Access behind the wall.</w:t>
      </w:r>
      <w:proofErr w:type="gramEnd"/>
      <w:r w:rsidR="00C856F9" w:rsidRPr="00E17AB7">
        <w:t xml:space="preserve">  </w:t>
      </w:r>
    </w:p>
    <w:p w:rsidR="00C856F9" w:rsidRPr="00E17AB7" w:rsidRDefault="00C856F9" w:rsidP="001E4C75">
      <w:r w:rsidRPr="00E17AB7">
        <w:rPr>
          <w:highlight w:val="yellow"/>
        </w:rPr>
        <w:lastRenderedPageBreak/>
        <w:t xml:space="preserve">Study that looked at </w:t>
      </w:r>
      <w:proofErr w:type="spellStart"/>
      <w:r w:rsidRPr="00E17AB7">
        <w:rPr>
          <w:highlight w:val="yellow"/>
        </w:rPr>
        <w:t>buop</w:t>
      </w:r>
      <w:proofErr w:type="spellEnd"/>
      <w:r w:rsidRPr="00E17AB7">
        <w:rPr>
          <w:highlight w:val="yellow"/>
        </w:rPr>
        <w:t xml:space="preserve"> – self treatment</w:t>
      </w:r>
      <w:r w:rsidRPr="00E17AB7">
        <w:t xml:space="preserve"> </w:t>
      </w:r>
    </w:p>
    <w:p w:rsidR="00CE36EA" w:rsidRPr="00E17AB7" w:rsidRDefault="00C962F4" w:rsidP="001E4C75">
      <w:r w:rsidRPr="00E17AB7">
        <w:t xml:space="preserve">There was a suggestion to read a trial study that </w:t>
      </w:r>
      <w:r w:rsidR="00C856F9" w:rsidRPr="00E17AB7">
        <w:t>NIDA CTM trial study</w:t>
      </w:r>
      <w:r w:rsidR="00AF3C1C" w:rsidRPr="00E17AB7">
        <w:t>(</w:t>
      </w:r>
      <w:r w:rsidR="00C856F9" w:rsidRPr="00E17AB7">
        <w:t xml:space="preserve"> Lee</w:t>
      </w:r>
      <w:r w:rsidR="00AF3C1C" w:rsidRPr="00E17AB7">
        <w:t xml:space="preserve">) about those who were </w:t>
      </w:r>
      <w:r w:rsidR="00C856F9" w:rsidRPr="00E17AB7">
        <w:t xml:space="preserve">detoxed </w:t>
      </w:r>
      <w:r w:rsidRPr="00E17AB7">
        <w:t>on</w:t>
      </w:r>
      <w:r w:rsidR="00CE36EA" w:rsidRPr="00E17AB7">
        <w:t xml:space="preserve"> naltrexone and buprenorphine with the findings that people</w:t>
      </w:r>
      <w:r w:rsidR="00C856F9" w:rsidRPr="00E17AB7">
        <w:t xml:space="preserve"> had similar had retention rates.  </w:t>
      </w:r>
    </w:p>
    <w:p w:rsidR="00C856F9" w:rsidRPr="00E17AB7" w:rsidRDefault="00C856F9" w:rsidP="001E4C75">
      <w:r w:rsidRPr="00E17AB7">
        <w:t>Random trials</w:t>
      </w:r>
      <w:r w:rsidR="00CE36EA" w:rsidRPr="00E17AB7">
        <w:t xml:space="preserve"> are </w:t>
      </w:r>
      <w:r w:rsidRPr="00E17AB7">
        <w:t>n</w:t>
      </w:r>
      <w:r w:rsidR="00CE36EA" w:rsidRPr="00E17AB7">
        <w:t xml:space="preserve">ot representative of population and patients tend to have </w:t>
      </w:r>
      <w:r w:rsidRPr="00E17AB7">
        <w:t>strong preference</w:t>
      </w:r>
      <w:r w:rsidR="00CE36EA" w:rsidRPr="00E17AB7">
        <w:t xml:space="preserve">s. </w:t>
      </w:r>
    </w:p>
    <w:p w:rsidR="00E413B8" w:rsidRPr="00E17AB7" w:rsidRDefault="00CE36EA" w:rsidP="001E4C75">
      <w:r w:rsidRPr="00E17AB7">
        <w:t xml:space="preserve">A brief discussion occurred regarding </w:t>
      </w:r>
      <w:r w:rsidR="000360E1" w:rsidRPr="00E17AB7">
        <w:t>psych</w:t>
      </w:r>
      <w:r w:rsidRPr="00E17AB7">
        <w:t xml:space="preserve">iatric </w:t>
      </w:r>
      <w:r w:rsidR="000360E1" w:rsidRPr="00E17AB7">
        <w:t xml:space="preserve">counseling </w:t>
      </w:r>
      <w:r w:rsidRPr="00E17AB7">
        <w:t xml:space="preserve">and whether it helps/improves the outcome of people on MAT; studies have suggested that </w:t>
      </w:r>
      <w:r w:rsidR="000360E1" w:rsidRPr="00E17AB7">
        <w:t xml:space="preserve">methadone </w:t>
      </w:r>
      <w:r w:rsidRPr="00E17AB7">
        <w:t xml:space="preserve">combined with </w:t>
      </w:r>
      <w:r w:rsidR="000360E1" w:rsidRPr="00E17AB7">
        <w:t>counseling did better.  Other studies</w:t>
      </w:r>
      <w:r w:rsidRPr="00E17AB7">
        <w:t xml:space="preserve"> indicate that for those who were on waiting lists, induction of methadone did better than those who did not start methadone while waiting for counseling. </w:t>
      </w:r>
      <w:r w:rsidR="00E413B8" w:rsidRPr="00E17AB7">
        <w:t>Medication</w:t>
      </w:r>
      <w:r w:rsidRPr="00E17AB7">
        <w:t xml:space="preserve"> should be the first focus prior to counseling.  There were differing opioids about whether Buprenorphine combined with </w:t>
      </w:r>
      <w:r w:rsidR="00E413B8" w:rsidRPr="00E17AB7">
        <w:t xml:space="preserve">counseling </w:t>
      </w:r>
      <w:r w:rsidRPr="00E17AB7">
        <w:t>added</w:t>
      </w:r>
      <w:r w:rsidR="00E413B8" w:rsidRPr="00E17AB7">
        <w:t xml:space="preserve"> substantial value to this.  </w:t>
      </w:r>
    </w:p>
    <w:p w:rsidR="00CE36EA" w:rsidRPr="00E17AB7" w:rsidRDefault="00CE36EA" w:rsidP="001E4C75">
      <w:r w:rsidRPr="00E17AB7">
        <w:t xml:space="preserve">There was discussion that for those with </w:t>
      </w:r>
      <w:r w:rsidR="00E413B8" w:rsidRPr="00E17AB7">
        <w:t xml:space="preserve">co-occurring disorders </w:t>
      </w:r>
      <w:r w:rsidRPr="00E17AB7">
        <w:t xml:space="preserve">there is value and need for counseling along with medication. </w:t>
      </w:r>
    </w:p>
    <w:p w:rsidR="00CE36EA" w:rsidRPr="00E17AB7" w:rsidRDefault="00CE36EA" w:rsidP="001E4C75">
      <w:r w:rsidRPr="00E17AB7">
        <w:t xml:space="preserve">Discuss came about access to those who offer buprenorphine and that we should consider how to expand access into the PCP setting.  Questions were raised about data between those who see a PCP or not.  Ultimately the goal should be to make access </w:t>
      </w:r>
      <w:r w:rsidR="00E413B8" w:rsidRPr="00E17AB7">
        <w:t>easier</w:t>
      </w:r>
      <w:r w:rsidRPr="00E17AB7">
        <w:t>; one stop shop advantage.  It was also raised whether y</w:t>
      </w:r>
      <w:r w:rsidR="00E413B8" w:rsidRPr="00E17AB7">
        <w:t xml:space="preserve">oung adult/adolescent </w:t>
      </w:r>
      <w:r w:rsidRPr="00E17AB7">
        <w:t xml:space="preserve">group would utilize their PCP </w:t>
      </w:r>
      <w:proofErr w:type="gramStart"/>
      <w:r w:rsidRPr="00E17AB7">
        <w:t>an</w:t>
      </w:r>
      <w:proofErr w:type="gramEnd"/>
      <w:r w:rsidRPr="00E17AB7">
        <w:t xml:space="preserve"> would make sense to see how to get access in a something like a drop in center.  </w:t>
      </w:r>
    </w:p>
    <w:p w:rsidR="00CE36EA" w:rsidRPr="00E17AB7" w:rsidRDefault="00CE36EA" w:rsidP="001E4C75">
      <w:r w:rsidRPr="00E17AB7">
        <w:t xml:space="preserve">At the conclusion of discussing Dr. </w:t>
      </w:r>
      <w:proofErr w:type="spellStart"/>
      <w:r w:rsidRPr="00E17AB7">
        <w:t>Walley’s</w:t>
      </w:r>
      <w:proofErr w:type="spellEnd"/>
      <w:r w:rsidRPr="00E17AB7">
        <w:t xml:space="preserve"> </w:t>
      </w:r>
      <w:r w:rsidR="00E17AB7" w:rsidRPr="00E17AB7">
        <w:t>presentation</w:t>
      </w:r>
      <w:r w:rsidRPr="00E17AB7">
        <w:t xml:space="preserve">, Commissioner Bharel asked the members if there are areas that they would like for the Commission to discuss.  Some of those included: </w:t>
      </w:r>
    </w:p>
    <w:p w:rsidR="0031297B" w:rsidRPr="00E17AB7" w:rsidRDefault="000D45B9" w:rsidP="000D45B9">
      <w:pPr>
        <w:pStyle w:val="ListParagraph"/>
        <w:numPr>
          <w:ilvl w:val="0"/>
          <w:numId w:val="19"/>
        </w:numPr>
        <w:rPr>
          <w:rFonts w:asciiTheme="minorHAnsi" w:hAnsiTheme="minorHAnsi"/>
          <w:sz w:val="22"/>
          <w:szCs w:val="22"/>
        </w:rPr>
      </w:pPr>
      <w:r w:rsidRPr="00E17AB7">
        <w:rPr>
          <w:rFonts w:asciiTheme="minorHAnsi" w:hAnsiTheme="minorHAnsi"/>
          <w:sz w:val="22"/>
          <w:szCs w:val="22"/>
        </w:rPr>
        <w:t xml:space="preserve">Hearing from Consumers </w:t>
      </w:r>
    </w:p>
    <w:p w:rsidR="0031297B" w:rsidRPr="00E17AB7" w:rsidRDefault="000D45B9" w:rsidP="0031297B">
      <w:pPr>
        <w:pStyle w:val="ListParagraph"/>
        <w:numPr>
          <w:ilvl w:val="0"/>
          <w:numId w:val="19"/>
        </w:numPr>
        <w:rPr>
          <w:rFonts w:asciiTheme="minorHAnsi" w:hAnsiTheme="minorHAnsi"/>
          <w:sz w:val="22"/>
          <w:szCs w:val="22"/>
        </w:rPr>
      </w:pPr>
      <w:r w:rsidRPr="00E17AB7">
        <w:rPr>
          <w:rFonts w:asciiTheme="minorHAnsi" w:hAnsiTheme="minorHAnsi"/>
          <w:sz w:val="22"/>
          <w:szCs w:val="22"/>
        </w:rPr>
        <w:t>Data-</w:t>
      </w:r>
      <w:r w:rsidR="0031297B" w:rsidRPr="00E17AB7">
        <w:rPr>
          <w:rFonts w:asciiTheme="minorHAnsi" w:hAnsiTheme="minorHAnsi"/>
          <w:sz w:val="22"/>
          <w:szCs w:val="22"/>
        </w:rPr>
        <w:t xml:space="preserve"> related to barriers, </w:t>
      </w:r>
      <w:r w:rsidR="00E17AB7" w:rsidRPr="00E17AB7">
        <w:rPr>
          <w:rFonts w:asciiTheme="minorHAnsi" w:hAnsiTheme="minorHAnsi"/>
          <w:sz w:val="22"/>
          <w:szCs w:val="22"/>
        </w:rPr>
        <w:t>geographic</w:t>
      </w:r>
      <w:r w:rsidR="0031297B" w:rsidRPr="00E17AB7">
        <w:rPr>
          <w:rFonts w:asciiTheme="minorHAnsi" w:hAnsiTheme="minorHAnsi"/>
          <w:sz w:val="22"/>
          <w:szCs w:val="22"/>
        </w:rPr>
        <w:t xml:space="preserve">/demographics, co-occurring disorders, cost trends, </w:t>
      </w:r>
    </w:p>
    <w:p w:rsidR="00C17D7F" w:rsidRPr="00E17AB7" w:rsidRDefault="00E17AB7" w:rsidP="00E17AB7">
      <w:pPr>
        <w:pStyle w:val="ListParagraph"/>
        <w:numPr>
          <w:ilvl w:val="0"/>
          <w:numId w:val="19"/>
        </w:numPr>
        <w:rPr>
          <w:rFonts w:asciiTheme="minorHAnsi" w:hAnsiTheme="minorHAnsi"/>
          <w:sz w:val="22"/>
          <w:szCs w:val="22"/>
        </w:rPr>
      </w:pPr>
      <w:r w:rsidRPr="00E17AB7">
        <w:rPr>
          <w:rFonts w:asciiTheme="minorHAnsi" w:hAnsiTheme="minorHAnsi"/>
          <w:sz w:val="22"/>
          <w:szCs w:val="22"/>
        </w:rPr>
        <w:t xml:space="preserve">Barriers- what are the barriers for training on buprenorphine </w:t>
      </w:r>
    </w:p>
    <w:p w:rsidR="00C17D7F" w:rsidRPr="00E17AB7" w:rsidRDefault="00E17AB7" w:rsidP="00E17AB7">
      <w:pPr>
        <w:pStyle w:val="ListParagraph"/>
        <w:numPr>
          <w:ilvl w:val="0"/>
          <w:numId w:val="19"/>
        </w:numPr>
        <w:rPr>
          <w:rFonts w:asciiTheme="minorHAnsi" w:hAnsiTheme="minorHAnsi"/>
          <w:sz w:val="22"/>
          <w:szCs w:val="22"/>
        </w:rPr>
      </w:pPr>
      <w:r w:rsidRPr="00E17AB7">
        <w:rPr>
          <w:rFonts w:asciiTheme="minorHAnsi" w:hAnsiTheme="minorHAnsi"/>
          <w:sz w:val="22"/>
          <w:szCs w:val="22"/>
        </w:rPr>
        <w:t xml:space="preserve">What is being done in the emergency departments and skilled nursing facilities </w:t>
      </w:r>
    </w:p>
    <w:p w:rsidR="000D45B9" w:rsidRPr="00E17AB7" w:rsidRDefault="00A9351E" w:rsidP="001E4C75">
      <w:pPr>
        <w:pStyle w:val="ListParagraph"/>
        <w:numPr>
          <w:ilvl w:val="0"/>
          <w:numId w:val="19"/>
        </w:numPr>
        <w:rPr>
          <w:rFonts w:asciiTheme="minorHAnsi" w:hAnsiTheme="minorHAnsi"/>
          <w:sz w:val="22"/>
          <w:szCs w:val="22"/>
        </w:rPr>
      </w:pPr>
      <w:r w:rsidRPr="00E17AB7">
        <w:rPr>
          <w:rFonts w:asciiTheme="minorHAnsi" w:hAnsiTheme="minorHAnsi"/>
          <w:sz w:val="22"/>
          <w:szCs w:val="22"/>
        </w:rPr>
        <w:t>Availability</w:t>
      </w:r>
      <w:r w:rsidR="00E17AB7" w:rsidRPr="00E17AB7">
        <w:rPr>
          <w:rFonts w:asciiTheme="minorHAnsi" w:hAnsiTheme="minorHAnsi"/>
          <w:sz w:val="22"/>
          <w:szCs w:val="22"/>
        </w:rPr>
        <w:t xml:space="preserve"> of prescribers and integration into other levels of care; </w:t>
      </w:r>
      <w:r w:rsidR="00C17D7F" w:rsidRPr="00E17AB7">
        <w:rPr>
          <w:rFonts w:asciiTheme="minorHAnsi" w:hAnsiTheme="minorHAnsi"/>
          <w:sz w:val="22"/>
          <w:szCs w:val="22"/>
        </w:rPr>
        <w:t xml:space="preserve">what </w:t>
      </w:r>
      <w:r w:rsidR="00E17AB7" w:rsidRPr="00E17AB7">
        <w:rPr>
          <w:rFonts w:asciiTheme="minorHAnsi" w:hAnsiTheme="minorHAnsi"/>
          <w:sz w:val="22"/>
          <w:szCs w:val="22"/>
        </w:rPr>
        <w:t xml:space="preserve">are the </w:t>
      </w:r>
      <w:r w:rsidR="00C17D7F" w:rsidRPr="00E17AB7">
        <w:rPr>
          <w:rFonts w:asciiTheme="minorHAnsi" w:hAnsiTheme="minorHAnsi"/>
          <w:sz w:val="22"/>
          <w:szCs w:val="22"/>
        </w:rPr>
        <w:t>barriers</w:t>
      </w:r>
      <w:r w:rsidR="00E17AB7" w:rsidRPr="00E17AB7">
        <w:rPr>
          <w:rFonts w:asciiTheme="minorHAnsi" w:hAnsiTheme="minorHAnsi"/>
          <w:sz w:val="22"/>
          <w:szCs w:val="22"/>
        </w:rPr>
        <w:t xml:space="preserve">? </w:t>
      </w:r>
    </w:p>
    <w:p w:rsidR="00A7257C" w:rsidRPr="00E17AB7" w:rsidRDefault="00A7257C" w:rsidP="001E4C75">
      <w:r w:rsidRPr="00E17AB7">
        <w:t xml:space="preserve"> </w:t>
      </w:r>
    </w:p>
    <w:p w:rsidR="00E17AB7" w:rsidRPr="00E17AB7" w:rsidRDefault="00E17AB7" w:rsidP="001E4C75">
      <w:r w:rsidRPr="00E17AB7">
        <w:t>Prior to the conclusion of the meeting, the question of whether the commission would allow for of remote participation was raised.  Senator Friedman made a motion to allow remote participation and Dr. Dimitri seconded; all members moved to allow for remote participation.</w:t>
      </w:r>
    </w:p>
    <w:p w:rsidR="00E17AB7" w:rsidRPr="00E17AB7" w:rsidRDefault="00E17AB7" w:rsidP="001E4C75">
      <w:r w:rsidRPr="00E17AB7">
        <w:t>With no further questions or comments, Commissioner Bharel asked for a motion to adjourn.  Senator Friedman made the motion, Vic DiGravio seconded. All members approved.  The meeting adjourned at 3:02.</w:t>
      </w:r>
      <w:bookmarkStart w:id="0" w:name="_GoBack"/>
      <w:bookmarkEnd w:id="0"/>
    </w:p>
    <w:sectPr w:rsidR="00E17AB7" w:rsidRPr="00E17AB7" w:rsidSect="00A2064F">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B7" w:rsidRDefault="00E17AB7" w:rsidP="003F7E74">
      <w:pPr>
        <w:spacing w:after="0" w:line="240" w:lineRule="auto"/>
      </w:pPr>
      <w:r>
        <w:separator/>
      </w:r>
    </w:p>
  </w:endnote>
  <w:endnote w:type="continuationSeparator" w:id="0">
    <w:p w:rsidR="00E17AB7" w:rsidRDefault="00E17AB7"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B7" w:rsidRDefault="00E17AB7">
    <w:pPr>
      <w:pStyle w:val="Footer"/>
    </w:pPr>
    <w:r>
      <w:tab/>
    </w:r>
    <w:r>
      <w:tab/>
      <w:t>MAT Commission Agenda</w:t>
    </w:r>
  </w:p>
  <w:p w:rsidR="00E17AB7" w:rsidRDefault="00E17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B7" w:rsidRDefault="00E17AB7" w:rsidP="003F7E74">
      <w:pPr>
        <w:spacing w:after="0" w:line="240" w:lineRule="auto"/>
      </w:pPr>
      <w:r>
        <w:separator/>
      </w:r>
    </w:p>
  </w:footnote>
  <w:footnote w:type="continuationSeparator" w:id="0">
    <w:p w:rsidR="00E17AB7" w:rsidRDefault="00E17AB7"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838"/>
    <w:multiLevelType w:val="hybridMultilevel"/>
    <w:tmpl w:val="836A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F15DB"/>
    <w:multiLevelType w:val="hybridMultilevel"/>
    <w:tmpl w:val="276CB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75472"/>
    <w:multiLevelType w:val="hybridMultilevel"/>
    <w:tmpl w:val="DFE27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8235C"/>
    <w:multiLevelType w:val="hybridMultilevel"/>
    <w:tmpl w:val="B74C8E50"/>
    <w:lvl w:ilvl="0" w:tplc="16E6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904EA"/>
    <w:multiLevelType w:val="hybridMultilevel"/>
    <w:tmpl w:val="808E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BC378E"/>
    <w:multiLevelType w:val="hybridMultilevel"/>
    <w:tmpl w:val="4702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058AB"/>
    <w:multiLevelType w:val="hybridMultilevel"/>
    <w:tmpl w:val="DCD0A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071995"/>
    <w:multiLevelType w:val="hybridMultilevel"/>
    <w:tmpl w:val="6004F14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8">
    <w:nsid w:val="4A1C5F2C"/>
    <w:multiLevelType w:val="hybridMultilevel"/>
    <w:tmpl w:val="43267B6A"/>
    <w:lvl w:ilvl="0" w:tplc="2F3210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2171E"/>
    <w:multiLevelType w:val="hybridMultilevel"/>
    <w:tmpl w:val="34761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61B6A"/>
    <w:multiLevelType w:val="hybridMultilevel"/>
    <w:tmpl w:val="AED6B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287104"/>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50761"/>
    <w:multiLevelType w:val="hybridMultilevel"/>
    <w:tmpl w:val="9A7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C699E"/>
    <w:multiLevelType w:val="hybridMultilevel"/>
    <w:tmpl w:val="24540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3E6EB5"/>
    <w:multiLevelType w:val="hybridMultilevel"/>
    <w:tmpl w:val="B31493B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5">
    <w:nsid w:val="5E7B6AB3"/>
    <w:multiLevelType w:val="hybridMultilevel"/>
    <w:tmpl w:val="279E5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C73535"/>
    <w:multiLevelType w:val="hybridMultilevel"/>
    <w:tmpl w:val="FCCA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61918D9"/>
    <w:multiLevelType w:val="hybridMultilevel"/>
    <w:tmpl w:val="D18C84C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F9D2759"/>
    <w:multiLevelType w:val="hybridMultilevel"/>
    <w:tmpl w:val="5F1079DA"/>
    <w:lvl w:ilvl="0" w:tplc="01383F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7"/>
  </w:num>
  <w:num w:numId="4">
    <w:abstractNumId w:val="8"/>
  </w:num>
  <w:num w:numId="5">
    <w:abstractNumId w:val="12"/>
  </w:num>
  <w:num w:numId="6">
    <w:abstractNumId w:val="3"/>
  </w:num>
  <w:num w:numId="7">
    <w:abstractNumId w:val="1"/>
  </w:num>
  <w:num w:numId="8">
    <w:abstractNumId w:val="13"/>
  </w:num>
  <w:num w:numId="9">
    <w:abstractNumId w:val="11"/>
  </w:num>
  <w:num w:numId="10">
    <w:abstractNumId w:val="5"/>
  </w:num>
  <w:num w:numId="11">
    <w:abstractNumId w:val="2"/>
  </w:num>
  <w:num w:numId="12">
    <w:abstractNumId w:val="16"/>
  </w:num>
  <w:num w:numId="13">
    <w:abstractNumId w:val="14"/>
  </w:num>
  <w:num w:numId="14">
    <w:abstractNumId w:val="7"/>
  </w:num>
  <w:num w:numId="15">
    <w:abstractNumId w:val="9"/>
  </w:num>
  <w:num w:numId="16">
    <w:abstractNumId w:val="0"/>
  </w:num>
  <w:num w:numId="17">
    <w:abstractNumId w:val="6"/>
  </w:num>
  <w:num w:numId="18">
    <w:abstractNumId w:val="10"/>
  </w:num>
  <w:num w:numId="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17BF0"/>
    <w:rsid w:val="00021248"/>
    <w:rsid w:val="00021CFE"/>
    <w:rsid w:val="00022AA7"/>
    <w:rsid w:val="00030A9D"/>
    <w:rsid w:val="00033F99"/>
    <w:rsid w:val="000360E1"/>
    <w:rsid w:val="00043EC9"/>
    <w:rsid w:val="0004490E"/>
    <w:rsid w:val="00044ED6"/>
    <w:rsid w:val="0006317B"/>
    <w:rsid w:val="000659E2"/>
    <w:rsid w:val="0006664D"/>
    <w:rsid w:val="00067A95"/>
    <w:rsid w:val="00074166"/>
    <w:rsid w:val="0007600D"/>
    <w:rsid w:val="00083985"/>
    <w:rsid w:val="000A0359"/>
    <w:rsid w:val="000B70F8"/>
    <w:rsid w:val="000D45B9"/>
    <w:rsid w:val="000E0052"/>
    <w:rsid w:val="000E0351"/>
    <w:rsid w:val="000E5CF4"/>
    <w:rsid w:val="000F10AF"/>
    <w:rsid w:val="00101216"/>
    <w:rsid w:val="00105CC0"/>
    <w:rsid w:val="00112531"/>
    <w:rsid w:val="0011476B"/>
    <w:rsid w:val="00121D46"/>
    <w:rsid w:val="00133538"/>
    <w:rsid w:val="00137972"/>
    <w:rsid w:val="001425D6"/>
    <w:rsid w:val="00144E72"/>
    <w:rsid w:val="00152BA0"/>
    <w:rsid w:val="00154217"/>
    <w:rsid w:val="00154874"/>
    <w:rsid w:val="00161707"/>
    <w:rsid w:val="00174665"/>
    <w:rsid w:val="00182106"/>
    <w:rsid w:val="001B2877"/>
    <w:rsid w:val="001B6AAB"/>
    <w:rsid w:val="001C64DA"/>
    <w:rsid w:val="001E4C75"/>
    <w:rsid w:val="001E65B4"/>
    <w:rsid w:val="001F14CB"/>
    <w:rsid w:val="00202E4B"/>
    <w:rsid w:val="0020577C"/>
    <w:rsid w:val="00213072"/>
    <w:rsid w:val="00221AC7"/>
    <w:rsid w:val="00226143"/>
    <w:rsid w:val="00226C4B"/>
    <w:rsid w:val="00233882"/>
    <w:rsid w:val="00250AFD"/>
    <w:rsid w:val="00253EB9"/>
    <w:rsid w:val="00254A2C"/>
    <w:rsid w:val="0025585E"/>
    <w:rsid w:val="00263D38"/>
    <w:rsid w:val="00264D26"/>
    <w:rsid w:val="00274E25"/>
    <w:rsid w:val="00277B0F"/>
    <w:rsid w:val="00291074"/>
    <w:rsid w:val="0029507E"/>
    <w:rsid w:val="002950A8"/>
    <w:rsid w:val="002B1F4E"/>
    <w:rsid w:val="002C271D"/>
    <w:rsid w:val="002D0306"/>
    <w:rsid w:val="002E0B12"/>
    <w:rsid w:val="002F2F30"/>
    <w:rsid w:val="0030130B"/>
    <w:rsid w:val="0030233E"/>
    <w:rsid w:val="003126B0"/>
    <w:rsid w:val="0031297B"/>
    <w:rsid w:val="00315F3F"/>
    <w:rsid w:val="00337302"/>
    <w:rsid w:val="003379F9"/>
    <w:rsid w:val="00357CE3"/>
    <w:rsid w:val="00360CA9"/>
    <w:rsid w:val="00362E09"/>
    <w:rsid w:val="00377587"/>
    <w:rsid w:val="003A1B8D"/>
    <w:rsid w:val="003A3088"/>
    <w:rsid w:val="003B0C71"/>
    <w:rsid w:val="003B5649"/>
    <w:rsid w:val="003C17C8"/>
    <w:rsid w:val="003D5291"/>
    <w:rsid w:val="003F7E74"/>
    <w:rsid w:val="00431426"/>
    <w:rsid w:val="00432EF9"/>
    <w:rsid w:val="00467711"/>
    <w:rsid w:val="00473D78"/>
    <w:rsid w:val="004842E8"/>
    <w:rsid w:val="004932D8"/>
    <w:rsid w:val="004A72B6"/>
    <w:rsid w:val="004B0B42"/>
    <w:rsid w:val="004F00FB"/>
    <w:rsid w:val="004F6790"/>
    <w:rsid w:val="0050624D"/>
    <w:rsid w:val="00506F68"/>
    <w:rsid w:val="005121FC"/>
    <w:rsid w:val="005144B7"/>
    <w:rsid w:val="0052461F"/>
    <w:rsid w:val="00526D9A"/>
    <w:rsid w:val="00541C5E"/>
    <w:rsid w:val="0055009A"/>
    <w:rsid w:val="00550ECF"/>
    <w:rsid w:val="0055235C"/>
    <w:rsid w:val="005614D8"/>
    <w:rsid w:val="005702BC"/>
    <w:rsid w:val="00593D37"/>
    <w:rsid w:val="005A6A7A"/>
    <w:rsid w:val="005C2F76"/>
    <w:rsid w:val="005C7006"/>
    <w:rsid w:val="005D40BD"/>
    <w:rsid w:val="005E75EC"/>
    <w:rsid w:val="005F0963"/>
    <w:rsid w:val="00611C4D"/>
    <w:rsid w:val="006134B6"/>
    <w:rsid w:val="00615DD4"/>
    <w:rsid w:val="006343ED"/>
    <w:rsid w:val="00653A05"/>
    <w:rsid w:val="0068447E"/>
    <w:rsid w:val="006967CD"/>
    <w:rsid w:val="006A0040"/>
    <w:rsid w:val="006A6ADC"/>
    <w:rsid w:val="006C5C64"/>
    <w:rsid w:val="006C5D94"/>
    <w:rsid w:val="006F0655"/>
    <w:rsid w:val="006F721C"/>
    <w:rsid w:val="0070048E"/>
    <w:rsid w:val="0070639C"/>
    <w:rsid w:val="00712387"/>
    <w:rsid w:val="0071368D"/>
    <w:rsid w:val="007204F8"/>
    <w:rsid w:val="00731F74"/>
    <w:rsid w:val="00742131"/>
    <w:rsid w:val="00755FAC"/>
    <w:rsid w:val="00783981"/>
    <w:rsid w:val="00787848"/>
    <w:rsid w:val="007C14D8"/>
    <w:rsid w:val="007D400B"/>
    <w:rsid w:val="007D4098"/>
    <w:rsid w:val="007E01AA"/>
    <w:rsid w:val="007F4F8E"/>
    <w:rsid w:val="0080036F"/>
    <w:rsid w:val="00801746"/>
    <w:rsid w:val="00803B1A"/>
    <w:rsid w:val="008049AF"/>
    <w:rsid w:val="008443EC"/>
    <w:rsid w:val="00844CC9"/>
    <w:rsid w:val="00847959"/>
    <w:rsid w:val="00850997"/>
    <w:rsid w:val="00854123"/>
    <w:rsid w:val="008559B7"/>
    <w:rsid w:val="00862758"/>
    <w:rsid w:val="00865D4A"/>
    <w:rsid w:val="00866E1B"/>
    <w:rsid w:val="008709B4"/>
    <w:rsid w:val="00873597"/>
    <w:rsid w:val="00875F94"/>
    <w:rsid w:val="00884452"/>
    <w:rsid w:val="008877D5"/>
    <w:rsid w:val="00887DE2"/>
    <w:rsid w:val="00891F88"/>
    <w:rsid w:val="0089428E"/>
    <w:rsid w:val="00894816"/>
    <w:rsid w:val="008C206D"/>
    <w:rsid w:val="008C24B0"/>
    <w:rsid w:val="008D5637"/>
    <w:rsid w:val="008E1DB6"/>
    <w:rsid w:val="008E3D3B"/>
    <w:rsid w:val="008E65F5"/>
    <w:rsid w:val="008E72DC"/>
    <w:rsid w:val="008F655B"/>
    <w:rsid w:val="00902B4A"/>
    <w:rsid w:val="009072A9"/>
    <w:rsid w:val="00912E37"/>
    <w:rsid w:val="00916804"/>
    <w:rsid w:val="009455A3"/>
    <w:rsid w:val="00945E6B"/>
    <w:rsid w:val="00947889"/>
    <w:rsid w:val="00967211"/>
    <w:rsid w:val="0096799A"/>
    <w:rsid w:val="0099297B"/>
    <w:rsid w:val="00993BBF"/>
    <w:rsid w:val="009B141B"/>
    <w:rsid w:val="009B6591"/>
    <w:rsid w:val="009C71EB"/>
    <w:rsid w:val="009C7C71"/>
    <w:rsid w:val="009E4243"/>
    <w:rsid w:val="009F7004"/>
    <w:rsid w:val="00A13A06"/>
    <w:rsid w:val="00A150A4"/>
    <w:rsid w:val="00A2064F"/>
    <w:rsid w:val="00A374CB"/>
    <w:rsid w:val="00A4077F"/>
    <w:rsid w:val="00A623D9"/>
    <w:rsid w:val="00A6288C"/>
    <w:rsid w:val="00A62F58"/>
    <w:rsid w:val="00A63B65"/>
    <w:rsid w:val="00A64D0B"/>
    <w:rsid w:val="00A7257C"/>
    <w:rsid w:val="00A91583"/>
    <w:rsid w:val="00A9351E"/>
    <w:rsid w:val="00AA26E7"/>
    <w:rsid w:val="00AB303E"/>
    <w:rsid w:val="00AB7A5A"/>
    <w:rsid w:val="00AC6FFC"/>
    <w:rsid w:val="00AD605E"/>
    <w:rsid w:val="00AD785D"/>
    <w:rsid w:val="00AF0422"/>
    <w:rsid w:val="00AF3C1C"/>
    <w:rsid w:val="00B17877"/>
    <w:rsid w:val="00B35077"/>
    <w:rsid w:val="00B545CB"/>
    <w:rsid w:val="00B57B42"/>
    <w:rsid w:val="00B6731A"/>
    <w:rsid w:val="00B81536"/>
    <w:rsid w:val="00B91A2F"/>
    <w:rsid w:val="00B97746"/>
    <w:rsid w:val="00BB7676"/>
    <w:rsid w:val="00BC799E"/>
    <w:rsid w:val="00BE2991"/>
    <w:rsid w:val="00BE6270"/>
    <w:rsid w:val="00C07632"/>
    <w:rsid w:val="00C07676"/>
    <w:rsid w:val="00C17D7F"/>
    <w:rsid w:val="00C22288"/>
    <w:rsid w:val="00C252C6"/>
    <w:rsid w:val="00C37B45"/>
    <w:rsid w:val="00C4367D"/>
    <w:rsid w:val="00C51639"/>
    <w:rsid w:val="00C71C46"/>
    <w:rsid w:val="00C77B13"/>
    <w:rsid w:val="00C856F9"/>
    <w:rsid w:val="00C90749"/>
    <w:rsid w:val="00C9493C"/>
    <w:rsid w:val="00C962F4"/>
    <w:rsid w:val="00CA22E1"/>
    <w:rsid w:val="00CA642D"/>
    <w:rsid w:val="00CB51EF"/>
    <w:rsid w:val="00CC01F5"/>
    <w:rsid w:val="00CC2484"/>
    <w:rsid w:val="00CC6445"/>
    <w:rsid w:val="00CE36EA"/>
    <w:rsid w:val="00D026FD"/>
    <w:rsid w:val="00D23F56"/>
    <w:rsid w:val="00D34F69"/>
    <w:rsid w:val="00D47DED"/>
    <w:rsid w:val="00D77BF1"/>
    <w:rsid w:val="00D9654D"/>
    <w:rsid w:val="00DA5FC9"/>
    <w:rsid w:val="00DB0F69"/>
    <w:rsid w:val="00DC5C90"/>
    <w:rsid w:val="00DD55C9"/>
    <w:rsid w:val="00E039B9"/>
    <w:rsid w:val="00E17AB7"/>
    <w:rsid w:val="00E24ABB"/>
    <w:rsid w:val="00E27F56"/>
    <w:rsid w:val="00E413B8"/>
    <w:rsid w:val="00E615D3"/>
    <w:rsid w:val="00E65965"/>
    <w:rsid w:val="00E77707"/>
    <w:rsid w:val="00E9263D"/>
    <w:rsid w:val="00E948CE"/>
    <w:rsid w:val="00EA1BF9"/>
    <w:rsid w:val="00EB24B4"/>
    <w:rsid w:val="00EB4CF5"/>
    <w:rsid w:val="00EB70A8"/>
    <w:rsid w:val="00ED68BB"/>
    <w:rsid w:val="00EE1909"/>
    <w:rsid w:val="00EE2BE0"/>
    <w:rsid w:val="00EF4760"/>
    <w:rsid w:val="00EF6A83"/>
    <w:rsid w:val="00F05925"/>
    <w:rsid w:val="00F06B78"/>
    <w:rsid w:val="00F23D11"/>
    <w:rsid w:val="00F44A2B"/>
    <w:rsid w:val="00F67400"/>
    <w:rsid w:val="00F76055"/>
    <w:rsid w:val="00F84A2E"/>
    <w:rsid w:val="00F932BF"/>
    <w:rsid w:val="00F97784"/>
    <w:rsid w:val="00FA59B1"/>
    <w:rsid w:val="00FC7813"/>
    <w:rsid w:val="00FD111C"/>
    <w:rsid w:val="00FD3B2C"/>
    <w:rsid w:val="00FF0498"/>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 w:type="table" w:styleId="TableGrid">
    <w:name w:val="Table Grid"/>
    <w:basedOn w:val="TableNormal"/>
    <w:uiPriority w:val="59"/>
    <w:rsid w:val="00E1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 w:type="table" w:styleId="TableGrid">
    <w:name w:val="Table Grid"/>
    <w:basedOn w:val="TableNormal"/>
    <w:uiPriority w:val="59"/>
    <w:rsid w:val="00E1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T.Commission@state.ma.us" TargetMode="External"/><Relationship Id="rId4" Type="http://schemas.microsoft.com/office/2007/relationships/stylesWithEffects" Target="stylesWithEffects.xml"/><Relationship Id="rId9" Type="http://schemas.openxmlformats.org/officeDocument/2006/relationships/hyperlink" Target="https://www.mass.gov/orgs/medication-assisted-treatment-mat-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B118-1813-4EDE-99DC-BA7716CF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805</Words>
  <Characters>5428</Characters>
  <Application>Microsoft Office Word</Application>
  <DocSecurity>0</DocSecurity>
  <Lines>175</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9</cp:revision>
  <cp:lastPrinted>2019-01-24T17:40:00Z</cp:lastPrinted>
  <dcterms:created xsi:type="dcterms:W3CDTF">2019-01-24T19:01:00Z</dcterms:created>
  <dcterms:modified xsi:type="dcterms:W3CDTF">2019-03-12T18:23:00Z</dcterms:modified>
</cp:coreProperties>
</file>