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C67BC" w14:textId="3BAEF8AF" w:rsidR="000E290B" w:rsidRDefault="0036485C" w:rsidP="000A05A3">
      <w:pPr>
        <w:pStyle w:val="Heading1"/>
      </w:pPr>
      <w:r w:rsidRPr="000A05A3">
        <w:t>Introduction</w:t>
      </w:r>
      <w:r w:rsidR="00AB31CB">
        <w:t xml:space="preserve"> </w:t>
      </w:r>
    </w:p>
    <w:p w14:paraId="17B37BFB" w14:textId="2EB58C0A" w:rsidR="000E290B" w:rsidRPr="00635EFE" w:rsidRDefault="000E290B" w:rsidP="000E290B">
      <w:pPr>
        <w:pStyle w:val="ListParagraph"/>
        <w:numPr>
          <w:ilvl w:val="0"/>
          <w:numId w:val="6"/>
        </w:numPr>
        <w:spacing w:after="0" w:line="240" w:lineRule="auto"/>
        <w:rPr>
          <w:rFonts w:eastAsiaTheme="minorEastAsia"/>
        </w:rPr>
      </w:pPr>
      <w:r>
        <w:rPr>
          <w:rFonts w:eastAsiaTheme="minorEastAsia"/>
        </w:rPr>
        <w:t xml:space="preserve">Summary of </w:t>
      </w:r>
      <w:r w:rsidR="00635EFE">
        <w:rPr>
          <w:rFonts w:eastAsiaTheme="minorEastAsia"/>
        </w:rPr>
        <w:t>data and recommendations</w:t>
      </w:r>
    </w:p>
    <w:p w14:paraId="464111BA" w14:textId="14A42F6B" w:rsidR="0036485C" w:rsidRDefault="0036485C" w:rsidP="000A05A3">
      <w:pPr>
        <w:pStyle w:val="Heading1"/>
      </w:pPr>
      <w:r>
        <w:t xml:space="preserve">The </w:t>
      </w:r>
      <w:r w:rsidR="007601C2">
        <w:t>Burden</w:t>
      </w:r>
      <w:r>
        <w:t xml:space="preserve"> of Older Adults Falls</w:t>
      </w:r>
      <w:r w:rsidR="001E78D2">
        <w:br/>
      </w:r>
      <w:r w:rsidR="00AD07D8">
        <w:t>(</w:t>
      </w:r>
      <w:r w:rsidR="00A1704B">
        <w:t>Data</w:t>
      </w:r>
      <w:r w:rsidR="00F74DBF">
        <w:t xml:space="preserve"> to be imported from </w:t>
      </w:r>
      <w:r w:rsidR="00716CF0">
        <w:t>Older Adult Falls Special Emphasis Report</w:t>
      </w:r>
      <w:r w:rsidR="00AD07D8">
        <w:t>)</w:t>
      </w:r>
    </w:p>
    <w:p w14:paraId="4033E4E0" w14:textId="33FBD073" w:rsidR="001E78D2" w:rsidRDefault="00320FDD" w:rsidP="00694987">
      <w:pPr>
        <w:pStyle w:val="ListParagraph"/>
        <w:numPr>
          <w:ilvl w:val="1"/>
          <w:numId w:val="3"/>
        </w:numPr>
      </w:pPr>
      <w:r>
        <w:t>Mortality</w:t>
      </w:r>
    </w:p>
    <w:p w14:paraId="7D9F279C" w14:textId="5E71CF20" w:rsidR="00C95252" w:rsidRPr="00C95252" w:rsidRDefault="001E4B7C" w:rsidP="00B73039">
      <w:pPr>
        <w:pStyle w:val="ListParagraph"/>
        <w:numPr>
          <w:ilvl w:val="0"/>
          <w:numId w:val="6"/>
        </w:numPr>
        <w:spacing w:after="0" w:line="240" w:lineRule="auto"/>
        <w:rPr>
          <w:rFonts w:eastAsiaTheme="minorEastAsia"/>
        </w:rPr>
      </w:pPr>
      <w:r>
        <w:rPr>
          <w:rFonts w:eastAsiaTheme="minorEastAsia"/>
        </w:rPr>
        <w:t>Number and s</w:t>
      </w:r>
      <w:r w:rsidR="00C95252">
        <w:rPr>
          <w:rFonts w:eastAsiaTheme="minorEastAsia"/>
        </w:rPr>
        <w:t xml:space="preserve">hare of </w:t>
      </w:r>
      <w:r w:rsidR="00EC5762">
        <w:rPr>
          <w:rFonts w:eastAsiaTheme="minorEastAsia"/>
        </w:rPr>
        <w:t>fall deaths among older adults</w:t>
      </w:r>
    </w:p>
    <w:p w14:paraId="3383EF2C" w14:textId="5136DF68" w:rsidR="00FC6987" w:rsidRPr="007F3163" w:rsidRDefault="00A2169D" w:rsidP="00B73039">
      <w:pPr>
        <w:pStyle w:val="ListParagraph"/>
        <w:numPr>
          <w:ilvl w:val="0"/>
          <w:numId w:val="6"/>
        </w:numPr>
        <w:spacing w:after="0" w:line="240" w:lineRule="auto"/>
        <w:rPr>
          <w:rFonts w:eastAsiaTheme="minorEastAsia"/>
        </w:rPr>
      </w:pPr>
      <w:r>
        <w:t xml:space="preserve">Estimate of weekly </w:t>
      </w:r>
      <w:r w:rsidR="002F2C6E">
        <w:t>fatal fall injuries among older adults</w:t>
      </w:r>
    </w:p>
    <w:p w14:paraId="63D1AAC5" w14:textId="6108F8BF" w:rsidR="000A5832" w:rsidRPr="00B73039" w:rsidRDefault="0046661F" w:rsidP="00B73039">
      <w:pPr>
        <w:pStyle w:val="ListParagraph"/>
        <w:numPr>
          <w:ilvl w:val="0"/>
          <w:numId w:val="6"/>
        </w:numPr>
        <w:spacing w:after="0" w:line="240" w:lineRule="auto"/>
        <w:rPr>
          <w:rFonts w:eastAsiaTheme="minorEastAsia"/>
        </w:rPr>
      </w:pPr>
      <w:r>
        <w:t xml:space="preserve">Location of deaths </w:t>
      </w:r>
      <w:proofErr w:type="spellStart"/>
      <w:r>
        <w:t>where</w:t>
      </w:r>
      <w:proofErr w:type="spellEnd"/>
      <w:r>
        <w:t xml:space="preserve"> reported, home versus residential facilities</w:t>
      </w:r>
    </w:p>
    <w:p w14:paraId="61E6F7E5" w14:textId="18CC1816" w:rsidR="00A646AA" w:rsidRDefault="00A646AA" w:rsidP="00A646AA">
      <w:pPr>
        <w:pStyle w:val="ListParagraph"/>
        <w:numPr>
          <w:ilvl w:val="0"/>
          <w:numId w:val="6"/>
        </w:numPr>
        <w:spacing w:after="0" w:line="240" w:lineRule="auto"/>
        <w:rPr>
          <w:rFonts w:eastAsiaTheme="minorEastAsia"/>
        </w:rPr>
      </w:pPr>
      <w:r w:rsidRPr="43C6A20F">
        <w:rPr>
          <w:rFonts w:ascii="Calibri" w:eastAsia="Calibri" w:hAnsi="Calibri" w:cs="Calibri"/>
        </w:rPr>
        <w:t>2015</w:t>
      </w:r>
      <w:r w:rsidR="00DD4302">
        <w:rPr>
          <w:rFonts w:ascii="Calibri" w:eastAsia="Calibri" w:hAnsi="Calibri" w:cs="Calibri"/>
        </w:rPr>
        <w:t>-</w:t>
      </w:r>
      <w:r w:rsidRPr="43C6A20F">
        <w:rPr>
          <w:rFonts w:ascii="Calibri" w:eastAsia="Calibri" w:hAnsi="Calibri" w:cs="Calibri"/>
        </w:rPr>
        <w:t>2020</w:t>
      </w:r>
      <w:r w:rsidR="004133C6">
        <w:rPr>
          <w:rFonts w:ascii="Calibri" w:eastAsia="Calibri" w:hAnsi="Calibri" w:cs="Calibri"/>
        </w:rPr>
        <w:t xml:space="preserve"> trend in</w:t>
      </w:r>
      <w:r w:rsidR="00DD4302">
        <w:rPr>
          <w:rFonts w:ascii="Calibri" w:eastAsia="Calibri" w:hAnsi="Calibri" w:cs="Calibri"/>
        </w:rPr>
        <w:t xml:space="preserve"> </w:t>
      </w:r>
      <w:r w:rsidRPr="43C6A20F">
        <w:rPr>
          <w:rFonts w:ascii="Calibri" w:eastAsia="Calibri" w:hAnsi="Calibri" w:cs="Calibri"/>
        </w:rPr>
        <w:t>age-adjusted rate of fall deaths for all MA residents ages 65 and older</w:t>
      </w:r>
    </w:p>
    <w:p w14:paraId="61BBE570" w14:textId="643B9A98" w:rsidR="008D2FA0" w:rsidRPr="00A646AA" w:rsidRDefault="008D2FA0" w:rsidP="00A646AA">
      <w:pPr>
        <w:pStyle w:val="ListParagraph"/>
        <w:numPr>
          <w:ilvl w:val="0"/>
          <w:numId w:val="6"/>
        </w:numPr>
        <w:spacing w:after="0" w:line="240" w:lineRule="auto"/>
        <w:rPr>
          <w:rFonts w:eastAsiaTheme="minorEastAsia"/>
        </w:rPr>
      </w:pPr>
      <w:r>
        <w:rPr>
          <w:rFonts w:ascii="Calibri" w:eastAsia="Calibri" w:hAnsi="Calibri" w:cs="Calibri"/>
        </w:rPr>
        <w:t>Include comparisons to national data</w:t>
      </w:r>
      <w:r w:rsidR="00713A08">
        <w:rPr>
          <w:rFonts w:ascii="Calibri" w:eastAsia="Calibri" w:hAnsi="Calibri" w:cs="Calibri"/>
        </w:rPr>
        <w:t xml:space="preserve"> where relevant</w:t>
      </w:r>
    </w:p>
    <w:p w14:paraId="75493BCC" w14:textId="5E41062C" w:rsidR="00320FDD" w:rsidRDefault="00320FDD" w:rsidP="00694987">
      <w:pPr>
        <w:pStyle w:val="ListParagraph"/>
        <w:numPr>
          <w:ilvl w:val="1"/>
          <w:numId w:val="3"/>
        </w:numPr>
      </w:pPr>
      <w:r>
        <w:t>Morbidity</w:t>
      </w:r>
    </w:p>
    <w:p w14:paraId="295739F3" w14:textId="661FD9FB" w:rsidR="001E4B7C" w:rsidRPr="001E4B7C" w:rsidRDefault="001E4B7C" w:rsidP="001E4B7C">
      <w:pPr>
        <w:pStyle w:val="ListParagraph"/>
        <w:numPr>
          <w:ilvl w:val="0"/>
          <w:numId w:val="9"/>
        </w:numPr>
        <w:spacing w:after="0" w:line="240" w:lineRule="auto"/>
        <w:rPr>
          <w:rFonts w:eastAsiaTheme="minorEastAsia"/>
        </w:rPr>
      </w:pPr>
      <w:r>
        <w:rPr>
          <w:rFonts w:eastAsiaTheme="minorEastAsia"/>
        </w:rPr>
        <w:t>Number and s</w:t>
      </w:r>
      <w:r w:rsidR="00EC5762">
        <w:rPr>
          <w:rFonts w:eastAsiaTheme="minorEastAsia"/>
        </w:rPr>
        <w:t xml:space="preserve">hare of </w:t>
      </w:r>
      <w:r w:rsidR="00A1704B">
        <w:rPr>
          <w:rFonts w:eastAsiaTheme="minorEastAsia"/>
        </w:rPr>
        <w:t>nonfatal fall-related</w:t>
      </w:r>
      <w:r w:rsidR="00127178">
        <w:rPr>
          <w:rFonts w:eastAsiaTheme="minorEastAsia"/>
        </w:rPr>
        <w:t xml:space="preserve"> hospitalizations and ED visits among older adults</w:t>
      </w:r>
    </w:p>
    <w:p w14:paraId="3C80931B" w14:textId="4BB6C2A5" w:rsidR="002F2C6E" w:rsidRPr="00B73039" w:rsidRDefault="002F2C6E" w:rsidP="002F2C6E">
      <w:pPr>
        <w:pStyle w:val="ListParagraph"/>
        <w:numPr>
          <w:ilvl w:val="0"/>
          <w:numId w:val="9"/>
        </w:numPr>
        <w:spacing w:after="0" w:line="240" w:lineRule="auto"/>
        <w:rPr>
          <w:rFonts w:eastAsiaTheme="minorEastAsia"/>
        </w:rPr>
      </w:pPr>
      <w:r>
        <w:t>Estimate of weekly nonfatal fall injuries among older adults resulting in hospital stays or ED visits</w:t>
      </w:r>
    </w:p>
    <w:p w14:paraId="6D42F366" w14:textId="6D1C39FB" w:rsidR="002F2C6E" w:rsidRPr="00EC5762" w:rsidRDefault="00CD5706" w:rsidP="00867D16">
      <w:pPr>
        <w:pStyle w:val="ListParagraph"/>
        <w:numPr>
          <w:ilvl w:val="0"/>
          <w:numId w:val="9"/>
        </w:numPr>
        <w:spacing w:after="0" w:line="240" w:lineRule="auto"/>
        <w:rPr>
          <w:rFonts w:eastAsiaTheme="minorEastAsia"/>
        </w:rPr>
      </w:pPr>
      <w:r>
        <w:rPr>
          <w:rFonts w:eastAsiaTheme="minorEastAsia"/>
        </w:rPr>
        <w:t>Share of older adults reporting falls and fall-related injuries</w:t>
      </w:r>
    </w:p>
    <w:p w14:paraId="406CDCC0" w14:textId="7F96B39A" w:rsidR="001E4B7C" w:rsidRPr="00A727EF" w:rsidRDefault="00F56BFE" w:rsidP="001E4B7C">
      <w:pPr>
        <w:pStyle w:val="ListParagraph"/>
        <w:numPr>
          <w:ilvl w:val="0"/>
          <w:numId w:val="9"/>
        </w:numPr>
        <w:rPr>
          <w:rFonts w:eastAsiaTheme="minorEastAsia"/>
        </w:rPr>
      </w:pPr>
      <w:r>
        <w:t>Leading injury types resulting from falls</w:t>
      </w:r>
      <w:r w:rsidR="00AD36ED">
        <w:t>, and share discharged to SNFs</w:t>
      </w:r>
      <w:r w:rsidR="00DF5932">
        <w:t>,</w:t>
      </w:r>
      <w:r w:rsidR="00AD36ED">
        <w:t xml:space="preserve"> reha</w:t>
      </w:r>
      <w:r w:rsidR="00DF5932">
        <w:t>bilitation facilities, and home</w:t>
      </w:r>
    </w:p>
    <w:p w14:paraId="5375112E" w14:textId="6DD37637" w:rsidR="00A727EF" w:rsidRPr="00BB28C7" w:rsidRDefault="00A727EF" w:rsidP="001E4B7C">
      <w:pPr>
        <w:pStyle w:val="ListParagraph"/>
        <w:numPr>
          <w:ilvl w:val="0"/>
          <w:numId w:val="9"/>
        </w:numPr>
        <w:rPr>
          <w:rFonts w:eastAsiaTheme="minorEastAsia"/>
        </w:rPr>
      </w:pPr>
      <w:r>
        <w:t>Y</w:t>
      </w:r>
      <w:r w:rsidR="00BD484F">
        <w:t xml:space="preserve">ears of </w:t>
      </w:r>
      <w:r>
        <w:t>L</w:t>
      </w:r>
      <w:r w:rsidR="00BD484F">
        <w:t xml:space="preserve">ife </w:t>
      </w:r>
      <w:r>
        <w:t>L</w:t>
      </w:r>
      <w:r w:rsidR="00BD484F">
        <w:t>ost</w:t>
      </w:r>
    </w:p>
    <w:p w14:paraId="71F68985" w14:textId="120D50D2" w:rsidR="00BB28C7" w:rsidRPr="00AF2266" w:rsidRDefault="00BB28C7" w:rsidP="001E4B7C">
      <w:pPr>
        <w:pStyle w:val="ListParagraph"/>
        <w:numPr>
          <w:ilvl w:val="0"/>
          <w:numId w:val="9"/>
        </w:numPr>
        <w:rPr>
          <w:rFonts w:eastAsiaTheme="minorEastAsia"/>
        </w:rPr>
      </w:pPr>
      <w:r>
        <w:t>Sequelae</w:t>
      </w:r>
    </w:p>
    <w:p w14:paraId="23E24BBA" w14:textId="26548F17" w:rsidR="00AF2266" w:rsidRPr="001E4B7C" w:rsidRDefault="00AF2266" w:rsidP="001E4B7C">
      <w:pPr>
        <w:pStyle w:val="ListParagraph"/>
        <w:numPr>
          <w:ilvl w:val="0"/>
          <w:numId w:val="9"/>
        </w:numPr>
        <w:rPr>
          <w:rFonts w:eastAsiaTheme="minorEastAsia"/>
        </w:rPr>
      </w:pPr>
      <w:r>
        <w:t>Impacts on mental health, quality of life</w:t>
      </w:r>
    </w:p>
    <w:p w14:paraId="3360A06A" w14:textId="37B55648" w:rsidR="00713A08" w:rsidRPr="00713A08" w:rsidRDefault="00713A08" w:rsidP="00713A08">
      <w:pPr>
        <w:pStyle w:val="ListParagraph"/>
        <w:numPr>
          <w:ilvl w:val="0"/>
          <w:numId w:val="9"/>
        </w:numPr>
        <w:spacing w:after="0" w:line="240" w:lineRule="auto"/>
        <w:rPr>
          <w:rFonts w:eastAsiaTheme="minorEastAsia"/>
        </w:rPr>
      </w:pPr>
      <w:r>
        <w:rPr>
          <w:rFonts w:ascii="Calibri" w:eastAsia="Calibri" w:hAnsi="Calibri" w:cs="Calibri"/>
        </w:rPr>
        <w:t>Include comparisons to national data where relevant</w:t>
      </w:r>
    </w:p>
    <w:p w14:paraId="10F5C341" w14:textId="126915C0" w:rsidR="0039793F" w:rsidRDefault="0039793F" w:rsidP="0039793F">
      <w:pPr>
        <w:pStyle w:val="ListParagraph"/>
        <w:numPr>
          <w:ilvl w:val="2"/>
          <w:numId w:val="3"/>
        </w:numPr>
      </w:pPr>
      <w:r>
        <w:t>United States</w:t>
      </w:r>
    </w:p>
    <w:p w14:paraId="1094741F" w14:textId="10E88E21" w:rsidR="00320FDD" w:rsidRDefault="00320FDD" w:rsidP="00694987">
      <w:pPr>
        <w:pStyle w:val="ListParagraph"/>
        <w:numPr>
          <w:ilvl w:val="1"/>
          <w:numId w:val="3"/>
        </w:numPr>
      </w:pPr>
      <w:r>
        <w:t>Economic cost</w:t>
      </w:r>
    </w:p>
    <w:p w14:paraId="5EEE098E" w14:textId="77777777" w:rsidR="00AF342A" w:rsidRPr="00AF342A" w:rsidRDefault="000D192E" w:rsidP="00320FDD">
      <w:pPr>
        <w:pStyle w:val="ListParagraph"/>
        <w:numPr>
          <w:ilvl w:val="0"/>
          <w:numId w:val="7"/>
        </w:numPr>
        <w:spacing w:after="0" w:line="240" w:lineRule="auto"/>
        <w:rPr>
          <w:rFonts w:eastAsiaTheme="minorEastAsia"/>
        </w:rPr>
      </w:pPr>
      <w:r>
        <w:t>Projected lifetime costs associated with fall injuries in a single year among MA residents ages 65 and older</w:t>
      </w:r>
      <w:r w:rsidR="00405C85">
        <w:t xml:space="preserve">; stratification </w:t>
      </w:r>
      <w:r w:rsidR="00631045">
        <w:t xml:space="preserve">by medical costs and lost productivity costs, </w:t>
      </w:r>
      <w:r w:rsidR="00AF342A">
        <w:t>and by deaths, hospital stays and ED visits</w:t>
      </w:r>
    </w:p>
    <w:p w14:paraId="50FAAD89" w14:textId="1E0EC331" w:rsidR="000B4310" w:rsidRPr="00AF342A" w:rsidRDefault="00320FDD" w:rsidP="00320FDD">
      <w:pPr>
        <w:pStyle w:val="ListParagraph"/>
        <w:numPr>
          <w:ilvl w:val="0"/>
          <w:numId w:val="7"/>
        </w:numPr>
        <w:spacing w:after="0" w:line="240" w:lineRule="auto"/>
        <w:rPr>
          <w:rFonts w:eastAsiaTheme="minorEastAsia"/>
        </w:rPr>
      </w:pPr>
      <w:r>
        <w:t>“Community-dwelling older adults who fall in a given year will have average health care costs $1,500–$2,500 higher than those who do not fall (</w:t>
      </w:r>
      <w:hyperlink r:id="rId8" w:history="1">
        <w:r>
          <w:rPr>
            <w:rStyle w:val="Hyperlink"/>
          </w:rPr>
          <w:t>Carroll et al., 2005</w:t>
        </w:r>
      </w:hyperlink>
      <w:r>
        <w:t xml:space="preserve">; </w:t>
      </w:r>
      <w:hyperlink r:id="rId9" w:history="1">
        <w:r>
          <w:rPr>
            <w:rStyle w:val="Hyperlink"/>
          </w:rPr>
          <w:t>Shumway-Cook et al., 2009</w:t>
        </w:r>
      </w:hyperlink>
      <w:r>
        <w:t xml:space="preserve">; </w:t>
      </w:r>
      <w:hyperlink r:id="rId10" w:history="1">
        <w:r>
          <w:rPr>
            <w:rStyle w:val="Hyperlink"/>
          </w:rPr>
          <w:t>Stevens et al., 2006</w:t>
        </w:r>
      </w:hyperlink>
      <w:r>
        <w:t>). The cost to Medicare for treating fall-related injuries in 2015 totaled more than $31 billion (</w:t>
      </w:r>
      <w:hyperlink r:id="rId11" w:history="1">
        <w:r>
          <w:rPr>
            <w:rStyle w:val="Hyperlink"/>
          </w:rPr>
          <w:t>Burns et al., 2016</w:t>
        </w:r>
      </w:hyperlink>
      <w:r>
        <w:t>).”</w:t>
      </w:r>
      <w:r>
        <w:fldChar w:fldCharType="begin"/>
      </w:r>
      <w:r w:rsidR="005767F6">
        <w:instrText xml:space="preserve"> ADDIN ZOTERO_ITEM CSL_CITATION {"citationID":"OoYtgywA","properties":{"formattedCitation":"\\super 1\\nosupersub{}","plainCitation":"1","noteIndex":0},"citationItems":[{"id":247,"uris":["http://zotero.org/groups/2444171/items/2K4Q6ZHD"],"uri":["http://zotero.org/groups/2444171/items/2K4Q6ZHD"],"itemData":{"id":247,"type":"article-journal","abstract":"Unintentional falls are the leading cause of both fatal and nonfatal injuries among Americans 65 years of age and older and place an enormous burden on the health care system. As the population continues to age, preventing falls will be increasingly important for reducing morbidity, mortality, and medical costs. Evidence-based fall prevention interventions for older adults exist, but widespread adoption of these interventions is needed. Local health departments, Area Agencies on Aging, first responders, and health care professionals can all play important roles in implementing fall prevention programs. This article presents a conceptual model for local delivery of fall prevention programs for community-dwelling older adults. This model can serve as a guide for translating existing fall prevention research into practice.","container-title":"The Gerontologist","DOI":"10.1093/geront/gnaa121","ISSN":"0016-9013","issue":"6","journalAbbreviation":"The Gerontologist","page":"819-825","source":"Silverchair","title":"Improving Local Service Delivery to Prevent Falls in Community-Dwelling Older Adults: Translating Research to Practice","title-short":"Improving Local Service Delivery to Prevent Falls in Community-Dwelling Older Adults","URL":"https://doi.org/10.1093/geront/gnaa121","volume":"61","author":[{"family":"Gagen","given":"Travis M"},{"family":"Bulzacchelli","given":"Maria T"}],"accessed":{"date-parts":[["2021",12,2]]},"issued":{"date-parts":[["2021",9,1]]}}}],"schema":"https://github.com/citation-style-language/schema/raw/master/csl-citation.json"} </w:instrText>
      </w:r>
      <w:r>
        <w:fldChar w:fldCharType="separate"/>
      </w:r>
      <w:r w:rsidRPr="00AF342A">
        <w:rPr>
          <w:rFonts w:ascii="Calibri" w:hAnsi="Calibri" w:cs="Calibri"/>
          <w:szCs w:val="24"/>
          <w:vertAlign w:val="superscript"/>
        </w:rPr>
        <w:t>1</w:t>
      </w:r>
      <w:r>
        <w:fldChar w:fldCharType="end"/>
      </w:r>
    </w:p>
    <w:p w14:paraId="13BE58B6" w14:textId="63C310A8" w:rsidR="00320FDD" w:rsidRDefault="00320FDD" w:rsidP="00EE1AB5">
      <w:pPr>
        <w:pStyle w:val="ListParagraph"/>
        <w:numPr>
          <w:ilvl w:val="1"/>
          <w:numId w:val="3"/>
        </w:numPr>
      </w:pPr>
      <w:r>
        <w:t>Inequities</w:t>
      </w:r>
    </w:p>
    <w:p w14:paraId="6CDA2668" w14:textId="4229FD1D" w:rsidR="008213A0" w:rsidRPr="008213A0" w:rsidRDefault="008213A0" w:rsidP="008213A0">
      <w:pPr>
        <w:pStyle w:val="ListParagraph"/>
        <w:numPr>
          <w:ilvl w:val="0"/>
          <w:numId w:val="7"/>
        </w:numPr>
        <w:rPr>
          <w:rFonts w:eastAsiaTheme="minorEastAsia"/>
        </w:rPr>
      </w:pPr>
      <w:r w:rsidRPr="008213A0">
        <w:rPr>
          <w:rFonts w:eastAsiaTheme="minorEastAsia"/>
        </w:rPr>
        <w:t>Stratification of fall-related hospitalizations</w:t>
      </w:r>
      <w:r w:rsidR="00086E76">
        <w:rPr>
          <w:rFonts w:eastAsiaTheme="minorEastAsia"/>
        </w:rPr>
        <w:t>, ED visits</w:t>
      </w:r>
      <w:r w:rsidRPr="008213A0">
        <w:rPr>
          <w:rFonts w:eastAsiaTheme="minorEastAsia"/>
        </w:rPr>
        <w:t xml:space="preserve"> by sex</w:t>
      </w:r>
      <w:r w:rsidR="006068D4">
        <w:rPr>
          <w:rFonts w:eastAsiaTheme="minorEastAsia"/>
        </w:rPr>
        <w:t xml:space="preserve"> and race</w:t>
      </w:r>
    </w:p>
    <w:p w14:paraId="3087CB02" w14:textId="27629C77" w:rsidR="008213A0" w:rsidRDefault="000E32B1" w:rsidP="005C7024">
      <w:pPr>
        <w:pStyle w:val="ListParagraph"/>
        <w:numPr>
          <w:ilvl w:val="0"/>
          <w:numId w:val="7"/>
        </w:numPr>
        <w:rPr>
          <w:rFonts w:eastAsiaTheme="minorEastAsia"/>
        </w:rPr>
      </w:pPr>
      <w:r>
        <w:rPr>
          <w:rFonts w:eastAsiaTheme="minorEastAsia"/>
        </w:rPr>
        <w:t>Stratification of reported falls and fall-related injurie by sex, age, and disability</w:t>
      </w:r>
    </w:p>
    <w:p w14:paraId="03751CA7" w14:textId="2792CD3E" w:rsidR="00E72626" w:rsidRPr="00E72626" w:rsidRDefault="00086E76" w:rsidP="00E72626">
      <w:pPr>
        <w:pStyle w:val="ListParagraph"/>
        <w:numPr>
          <w:ilvl w:val="0"/>
          <w:numId w:val="7"/>
        </w:numPr>
        <w:spacing w:after="0" w:line="240" w:lineRule="auto"/>
        <w:rPr>
          <w:rFonts w:eastAsiaTheme="minorEastAsia"/>
        </w:rPr>
      </w:pPr>
      <w:r>
        <w:t>Stratification of fatal and nonfatal fall injury rate by age</w:t>
      </w:r>
      <w:r w:rsidR="006068D4">
        <w:t xml:space="preserve">, race, </w:t>
      </w:r>
      <w:r>
        <w:t>and sex, relative risk</w:t>
      </w:r>
    </w:p>
    <w:p w14:paraId="52741337" w14:textId="7359B89C" w:rsidR="00E72626" w:rsidRPr="00A35921" w:rsidRDefault="00E72626" w:rsidP="00A35921">
      <w:pPr>
        <w:pStyle w:val="ListParagraph"/>
        <w:numPr>
          <w:ilvl w:val="1"/>
          <w:numId w:val="3"/>
        </w:numPr>
      </w:pPr>
      <w:r>
        <w:t>Forecasted demographic shifts</w:t>
      </w:r>
    </w:p>
    <w:p w14:paraId="43887D7C" w14:textId="47C4E8B6" w:rsidR="0036485C" w:rsidRPr="003E40FC" w:rsidRDefault="005142A3" w:rsidP="000A05A3">
      <w:pPr>
        <w:pStyle w:val="Heading1"/>
      </w:pPr>
      <w:r>
        <w:t>Older Adult Falls and Local Public Health Infrastructure</w:t>
      </w:r>
    </w:p>
    <w:p w14:paraId="7F72D415" w14:textId="62D8E22F" w:rsidR="006601F1" w:rsidRPr="006601F1" w:rsidRDefault="00B63E90" w:rsidP="006601F1">
      <w:pPr>
        <w:pStyle w:val="Heading2"/>
        <w:numPr>
          <w:ilvl w:val="1"/>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Commission process for issues identification and recommendation development</w:t>
      </w:r>
    </w:p>
    <w:p w14:paraId="0DFED779" w14:textId="2C2BD769" w:rsidR="006601F1" w:rsidRDefault="006601F1" w:rsidP="006601F1">
      <w:pPr>
        <w:pStyle w:val="ListParagraph"/>
        <w:numPr>
          <w:ilvl w:val="0"/>
          <w:numId w:val="7"/>
        </w:numPr>
        <w:spacing w:after="0" w:line="240" w:lineRule="auto"/>
      </w:pPr>
      <w:r>
        <w:t>Commission iden</w:t>
      </w:r>
      <w:r w:rsidR="00A35921">
        <w:t xml:space="preserve">tified theme; staff </w:t>
      </w:r>
      <w:r w:rsidR="003C01EB">
        <w:t xml:space="preserve">and commission developed framework; staff spoke with </w:t>
      </w:r>
      <w:r w:rsidR="009566CC">
        <w:t xml:space="preserve">informants; commission workgroup developed </w:t>
      </w:r>
      <w:r w:rsidR="00152BE4">
        <w:t>report</w:t>
      </w:r>
      <w:r w:rsidR="000E290B">
        <w:t>; revised by commission and submitted.</w:t>
      </w:r>
    </w:p>
    <w:p w14:paraId="5B1D4C24" w14:textId="77777777" w:rsidR="006601F1" w:rsidRPr="006601F1" w:rsidRDefault="006601F1" w:rsidP="006601F1"/>
    <w:p w14:paraId="20D6007A" w14:textId="723D2D76" w:rsidR="0078693B" w:rsidRPr="006601F1" w:rsidRDefault="00200421" w:rsidP="0078693B">
      <w:pPr>
        <w:pStyle w:val="Heading2"/>
        <w:numPr>
          <w:ilvl w:val="1"/>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Conceptual framework</w:t>
      </w:r>
    </w:p>
    <w:p w14:paraId="3E2370FC" w14:textId="5B701447" w:rsidR="0078693B" w:rsidRDefault="000739A5" w:rsidP="005748BA">
      <w:pPr>
        <w:pStyle w:val="ListParagraph"/>
        <w:numPr>
          <w:ilvl w:val="0"/>
          <w:numId w:val="7"/>
        </w:numPr>
        <w:spacing w:after="0" w:line="240" w:lineRule="auto"/>
      </w:pPr>
      <w:r>
        <w:t>“Public health infrastructure provides the necessary foundation for all public health services—from vaccinations to chronic disease prevention programs to emergency preparedness efforts</w:t>
      </w:r>
      <w:r w:rsidR="005748BA">
        <w:t xml:space="preserve">…. </w:t>
      </w:r>
      <w:r>
        <w:t>A strong public health infrastructure includes a capable and qualified workforce, up-to-date data and information systems, and agencies that can assess and respond to public health needs.</w:t>
      </w:r>
      <w:r w:rsidR="005748BA">
        <w:t>”</w:t>
      </w:r>
      <w:r w:rsidR="005748BA">
        <w:fldChar w:fldCharType="begin"/>
      </w:r>
      <w:r w:rsidR="005748BA">
        <w:instrText xml:space="preserve"> ADDIN ZOTERO_ITEM CSL_CITATION {"citationID":"eeiBC59t","properties":{"formattedCitation":"\\super 2\\nosupersub{}","plainCitation":"2","noteIndex":0},"citationItems":[{"id":322,"uris":["http://zotero.org/groups/2444171/items/FLLXEKQ4"],"uri":["http://zotero.org/groups/2444171/items/FLLXEKQ4"],"itemData":{"id":322,"type":"webpage","container-title":"Healthy People 2030","title":"Public Health Infrastructure","URL":"https://health.gov/healthypeople/objectives-and-data/browse-objectives/public-health-infrastructure","accessed":{"date-parts":[["2022",1,25]]}}}],"schema":"https://github.com/citation-style-language/schema/raw/master/csl-citation.json"} </w:instrText>
      </w:r>
      <w:r w:rsidR="005748BA">
        <w:fldChar w:fldCharType="separate"/>
      </w:r>
      <w:r w:rsidR="005748BA" w:rsidRPr="005748BA">
        <w:rPr>
          <w:rFonts w:ascii="Calibri" w:hAnsi="Calibri" w:cs="Calibri"/>
          <w:szCs w:val="24"/>
          <w:vertAlign w:val="superscript"/>
        </w:rPr>
        <w:t>2</w:t>
      </w:r>
      <w:r w:rsidR="005748BA">
        <w:fldChar w:fldCharType="end"/>
      </w:r>
    </w:p>
    <w:p w14:paraId="75C6E05A" w14:textId="567AFC74" w:rsidR="00823EE0" w:rsidRDefault="008148B1" w:rsidP="005748BA">
      <w:pPr>
        <w:pStyle w:val="ListParagraph"/>
        <w:numPr>
          <w:ilvl w:val="0"/>
          <w:numId w:val="7"/>
        </w:numPr>
        <w:spacing w:after="0" w:line="240" w:lineRule="auto"/>
      </w:pPr>
      <w:r>
        <w:t>Viewed in the context</w:t>
      </w:r>
      <w:r w:rsidR="00590E73">
        <w:t xml:space="preserve"> </w:t>
      </w:r>
      <w:r>
        <w:t>of</w:t>
      </w:r>
      <w:r w:rsidR="00590E73">
        <w:t xml:space="preserve"> falls prevention</w:t>
      </w:r>
      <w:r w:rsidR="00275583">
        <w:t xml:space="preserve"> by </w:t>
      </w:r>
      <w:proofErr w:type="spellStart"/>
      <w:r w:rsidR="00275583">
        <w:t>Gagen</w:t>
      </w:r>
      <w:proofErr w:type="spellEnd"/>
      <w:r w:rsidR="00275583">
        <w:t xml:space="preserve"> and </w:t>
      </w:r>
      <w:proofErr w:type="spellStart"/>
      <w:r w:rsidR="00275583">
        <w:t>Bulzacchelli</w:t>
      </w:r>
      <w:proofErr w:type="spellEnd"/>
      <w:r w:rsidR="00275583">
        <w:t>, the Healthy P</w:t>
      </w:r>
      <w:r>
        <w:t xml:space="preserve">eople framework encompasses not only </w:t>
      </w:r>
      <w:r w:rsidR="00D20DA1">
        <w:t>local health departments, but also AAA/ASAPs, health care providers,</w:t>
      </w:r>
      <w:r w:rsidR="002552D5">
        <w:t xml:space="preserve"> first responders, and other community organizations.</w:t>
      </w:r>
    </w:p>
    <w:p w14:paraId="4733DDB5" w14:textId="43C6C74C" w:rsidR="002552D5" w:rsidRDefault="002552D5" w:rsidP="005748BA">
      <w:pPr>
        <w:pStyle w:val="ListParagraph"/>
        <w:numPr>
          <w:ilvl w:val="0"/>
          <w:numId w:val="7"/>
        </w:numPr>
        <w:spacing w:after="0" w:line="240" w:lineRule="auto"/>
      </w:pPr>
      <w:r>
        <w:t xml:space="preserve">In </w:t>
      </w:r>
      <w:r w:rsidR="00EA2992">
        <w:t>reviewing the framework, the Commission</w:t>
      </w:r>
      <w:r w:rsidR="00D62A20">
        <w:t xml:space="preserve"> considered which </w:t>
      </w:r>
      <w:r w:rsidR="008138D4">
        <w:t xml:space="preserve">entities provided local public health services related to falls prevention, including screening, referrals, </w:t>
      </w:r>
      <w:r w:rsidR="00251FA5">
        <w:t>provision of evidence-based programs, professional development, surveillance, and advocacy. Commission members</w:t>
      </w:r>
      <w:r w:rsidR="00EA2992">
        <w:t xml:space="preserve"> identified over 30 </w:t>
      </w:r>
      <w:r w:rsidR="00012648">
        <w:t xml:space="preserve">organizations and organization types that engage in </w:t>
      </w:r>
      <w:r w:rsidR="006B2FA7">
        <w:t>such</w:t>
      </w:r>
      <w:r w:rsidR="00012648">
        <w:t xml:space="preserve"> activities.</w:t>
      </w:r>
    </w:p>
    <w:p w14:paraId="55050F29" w14:textId="77777777" w:rsidR="0078693B" w:rsidRPr="0078693B" w:rsidRDefault="0078693B" w:rsidP="0078693B"/>
    <w:p w14:paraId="1579BA85" w14:textId="36CA48D0" w:rsidR="00290414" w:rsidRDefault="003A36E7" w:rsidP="00290414">
      <w:pPr>
        <w:pStyle w:val="Heading2"/>
        <w:numPr>
          <w:ilvl w:val="1"/>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Context</w:t>
      </w:r>
      <w:r w:rsidR="00A75923">
        <w:rPr>
          <w:rFonts w:asciiTheme="minorHAnsi" w:hAnsiTheme="minorHAnsi" w:cstheme="minorHAnsi"/>
          <w:color w:val="000000" w:themeColor="text1"/>
          <w:sz w:val="22"/>
          <w:szCs w:val="22"/>
        </w:rPr>
        <w:t xml:space="preserve"> and constraints</w:t>
      </w:r>
    </w:p>
    <w:p w14:paraId="6B1BF2A2" w14:textId="44D1CAB3" w:rsidR="00A75923" w:rsidRDefault="00A75923" w:rsidP="00D43ECE">
      <w:pPr>
        <w:pStyle w:val="ListParagraph"/>
        <w:numPr>
          <w:ilvl w:val="0"/>
          <w:numId w:val="7"/>
        </w:numPr>
        <w:spacing w:after="0" w:line="240" w:lineRule="auto"/>
      </w:pPr>
      <w:r>
        <w:t>High confidence in interventions around older adult falls</w:t>
      </w:r>
    </w:p>
    <w:p w14:paraId="3F5A14B6" w14:textId="0E7ED3C9" w:rsidR="00A45F74" w:rsidRDefault="00A45F74" w:rsidP="00A45F74">
      <w:pPr>
        <w:pStyle w:val="ListParagraph"/>
        <w:numPr>
          <w:ilvl w:val="1"/>
          <w:numId w:val="7"/>
        </w:numPr>
        <w:rPr>
          <w:rFonts w:cstheme="minorHAnsi"/>
          <w:color w:val="000000" w:themeColor="text1"/>
        </w:rPr>
      </w:pPr>
      <w:r w:rsidRPr="00A45F74">
        <w:rPr>
          <w:rFonts w:cstheme="minorHAnsi"/>
          <w:color w:val="000000" w:themeColor="text1"/>
        </w:rPr>
        <w:t>“Abundant research shows that exercise, nutrition, and home safety assessment and modification are all effective in reducing rates of falls among older adults in community settings.”</w:t>
      </w:r>
      <w:r w:rsidRPr="00A45F74">
        <w:rPr>
          <w:rFonts w:cstheme="minorHAnsi"/>
          <w:color w:val="000000" w:themeColor="text1"/>
        </w:rPr>
        <w:fldChar w:fldCharType="begin"/>
      </w:r>
      <w:r w:rsidRPr="00A45F74">
        <w:rPr>
          <w:rFonts w:cstheme="minorHAnsi"/>
          <w:color w:val="000000" w:themeColor="text1"/>
        </w:rPr>
        <w:instrText xml:space="preserve"> ADDIN ZOTERO_ITEM CSL_CITATION {"citationID":"sf50aNw4","properties":{"formattedCitation":"\\super 1\\nosupersub{}","plainCitation":"1","noteIndex":0},"citationItems":[{"id":247,"uris":["http://zotero.org/groups/2444171/items/2K4Q6ZHD"],"uri":["http://zotero.org/groups/2444171/items/2K4Q6ZHD"],"itemData":{"id":247,"type":"article-journal","abstract":"Unintentional falls are the leading cause of both fatal and nonfatal injuries among Americans 65 years of age and older and place an enormous burden on the health care system. As the population continues to age, preventing falls will be increasingly important for reducing morbidity, mortality, and medical costs. Evidence-based fall prevention interventions for older adults exist, but widespread adoption of these interventions is needed. Local health departments, Area Agencies on Aging, first responders, and health care professionals can all play important roles in implementing fall prevention programs. This article presents a conceptual model for local delivery of fall prevention programs for community-dwelling older adults. This model can serve as a guide for translating existing fall prevention research into practice.","container-title":"The Gerontologist","DOI":"10.1093/geront/gnaa121","ISSN":"0016-9013","issue":"6","journalAbbreviation":"The Gerontologist","page":"819-825","source":"Silverchair","title":"Improving Local Service Delivery to Prevent Falls in Community-Dwelling Older Adults: Translating Research to Practice","title-short":"Improving Local Service Delivery to Prevent Falls in Community-Dwelling Older Adults","URL":"https://doi.org/10.1093/geront/gnaa121","volume":"61","author":[{"family":"Gagen","given":"Travis M"},{"family":"Bulzacchelli","given":"Maria T"}],"accessed":{"date-parts":[["2021",12,2]]},"issued":{"date-parts":[["2021",9,1]]}}}],"schema":"https://github.com/citation-style-language/schema/raw/master/csl-citation.json"} </w:instrText>
      </w:r>
      <w:r w:rsidRPr="00A45F74">
        <w:rPr>
          <w:rFonts w:cstheme="minorHAnsi"/>
          <w:color w:val="000000" w:themeColor="text1"/>
        </w:rPr>
        <w:fldChar w:fldCharType="separate"/>
      </w:r>
      <w:r w:rsidRPr="00A45F74">
        <w:rPr>
          <w:rFonts w:cstheme="minorHAnsi"/>
          <w:color w:val="000000" w:themeColor="text1"/>
          <w:vertAlign w:val="superscript"/>
        </w:rPr>
        <w:t>1</w:t>
      </w:r>
      <w:r w:rsidRPr="00A45F74">
        <w:rPr>
          <w:rFonts w:cstheme="minorHAnsi"/>
          <w:color w:val="000000" w:themeColor="text1"/>
        </w:rPr>
        <w:fldChar w:fldCharType="end"/>
      </w:r>
    </w:p>
    <w:p w14:paraId="68EFD66B" w14:textId="646B00E8" w:rsidR="001019DC" w:rsidRDefault="001019DC" w:rsidP="001F2788">
      <w:pPr>
        <w:pStyle w:val="ListParagraph"/>
        <w:numPr>
          <w:ilvl w:val="1"/>
          <w:numId w:val="7"/>
        </w:numPr>
      </w:pPr>
      <w:r>
        <w:rPr>
          <w:rFonts w:cstheme="minorHAnsi"/>
          <w:color w:val="000000" w:themeColor="text1"/>
        </w:rPr>
        <w:t>“</w:t>
      </w:r>
      <w:r>
        <w:t xml:space="preserve">Group and home‐based exercise </w:t>
      </w:r>
      <w:proofErr w:type="spellStart"/>
      <w:r>
        <w:t>programms</w:t>
      </w:r>
      <w:proofErr w:type="spellEnd"/>
      <w:r>
        <w:t>, and home safety interventions reduce rate of falls and risk of falling.”</w:t>
      </w:r>
      <w:r>
        <w:fldChar w:fldCharType="begin"/>
      </w:r>
      <w:r w:rsidR="00B3454E">
        <w:instrText xml:space="preserve"> ADDIN ZOTERO_ITEM CSL_CITATION {"citationID":"JMJZic4n","properties":{"formattedCitation":"\\super 3\\nosupersub{}","plainCitation":"3","noteIndex":0},"citationItems":[{"id":326,"uris":["http://zotero.org/groups/2444171/items/4F3MUUTM"],"uri":["http://zotero.org/groups/2444171/items/4F3MUUTM"],"itemData":{"id":326,"type":"article-journal","container-title":"Cochrane Database of Systematic Reviews","DOI":"10.1002/14651858.CD007146.pub3","ISSN":"1465-1858","issue":"9","language":"en","note":"publisher: John Wiley &amp; Sons, Ltd","source":"www-cochranelibrary-com.silk.library.umass.edu","title":"Interventions for preventing falls in older people living in the community","URL":"https://www-cochranelibrary-com.silk.library.umass.edu/cdsr/doi/10.1002/14651858.CD007146.pub3/full","author":[{"family":"Gillespie","given":"Lesley D."},{"family":"Robertson","given":"M. Clare"},{"family":"Gillespie","given":"William J."},{"family":"Sherrington","given":"Catherine"},{"family":"Gates","given":"Simon"},{"family":"Clemson","given":"Lindy"},{"family":"Lamb","given":"Sarah E."}],"accessed":{"date-parts":[["2022",1,25]]},"issued":{"date-parts":[["2012"]]}}}],"schema":"https://github.com/citation-style-language/schema/raw/master/csl-citation.json"} </w:instrText>
      </w:r>
      <w:r>
        <w:fldChar w:fldCharType="separate"/>
      </w:r>
      <w:r w:rsidR="00B3454E" w:rsidRPr="00B3454E">
        <w:rPr>
          <w:rFonts w:ascii="Calibri" w:hAnsi="Calibri" w:cs="Calibri"/>
          <w:szCs w:val="24"/>
          <w:vertAlign w:val="superscript"/>
        </w:rPr>
        <w:t>3</w:t>
      </w:r>
      <w:r>
        <w:fldChar w:fldCharType="end"/>
      </w:r>
    </w:p>
    <w:p w14:paraId="6A0EC744" w14:textId="44A702BF" w:rsidR="000E6D55" w:rsidRPr="001F2788" w:rsidRDefault="009D2EC9" w:rsidP="000E6D55">
      <w:pPr>
        <w:pStyle w:val="ListParagraph"/>
        <w:numPr>
          <w:ilvl w:val="1"/>
          <w:numId w:val="7"/>
        </w:numPr>
      </w:pPr>
      <w:r>
        <w:rPr>
          <w:rFonts w:cstheme="minorHAnsi"/>
          <w:color w:val="000000" w:themeColor="text1"/>
        </w:rPr>
        <w:t>“</w:t>
      </w:r>
      <w:r>
        <w:t>Massachusetts has a vast network of organizations that offer such services, and older adults should be referred to them.”</w:t>
      </w:r>
      <w:r>
        <w:fldChar w:fldCharType="begin"/>
      </w:r>
      <w:r w:rsidR="00B3454E">
        <w:instrText xml:space="preserve"> ADDIN ZOTERO_ITEM CSL_CITATION {"citationID":"tQ5mti9x","properties":{"formattedCitation":"\\super 4\\nosupersub{}","plainCitation":"4","noteIndex":0},"citationItems":[{"id":320,"uris":["http://zotero.org/groups/2444171/items/NXKL5TWM"],"uri":["http://zotero.org/groups/2444171/items/NXKL5TWM"],"itemData":{"id":320,"type":"report","event-place":"Boston, MA","publisher":"Massachusetts Department of Public Health","publisher-place":"Boston, MA","title":"Massachusetts Commission on Falls Prevention Phase 3 Report: Improving Integration of Falls Risk Assessment and Referral in Health Care Practices","URL":"https://www.mass.gov/doc/phase-3-report-improving-integration-of-falls-risk-assessment-and-referral-in-health-care-0/download","author":[{"literal":"Massachusetts Commission on Falls Prevention"}],"accessed":{"date-parts":[["2022",1,23]]},"issued":{"date-parts":[["2020",11]]}}}],"schema":"https://github.com/citation-style-language/schema/raw/master/csl-citation.json"} </w:instrText>
      </w:r>
      <w:r>
        <w:fldChar w:fldCharType="separate"/>
      </w:r>
      <w:r w:rsidR="00B3454E" w:rsidRPr="00B3454E">
        <w:rPr>
          <w:rFonts w:ascii="Calibri" w:hAnsi="Calibri" w:cs="Calibri"/>
          <w:szCs w:val="24"/>
          <w:vertAlign w:val="superscript"/>
        </w:rPr>
        <w:t>4</w:t>
      </w:r>
      <w:r>
        <w:fldChar w:fldCharType="end"/>
      </w:r>
    </w:p>
    <w:p w14:paraId="2A382451" w14:textId="69E6328A" w:rsidR="00A75923" w:rsidRDefault="00A75923" w:rsidP="00D43ECE">
      <w:pPr>
        <w:pStyle w:val="ListParagraph"/>
        <w:numPr>
          <w:ilvl w:val="0"/>
          <w:numId w:val="7"/>
        </w:numPr>
        <w:spacing w:after="0" w:line="240" w:lineRule="auto"/>
      </w:pPr>
      <w:r>
        <w:t>Workforce shortages—particularly among community health workers, home health aides, and case managers</w:t>
      </w:r>
      <w:r w:rsidR="00626B79">
        <w:t>—</w:t>
      </w:r>
      <w:r w:rsidR="00B24F25">
        <w:t>restrict the ability of organizations to implement falls-prevention activities.</w:t>
      </w:r>
    </w:p>
    <w:p w14:paraId="3F2DCC6C" w14:textId="32608368" w:rsidR="00B50B98" w:rsidRDefault="00B50B98" w:rsidP="00C91500">
      <w:pPr>
        <w:pStyle w:val="ListParagraph"/>
        <w:numPr>
          <w:ilvl w:val="1"/>
          <w:numId w:val="7"/>
        </w:numPr>
        <w:spacing w:after="0" w:line="240" w:lineRule="auto"/>
      </w:pPr>
      <w:r>
        <w:t>“the local public health workforce is a grab bag of trained and experienced staff, untrained and inexperienced staff, contractors, volunteers, and board members who, regardless of professional background, may fill in as needed….</w:t>
      </w:r>
      <w:r w:rsidR="00C91500">
        <w:t xml:space="preserve"> </w:t>
      </w:r>
      <w:r>
        <w:t>The personnel crisis tends to be even worse in small towns and rural areas,</w:t>
      </w:r>
      <w:r w:rsidR="00C91500">
        <w:t xml:space="preserve"> </w:t>
      </w:r>
      <w:r>
        <w:t>hamstrung by small budgets, geographic isolation, and a lack of infrastructure.</w:t>
      </w:r>
      <w:r w:rsidR="00C91500">
        <w:t>”</w:t>
      </w:r>
      <w:r w:rsidR="00C91500">
        <w:fldChar w:fldCharType="begin"/>
      </w:r>
      <w:r w:rsidR="00C91500">
        <w:instrText xml:space="preserve"> ADDIN ZOTERO_ITEM CSL_CITATION {"citationID":"0xEAOMz7","properties":{"formattedCitation":"\\super 5\\nosupersub{}","plainCitation":"5","noteIndex":0},"citationItems":[{"id":174,"uris":["http://zotero.org/groups/2444171/items/VR7L7FWS"],"uri":["http://zotero.org/groups/2444171/items/VR7L7FWS"],"itemData":{"id":174,"type":"report","title":"Blueprint for Public Health Excellence: Recommendations for Improved Effectiveness and Efficiency of Local Public Health Protections","author":[{"literal":"Special Commission on Local and Regional Public Health"}],"issued":{"date-parts":[["2019",6]]}}}],"schema":"https://github.com/citation-style-language/schema/raw/master/csl-citation.json"} </w:instrText>
      </w:r>
      <w:r w:rsidR="00C91500">
        <w:fldChar w:fldCharType="separate"/>
      </w:r>
      <w:r w:rsidR="00C91500" w:rsidRPr="00C91500">
        <w:rPr>
          <w:rFonts w:ascii="Calibri" w:hAnsi="Calibri" w:cs="Calibri"/>
          <w:szCs w:val="24"/>
          <w:vertAlign w:val="superscript"/>
        </w:rPr>
        <w:t>5</w:t>
      </w:r>
      <w:r w:rsidR="00C91500">
        <w:fldChar w:fldCharType="end"/>
      </w:r>
    </w:p>
    <w:p w14:paraId="3B9DF157" w14:textId="67B1B072" w:rsidR="00120E38" w:rsidRDefault="00120E38" w:rsidP="00C91500">
      <w:pPr>
        <w:pStyle w:val="ListParagraph"/>
        <w:numPr>
          <w:ilvl w:val="1"/>
          <w:numId w:val="7"/>
        </w:numPr>
        <w:spacing w:after="0" w:line="240" w:lineRule="auto"/>
      </w:pPr>
      <w:r>
        <w:t xml:space="preserve">The </w:t>
      </w:r>
      <w:r w:rsidR="009B1635">
        <w:t xml:space="preserve">early stages of the </w:t>
      </w:r>
      <w:r>
        <w:t xml:space="preserve">COVID-19 pandemic exacerbated </w:t>
      </w:r>
      <w:r w:rsidR="003F43B6">
        <w:t>staffing</w:t>
      </w:r>
      <w:r>
        <w:t xml:space="preserve"> shortages</w:t>
      </w:r>
      <w:r w:rsidR="000B6958">
        <w:t xml:space="preserve">, with PCAs and </w:t>
      </w:r>
      <w:r w:rsidR="0059510B">
        <w:t xml:space="preserve">HHAs being particularly affected by </w:t>
      </w:r>
      <w:r w:rsidR="009B1635">
        <w:t>the risk of exposure</w:t>
      </w:r>
      <w:r w:rsidR="00DE1226">
        <w:t xml:space="preserve">, limited public transportation, and enhanced unemployment benefits that exceeded </w:t>
      </w:r>
      <w:r w:rsidR="00C379EF">
        <w:t>low wages in the field.</w:t>
      </w:r>
      <w:r w:rsidR="00B3454E">
        <w:fldChar w:fldCharType="begin"/>
      </w:r>
      <w:r w:rsidR="00E3608F">
        <w:instrText xml:space="preserve"> ADDIN ZOTERO_ITEM CSL_CITATION {"citationID":"fBvogfHa","properties":{"formattedCitation":"\\super 6,7\\nosupersub{}","plainCitation":"6,7","noteIndex":0},"citationItems":[{"id":332,"uris":["http://zotero.org/groups/2444171/items/KEFY5N2W"],"uri":["http://zotero.org/groups/2444171/items/KEFY5N2W"],"itemData":{"id":332,"type":"report","publisher":"Havard Kennedy School","title":"COVID-19 and the Changing Massachusetts Healthcare Workforce","author":[{"family":"Taube","given":"Stephanie"},{"family":"Lispon","given":"Rachel"}],"issued":{"date-parts":[["2021",9]]}}},{"id":334,"uris":["http://zotero.org/groups/2444171/items/S8GF34VK"],"uri":["http://zotero.org/groups/2444171/items/S8GF34VK"],"itemData":{"id":334,"type":"report","title":"The Impact of COVID-19 on Home Health and Home Care in Massachusetts","URL":"https://betsylehmancenterma.gov/assets/uploads/HomeCare_Report.pdf","author":[{"literal":"Betsy Lehman Center for Patient Safety"}],"accessed":{"date-parts":[["2022",1,25]]},"issued":{"date-parts":[["2020",12]]}}}],"schema":"https://github.com/citation-style-language/schema/raw/master/csl-citation.json"} </w:instrText>
      </w:r>
      <w:r w:rsidR="00B3454E">
        <w:fldChar w:fldCharType="separate"/>
      </w:r>
      <w:r w:rsidR="00E3608F" w:rsidRPr="00E3608F">
        <w:rPr>
          <w:rFonts w:ascii="Calibri" w:hAnsi="Calibri" w:cs="Calibri"/>
          <w:szCs w:val="24"/>
          <w:vertAlign w:val="superscript"/>
        </w:rPr>
        <w:t>6,7</w:t>
      </w:r>
      <w:r w:rsidR="00B3454E">
        <w:fldChar w:fldCharType="end"/>
      </w:r>
    </w:p>
    <w:p w14:paraId="2DBE58B9" w14:textId="51D1AE34" w:rsidR="00290414" w:rsidRDefault="00A75923" w:rsidP="00D43ECE">
      <w:pPr>
        <w:pStyle w:val="ListParagraph"/>
        <w:numPr>
          <w:ilvl w:val="0"/>
          <w:numId w:val="7"/>
        </w:numPr>
        <w:spacing w:after="0" w:line="240" w:lineRule="auto"/>
      </w:pPr>
      <w:r>
        <w:t>Awareness</w:t>
      </w:r>
      <w:r w:rsidR="00B50849">
        <w:t>—of falls as a public health problem and of available interventions</w:t>
      </w:r>
      <w:r w:rsidR="008C7F98">
        <w:t>—</w:t>
      </w:r>
      <w:r w:rsidR="003B4E4A">
        <w:t>is growing but remains lower than</w:t>
      </w:r>
      <w:r w:rsidR="005D5BA5">
        <w:t xml:space="preserve"> ideal</w:t>
      </w:r>
    </w:p>
    <w:p w14:paraId="287472A6" w14:textId="31530203" w:rsidR="0076089F" w:rsidRDefault="00EF09F2" w:rsidP="00D43ECE">
      <w:pPr>
        <w:pStyle w:val="ListParagraph"/>
        <w:numPr>
          <w:ilvl w:val="0"/>
          <w:numId w:val="7"/>
        </w:numPr>
        <w:spacing w:after="0" w:line="240" w:lineRule="auto"/>
      </w:pPr>
      <w:r>
        <w:t>A</w:t>
      </w:r>
      <w:r w:rsidR="0076089F">
        <w:t>pproaches</w:t>
      </w:r>
      <w:r>
        <w:t xml:space="preserve"> for</w:t>
      </w:r>
      <w:r w:rsidR="0076089F">
        <w:t xml:space="preserve"> </w:t>
      </w:r>
      <w:r w:rsidR="009E39A9">
        <w:t>implementing evidence-based interventions</w:t>
      </w:r>
      <w:r w:rsidR="00D5071F">
        <w:t>—</w:t>
      </w:r>
      <w:r w:rsidR="00786F7B">
        <w:t xml:space="preserve">for example, </w:t>
      </w:r>
      <w:r>
        <w:t>CEMS</w:t>
      </w:r>
      <w:r w:rsidR="00D5071F">
        <w:t>, YMCA/AAA/ASAP offerings—are highly dependent on local resources</w:t>
      </w:r>
      <w:r w:rsidR="00A632DD">
        <w:t>, both financial and organizational.</w:t>
      </w:r>
    </w:p>
    <w:p w14:paraId="1E3403A8" w14:textId="31972493" w:rsidR="00200421" w:rsidRDefault="00200421" w:rsidP="00200421">
      <w:pPr>
        <w:pStyle w:val="Heading2"/>
        <w:numPr>
          <w:ilvl w:val="1"/>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Issues </w:t>
      </w:r>
      <w:r w:rsidR="00B1235A">
        <w:rPr>
          <w:rFonts w:asciiTheme="minorHAnsi" w:hAnsiTheme="minorHAnsi" w:cstheme="minorHAnsi"/>
          <w:color w:val="000000" w:themeColor="text1"/>
          <w:sz w:val="22"/>
          <w:szCs w:val="22"/>
        </w:rPr>
        <w:t>and recommendations</w:t>
      </w:r>
    </w:p>
    <w:p w14:paraId="0667C69F" w14:textId="52C2C7C5" w:rsidR="001375F2" w:rsidRDefault="001844E7" w:rsidP="005518EE">
      <w:pPr>
        <w:pStyle w:val="ListParagraph"/>
        <w:numPr>
          <w:ilvl w:val="0"/>
          <w:numId w:val="7"/>
        </w:numPr>
        <w:spacing w:after="0" w:line="240" w:lineRule="auto"/>
      </w:pPr>
      <w:r>
        <w:t xml:space="preserve">Incomplete data </w:t>
      </w:r>
      <w:r w:rsidR="00522A8D">
        <w:t>hamper falls surveillance efforts</w:t>
      </w:r>
    </w:p>
    <w:p w14:paraId="1576AF0E" w14:textId="7171A715" w:rsidR="00522A8D" w:rsidRDefault="00A35248" w:rsidP="00522A8D">
      <w:pPr>
        <w:pStyle w:val="ListParagraph"/>
        <w:numPr>
          <w:ilvl w:val="1"/>
          <w:numId w:val="7"/>
        </w:numPr>
        <w:spacing w:after="0" w:line="240" w:lineRule="auto"/>
      </w:pPr>
      <w:r>
        <w:t xml:space="preserve">Effective injury surveillance </w:t>
      </w:r>
      <w:r w:rsidR="00604648">
        <w:t>is reliant on</w:t>
      </w:r>
      <w:r>
        <w:t xml:space="preserve"> </w:t>
      </w:r>
      <w:r w:rsidR="00D52226">
        <w:t xml:space="preserve">providers’ </w:t>
      </w:r>
      <w:r w:rsidR="00D74F40">
        <w:t xml:space="preserve">coding of injury-related care </w:t>
      </w:r>
      <w:r w:rsidR="00D52226">
        <w:t>in the billing process.</w:t>
      </w:r>
      <w:r w:rsidR="0007573E">
        <w:t xml:space="preserve"> </w:t>
      </w:r>
      <w:r w:rsidR="00643A39">
        <w:t xml:space="preserve">When treating someone who has suffered a fall-related injury, </w:t>
      </w:r>
      <w:r w:rsidR="00643A39">
        <w:lastRenderedPageBreak/>
        <w:t xml:space="preserve">providers should ideally </w:t>
      </w:r>
      <w:r w:rsidR="009B7209">
        <w:t xml:space="preserve">use the relevant </w:t>
      </w:r>
      <w:r w:rsidR="00FB31D4">
        <w:t>ICD-10-CM codes to indicate</w:t>
      </w:r>
      <w:r w:rsidR="00F27FE2">
        <w:t xml:space="preserve"> both</w:t>
      </w:r>
      <w:r w:rsidR="00FB31D4">
        <w:t xml:space="preserve"> that the </w:t>
      </w:r>
      <w:r w:rsidR="002B094B">
        <w:t xml:space="preserve">injury resulted from a fall and </w:t>
      </w:r>
      <w:r w:rsidR="007C1702">
        <w:t>the</w:t>
      </w:r>
      <w:r w:rsidR="002B094B">
        <w:t xml:space="preserve"> place where the injury occurred</w:t>
      </w:r>
      <w:r w:rsidR="00A07272">
        <w:t>.</w:t>
      </w:r>
    </w:p>
    <w:p w14:paraId="6F7CB1F6" w14:textId="3462986D" w:rsidR="008305FB" w:rsidRDefault="00133EFF" w:rsidP="008305FB">
      <w:pPr>
        <w:pStyle w:val="ListParagraph"/>
        <w:numPr>
          <w:ilvl w:val="1"/>
          <w:numId w:val="7"/>
        </w:numPr>
        <w:spacing w:after="0" w:line="240" w:lineRule="auto"/>
      </w:pPr>
      <w:r>
        <w:t>As indicated above, r</w:t>
      </w:r>
      <w:r w:rsidR="00206864">
        <w:t xml:space="preserve">eview of </w:t>
      </w:r>
      <w:r>
        <w:t xml:space="preserve">recent nonfatal injury data revealed </w:t>
      </w:r>
      <w:r w:rsidR="008305FB">
        <w:t>a large share of records missing coding for the location of a fall injury.</w:t>
      </w:r>
    </w:p>
    <w:p w14:paraId="457E4CB0" w14:textId="0E4172DD" w:rsidR="008305FB" w:rsidRDefault="008305FB" w:rsidP="008305FB">
      <w:pPr>
        <w:pStyle w:val="ListParagraph"/>
        <w:numPr>
          <w:ilvl w:val="1"/>
          <w:numId w:val="7"/>
        </w:numPr>
        <w:spacing w:after="0" w:line="240" w:lineRule="auto"/>
      </w:pPr>
      <w:r>
        <w:t xml:space="preserve">Furthermore, some </w:t>
      </w:r>
      <w:r w:rsidR="00572CC7">
        <w:t xml:space="preserve">Commission informants indicated </w:t>
      </w:r>
      <w:r w:rsidR="00346599">
        <w:t xml:space="preserve">concern that </w:t>
      </w:r>
      <w:r w:rsidR="000C378A">
        <w:t xml:space="preserve">fall </w:t>
      </w:r>
      <w:r w:rsidR="00C05ABE">
        <w:t>injuries were not always coded as such</w:t>
      </w:r>
      <w:r w:rsidR="0007465F">
        <w:t>.</w:t>
      </w:r>
    </w:p>
    <w:p w14:paraId="7FE042CD" w14:textId="6DCF0B37" w:rsidR="0007465F" w:rsidRDefault="0007465F" w:rsidP="008305FB">
      <w:pPr>
        <w:pStyle w:val="ListParagraph"/>
        <w:numPr>
          <w:ilvl w:val="1"/>
          <w:numId w:val="7"/>
        </w:numPr>
        <w:spacing w:after="0" w:line="240" w:lineRule="auto"/>
      </w:pPr>
      <w:r>
        <w:rPr>
          <w:b/>
          <w:bCs/>
        </w:rPr>
        <w:t>Recommendation:</w:t>
      </w:r>
      <w:r>
        <w:t xml:space="preserve"> The Commission should work with the </w:t>
      </w:r>
      <w:r w:rsidR="001C400B">
        <w:t xml:space="preserve">DPH Bureau of Health Care Safety and Quality to </w:t>
      </w:r>
      <w:r w:rsidR="00591529">
        <w:t>understand the barriers to using these codes and develop interventions</w:t>
      </w:r>
      <w:r w:rsidR="003C406E">
        <w:t xml:space="preserve"> </w:t>
      </w:r>
      <w:r w:rsidR="0095667F">
        <w:t>that improve relevant injury code use where appropriate.</w:t>
      </w:r>
    </w:p>
    <w:p w14:paraId="4193C0F9" w14:textId="1FF1481A" w:rsidR="005518EE" w:rsidRDefault="005518EE" w:rsidP="005518EE">
      <w:pPr>
        <w:pStyle w:val="ListParagraph"/>
        <w:numPr>
          <w:ilvl w:val="0"/>
          <w:numId w:val="7"/>
        </w:numPr>
        <w:spacing w:after="0" w:line="240" w:lineRule="auto"/>
      </w:pPr>
      <w:r>
        <w:t>Local organizational capacity is constrained by various factors</w:t>
      </w:r>
    </w:p>
    <w:p w14:paraId="26174351" w14:textId="77777777" w:rsidR="005518EE" w:rsidRDefault="005518EE" w:rsidP="005518EE">
      <w:pPr>
        <w:pStyle w:val="ListParagraph"/>
        <w:numPr>
          <w:ilvl w:val="1"/>
          <w:numId w:val="7"/>
        </w:numPr>
        <w:spacing w:after="0" w:line="240" w:lineRule="auto"/>
      </w:pPr>
      <w:r>
        <w:t xml:space="preserve">Municipal </w:t>
      </w:r>
      <w:proofErr w:type="gramStart"/>
      <w:r>
        <w:t>agencies</w:t>
      </w:r>
      <w:proofErr w:type="gramEnd"/>
      <w:r>
        <w:t xml:space="preserve"> ability to undertake falls prevention activities is limited by funding as well as the availability and capacity of partner organizations.</w:t>
      </w:r>
    </w:p>
    <w:p w14:paraId="53160DA1" w14:textId="495B2416" w:rsidR="005518EE" w:rsidRDefault="005518EE" w:rsidP="005518EE">
      <w:pPr>
        <w:pStyle w:val="ListParagraph"/>
        <w:numPr>
          <w:ilvl w:val="1"/>
          <w:numId w:val="7"/>
        </w:numPr>
        <w:spacing w:after="0" w:line="240" w:lineRule="auto"/>
      </w:pPr>
      <w:r>
        <w:t>In particular, local health department capacity is severely constrained by funding, staffing, statutory obligations</w:t>
      </w:r>
      <w:r w:rsidR="0091107B">
        <w:fldChar w:fldCharType="begin"/>
      </w:r>
      <w:r w:rsidR="001019DC">
        <w:instrText xml:space="preserve"> ADDIN ZOTERO_ITEM CSL_CITATION {"citationID":"W5bqrP78","properties":{"formattedCitation":"\\super 1,5\\nosupersub{}","plainCitation":"1,5","noteIndex":0},"citationItems":[{"id":247,"uris":["http://zotero.org/groups/2444171/items/2K4Q6ZHD"],"uri":["http://zotero.org/groups/2444171/items/2K4Q6ZHD"],"itemData":{"id":247,"type":"article-journal","abstract":"Unintentional falls are the leading cause of both fatal and nonfatal injuries among Americans 65 years of age and older and place an enormous burden on the health care system. As the population continues to age, preventing falls will be increasingly important for reducing morbidity, mortality, and medical costs. Evidence-based fall prevention interventions for older adults exist, but widespread adoption of these interventions is needed. Local health departments, Area Agencies on Aging, first responders, and health care professionals can all play important roles in implementing fall prevention programs. This article presents a conceptual model for local delivery of fall prevention programs for community-dwelling older adults. This model can serve as a guide for translating existing fall prevention research into practice.","container-title":"The Gerontologist","DOI":"10.1093/geront/gnaa121","ISSN":"0016-9013","issue":"6","journalAbbreviation":"The Gerontologist","page":"819-825","source":"Silverchair","title":"Improving Local Service Delivery to Prevent Falls in Community-Dwelling Older Adults: Translating Research to Practice","title-short":"Improving Local Service Delivery to Prevent Falls in Community-Dwelling Older Adults","URL":"https://doi.org/10.1093/geront/gnaa121","volume":"61","author":[{"family":"Gagen","given":"Travis M"},{"family":"Bulzacchelli","given":"Maria T"}],"accessed":{"date-parts":[["2021",12,2]]},"issued":{"date-parts":[["2021",9,1]]}}},{"id":174,"uris":["http://zotero.org/groups/2444171/items/VR7L7FWS"],"uri":["http://zotero.org/groups/2444171/items/VR7L7FWS"],"itemData":{"id":174,"type":"report","title":"Blueprint for Public Health Excellence: Recommendations for Improved Effectiveness and Efficiency of Local Public Health Protections","author":[{"literal":"Special Commission on Local and Regional Public Health"}],"issued":{"date-parts":[["2019",6]]}}}],"schema":"https://github.com/citation-style-language/schema/raw/master/csl-citation.json"} </w:instrText>
      </w:r>
      <w:r w:rsidR="0091107B">
        <w:fldChar w:fldCharType="separate"/>
      </w:r>
      <w:r w:rsidR="001019DC" w:rsidRPr="001019DC">
        <w:rPr>
          <w:rFonts w:ascii="Calibri" w:hAnsi="Calibri" w:cs="Calibri"/>
          <w:szCs w:val="24"/>
          <w:vertAlign w:val="superscript"/>
        </w:rPr>
        <w:t>1,5</w:t>
      </w:r>
      <w:r w:rsidR="0091107B">
        <w:fldChar w:fldCharType="end"/>
      </w:r>
    </w:p>
    <w:p w14:paraId="0E62EB81" w14:textId="51BA2CEC" w:rsidR="00B935A8" w:rsidRDefault="005518EE" w:rsidP="00531594">
      <w:pPr>
        <w:pStyle w:val="ListParagraph"/>
        <w:numPr>
          <w:ilvl w:val="1"/>
          <w:numId w:val="7"/>
        </w:numPr>
        <w:spacing w:after="0" w:line="240" w:lineRule="auto"/>
      </w:pPr>
      <w:r w:rsidRPr="00A40AEF">
        <w:rPr>
          <w:b/>
          <w:bCs/>
        </w:rPr>
        <w:t>Recommendation</w:t>
      </w:r>
      <w:r>
        <w:t xml:space="preserve">: </w:t>
      </w:r>
      <w:r w:rsidR="00F6642E">
        <w:t xml:space="preserve">Increased statewide financial support </w:t>
      </w:r>
      <w:r w:rsidR="00E1631B">
        <w:t>for</w:t>
      </w:r>
      <w:r w:rsidR="00F6642E">
        <w:t xml:space="preserve"> </w:t>
      </w:r>
      <w:r w:rsidR="00E1631B">
        <w:t>regional approaches to</w:t>
      </w:r>
      <w:r w:rsidR="00116A27">
        <w:t xml:space="preserve"> </w:t>
      </w:r>
      <w:r w:rsidR="00E1631B">
        <w:t xml:space="preserve">implementation of </w:t>
      </w:r>
      <w:r w:rsidR="00116A27">
        <w:t>evidence-based falls</w:t>
      </w:r>
      <w:r w:rsidR="00E1631B">
        <w:t>-prevention practices</w:t>
      </w:r>
      <w:r w:rsidR="00346F6B">
        <w:t xml:space="preserve"> by local public health departments</w:t>
      </w:r>
    </w:p>
    <w:p w14:paraId="074FA1D0" w14:textId="142A90B3" w:rsidR="000F5960" w:rsidRDefault="00BB01D2" w:rsidP="000F5960">
      <w:pPr>
        <w:pStyle w:val="ListParagraph"/>
        <w:numPr>
          <w:ilvl w:val="0"/>
          <w:numId w:val="7"/>
        </w:numPr>
        <w:spacing w:after="0" w:line="240" w:lineRule="auto"/>
      </w:pPr>
      <w:r>
        <w:t>A</w:t>
      </w:r>
      <w:r w:rsidR="007D7ABA">
        <w:t>n effective</w:t>
      </w:r>
      <w:r>
        <w:t xml:space="preserve"> systemic approach </w:t>
      </w:r>
      <w:r w:rsidR="00EA2433">
        <w:t xml:space="preserve">to falls prevention </w:t>
      </w:r>
      <w:r w:rsidR="007D7ABA">
        <w:t xml:space="preserve">requires </w:t>
      </w:r>
      <w:r w:rsidR="003A4343">
        <w:t xml:space="preserve">sustained, </w:t>
      </w:r>
      <w:r w:rsidR="007D7ABA">
        <w:t>long-term investment</w:t>
      </w:r>
      <w:r w:rsidR="002A125A">
        <w:t>s in the built environment</w:t>
      </w:r>
    </w:p>
    <w:p w14:paraId="0B95FC73" w14:textId="61E704C8" w:rsidR="00653BBA" w:rsidRDefault="00653BBA" w:rsidP="000A3D6F">
      <w:pPr>
        <w:pStyle w:val="ListParagraph"/>
        <w:numPr>
          <w:ilvl w:val="1"/>
          <w:numId w:val="7"/>
        </w:numPr>
        <w:spacing w:after="0" w:line="240" w:lineRule="auto"/>
      </w:pPr>
      <w:r>
        <w:t>60% of fatal falls are in the home</w:t>
      </w:r>
    </w:p>
    <w:p w14:paraId="6E1AC726" w14:textId="1A93FC49" w:rsidR="0099482E" w:rsidRDefault="00653BBA" w:rsidP="000E1CF2">
      <w:pPr>
        <w:pStyle w:val="ListParagraph"/>
        <w:numPr>
          <w:ilvl w:val="1"/>
          <w:numId w:val="7"/>
        </w:numPr>
        <w:spacing w:after="0" w:line="240" w:lineRule="auto"/>
      </w:pPr>
      <w:r>
        <w:t>Home modifications are supported by strong evidenc</w:t>
      </w:r>
      <w:r w:rsidR="000E1CF2">
        <w:t>e</w:t>
      </w:r>
      <w:r w:rsidR="00EA68FF">
        <w:fldChar w:fldCharType="begin"/>
      </w:r>
      <w:r w:rsidR="00EA68FF">
        <w:instrText xml:space="preserve"> ADDIN ZOTERO_ITEM CSL_CITATION {"citationID":"WOM3EL1w","properties":{"formattedCitation":"\\super 3\\nosupersub{}","plainCitation":"3","noteIndex":0},"citationItems":[{"id":326,"uris":["http://zotero.org/groups/2444171/items/4F3MUUTM"],"uri":["http://zotero.org/groups/2444171/items/4F3MUUTM"],"itemData":{"id":326,"type":"article-journal","container-title":"Cochrane Database of Systematic Reviews","DOI":"10.1002/14651858.CD007146.pub3","ISSN":"1465-1858","issue":"9","language":"en","note":"publisher: John Wiley &amp; Sons, Ltd","source":"www-cochranelibrary-com.silk.library.umass.edu","title":"Interventions for preventing falls in older people living in the community","URL":"https://www-cochranelibrary-com.silk.library.umass.edu/cdsr/doi/10.1002/14651858.CD007146.pub3/full","author":[{"family":"Gillespie","given":"Lesley D."},{"family":"Robertson","given":"M. Clare"},{"family":"Gillespie","given":"William J."},{"family":"Sherrington","given":"Catherine"},{"family":"Gates","given":"Simon"},{"family":"Clemson","given":"Lindy"},{"family":"Lamb","given":"Sarah E."}],"accessed":{"date-parts":[["2022",1,25]]},"issued":{"date-parts":[["2012"]]}}}],"schema":"https://github.com/citation-style-language/schema/raw/master/csl-citation.json"} </w:instrText>
      </w:r>
      <w:r w:rsidR="00EA68FF">
        <w:fldChar w:fldCharType="separate"/>
      </w:r>
      <w:r w:rsidR="00EA68FF" w:rsidRPr="00EA68FF">
        <w:rPr>
          <w:rFonts w:ascii="Calibri" w:hAnsi="Calibri" w:cs="Calibri"/>
          <w:szCs w:val="24"/>
          <w:vertAlign w:val="superscript"/>
        </w:rPr>
        <w:t>3</w:t>
      </w:r>
      <w:r w:rsidR="00EA68FF">
        <w:fldChar w:fldCharType="end"/>
      </w:r>
    </w:p>
    <w:p w14:paraId="04A0F651" w14:textId="1451F8EA" w:rsidR="000E1CF2" w:rsidRDefault="00243747" w:rsidP="000E1CF2">
      <w:pPr>
        <w:pStyle w:val="ListParagraph"/>
        <w:numPr>
          <w:ilvl w:val="1"/>
          <w:numId w:val="7"/>
        </w:numPr>
        <w:spacing w:after="0" w:line="240" w:lineRule="auto"/>
      </w:pPr>
      <w:r>
        <w:t xml:space="preserve">Evidence also suggests that the </w:t>
      </w:r>
      <w:r w:rsidR="008C1010">
        <w:t>built environment influences perceived fall risk and creates barriers to physical activity</w:t>
      </w:r>
      <w:r w:rsidR="004A11E9">
        <w:fldChar w:fldCharType="begin"/>
      </w:r>
      <w:r w:rsidR="004A11E9">
        <w:instrText xml:space="preserve"> ADDIN ZOTERO_ITEM CSL_CITATION {"citationID":"zUERbMXC","properties":{"formattedCitation":"\\super 8,9\\nosupersub{}","plainCitation":"8,9","noteIndex":0},"citationItems":[{"id":337,"uris":["http://zotero.org/groups/2444171/items/NB75GH6G"],"uri":["http://zotero.org/groups/2444171/items/NB75GH6G"],"itemData":{"id":337,"type":"article-journal","abstract":"To explore the experience of older adults in their neighborhood in relation to perceived fall risk, fear of falling (FOF), and resources/strategies for fall prevention.Fourteen older adults, 65 years of age and older from 3 urban senior centers, participated in this qualitative study. The semistructured interview guidelines and background questionnaire were developed by the researchers based on the literature and an existing measure of walkability. Both tools were refined based on pilot interviews with seniors. Collaizzi’s phenomenological method was used for data analysis.Five themes emerged from the data: (a) The built environment contributes to perceived fall risk and FOF, (b) personal strategies used to adapt to perceived neighborhood fall risks-behavioral approaches, (c) resources for physical activity and safety, (d) barriers to physical activity and exercise, and (e) neighborhood features as a motivator.Urban-dwelling seniors perceive that neighborhood features contribute to or mitigate fall risk and FOF. Behavioral strategies are used by seniors to prevent outdoor falls. The findings can help clinicians develop targeted fall prevention interventions for well elders and help urban planners to design and retrofit urban environments to reduce fall risk.","container-title":"The Gerontologist","DOI":"10.1093/geront/gnu019","ISSN":"0016-9013","issue":"4","journalAbbreviation":"The Gerontologist","page":"575-583","source":"Silverchair","title":"The Neighborhood Environment: Perceived Fall Risk, Resources, and Strategies for Fall Prevention","title-short":"The Neighborhood Environment","URL":"https://doi.org/10.1093/geront/gnu019","volume":"55","author":[{"family":"Chippendale","given":"Tracy"},{"family":"Boltz","given":"Marie"}],"accessed":{"date-parts":[["2022",1,26]]},"issued":{"date-parts":[["2015",8,1]]}}},{"id":335,"uris":["http://zotero.org/groups/2444171/items/B8H4HADR"],"uri":["http://zotero.org/groups/2444171/items/B8H4HADR"],"itemData":{"id":335,"type":"article-journal","abstract":"PURPOSE: To gain better understanding of how the built environment impacts neighborhood-based physical activity among midlife and older adults with mobility disabilities.\nDESIGN AND METHODS: We conducted in-depth interviews with 35 adults over age 50, which used an assistive device and lived in King County, Washington, U.S. In addition, participants wore global positioning systems (GPS) devices for 3 days prior to the interview. The GPS maps were used as prompts during the interviews. Open coding of the 35 interviews using latent content analysis resulted in key themes and subthemes that achieved consensus between coders. Two investigators independently coded the text of each interview.\nRESULTS: Participants were on average of 67 years of age (range: 50-86) and predominantly used canes (57%), walkers (57%), or wheelchairs (46%). Key themes pertained to curb ramp availability and condition, sidewalk availability and condition, hills, aesthetics, lighting, ramp availability, weather, presence and features of crosswalks, availability of resting places and shelter on streets, paved or smooth walking paths, safety, and traffic on roads.\nIMPLICATIONS: A variety of built environment barriers and facilitators to neighborhood-based activity exist for midlife and older adults with mobility disabilities. Preparing our neighborhood environments for an aging population that uses assistive devices will be important to foster independence and health.","container-title":"The Gerontologist","DOI":"10.1093/geront/gns119","ISSN":"1758-5341","issue":"2","journalAbbreviation":"Gerontologist","language":"eng","note":"PMID: 23010096\nPMCID: PMC3605937","page":"268-279","source":"PubMed","title":"Outdoor built environment barriers and facilitators to activity among midlife and older adults with mobility disabilities","volume":"53","author":[{"family":"Rosenberg","given":"Dori E."},{"family":"Huang","given":"Deborah L."},{"family":"Simonovich","given":"Shannon D."},{"family":"Belza","given":"Basia"}],"issued":{"date-parts":[["2013",4]]}}}],"schema":"https://github.com/citation-style-language/schema/raw/master/csl-citation.json"} </w:instrText>
      </w:r>
      <w:r w:rsidR="004A11E9">
        <w:fldChar w:fldCharType="separate"/>
      </w:r>
      <w:r w:rsidR="004A11E9" w:rsidRPr="004A11E9">
        <w:rPr>
          <w:rFonts w:ascii="Calibri" w:hAnsi="Calibri" w:cs="Calibri"/>
          <w:szCs w:val="24"/>
          <w:vertAlign w:val="superscript"/>
        </w:rPr>
        <w:t>8,9</w:t>
      </w:r>
      <w:r w:rsidR="004A11E9">
        <w:fldChar w:fldCharType="end"/>
      </w:r>
    </w:p>
    <w:p w14:paraId="5E1209BE" w14:textId="1EE1262A" w:rsidR="002A125A" w:rsidRDefault="006C30D6" w:rsidP="000F5960">
      <w:pPr>
        <w:pStyle w:val="ListParagraph"/>
        <w:numPr>
          <w:ilvl w:val="1"/>
          <w:numId w:val="7"/>
        </w:numPr>
        <w:spacing w:after="0" w:line="240" w:lineRule="auto"/>
      </w:pPr>
      <w:r w:rsidRPr="000F5960">
        <w:rPr>
          <w:b/>
          <w:bCs/>
        </w:rPr>
        <w:t>Recommendation</w:t>
      </w:r>
      <w:r>
        <w:t xml:space="preserve">: </w:t>
      </w:r>
      <w:r w:rsidR="00BC7700">
        <w:t xml:space="preserve">EOEA </w:t>
      </w:r>
      <w:r w:rsidR="0050382D">
        <w:t xml:space="preserve">and DPH </w:t>
      </w:r>
      <w:r w:rsidR="00BC7700">
        <w:t xml:space="preserve">should </w:t>
      </w:r>
      <w:r w:rsidR="0050382D">
        <w:t xml:space="preserve">work to embed </w:t>
      </w:r>
      <w:r w:rsidR="00D43E16">
        <w:t>falls prevention considerations and aging-friending strategies in</w:t>
      </w:r>
      <w:r w:rsidR="000A3D6F">
        <w:t>to</w:t>
      </w:r>
      <w:r w:rsidR="00B8166C">
        <w:t xml:space="preserve"> regional and</w:t>
      </w:r>
      <w:r w:rsidR="000A3D6F">
        <w:t xml:space="preserve"> statewide</w:t>
      </w:r>
      <w:r w:rsidR="00D43E16">
        <w:t xml:space="preserve"> planning efforts</w:t>
      </w:r>
    </w:p>
    <w:p w14:paraId="6FB4D4F8" w14:textId="1C33F75D" w:rsidR="00BA269F" w:rsidRDefault="00BA269F" w:rsidP="002A125A">
      <w:pPr>
        <w:pStyle w:val="ListParagraph"/>
        <w:numPr>
          <w:ilvl w:val="1"/>
          <w:numId w:val="7"/>
        </w:numPr>
        <w:spacing w:after="0" w:line="240" w:lineRule="auto"/>
      </w:pPr>
      <w:r w:rsidRPr="00D25259">
        <w:rPr>
          <w:b/>
          <w:bCs/>
        </w:rPr>
        <w:t>Recommendation</w:t>
      </w:r>
      <w:r>
        <w:t xml:space="preserve">: </w:t>
      </w:r>
      <w:r w:rsidR="00203DAF">
        <w:t>Development of a pilot program</w:t>
      </w:r>
      <w:r w:rsidR="001F4899">
        <w:t xml:space="preserve"> </w:t>
      </w:r>
      <w:r w:rsidR="00E96744">
        <w:t>that pairs</w:t>
      </w:r>
      <w:r w:rsidR="001F4899">
        <w:t xml:space="preserve"> statewide home assessments for hazards</w:t>
      </w:r>
      <w:r w:rsidR="00E96744">
        <w:t xml:space="preserve"> with subsidized home modifications</w:t>
      </w:r>
      <w:r w:rsidR="004C09B5">
        <w:t xml:space="preserve"> to mitigate injury risk</w:t>
      </w:r>
    </w:p>
    <w:p w14:paraId="48921E0B" w14:textId="4340A3F2" w:rsidR="00F71E37" w:rsidRPr="007F3A05" w:rsidRDefault="007F3A05" w:rsidP="00995AF0">
      <w:pPr>
        <w:pStyle w:val="ListParagraph"/>
        <w:numPr>
          <w:ilvl w:val="2"/>
          <w:numId w:val="7"/>
        </w:numPr>
        <w:spacing w:after="0" w:line="240" w:lineRule="auto"/>
      </w:pPr>
      <w:r w:rsidRPr="007F3A05">
        <w:t xml:space="preserve">Modeled on </w:t>
      </w:r>
      <w:proofErr w:type="spellStart"/>
      <w:r w:rsidRPr="007F3A05">
        <w:t>MassSAVE</w:t>
      </w:r>
      <w:proofErr w:type="spellEnd"/>
    </w:p>
    <w:p w14:paraId="51CF6C82" w14:textId="1A7F9741" w:rsidR="00396E1F" w:rsidRPr="003E40FC" w:rsidRDefault="00396E1F" w:rsidP="00396E1F">
      <w:pPr>
        <w:rPr>
          <w:rFonts w:cstheme="minorHAnsi"/>
          <w:color w:val="000000" w:themeColor="text1"/>
        </w:rPr>
      </w:pPr>
    </w:p>
    <w:p w14:paraId="37D86A42" w14:textId="77777777" w:rsidR="00396E1F" w:rsidRPr="003E40FC" w:rsidRDefault="00396E1F" w:rsidP="00396E1F">
      <w:pPr>
        <w:rPr>
          <w:rFonts w:cstheme="minorHAnsi"/>
          <w:color w:val="000000" w:themeColor="text1"/>
        </w:rPr>
      </w:pPr>
    </w:p>
    <w:p w14:paraId="2563E5BB" w14:textId="04710217" w:rsidR="005767F6" w:rsidRDefault="005767F6" w:rsidP="0036485C"/>
    <w:p w14:paraId="272263AB" w14:textId="77777777" w:rsidR="00021661" w:rsidRDefault="00021661">
      <w:r>
        <w:br w:type="page"/>
      </w:r>
    </w:p>
    <w:p w14:paraId="7E69E6F2" w14:textId="6BFEC041" w:rsidR="005767F6" w:rsidRDefault="00021661" w:rsidP="000A05A3">
      <w:pPr>
        <w:pStyle w:val="Heading1"/>
      </w:pPr>
      <w:r>
        <w:lastRenderedPageBreak/>
        <w:t>References</w:t>
      </w:r>
    </w:p>
    <w:p w14:paraId="616D912B" w14:textId="77777777" w:rsidR="004A11E9" w:rsidRPr="004A11E9" w:rsidRDefault="005767F6" w:rsidP="004A11E9">
      <w:pPr>
        <w:pStyle w:val="Bibliography"/>
        <w:rPr>
          <w:rFonts w:ascii="Calibri" w:hAnsi="Calibri" w:cs="Calibri"/>
        </w:rPr>
      </w:pPr>
      <w:r>
        <w:fldChar w:fldCharType="begin"/>
      </w:r>
      <w:r>
        <w:instrText xml:space="preserve"> ADDIN ZOTERO_BIBL {"uncited":[],"omitted":[],"custom":[]} CSL_BIBLIOGRAPHY </w:instrText>
      </w:r>
      <w:r>
        <w:fldChar w:fldCharType="separate"/>
      </w:r>
      <w:r w:rsidR="004A11E9" w:rsidRPr="004A11E9">
        <w:rPr>
          <w:rFonts w:ascii="Calibri" w:hAnsi="Calibri" w:cs="Calibri"/>
        </w:rPr>
        <w:t xml:space="preserve">1. </w:t>
      </w:r>
      <w:r w:rsidR="004A11E9" w:rsidRPr="004A11E9">
        <w:rPr>
          <w:rFonts w:ascii="Calibri" w:hAnsi="Calibri" w:cs="Calibri"/>
        </w:rPr>
        <w:tab/>
        <w:t xml:space="preserve">Gagen TM, Bulzacchelli MT. Improving Local Service Delivery to Prevent Falls in Community-Dwelling Older Adults: Translating Research to Practice. </w:t>
      </w:r>
      <w:r w:rsidR="004A11E9" w:rsidRPr="004A11E9">
        <w:rPr>
          <w:rFonts w:ascii="Calibri" w:hAnsi="Calibri" w:cs="Calibri"/>
          <w:i/>
          <w:iCs/>
        </w:rPr>
        <w:t>The Gerontologist</w:t>
      </w:r>
      <w:r w:rsidR="004A11E9" w:rsidRPr="004A11E9">
        <w:rPr>
          <w:rFonts w:ascii="Calibri" w:hAnsi="Calibri" w:cs="Calibri"/>
        </w:rPr>
        <w:t>. 2021;61(6):819-825. doi:10.1093/geront/gnaa121</w:t>
      </w:r>
    </w:p>
    <w:p w14:paraId="4366F756" w14:textId="77777777" w:rsidR="004A11E9" w:rsidRPr="004A11E9" w:rsidRDefault="004A11E9" w:rsidP="004A11E9">
      <w:pPr>
        <w:pStyle w:val="Bibliography"/>
        <w:rPr>
          <w:rFonts w:ascii="Calibri" w:hAnsi="Calibri" w:cs="Calibri"/>
        </w:rPr>
      </w:pPr>
      <w:r w:rsidRPr="004A11E9">
        <w:rPr>
          <w:rFonts w:ascii="Calibri" w:hAnsi="Calibri" w:cs="Calibri"/>
        </w:rPr>
        <w:t xml:space="preserve">2. </w:t>
      </w:r>
      <w:r w:rsidRPr="004A11E9">
        <w:rPr>
          <w:rFonts w:ascii="Calibri" w:hAnsi="Calibri" w:cs="Calibri"/>
        </w:rPr>
        <w:tab/>
        <w:t>Public Health Infrastructure. Healthy People 2030. Accessed January 25, 2022. https://health.gov/healthypeople/objectives-and-data/browse-objectives/public-health-infrastructure</w:t>
      </w:r>
    </w:p>
    <w:p w14:paraId="602B7A7A" w14:textId="77777777" w:rsidR="004A11E9" w:rsidRPr="004A11E9" w:rsidRDefault="004A11E9" w:rsidP="004A11E9">
      <w:pPr>
        <w:pStyle w:val="Bibliography"/>
        <w:rPr>
          <w:rFonts w:ascii="Calibri" w:hAnsi="Calibri" w:cs="Calibri"/>
        </w:rPr>
      </w:pPr>
      <w:r w:rsidRPr="004A11E9">
        <w:rPr>
          <w:rFonts w:ascii="Calibri" w:hAnsi="Calibri" w:cs="Calibri"/>
        </w:rPr>
        <w:t xml:space="preserve">3. </w:t>
      </w:r>
      <w:r w:rsidRPr="004A11E9">
        <w:rPr>
          <w:rFonts w:ascii="Calibri" w:hAnsi="Calibri" w:cs="Calibri"/>
        </w:rPr>
        <w:tab/>
        <w:t xml:space="preserve">Gillespie LD, Robertson MC, Gillespie WJ, et al. Interventions for preventing falls in older people living in the community. </w:t>
      </w:r>
      <w:r w:rsidRPr="004A11E9">
        <w:rPr>
          <w:rFonts w:ascii="Calibri" w:hAnsi="Calibri" w:cs="Calibri"/>
          <w:i/>
          <w:iCs/>
        </w:rPr>
        <w:t>Cochrane Database of Systematic Reviews</w:t>
      </w:r>
      <w:r w:rsidRPr="004A11E9">
        <w:rPr>
          <w:rFonts w:ascii="Calibri" w:hAnsi="Calibri" w:cs="Calibri"/>
        </w:rPr>
        <w:t>. 2012;(9). doi:10.1002/14651858.CD007146.pub3</w:t>
      </w:r>
    </w:p>
    <w:p w14:paraId="7F068B29" w14:textId="77777777" w:rsidR="004A11E9" w:rsidRPr="004A11E9" w:rsidRDefault="004A11E9" w:rsidP="004A11E9">
      <w:pPr>
        <w:pStyle w:val="Bibliography"/>
        <w:rPr>
          <w:rFonts w:ascii="Calibri" w:hAnsi="Calibri" w:cs="Calibri"/>
        </w:rPr>
      </w:pPr>
      <w:r w:rsidRPr="004A11E9">
        <w:rPr>
          <w:rFonts w:ascii="Calibri" w:hAnsi="Calibri" w:cs="Calibri"/>
        </w:rPr>
        <w:t xml:space="preserve">4. </w:t>
      </w:r>
      <w:r w:rsidRPr="004A11E9">
        <w:rPr>
          <w:rFonts w:ascii="Calibri" w:hAnsi="Calibri" w:cs="Calibri"/>
        </w:rPr>
        <w:tab/>
        <w:t xml:space="preserve">Massachusetts Commission on Falls Prevention. </w:t>
      </w:r>
      <w:r w:rsidRPr="004A11E9">
        <w:rPr>
          <w:rFonts w:ascii="Calibri" w:hAnsi="Calibri" w:cs="Calibri"/>
          <w:i/>
          <w:iCs/>
        </w:rPr>
        <w:t>Massachusetts Commission on Falls Prevention Phase 3 Report: Improving Integration of Falls Risk Assessment and Referral in Health Care Practices</w:t>
      </w:r>
      <w:r w:rsidRPr="004A11E9">
        <w:rPr>
          <w:rFonts w:ascii="Calibri" w:hAnsi="Calibri" w:cs="Calibri"/>
        </w:rPr>
        <w:t>. Massachusetts Department of Public Health; 2020. Accessed January 23, 2022. https://www.mass.gov/doc/phase-3-report-improving-integration-of-falls-risk-assessment-and-referral-in-health-care-0/download</w:t>
      </w:r>
    </w:p>
    <w:p w14:paraId="391592DD" w14:textId="77777777" w:rsidR="004A11E9" w:rsidRPr="004A11E9" w:rsidRDefault="004A11E9" w:rsidP="004A11E9">
      <w:pPr>
        <w:pStyle w:val="Bibliography"/>
        <w:rPr>
          <w:rFonts w:ascii="Calibri" w:hAnsi="Calibri" w:cs="Calibri"/>
        </w:rPr>
      </w:pPr>
      <w:r w:rsidRPr="004A11E9">
        <w:rPr>
          <w:rFonts w:ascii="Calibri" w:hAnsi="Calibri" w:cs="Calibri"/>
        </w:rPr>
        <w:t xml:space="preserve">5. </w:t>
      </w:r>
      <w:r w:rsidRPr="004A11E9">
        <w:rPr>
          <w:rFonts w:ascii="Calibri" w:hAnsi="Calibri" w:cs="Calibri"/>
        </w:rPr>
        <w:tab/>
        <w:t xml:space="preserve">Special Commission on Local and Regional Public Health. </w:t>
      </w:r>
      <w:r w:rsidRPr="004A11E9">
        <w:rPr>
          <w:rFonts w:ascii="Calibri" w:hAnsi="Calibri" w:cs="Calibri"/>
          <w:i/>
          <w:iCs/>
        </w:rPr>
        <w:t>Blueprint for Public Health Excellence: Recommendations for Improved Effectiveness and Efficiency of Local Public Health Protections</w:t>
      </w:r>
      <w:r w:rsidRPr="004A11E9">
        <w:rPr>
          <w:rFonts w:ascii="Calibri" w:hAnsi="Calibri" w:cs="Calibri"/>
        </w:rPr>
        <w:t>.; 2019.</w:t>
      </w:r>
    </w:p>
    <w:p w14:paraId="0BB00294" w14:textId="77777777" w:rsidR="004A11E9" w:rsidRPr="004A11E9" w:rsidRDefault="004A11E9" w:rsidP="004A11E9">
      <w:pPr>
        <w:pStyle w:val="Bibliography"/>
        <w:rPr>
          <w:rFonts w:ascii="Calibri" w:hAnsi="Calibri" w:cs="Calibri"/>
        </w:rPr>
      </w:pPr>
      <w:r w:rsidRPr="004A11E9">
        <w:rPr>
          <w:rFonts w:ascii="Calibri" w:hAnsi="Calibri" w:cs="Calibri"/>
        </w:rPr>
        <w:t xml:space="preserve">6. </w:t>
      </w:r>
      <w:r w:rsidRPr="004A11E9">
        <w:rPr>
          <w:rFonts w:ascii="Calibri" w:hAnsi="Calibri" w:cs="Calibri"/>
        </w:rPr>
        <w:tab/>
        <w:t xml:space="preserve">Taube S, Lispon R. </w:t>
      </w:r>
      <w:r w:rsidRPr="004A11E9">
        <w:rPr>
          <w:rFonts w:ascii="Calibri" w:hAnsi="Calibri" w:cs="Calibri"/>
          <w:i/>
          <w:iCs/>
        </w:rPr>
        <w:t>COVID-19 and the Changing Massachusetts Healthcare Workforce</w:t>
      </w:r>
      <w:r w:rsidRPr="004A11E9">
        <w:rPr>
          <w:rFonts w:ascii="Calibri" w:hAnsi="Calibri" w:cs="Calibri"/>
        </w:rPr>
        <w:t>. Havard Kennedy School; 2021.</w:t>
      </w:r>
    </w:p>
    <w:p w14:paraId="7A5F9685" w14:textId="77777777" w:rsidR="004A11E9" w:rsidRPr="004A11E9" w:rsidRDefault="004A11E9" w:rsidP="004A11E9">
      <w:pPr>
        <w:pStyle w:val="Bibliography"/>
        <w:rPr>
          <w:rFonts w:ascii="Calibri" w:hAnsi="Calibri" w:cs="Calibri"/>
        </w:rPr>
      </w:pPr>
      <w:r w:rsidRPr="004A11E9">
        <w:rPr>
          <w:rFonts w:ascii="Calibri" w:hAnsi="Calibri" w:cs="Calibri"/>
        </w:rPr>
        <w:t xml:space="preserve">7. </w:t>
      </w:r>
      <w:r w:rsidRPr="004A11E9">
        <w:rPr>
          <w:rFonts w:ascii="Calibri" w:hAnsi="Calibri" w:cs="Calibri"/>
        </w:rPr>
        <w:tab/>
        <w:t xml:space="preserve">Betsy Lehman Center for Patient Safety. </w:t>
      </w:r>
      <w:r w:rsidRPr="004A11E9">
        <w:rPr>
          <w:rFonts w:ascii="Calibri" w:hAnsi="Calibri" w:cs="Calibri"/>
          <w:i/>
          <w:iCs/>
        </w:rPr>
        <w:t>The Impact of COVID-19 on Home Health and Home Care in Massachusetts</w:t>
      </w:r>
      <w:r w:rsidRPr="004A11E9">
        <w:rPr>
          <w:rFonts w:ascii="Calibri" w:hAnsi="Calibri" w:cs="Calibri"/>
        </w:rPr>
        <w:t>.; 2020. Accessed January 25, 2022. https://betsylehmancenterma.gov/assets/uploads/HomeCare_Report.pdf</w:t>
      </w:r>
    </w:p>
    <w:p w14:paraId="401E5358" w14:textId="77777777" w:rsidR="004A11E9" w:rsidRPr="004A11E9" w:rsidRDefault="004A11E9" w:rsidP="004A11E9">
      <w:pPr>
        <w:pStyle w:val="Bibliography"/>
        <w:rPr>
          <w:rFonts w:ascii="Calibri" w:hAnsi="Calibri" w:cs="Calibri"/>
        </w:rPr>
      </w:pPr>
      <w:r w:rsidRPr="004A11E9">
        <w:rPr>
          <w:rFonts w:ascii="Calibri" w:hAnsi="Calibri" w:cs="Calibri"/>
        </w:rPr>
        <w:t xml:space="preserve">8. </w:t>
      </w:r>
      <w:r w:rsidRPr="004A11E9">
        <w:rPr>
          <w:rFonts w:ascii="Calibri" w:hAnsi="Calibri" w:cs="Calibri"/>
        </w:rPr>
        <w:tab/>
        <w:t xml:space="preserve">Chippendale T, Boltz M. The Neighborhood Environment: Perceived Fall Risk, Resources, and Strategies for Fall Prevention. </w:t>
      </w:r>
      <w:r w:rsidRPr="004A11E9">
        <w:rPr>
          <w:rFonts w:ascii="Calibri" w:hAnsi="Calibri" w:cs="Calibri"/>
          <w:i/>
          <w:iCs/>
        </w:rPr>
        <w:t>The Gerontologist</w:t>
      </w:r>
      <w:r w:rsidRPr="004A11E9">
        <w:rPr>
          <w:rFonts w:ascii="Calibri" w:hAnsi="Calibri" w:cs="Calibri"/>
        </w:rPr>
        <w:t>. 2015;55(4):575-583. doi:10.1093/geront/gnu019</w:t>
      </w:r>
    </w:p>
    <w:p w14:paraId="66702784" w14:textId="77777777" w:rsidR="004A11E9" w:rsidRPr="004A11E9" w:rsidRDefault="004A11E9" w:rsidP="004A11E9">
      <w:pPr>
        <w:pStyle w:val="Bibliography"/>
        <w:rPr>
          <w:rFonts w:ascii="Calibri" w:hAnsi="Calibri" w:cs="Calibri"/>
        </w:rPr>
      </w:pPr>
      <w:r w:rsidRPr="004A11E9">
        <w:rPr>
          <w:rFonts w:ascii="Calibri" w:hAnsi="Calibri" w:cs="Calibri"/>
        </w:rPr>
        <w:t xml:space="preserve">9. </w:t>
      </w:r>
      <w:r w:rsidRPr="004A11E9">
        <w:rPr>
          <w:rFonts w:ascii="Calibri" w:hAnsi="Calibri" w:cs="Calibri"/>
        </w:rPr>
        <w:tab/>
        <w:t xml:space="preserve">Rosenberg DE, Huang DL, Simonovich SD, Belza B. Outdoor built environment barriers and facilitators to activity among midlife and older adults with mobility disabilities. </w:t>
      </w:r>
      <w:r w:rsidRPr="004A11E9">
        <w:rPr>
          <w:rFonts w:ascii="Calibri" w:hAnsi="Calibri" w:cs="Calibri"/>
          <w:i/>
          <w:iCs/>
        </w:rPr>
        <w:t>Gerontologist</w:t>
      </w:r>
      <w:r w:rsidRPr="004A11E9">
        <w:rPr>
          <w:rFonts w:ascii="Calibri" w:hAnsi="Calibri" w:cs="Calibri"/>
        </w:rPr>
        <w:t>. 2013;53(2):268-279. doi:10.1093/geront/gns119</w:t>
      </w:r>
    </w:p>
    <w:p w14:paraId="5641D7CD" w14:textId="52260E93" w:rsidR="005767F6" w:rsidRPr="0036485C" w:rsidRDefault="005767F6" w:rsidP="0036485C">
      <w:r>
        <w:fldChar w:fldCharType="end"/>
      </w:r>
    </w:p>
    <w:sectPr w:rsidR="005767F6" w:rsidRPr="00364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58DD"/>
    <w:multiLevelType w:val="hybridMultilevel"/>
    <w:tmpl w:val="E420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6F0E"/>
    <w:multiLevelType w:val="hybridMultilevel"/>
    <w:tmpl w:val="9714462C"/>
    <w:lvl w:ilvl="0" w:tplc="560A4810">
      <w:start w:val="1"/>
      <w:numFmt w:val="bullet"/>
      <w:lvlText w:val=""/>
      <w:lvlJc w:val="left"/>
      <w:pPr>
        <w:ind w:left="720" w:hanging="360"/>
      </w:pPr>
      <w:rPr>
        <w:rFonts w:ascii="Symbol" w:hAnsi="Symbol" w:hint="default"/>
      </w:rPr>
    </w:lvl>
    <w:lvl w:ilvl="1" w:tplc="F0BE28D8">
      <w:start w:val="1"/>
      <w:numFmt w:val="bullet"/>
      <w:lvlText w:val="o"/>
      <w:lvlJc w:val="left"/>
      <w:pPr>
        <w:ind w:left="1440" w:hanging="360"/>
      </w:pPr>
      <w:rPr>
        <w:rFonts w:ascii="Courier New" w:hAnsi="Courier New" w:hint="default"/>
      </w:rPr>
    </w:lvl>
    <w:lvl w:ilvl="2" w:tplc="482C2738">
      <w:start w:val="1"/>
      <w:numFmt w:val="bullet"/>
      <w:lvlText w:val=""/>
      <w:lvlJc w:val="left"/>
      <w:pPr>
        <w:ind w:left="2160" w:hanging="360"/>
      </w:pPr>
      <w:rPr>
        <w:rFonts w:ascii="Wingdings" w:hAnsi="Wingdings" w:hint="default"/>
      </w:rPr>
    </w:lvl>
    <w:lvl w:ilvl="3" w:tplc="FD44ABAC">
      <w:start w:val="1"/>
      <w:numFmt w:val="bullet"/>
      <w:lvlText w:val=""/>
      <w:lvlJc w:val="left"/>
      <w:pPr>
        <w:ind w:left="2880" w:hanging="360"/>
      </w:pPr>
      <w:rPr>
        <w:rFonts w:ascii="Symbol" w:hAnsi="Symbol" w:hint="default"/>
      </w:rPr>
    </w:lvl>
    <w:lvl w:ilvl="4" w:tplc="6CE05E04">
      <w:start w:val="1"/>
      <w:numFmt w:val="bullet"/>
      <w:lvlText w:val="o"/>
      <w:lvlJc w:val="left"/>
      <w:pPr>
        <w:ind w:left="3600" w:hanging="360"/>
      </w:pPr>
      <w:rPr>
        <w:rFonts w:ascii="Courier New" w:hAnsi="Courier New" w:hint="default"/>
      </w:rPr>
    </w:lvl>
    <w:lvl w:ilvl="5" w:tplc="498CCC1A">
      <w:start w:val="1"/>
      <w:numFmt w:val="bullet"/>
      <w:lvlText w:val=""/>
      <w:lvlJc w:val="left"/>
      <w:pPr>
        <w:ind w:left="4320" w:hanging="360"/>
      </w:pPr>
      <w:rPr>
        <w:rFonts w:ascii="Wingdings" w:hAnsi="Wingdings" w:hint="default"/>
      </w:rPr>
    </w:lvl>
    <w:lvl w:ilvl="6" w:tplc="92C4E956">
      <w:start w:val="1"/>
      <w:numFmt w:val="bullet"/>
      <w:lvlText w:val=""/>
      <w:lvlJc w:val="left"/>
      <w:pPr>
        <w:ind w:left="5040" w:hanging="360"/>
      </w:pPr>
      <w:rPr>
        <w:rFonts w:ascii="Symbol" w:hAnsi="Symbol" w:hint="default"/>
      </w:rPr>
    </w:lvl>
    <w:lvl w:ilvl="7" w:tplc="1C68252A">
      <w:start w:val="1"/>
      <w:numFmt w:val="bullet"/>
      <w:lvlText w:val="o"/>
      <w:lvlJc w:val="left"/>
      <w:pPr>
        <w:ind w:left="5760" w:hanging="360"/>
      </w:pPr>
      <w:rPr>
        <w:rFonts w:ascii="Courier New" w:hAnsi="Courier New" w:hint="default"/>
      </w:rPr>
    </w:lvl>
    <w:lvl w:ilvl="8" w:tplc="0E0C34EE">
      <w:start w:val="1"/>
      <w:numFmt w:val="bullet"/>
      <w:lvlText w:val=""/>
      <w:lvlJc w:val="left"/>
      <w:pPr>
        <w:ind w:left="6480" w:hanging="360"/>
      </w:pPr>
      <w:rPr>
        <w:rFonts w:ascii="Wingdings" w:hAnsi="Wingdings" w:hint="default"/>
      </w:rPr>
    </w:lvl>
  </w:abstractNum>
  <w:abstractNum w:abstractNumId="2" w15:restartNumberingAfterBreak="0">
    <w:nsid w:val="03F16015"/>
    <w:multiLevelType w:val="hybridMultilevel"/>
    <w:tmpl w:val="961AD1B8"/>
    <w:lvl w:ilvl="0" w:tplc="2B48D01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5F33"/>
    <w:multiLevelType w:val="hybridMultilevel"/>
    <w:tmpl w:val="D32499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F71028B"/>
    <w:multiLevelType w:val="hybridMultilevel"/>
    <w:tmpl w:val="5724597E"/>
    <w:lvl w:ilvl="0" w:tplc="9D0A14B0">
      <w:start w:val="1"/>
      <w:numFmt w:val="bullet"/>
      <w:lvlText w:val=""/>
      <w:lvlJc w:val="left"/>
      <w:pPr>
        <w:ind w:left="720" w:hanging="360"/>
      </w:pPr>
      <w:rPr>
        <w:rFonts w:ascii="Symbol" w:hAnsi="Symbol" w:hint="default"/>
      </w:rPr>
    </w:lvl>
    <w:lvl w:ilvl="1" w:tplc="E6EEF870">
      <w:start w:val="1"/>
      <w:numFmt w:val="bullet"/>
      <w:lvlText w:val="o"/>
      <w:lvlJc w:val="left"/>
      <w:pPr>
        <w:ind w:left="1440" w:hanging="360"/>
      </w:pPr>
      <w:rPr>
        <w:rFonts w:ascii="Courier New" w:hAnsi="Courier New" w:hint="default"/>
      </w:rPr>
    </w:lvl>
    <w:lvl w:ilvl="2" w:tplc="92FC5670">
      <w:start w:val="1"/>
      <w:numFmt w:val="bullet"/>
      <w:lvlText w:val=""/>
      <w:lvlJc w:val="left"/>
      <w:pPr>
        <w:ind w:left="2160" w:hanging="360"/>
      </w:pPr>
      <w:rPr>
        <w:rFonts w:ascii="Wingdings" w:hAnsi="Wingdings" w:hint="default"/>
      </w:rPr>
    </w:lvl>
    <w:lvl w:ilvl="3" w:tplc="916A2C28">
      <w:start w:val="1"/>
      <w:numFmt w:val="bullet"/>
      <w:lvlText w:val=""/>
      <w:lvlJc w:val="left"/>
      <w:pPr>
        <w:ind w:left="2880" w:hanging="360"/>
      </w:pPr>
      <w:rPr>
        <w:rFonts w:ascii="Symbol" w:hAnsi="Symbol" w:hint="default"/>
      </w:rPr>
    </w:lvl>
    <w:lvl w:ilvl="4" w:tplc="797C249A">
      <w:start w:val="1"/>
      <w:numFmt w:val="bullet"/>
      <w:lvlText w:val="o"/>
      <w:lvlJc w:val="left"/>
      <w:pPr>
        <w:ind w:left="3600" w:hanging="360"/>
      </w:pPr>
      <w:rPr>
        <w:rFonts w:ascii="Courier New" w:hAnsi="Courier New" w:hint="default"/>
      </w:rPr>
    </w:lvl>
    <w:lvl w:ilvl="5" w:tplc="9D16CC10">
      <w:start w:val="1"/>
      <w:numFmt w:val="bullet"/>
      <w:lvlText w:val=""/>
      <w:lvlJc w:val="left"/>
      <w:pPr>
        <w:ind w:left="4320" w:hanging="360"/>
      </w:pPr>
      <w:rPr>
        <w:rFonts w:ascii="Wingdings" w:hAnsi="Wingdings" w:hint="default"/>
      </w:rPr>
    </w:lvl>
    <w:lvl w:ilvl="6" w:tplc="1584BC36">
      <w:start w:val="1"/>
      <w:numFmt w:val="bullet"/>
      <w:lvlText w:val=""/>
      <w:lvlJc w:val="left"/>
      <w:pPr>
        <w:ind w:left="5040" w:hanging="360"/>
      </w:pPr>
      <w:rPr>
        <w:rFonts w:ascii="Symbol" w:hAnsi="Symbol" w:hint="default"/>
      </w:rPr>
    </w:lvl>
    <w:lvl w:ilvl="7" w:tplc="1AC2D13E">
      <w:start w:val="1"/>
      <w:numFmt w:val="bullet"/>
      <w:lvlText w:val="o"/>
      <w:lvlJc w:val="left"/>
      <w:pPr>
        <w:ind w:left="5760" w:hanging="360"/>
      </w:pPr>
      <w:rPr>
        <w:rFonts w:ascii="Courier New" w:hAnsi="Courier New" w:hint="default"/>
      </w:rPr>
    </w:lvl>
    <w:lvl w:ilvl="8" w:tplc="DDE094D4">
      <w:start w:val="1"/>
      <w:numFmt w:val="bullet"/>
      <w:lvlText w:val=""/>
      <w:lvlJc w:val="left"/>
      <w:pPr>
        <w:ind w:left="6480" w:hanging="360"/>
      </w:pPr>
      <w:rPr>
        <w:rFonts w:ascii="Wingdings" w:hAnsi="Wingdings" w:hint="default"/>
      </w:rPr>
    </w:lvl>
  </w:abstractNum>
  <w:abstractNum w:abstractNumId="5" w15:restartNumberingAfterBreak="0">
    <w:nsid w:val="1C6B616E"/>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29F253A2"/>
    <w:multiLevelType w:val="hybridMultilevel"/>
    <w:tmpl w:val="EF2E62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3485162A"/>
    <w:multiLevelType w:val="hybridMultilevel"/>
    <w:tmpl w:val="1318E718"/>
    <w:lvl w:ilvl="0" w:tplc="171CE2DC">
      <w:start w:val="1"/>
      <w:numFmt w:val="bullet"/>
      <w:lvlText w:val=""/>
      <w:lvlJc w:val="left"/>
      <w:pPr>
        <w:ind w:left="720" w:hanging="360"/>
      </w:pPr>
      <w:rPr>
        <w:rFonts w:ascii="Symbol" w:hAnsi="Symbol" w:hint="default"/>
      </w:rPr>
    </w:lvl>
    <w:lvl w:ilvl="1" w:tplc="A1908C6C">
      <w:start w:val="1"/>
      <w:numFmt w:val="bullet"/>
      <w:lvlText w:val="o"/>
      <w:lvlJc w:val="left"/>
      <w:pPr>
        <w:ind w:left="1440" w:hanging="360"/>
      </w:pPr>
      <w:rPr>
        <w:rFonts w:ascii="Courier New" w:hAnsi="Courier New" w:hint="default"/>
      </w:rPr>
    </w:lvl>
    <w:lvl w:ilvl="2" w:tplc="6BD088D2">
      <w:start w:val="1"/>
      <w:numFmt w:val="bullet"/>
      <w:lvlText w:val=""/>
      <w:lvlJc w:val="left"/>
      <w:pPr>
        <w:ind w:left="2160" w:hanging="360"/>
      </w:pPr>
      <w:rPr>
        <w:rFonts w:ascii="Wingdings" w:hAnsi="Wingdings" w:hint="default"/>
      </w:rPr>
    </w:lvl>
    <w:lvl w:ilvl="3" w:tplc="801C1D5A">
      <w:start w:val="1"/>
      <w:numFmt w:val="bullet"/>
      <w:lvlText w:val=""/>
      <w:lvlJc w:val="left"/>
      <w:pPr>
        <w:ind w:left="2880" w:hanging="360"/>
      </w:pPr>
      <w:rPr>
        <w:rFonts w:ascii="Symbol" w:hAnsi="Symbol" w:hint="default"/>
      </w:rPr>
    </w:lvl>
    <w:lvl w:ilvl="4" w:tplc="6BC25746">
      <w:start w:val="1"/>
      <w:numFmt w:val="bullet"/>
      <w:lvlText w:val="o"/>
      <w:lvlJc w:val="left"/>
      <w:pPr>
        <w:ind w:left="3600" w:hanging="360"/>
      </w:pPr>
      <w:rPr>
        <w:rFonts w:ascii="Courier New" w:hAnsi="Courier New" w:hint="default"/>
      </w:rPr>
    </w:lvl>
    <w:lvl w:ilvl="5" w:tplc="8A56A04E">
      <w:start w:val="1"/>
      <w:numFmt w:val="bullet"/>
      <w:lvlText w:val=""/>
      <w:lvlJc w:val="left"/>
      <w:pPr>
        <w:ind w:left="4320" w:hanging="360"/>
      </w:pPr>
      <w:rPr>
        <w:rFonts w:ascii="Wingdings" w:hAnsi="Wingdings" w:hint="default"/>
      </w:rPr>
    </w:lvl>
    <w:lvl w:ilvl="6" w:tplc="3DDEBCF0">
      <w:start w:val="1"/>
      <w:numFmt w:val="bullet"/>
      <w:lvlText w:val=""/>
      <w:lvlJc w:val="left"/>
      <w:pPr>
        <w:ind w:left="5040" w:hanging="360"/>
      </w:pPr>
      <w:rPr>
        <w:rFonts w:ascii="Symbol" w:hAnsi="Symbol" w:hint="default"/>
      </w:rPr>
    </w:lvl>
    <w:lvl w:ilvl="7" w:tplc="FE56E66E">
      <w:start w:val="1"/>
      <w:numFmt w:val="bullet"/>
      <w:lvlText w:val="o"/>
      <w:lvlJc w:val="left"/>
      <w:pPr>
        <w:ind w:left="5760" w:hanging="360"/>
      </w:pPr>
      <w:rPr>
        <w:rFonts w:ascii="Courier New" w:hAnsi="Courier New" w:hint="default"/>
      </w:rPr>
    </w:lvl>
    <w:lvl w:ilvl="8" w:tplc="9FDC2C54">
      <w:start w:val="1"/>
      <w:numFmt w:val="bullet"/>
      <w:lvlText w:val=""/>
      <w:lvlJc w:val="left"/>
      <w:pPr>
        <w:ind w:left="6480" w:hanging="360"/>
      </w:pPr>
      <w:rPr>
        <w:rFonts w:ascii="Wingdings" w:hAnsi="Wingdings" w:hint="default"/>
      </w:rPr>
    </w:lvl>
  </w:abstractNum>
  <w:abstractNum w:abstractNumId="8" w15:restartNumberingAfterBreak="0">
    <w:nsid w:val="3D7E3F62"/>
    <w:multiLevelType w:val="hybridMultilevel"/>
    <w:tmpl w:val="B2201CAE"/>
    <w:lvl w:ilvl="0" w:tplc="ABDA35AA">
      <w:start w:val="1"/>
      <w:numFmt w:val="bullet"/>
      <w:lvlText w:val=""/>
      <w:lvlJc w:val="left"/>
      <w:pPr>
        <w:ind w:left="720" w:hanging="360"/>
      </w:pPr>
      <w:rPr>
        <w:rFonts w:ascii="Symbol" w:hAnsi="Symbol" w:hint="default"/>
      </w:rPr>
    </w:lvl>
    <w:lvl w:ilvl="1" w:tplc="1FF6923E">
      <w:start w:val="1"/>
      <w:numFmt w:val="bullet"/>
      <w:lvlText w:val="o"/>
      <w:lvlJc w:val="left"/>
      <w:pPr>
        <w:ind w:left="1440" w:hanging="360"/>
      </w:pPr>
      <w:rPr>
        <w:rFonts w:ascii="Courier New" w:hAnsi="Courier New" w:hint="default"/>
      </w:rPr>
    </w:lvl>
    <w:lvl w:ilvl="2" w:tplc="F384D7D0">
      <w:start w:val="1"/>
      <w:numFmt w:val="bullet"/>
      <w:lvlText w:val=""/>
      <w:lvlJc w:val="left"/>
      <w:pPr>
        <w:ind w:left="2160" w:hanging="360"/>
      </w:pPr>
      <w:rPr>
        <w:rFonts w:ascii="Wingdings" w:hAnsi="Wingdings" w:hint="default"/>
      </w:rPr>
    </w:lvl>
    <w:lvl w:ilvl="3" w:tplc="C7546CE2">
      <w:start w:val="1"/>
      <w:numFmt w:val="bullet"/>
      <w:lvlText w:val=""/>
      <w:lvlJc w:val="left"/>
      <w:pPr>
        <w:ind w:left="2880" w:hanging="360"/>
      </w:pPr>
      <w:rPr>
        <w:rFonts w:ascii="Symbol" w:hAnsi="Symbol" w:hint="default"/>
      </w:rPr>
    </w:lvl>
    <w:lvl w:ilvl="4" w:tplc="9202BC5C">
      <w:start w:val="1"/>
      <w:numFmt w:val="bullet"/>
      <w:lvlText w:val="o"/>
      <w:lvlJc w:val="left"/>
      <w:pPr>
        <w:ind w:left="3600" w:hanging="360"/>
      </w:pPr>
      <w:rPr>
        <w:rFonts w:ascii="Courier New" w:hAnsi="Courier New" w:hint="default"/>
      </w:rPr>
    </w:lvl>
    <w:lvl w:ilvl="5" w:tplc="A0AC8F08">
      <w:start w:val="1"/>
      <w:numFmt w:val="bullet"/>
      <w:lvlText w:val=""/>
      <w:lvlJc w:val="left"/>
      <w:pPr>
        <w:ind w:left="4320" w:hanging="360"/>
      </w:pPr>
      <w:rPr>
        <w:rFonts w:ascii="Wingdings" w:hAnsi="Wingdings" w:hint="default"/>
      </w:rPr>
    </w:lvl>
    <w:lvl w:ilvl="6" w:tplc="98A4330A">
      <w:start w:val="1"/>
      <w:numFmt w:val="bullet"/>
      <w:lvlText w:val=""/>
      <w:lvlJc w:val="left"/>
      <w:pPr>
        <w:ind w:left="5040" w:hanging="360"/>
      </w:pPr>
      <w:rPr>
        <w:rFonts w:ascii="Symbol" w:hAnsi="Symbol" w:hint="default"/>
      </w:rPr>
    </w:lvl>
    <w:lvl w:ilvl="7" w:tplc="9716A92E">
      <w:start w:val="1"/>
      <w:numFmt w:val="bullet"/>
      <w:lvlText w:val="o"/>
      <w:lvlJc w:val="left"/>
      <w:pPr>
        <w:ind w:left="5760" w:hanging="360"/>
      </w:pPr>
      <w:rPr>
        <w:rFonts w:ascii="Courier New" w:hAnsi="Courier New" w:hint="default"/>
      </w:rPr>
    </w:lvl>
    <w:lvl w:ilvl="8" w:tplc="FDA6642E">
      <w:start w:val="1"/>
      <w:numFmt w:val="bullet"/>
      <w:lvlText w:val=""/>
      <w:lvlJc w:val="left"/>
      <w:pPr>
        <w:ind w:left="6480" w:hanging="360"/>
      </w:pPr>
      <w:rPr>
        <w:rFonts w:ascii="Wingdings" w:hAnsi="Wingdings" w:hint="default"/>
      </w:rPr>
    </w:lvl>
  </w:abstractNum>
  <w:abstractNum w:abstractNumId="9" w15:restartNumberingAfterBreak="0">
    <w:nsid w:val="3DF46C13"/>
    <w:multiLevelType w:val="hybridMultilevel"/>
    <w:tmpl w:val="EB72FA5C"/>
    <w:lvl w:ilvl="0" w:tplc="36606A8C">
      <w:start w:val="1"/>
      <w:numFmt w:val="bullet"/>
      <w:lvlText w:val=""/>
      <w:lvlJc w:val="left"/>
      <w:pPr>
        <w:ind w:left="720" w:hanging="360"/>
      </w:pPr>
      <w:rPr>
        <w:rFonts w:ascii="Symbol" w:hAnsi="Symbol" w:hint="default"/>
      </w:rPr>
    </w:lvl>
    <w:lvl w:ilvl="1" w:tplc="05C6D5EC">
      <w:start w:val="1"/>
      <w:numFmt w:val="bullet"/>
      <w:lvlText w:val="o"/>
      <w:lvlJc w:val="left"/>
      <w:pPr>
        <w:ind w:left="1440" w:hanging="360"/>
      </w:pPr>
      <w:rPr>
        <w:rFonts w:ascii="Courier New" w:hAnsi="Courier New" w:hint="default"/>
      </w:rPr>
    </w:lvl>
    <w:lvl w:ilvl="2" w:tplc="3A146E80">
      <w:start w:val="1"/>
      <w:numFmt w:val="bullet"/>
      <w:lvlText w:val=""/>
      <w:lvlJc w:val="left"/>
      <w:pPr>
        <w:ind w:left="2160" w:hanging="360"/>
      </w:pPr>
      <w:rPr>
        <w:rFonts w:ascii="Wingdings" w:hAnsi="Wingdings" w:hint="default"/>
      </w:rPr>
    </w:lvl>
    <w:lvl w:ilvl="3" w:tplc="9064C6E0">
      <w:start w:val="1"/>
      <w:numFmt w:val="bullet"/>
      <w:lvlText w:val=""/>
      <w:lvlJc w:val="left"/>
      <w:pPr>
        <w:ind w:left="2880" w:hanging="360"/>
      </w:pPr>
      <w:rPr>
        <w:rFonts w:ascii="Symbol" w:hAnsi="Symbol" w:hint="default"/>
      </w:rPr>
    </w:lvl>
    <w:lvl w:ilvl="4" w:tplc="1318F41A">
      <w:start w:val="1"/>
      <w:numFmt w:val="bullet"/>
      <w:lvlText w:val="o"/>
      <w:lvlJc w:val="left"/>
      <w:pPr>
        <w:ind w:left="3600" w:hanging="360"/>
      </w:pPr>
      <w:rPr>
        <w:rFonts w:ascii="Courier New" w:hAnsi="Courier New" w:hint="default"/>
      </w:rPr>
    </w:lvl>
    <w:lvl w:ilvl="5" w:tplc="0B1A5644">
      <w:start w:val="1"/>
      <w:numFmt w:val="bullet"/>
      <w:lvlText w:val=""/>
      <w:lvlJc w:val="left"/>
      <w:pPr>
        <w:ind w:left="4320" w:hanging="360"/>
      </w:pPr>
      <w:rPr>
        <w:rFonts w:ascii="Wingdings" w:hAnsi="Wingdings" w:hint="default"/>
      </w:rPr>
    </w:lvl>
    <w:lvl w:ilvl="6" w:tplc="0818F9A4">
      <w:start w:val="1"/>
      <w:numFmt w:val="bullet"/>
      <w:lvlText w:val=""/>
      <w:lvlJc w:val="left"/>
      <w:pPr>
        <w:ind w:left="5040" w:hanging="360"/>
      </w:pPr>
      <w:rPr>
        <w:rFonts w:ascii="Symbol" w:hAnsi="Symbol" w:hint="default"/>
      </w:rPr>
    </w:lvl>
    <w:lvl w:ilvl="7" w:tplc="900226DC">
      <w:start w:val="1"/>
      <w:numFmt w:val="bullet"/>
      <w:lvlText w:val="o"/>
      <w:lvlJc w:val="left"/>
      <w:pPr>
        <w:ind w:left="5760" w:hanging="360"/>
      </w:pPr>
      <w:rPr>
        <w:rFonts w:ascii="Courier New" w:hAnsi="Courier New" w:hint="default"/>
      </w:rPr>
    </w:lvl>
    <w:lvl w:ilvl="8" w:tplc="2154ED84">
      <w:start w:val="1"/>
      <w:numFmt w:val="bullet"/>
      <w:lvlText w:val=""/>
      <w:lvlJc w:val="left"/>
      <w:pPr>
        <w:ind w:left="6480" w:hanging="360"/>
      </w:pPr>
      <w:rPr>
        <w:rFonts w:ascii="Wingdings" w:hAnsi="Wingdings" w:hint="default"/>
      </w:rPr>
    </w:lvl>
  </w:abstractNum>
  <w:abstractNum w:abstractNumId="10" w15:restartNumberingAfterBreak="0">
    <w:nsid w:val="432E7A76"/>
    <w:multiLevelType w:val="hybridMultilevel"/>
    <w:tmpl w:val="FB882A1C"/>
    <w:lvl w:ilvl="0" w:tplc="57105B4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1221F2"/>
    <w:multiLevelType w:val="hybridMultilevel"/>
    <w:tmpl w:val="17D00C32"/>
    <w:lvl w:ilvl="0" w:tplc="2B48D016">
      <w:numFmt w:val="bullet"/>
      <w:lvlText w:val="•"/>
      <w:lvlJc w:val="left"/>
      <w:pPr>
        <w:ind w:left="144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315650"/>
    <w:multiLevelType w:val="hybridMultilevel"/>
    <w:tmpl w:val="0E9E1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2D0FA3"/>
    <w:multiLevelType w:val="hybridMultilevel"/>
    <w:tmpl w:val="481E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041CA"/>
    <w:multiLevelType w:val="hybridMultilevel"/>
    <w:tmpl w:val="3184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23640"/>
    <w:multiLevelType w:val="hybridMultilevel"/>
    <w:tmpl w:val="DA6E666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68711C"/>
    <w:multiLevelType w:val="hybridMultilevel"/>
    <w:tmpl w:val="31B668D8"/>
    <w:lvl w:ilvl="0" w:tplc="BFBE62E4">
      <w:start w:val="1"/>
      <w:numFmt w:val="bullet"/>
      <w:lvlText w:val=""/>
      <w:lvlJc w:val="left"/>
      <w:pPr>
        <w:ind w:left="720" w:hanging="360"/>
      </w:pPr>
      <w:rPr>
        <w:rFonts w:ascii="Symbol" w:hAnsi="Symbol" w:hint="default"/>
      </w:rPr>
    </w:lvl>
    <w:lvl w:ilvl="1" w:tplc="521C5D64">
      <w:start w:val="1"/>
      <w:numFmt w:val="bullet"/>
      <w:lvlText w:val="o"/>
      <w:lvlJc w:val="left"/>
      <w:pPr>
        <w:ind w:left="1440" w:hanging="360"/>
      </w:pPr>
      <w:rPr>
        <w:rFonts w:ascii="Courier New" w:hAnsi="Courier New" w:hint="default"/>
      </w:rPr>
    </w:lvl>
    <w:lvl w:ilvl="2" w:tplc="5296BE68">
      <w:start w:val="1"/>
      <w:numFmt w:val="bullet"/>
      <w:lvlText w:val=""/>
      <w:lvlJc w:val="left"/>
      <w:pPr>
        <w:ind w:left="2160" w:hanging="360"/>
      </w:pPr>
      <w:rPr>
        <w:rFonts w:ascii="Wingdings" w:hAnsi="Wingdings" w:hint="default"/>
      </w:rPr>
    </w:lvl>
    <w:lvl w:ilvl="3" w:tplc="459CFDB2">
      <w:start w:val="1"/>
      <w:numFmt w:val="bullet"/>
      <w:lvlText w:val=""/>
      <w:lvlJc w:val="left"/>
      <w:pPr>
        <w:ind w:left="2880" w:hanging="360"/>
      </w:pPr>
      <w:rPr>
        <w:rFonts w:ascii="Symbol" w:hAnsi="Symbol" w:hint="default"/>
      </w:rPr>
    </w:lvl>
    <w:lvl w:ilvl="4" w:tplc="5C78061E">
      <w:start w:val="1"/>
      <w:numFmt w:val="bullet"/>
      <w:lvlText w:val="o"/>
      <w:lvlJc w:val="left"/>
      <w:pPr>
        <w:ind w:left="3600" w:hanging="360"/>
      </w:pPr>
      <w:rPr>
        <w:rFonts w:ascii="Courier New" w:hAnsi="Courier New" w:hint="default"/>
      </w:rPr>
    </w:lvl>
    <w:lvl w:ilvl="5" w:tplc="09AE952A">
      <w:start w:val="1"/>
      <w:numFmt w:val="bullet"/>
      <w:lvlText w:val=""/>
      <w:lvlJc w:val="left"/>
      <w:pPr>
        <w:ind w:left="4320" w:hanging="360"/>
      </w:pPr>
      <w:rPr>
        <w:rFonts w:ascii="Wingdings" w:hAnsi="Wingdings" w:hint="default"/>
      </w:rPr>
    </w:lvl>
    <w:lvl w:ilvl="6" w:tplc="D696E7CA">
      <w:start w:val="1"/>
      <w:numFmt w:val="bullet"/>
      <w:lvlText w:val=""/>
      <w:lvlJc w:val="left"/>
      <w:pPr>
        <w:ind w:left="5040" w:hanging="360"/>
      </w:pPr>
      <w:rPr>
        <w:rFonts w:ascii="Symbol" w:hAnsi="Symbol" w:hint="default"/>
      </w:rPr>
    </w:lvl>
    <w:lvl w:ilvl="7" w:tplc="C63ECC22">
      <w:start w:val="1"/>
      <w:numFmt w:val="bullet"/>
      <w:lvlText w:val="o"/>
      <w:lvlJc w:val="left"/>
      <w:pPr>
        <w:ind w:left="5760" w:hanging="360"/>
      </w:pPr>
      <w:rPr>
        <w:rFonts w:ascii="Courier New" w:hAnsi="Courier New" w:hint="default"/>
      </w:rPr>
    </w:lvl>
    <w:lvl w:ilvl="8" w:tplc="B604385C">
      <w:start w:val="1"/>
      <w:numFmt w:val="bullet"/>
      <w:lvlText w:val=""/>
      <w:lvlJc w:val="left"/>
      <w:pPr>
        <w:ind w:left="6480" w:hanging="360"/>
      </w:pPr>
      <w:rPr>
        <w:rFonts w:ascii="Wingdings" w:hAnsi="Wingdings" w:hint="default"/>
      </w:rPr>
    </w:lvl>
  </w:abstractNum>
  <w:abstractNum w:abstractNumId="17" w15:restartNumberingAfterBreak="0">
    <w:nsid w:val="752E4251"/>
    <w:multiLevelType w:val="hybridMultilevel"/>
    <w:tmpl w:val="2ABCCE28"/>
    <w:lvl w:ilvl="0" w:tplc="2B48D016">
      <w:numFmt w:val="bullet"/>
      <w:lvlText w:val="•"/>
      <w:lvlJc w:val="left"/>
      <w:pPr>
        <w:ind w:left="1512" w:hanging="72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9534094"/>
    <w:multiLevelType w:val="multilevel"/>
    <w:tmpl w:val="DC7881A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8"/>
  </w:num>
  <w:num w:numId="4">
    <w:abstractNumId w:val="10"/>
  </w:num>
  <w:num w:numId="5">
    <w:abstractNumId w:val="8"/>
  </w:num>
  <w:num w:numId="6">
    <w:abstractNumId w:val="6"/>
  </w:num>
  <w:num w:numId="7">
    <w:abstractNumId w:val="15"/>
  </w:num>
  <w:num w:numId="8">
    <w:abstractNumId w:val="12"/>
  </w:num>
  <w:num w:numId="9">
    <w:abstractNumId w:val="3"/>
  </w:num>
  <w:num w:numId="10">
    <w:abstractNumId w:val="16"/>
  </w:num>
  <w:num w:numId="11">
    <w:abstractNumId w:val="7"/>
  </w:num>
  <w:num w:numId="12">
    <w:abstractNumId w:val="4"/>
  </w:num>
  <w:num w:numId="13">
    <w:abstractNumId w:val="9"/>
  </w:num>
  <w:num w:numId="14">
    <w:abstractNumId w:val="1"/>
  </w:num>
  <w:num w:numId="15">
    <w:abstractNumId w:val="14"/>
  </w:num>
  <w:num w:numId="16">
    <w:abstractNumId w:val="13"/>
  </w:num>
  <w:num w:numId="17">
    <w:abstractNumId w:val="17"/>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5C"/>
    <w:rsid w:val="00001164"/>
    <w:rsid w:val="00005BA7"/>
    <w:rsid w:val="00012648"/>
    <w:rsid w:val="00021661"/>
    <w:rsid w:val="00053F70"/>
    <w:rsid w:val="00056E2D"/>
    <w:rsid w:val="00057CFB"/>
    <w:rsid w:val="000739A5"/>
    <w:rsid w:val="0007465F"/>
    <w:rsid w:val="0007573E"/>
    <w:rsid w:val="00083935"/>
    <w:rsid w:val="00086E76"/>
    <w:rsid w:val="000A05A3"/>
    <w:rsid w:val="000A3D6F"/>
    <w:rsid w:val="000A5832"/>
    <w:rsid w:val="000B4310"/>
    <w:rsid w:val="000B6958"/>
    <w:rsid w:val="000C2432"/>
    <w:rsid w:val="000C378A"/>
    <w:rsid w:val="000D192E"/>
    <w:rsid w:val="000E0BA1"/>
    <w:rsid w:val="000E1CF2"/>
    <w:rsid w:val="000E290B"/>
    <w:rsid w:val="000E32B1"/>
    <w:rsid w:val="000E3B4A"/>
    <w:rsid w:val="000E6D55"/>
    <w:rsid w:val="000F5960"/>
    <w:rsid w:val="001019DC"/>
    <w:rsid w:val="001159C5"/>
    <w:rsid w:val="00116A27"/>
    <w:rsid w:val="00120E38"/>
    <w:rsid w:val="001214A9"/>
    <w:rsid w:val="00127178"/>
    <w:rsid w:val="00133EFF"/>
    <w:rsid w:val="001375F2"/>
    <w:rsid w:val="00143822"/>
    <w:rsid w:val="00152BE4"/>
    <w:rsid w:val="00165238"/>
    <w:rsid w:val="0016797C"/>
    <w:rsid w:val="00180110"/>
    <w:rsid w:val="001844E7"/>
    <w:rsid w:val="001A3C0C"/>
    <w:rsid w:val="001B02C0"/>
    <w:rsid w:val="001B744A"/>
    <w:rsid w:val="001C400B"/>
    <w:rsid w:val="001D48DD"/>
    <w:rsid w:val="001E4B7C"/>
    <w:rsid w:val="001E78D2"/>
    <w:rsid w:val="001F0AE4"/>
    <w:rsid w:val="001F2788"/>
    <w:rsid w:val="001F4899"/>
    <w:rsid w:val="001F55DF"/>
    <w:rsid w:val="00200421"/>
    <w:rsid w:val="00203DAF"/>
    <w:rsid w:val="00206709"/>
    <w:rsid w:val="00206864"/>
    <w:rsid w:val="0022577E"/>
    <w:rsid w:val="00243747"/>
    <w:rsid w:val="00251FA5"/>
    <w:rsid w:val="002552D5"/>
    <w:rsid w:val="002679EF"/>
    <w:rsid w:val="00275583"/>
    <w:rsid w:val="00290414"/>
    <w:rsid w:val="002A125A"/>
    <w:rsid w:val="002A7C2D"/>
    <w:rsid w:val="002B094B"/>
    <w:rsid w:val="002C66D2"/>
    <w:rsid w:val="002F2C6E"/>
    <w:rsid w:val="003073FF"/>
    <w:rsid w:val="00320FDD"/>
    <w:rsid w:val="003358DC"/>
    <w:rsid w:val="0033741F"/>
    <w:rsid w:val="00346599"/>
    <w:rsid w:val="00346F6B"/>
    <w:rsid w:val="0036485C"/>
    <w:rsid w:val="00396E1F"/>
    <w:rsid w:val="0039793F"/>
    <w:rsid w:val="003A36E7"/>
    <w:rsid w:val="003A4343"/>
    <w:rsid w:val="003B4E4A"/>
    <w:rsid w:val="003B642C"/>
    <w:rsid w:val="003C01EB"/>
    <w:rsid w:val="003C06C6"/>
    <w:rsid w:val="003C406E"/>
    <w:rsid w:val="003E40FC"/>
    <w:rsid w:val="003F43B6"/>
    <w:rsid w:val="00405C85"/>
    <w:rsid w:val="004133C6"/>
    <w:rsid w:val="00424A51"/>
    <w:rsid w:val="00443FAE"/>
    <w:rsid w:val="0046661F"/>
    <w:rsid w:val="00472977"/>
    <w:rsid w:val="004A11E9"/>
    <w:rsid w:val="004B32D3"/>
    <w:rsid w:val="004C09B5"/>
    <w:rsid w:val="0050382D"/>
    <w:rsid w:val="005142A3"/>
    <w:rsid w:val="00522A8D"/>
    <w:rsid w:val="00531594"/>
    <w:rsid w:val="005518EE"/>
    <w:rsid w:val="00553EB9"/>
    <w:rsid w:val="005609B2"/>
    <w:rsid w:val="00566616"/>
    <w:rsid w:val="00572CC7"/>
    <w:rsid w:val="005748BA"/>
    <w:rsid w:val="005767F6"/>
    <w:rsid w:val="00590E73"/>
    <w:rsid w:val="00591529"/>
    <w:rsid w:val="00592514"/>
    <w:rsid w:val="0059510B"/>
    <w:rsid w:val="005A61A7"/>
    <w:rsid w:val="005A7C72"/>
    <w:rsid w:val="005C04F5"/>
    <w:rsid w:val="005C7024"/>
    <w:rsid w:val="005D5690"/>
    <w:rsid w:val="005D5BA5"/>
    <w:rsid w:val="005E61FD"/>
    <w:rsid w:val="005F3CCD"/>
    <w:rsid w:val="005F7B23"/>
    <w:rsid w:val="00604648"/>
    <w:rsid w:val="00605497"/>
    <w:rsid w:val="006068D4"/>
    <w:rsid w:val="0061013F"/>
    <w:rsid w:val="00612ECF"/>
    <w:rsid w:val="00626B79"/>
    <w:rsid w:val="00631045"/>
    <w:rsid w:val="00633E1A"/>
    <w:rsid w:val="00635EFE"/>
    <w:rsid w:val="00643A39"/>
    <w:rsid w:val="00653BBA"/>
    <w:rsid w:val="0065615C"/>
    <w:rsid w:val="006601F1"/>
    <w:rsid w:val="006676E0"/>
    <w:rsid w:val="00680B41"/>
    <w:rsid w:val="00694987"/>
    <w:rsid w:val="006B2738"/>
    <w:rsid w:val="006B2FA7"/>
    <w:rsid w:val="006C30D6"/>
    <w:rsid w:val="006D6245"/>
    <w:rsid w:val="006D73E5"/>
    <w:rsid w:val="00713A08"/>
    <w:rsid w:val="00716CF0"/>
    <w:rsid w:val="00736652"/>
    <w:rsid w:val="007474AC"/>
    <w:rsid w:val="007601C2"/>
    <w:rsid w:val="0076089F"/>
    <w:rsid w:val="00770EBA"/>
    <w:rsid w:val="0078693B"/>
    <w:rsid w:val="00786F7B"/>
    <w:rsid w:val="007B1F52"/>
    <w:rsid w:val="007B3686"/>
    <w:rsid w:val="007C1702"/>
    <w:rsid w:val="007D7ABA"/>
    <w:rsid w:val="007E6921"/>
    <w:rsid w:val="007F3163"/>
    <w:rsid w:val="007F3A05"/>
    <w:rsid w:val="008138D4"/>
    <w:rsid w:val="008148B1"/>
    <w:rsid w:val="00820E0C"/>
    <w:rsid w:val="008213A0"/>
    <w:rsid w:val="00823EE0"/>
    <w:rsid w:val="008305FB"/>
    <w:rsid w:val="00834810"/>
    <w:rsid w:val="00845087"/>
    <w:rsid w:val="00851607"/>
    <w:rsid w:val="00867D16"/>
    <w:rsid w:val="0087146A"/>
    <w:rsid w:val="008718E9"/>
    <w:rsid w:val="008743EA"/>
    <w:rsid w:val="0089157B"/>
    <w:rsid w:val="008B77B1"/>
    <w:rsid w:val="008C1010"/>
    <w:rsid w:val="008C1538"/>
    <w:rsid w:val="008C7F98"/>
    <w:rsid w:val="008D0CCB"/>
    <w:rsid w:val="008D2FA0"/>
    <w:rsid w:val="008E45EB"/>
    <w:rsid w:val="00905D0D"/>
    <w:rsid w:val="0091107B"/>
    <w:rsid w:val="0091498F"/>
    <w:rsid w:val="0092625F"/>
    <w:rsid w:val="0095667F"/>
    <w:rsid w:val="009566CC"/>
    <w:rsid w:val="00956F62"/>
    <w:rsid w:val="00983501"/>
    <w:rsid w:val="0098597B"/>
    <w:rsid w:val="009914E8"/>
    <w:rsid w:val="0099482E"/>
    <w:rsid w:val="00995AF0"/>
    <w:rsid w:val="00996AAC"/>
    <w:rsid w:val="009B1635"/>
    <w:rsid w:val="009B7209"/>
    <w:rsid w:val="009D2EC9"/>
    <w:rsid w:val="009E39A9"/>
    <w:rsid w:val="00A07272"/>
    <w:rsid w:val="00A1704B"/>
    <w:rsid w:val="00A2169D"/>
    <w:rsid w:val="00A31474"/>
    <w:rsid w:val="00A3459A"/>
    <w:rsid w:val="00A35248"/>
    <w:rsid w:val="00A35535"/>
    <w:rsid w:val="00A35921"/>
    <w:rsid w:val="00A40AEF"/>
    <w:rsid w:val="00A45F74"/>
    <w:rsid w:val="00A632DD"/>
    <w:rsid w:val="00A646AA"/>
    <w:rsid w:val="00A727EF"/>
    <w:rsid w:val="00A72C3B"/>
    <w:rsid w:val="00A75923"/>
    <w:rsid w:val="00AA1617"/>
    <w:rsid w:val="00AB31CB"/>
    <w:rsid w:val="00AD07D8"/>
    <w:rsid w:val="00AD36ED"/>
    <w:rsid w:val="00AF2266"/>
    <w:rsid w:val="00AF342A"/>
    <w:rsid w:val="00B1235A"/>
    <w:rsid w:val="00B24F25"/>
    <w:rsid w:val="00B3454E"/>
    <w:rsid w:val="00B35AAF"/>
    <w:rsid w:val="00B50849"/>
    <w:rsid w:val="00B50B98"/>
    <w:rsid w:val="00B5544D"/>
    <w:rsid w:val="00B62612"/>
    <w:rsid w:val="00B63E90"/>
    <w:rsid w:val="00B73039"/>
    <w:rsid w:val="00B8166C"/>
    <w:rsid w:val="00B824D0"/>
    <w:rsid w:val="00B935A8"/>
    <w:rsid w:val="00B9642A"/>
    <w:rsid w:val="00BA269F"/>
    <w:rsid w:val="00BB01D2"/>
    <w:rsid w:val="00BB28C7"/>
    <w:rsid w:val="00BC443C"/>
    <w:rsid w:val="00BC76C4"/>
    <w:rsid w:val="00BC7700"/>
    <w:rsid w:val="00BD484F"/>
    <w:rsid w:val="00BE17E7"/>
    <w:rsid w:val="00C02785"/>
    <w:rsid w:val="00C05ABE"/>
    <w:rsid w:val="00C3334A"/>
    <w:rsid w:val="00C336E2"/>
    <w:rsid w:val="00C379EF"/>
    <w:rsid w:val="00C5710C"/>
    <w:rsid w:val="00C91500"/>
    <w:rsid w:val="00C95252"/>
    <w:rsid w:val="00CB4020"/>
    <w:rsid w:val="00CD5706"/>
    <w:rsid w:val="00CE64B0"/>
    <w:rsid w:val="00D11999"/>
    <w:rsid w:val="00D20DA1"/>
    <w:rsid w:val="00D25259"/>
    <w:rsid w:val="00D43E16"/>
    <w:rsid w:val="00D43ECE"/>
    <w:rsid w:val="00D5071F"/>
    <w:rsid w:val="00D52226"/>
    <w:rsid w:val="00D609E2"/>
    <w:rsid w:val="00D62A20"/>
    <w:rsid w:val="00D64F24"/>
    <w:rsid w:val="00D74F40"/>
    <w:rsid w:val="00DC23AB"/>
    <w:rsid w:val="00DC2D69"/>
    <w:rsid w:val="00DD4302"/>
    <w:rsid w:val="00DD6926"/>
    <w:rsid w:val="00DE1226"/>
    <w:rsid w:val="00DE329F"/>
    <w:rsid w:val="00DE6FDF"/>
    <w:rsid w:val="00DF0679"/>
    <w:rsid w:val="00DF5932"/>
    <w:rsid w:val="00E1631B"/>
    <w:rsid w:val="00E3608F"/>
    <w:rsid w:val="00E37883"/>
    <w:rsid w:val="00E554B0"/>
    <w:rsid w:val="00E72626"/>
    <w:rsid w:val="00E8168B"/>
    <w:rsid w:val="00E87F70"/>
    <w:rsid w:val="00E96744"/>
    <w:rsid w:val="00EA2433"/>
    <w:rsid w:val="00EA2992"/>
    <w:rsid w:val="00EA68FF"/>
    <w:rsid w:val="00EC5762"/>
    <w:rsid w:val="00ED4497"/>
    <w:rsid w:val="00EE1AB5"/>
    <w:rsid w:val="00EF09F2"/>
    <w:rsid w:val="00EF436F"/>
    <w:rsid w:val="00F037B5"/>
    <w:rsid w:val="00F27FE2"/>
    <w:rsid w:val="00F44A9A"/>
    <w:rsid w:val="00F56BFE"/>
    <w:rsid w:val="00F60625"/>
    <w:rsid w:val="00F6642E"/>
    <w:rsid w:val="00F71E37"/>
    <w:rsid w:val="00F74DBF"/>
    <w:rsid w:val="00FB31D4"/>
    <w:rsid w:val="00FC6987"/>
    <w:rsid w:val="00FF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2C5E"/>
  <w15:chartTrackingRefBased/>
  <w15:docId w15:val="{66E41A18-16B3-40D0-8B01-B72B4BA5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5A3"/>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485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485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485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485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485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485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485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485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5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48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485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485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485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485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485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48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485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20FDD"/>
    <w:pPr>
      <w:ind w:left="720"/>
      <w:contextualSpacing/>
    </w:pPr>
  </w:style>
  <w:style w:type="character" w:styleId="Hyperlink">
    <w:name w:val="Hyperlink"/>
    <w:basedOn w:val="DefaultParagraphFont"/>
    <w:uiPriority w:val="99"/>
    <w:semiHidden/>
    <w:unhideWhenUsed/>
    <w:rsid w:val="00320FDD"/>
    <w:rPr>
      <w:color w:val="0000FF"/>
      <w:u w:val="single"/>
    </w:rPr>
  </w:style>
  <w:style w:type="table" w:styleId="TableGrid">
    <w:name w:val="Table Grid"/>
    <w:basedOn w:val="TableNormal"/>
    <w:uiPriority w:val="59"/>
    <w:rsid w:val="001F55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E290B"/>
    <w:rPr>
      <w:sz w:val="16"/>
      <w:szCs w:val="16"/>
    </w:rPr>
  </w:style>
  <w:style w:type="paragraph" w:styleId="CommentText">
    <w:name w:val="annotation text"/>
    <w:basedOn w:val="Normal"/>
    <w:link w:val="CommentTextChar"/>
    <w:uiPriority w:val="99"/>
    <w:semiHidden/>
    <w:unhideWhenUsed/>
    <w:rsid w:val="000E290B"/>
    <w:pPr>
      <w:spacing w:line="240" w:lineRule="auto"/>
    </w:pPr>
    <w:rPr>
      <w:sz w:val="20"/>
      <w:szCs w:val="20"/>
    </w:rPr>
  </w:style>
  <w:style w:type="character" w:customStyle="1" w:styleId="CommentTextChar">
    <w:name w:val="Comment Text Char"/>
    <w:basedOn w:val="DefaultParagraphFont"/>
    <w:link w:val="CommentText"/>
    <w:uiPriority w:val="99"/>
    <w:semiHidden/>
    <w:rsid w:val="000E290B"/>
    <w:rPr>
      <w:sz w:val="20"/>
      <w:szCs w:val="20"/>
    </w:rPr>
  </w:style>
  <w:style w:type="paragraph" w:styleId="CommentSubject">
    <w:name w:val="annotation subject"/>
    <w:basedOn w:val="CommentText"/>
    <w:next w:val="CommentText"/>
    <w:link w:val="CommentSubjectChar"/>
    <w:uiPriority w:val="99"/>
    <w:semiHidden/>
    <w:unhideWhenUsed/>
    <w:rsid w:val="000E290B"/>
    <w:rPr>
      <w:b/>
      <w:bCs/>
    </w:rPr>
  </w:style>
  <w:style w:type="character" w:customStyle="1" w:styleId="CommentSubjectChar">
    <w:name w:val="Comment Subject Char"/>
    <w:basedOn w:val="CommentTextChar"/>
    <w:link w:val="CommentSubject"/>
    <w:uiPriority w:val="99"/>
    <w:semiHidden/>
    <w:rsid w:val="000E290B"/>
    <w:rPr>
      <w:b/>
      <w:bCs/>
      <w:sz w:val="20"/>
      <w:szCs w:val="20"/>
    </w:rPr>
  </w:style>
  <w:style w:type="paragraph" w:styleId="Bibliography">
    <w:name w:val="Bibliography"/>
    <w:basedOn w:val="Normal"/>
    <w:next w:val="Normal"/>
    <w:uiPriority w:val="37"/>
    <w:unhideWhenUsed/>
    <w:rsid w:val="005767F6"/>
    <w:pPr>
      <w:tabs>
        <w:tab w:val="left" w:pos="384"/>
      </w:tabs>
      <w:spacing w:after="240" w:line="240" w:lineRule="auto"/>
      <w:ind w:left="384" w:hanging="384"/>
    </w:pPr>
  </w:style>
  <w:style w:type="paragraph" w:styleId="Revision">
    <w:name w:val="Revision"/>
    <w:hidden/>
    <w:uiPriority w:val="99"/>
    <w:semiHidden/>
    <w:rsid w:val="001B7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0"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ca7527dd311c5330d8729092deb40e7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134fc4ef0c50038e316cab0970fdcaf2"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E63F5-82EB-4B49-9827-D62A63C2393D}">
  <ds:schemaRefs>
    <ds:schemaRef ds:uri="http://schemas.microsoft.com/sharepoint/v3/contenttype/forms"/>
  </ds:schemaRefs>
</ds:datastoreItem>
</file>

<file path=customXml/itemProps2.xml><?xml version="1.0" encoding="utf-8"?>
<ds:datastoreItem xmlns:ds="http://schemas.openxmlformats.org/officeDocument/2006/customXml" ds:itemID="{A96092FE-64F7-428C-AC74-B35D5EF86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B5B48-E5AC-44F9-B200-85AD255DB6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15589</TotalTime>
  <Pages>4</Pages>
  <Words>3843</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Rasbold-Gabbard, Max (DPH)</dc:creator>
  <cp:keywords/>
  <dc:description/>
  <cp:lastModifiedBy>Rasbold-Gabbard, Max (DPH)</cp:lastModifiedBy>
  <cp:revision>277</cp:revision>
  <dcterms:created xsi:type="dcterms:W3CDTF">2021-12-02T17:18:00Z</dcterms:created>
  <dcterms:modified xsi:type="dcterms:W3CDTF">2022-01-28T16:16:00Z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id="QTzMJRES"/&gt;&lt;style id="http://www.zotero.org/styles/american-medical-association" hasBibliography="1" bibliographyStyleHasBeenSet="1"/&gt;&lt;prefs&gt;&lt;pref name="fieldType" value="Field"/&gt;&lt;/prefs&gt;&lt;/data&gt;</vt:lpwstr>
  </property>
  <property fmtid="{D5CDD505-2E9C-101B-9397-08002B2CF9AE}" pid="3" name="ContentTypeId">
    <vt:lpwstr>0x01010098D1198CE6780C4AB0DC98B27A0894E8</vt:lpwstr>
  </property>
</Properties>
</file>