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D66" w:rsidRPr="00966943" w:rsidRDefault="005D7D66" w:rsidP="005D7D66">
      <w:pPr>
        <w:jc w:val="center"/>
        <w:outlineLvl w:val="0"/>
        <w:rPr>
          <w:rFonts w:ascii="Courier New" w:hAnsi="Courier New" w:cs="Courier New"/>
          <w:b/>
        </w:rPr>
      </w:pPr>
      <w:r w:rsidRPr="00966943">
        <w:rPr>
          <w:rFonts w:ascii="Courier New" w:hAnsi="Courier New" w:cs="Courier New"/>
          <w:b/>
        </w:rPr>
        <w:t>COMMONWEALTH OF MASSACHUSETTS</w:t>
      </w:r>
    </w:p>
    <w:p w:rsidR="005D7D66" w:rsidRPr="00966943" w:rsidRDefault="005D7D66" w:rsidP="005D7D66">
      <w:pPr>
        <w:jc w:val="center"/>
        <w:outlineLvl w:val="0"/>
        <w:rPr>
          <w:rFonts w:ascii="Courier New" w:hAnsi="Courier New" w:cs="Courier New"/>
          <w:b/>
        </w:rPr>
      </w:pPr>
    </w:p>
    <w:p w:rsidR="005D7D66" w:rsidRDefault="005D7D66" w:rsidP="005D7D66">
      <w:pPr>
        <w:jc w:val="center"/>
        <w:outlineLvl w:val="0"/>
        <w:rPr>
          <w:rFonts w:ascii="Courier New" w:hAnsi="Courier New" w:cs="Courier New"/>
          <w:b/>
        </w:rPr>
      </w:pPr>
      <w:r w:rsidRPr="00966943">
        <w:rPr>
          <w:rFonts w:ascii="Courier New" w:hAnsi="Courier New" w:cs="Courier New"/>
          <w:b/>
        </w:rPr>
        <w:t>APPELLATE TAX BOARD</w:t>
      </w:r>
    </w:p>
    <w:p w:rsidR="00F370E3" w:rsidRPr="00966943" w:rsidRDefault="00F370E3" w:rsidP="005D7D66">
      <w:pPr>
        <w:jc w:val="center"/>
        <w:outlineLvl w:val="0"/>
        <w:rPr>
          <w:rFonts w:ascii="Courier New" w:hAnsi="Courier New" w:cs="Courier New"/>
          <w:b/>
        </w:rPr>
      </w:pPr>
    </w:p>
    <w:p w:rsidR="005D7D66" w:rsidRPr="00966943" w:rsidRDefault="005D7D66" w:rsidP="005D7D66">
      <w:pPr>
        <w:jc w:val="center"/>
        <w:outlineLvl w:val="0"/>
        <w:rPr>
          <w:rFonts w:ascii="Courier New" w:hAnsi="Courier New" w:cs="Courier New"/>
          <w:b/>
        </w:rPr>
      </w:pPr>
    </w:p>
    <w:p w:rsidR="005D7D66" w:rsidRPr="00966943" w:rsidRDefault="005D7D66" w:rsidP="005D7D66">
      <w:pPr>
        <w:rPr>
          <w:rFonts w:ascii="Courier New" w:hAnsi="Courier New" w:cs="Courier New"/>
          <w:b/>
        </w:rPr>
      </w:pPr>
    </w:p>
    <w:p w:rsidR="005D7D66" w:rsidRPr="00966943" w:rsidRDefault="00905F04" w:rsidP="005D7D66">
      <w:pPr>
        <w:jc w:val="both"/>
        <w:rPr>
          <w:rFonts w:ascii="Courier New" w:hAnsi="Courier New" w:cs="Courier New"/>
          <w:b/>
        </w:rPr>
      </w:pPr>
      <w:proofErr w:type="gramStart"/>
      <w:r>
        <w:rPr>
          <w:rFonts w:ascii="Courier New" w:hAnsi="Courier New" w:cs="Courier New"/>
          <w:b/>
        </w:rPr>
        <w:t>JELLE, LLC</w:t>
      </w:r>
      <w:r>
        <w:rPr>
          <w:rFonts w:ascii="Courier New" w:hAnsi="Courier New" w:cs="Courier New"/>
          <w:b/>
        </w:rPr>
        <w:tab/>
      </w:r>
      <w:r>
        <w:rPr>
          <w:rFonts w:ascii="Courier New" w:hAnsi="Courier New" w:cs="Courier New"/>
          <w:b/>
        </w:rPr>
        <w:tab/>
      </w:r>
      <w:r>
        <w:rPr>
          <w:rFonts w:ascii="Courier New" w:hAnsi="Courier New" w:cs="Courier New"/>
          <w:b/>
        </w:rPr>
        <w:tab/>
      </w:r>
      <w:r w:rsidR="005D7D66">
        <w:rPr>
          <w:rFonts w:ascii="Courier New" w:hAnsi="Courier New" w:cs="Courier New"/>
          <w:b/>
        </w:rPr>
        <w:tab/>
      </w:r>
      <w:r w:rsidR="005D7D66" w:rsidRPr="00966943">
        <w:rPr>
          <w:rFonts w:ascii="Courier New" w:hAnsi="Courier New" w:cs="Courier New"/>
          <w:b/>
        </w:rPr>
        <w:t xml:space="preserve"> </w:t>
      </w:r>
      <w:r w:rsidR="005D7D66">
        <w:rPr>
          <w:rFonts w:ascii="Courier New" w:hAnsi="Courier New" w:cs="Courier New"/>
          <w:b/>
        </w:rPr>
        <w:t xml:space="preserve"> </w:t>
      </w:r>
      <w:r w:rsidR="0022634F">
        <w:rPr>
          <w:rFonts w:ascii="Courier New" w:hAnsi="Courier New" w:cs="Courier New"/>
          <w:b/>
        </w:rPr>
        <w:t> </w:t>
      </w:r>
      <w:r w:rsidR="005D7D66" w:rsidRPr="00966943">
        <w:rPr>
          <w:rFonts w:ascii="Courier New" w:hAnsi="Courier New" w:cs="Courier New"/>
          <w:b/>
        </w:rPr>
        <w:t>v.</w:t>
      </w:r>
      <w:proofErr w:type="gramEnd"/>
      <w:r w:rsidR="005D7D66" w:rsidRPr="00966943">
        <w:rPr>
          <w:rFonts w:ascii="Courier New" w:hAnsi="Courier New" w:cs="Courier New"/>
          <w:b/>
        </w:rPr>
        <w:tab/>
      </w:r>
      <w:r w:rsidR="005D7D66">
        <w:rPr>
          <w:rFonts w:ascii="Courier New" w:hAnsi="Courier New" w:cs="Courier New"/>
          <w:b/>
        </w:rPr>
        <w:t>  </w:t>
      </w:r>
      <w:r w:rsidR="005D7D66" w:rsidRPr="00966943">
        <w:rPr>
          <w:rFonts w:ascii="Courier New" w:hAnsi="Courier New" w:cs="Courier New"/>
          <w:b/>
        </w:rPr>
        <w:t xml:space="preserve">BOARD OF ASSESSORS OF   </w:t>
      </w:r>
    </w:p>
    <w:p w:rsidR="005D7D66" w:rsidRDefault="00905F04" w:rsidP="005D7D66">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005D7D66">
        <w:rPr>
          <w:rFonts w:ascii="Courier New" w:hAnsi="Courier New" w:cs="Courier New"/>
          <w:b/>
        </w:rPr>
        <w:tab/>
        <w:t>  </w:t>
      </w:r>
      <w:r w:rsidR="00844EAB">
        <w:rPr>
          <w:rFonts w:ascii="Courier New" w:hAnsi="Courier New" w:cs="Courier New"/>
          <w:b/>
        </w:rPr>
        <w:tab/>
      </w:r>
      <w:r w:rsidR="00844EAB">
        <w:rPr>
          <w:rFonts w:ascii="Courier New" w:hAnsi="Courier New" w:cs="Courier New"/>
          <w:b/>
        </w:rPr>
        <w:tab/>
        <w:t xml:space="preserve">  </w:t>
      </w:r>
      <w:r w:rsidR="001D698E">
        <w:rPr>
          <w:rFonts w:ascii="Courier New" w:hAnsi="Courier New" w:cs="Courier New"/>
          <w:b/>
        </w:rPr>
        <w:t>THE TOWN OF WILMINGTON</w:t>
      </w:r>
    </w:p>
    <w:p w:rsidR="005D7D66" w:rsidRDefault="005D7D66" w:rsidP="005D7D66">
      <w:pPr>
        <w:jc w:val="both"/>
        <w:rPr>
          <w:rFonts w:ascii="Courier New" w:hAnsi="Courier New" w:cs="Courier New"/>
          <w:b/>
        </w:rPr>
      </w:pPr>
      <w:r w:rsidRPr="00966943">
        <w:rPr>
          <w:rFonts w:ascii="Courier New" w:hAnsi="Courier New" w:cs="Courier New"/>
          <w:b/>
        </w:rPr>
        <w:tab/>
        <w:t xml:space="preserve">         </w:t>
      </w:r>
    </w:p>
    <w:p w:rsidR="005D7D66" w:rsidRPr="00966943" w:rsidRDefault="005D7D66" w:rsidP="005D7D66">
      <w:pPr>
        <w:ind w:right="-180"/>
        <w:jc w:val="both"/>
        <w:rPr>
          <w:rFonts w:ascii="Courier New" w:hAnsi="Courier New" w:cs="Courier New"/>
        </w:rPr>
      </w:pPr>
      <w:r w:rsidRPr="00966943">
        <w:rPr>
          <w:rFonts w:ascii="Courier New" w:hAnsi="Courier New" w:cs="Courier New"/>
        </w:rPr>
        <w:t>Docket No</w:t>
      </w:r>
      <w:r>
        <w:rPr>
          <w:rFonts w:ascii="Courier New" w:hAnsi="Courier New" w:cs="Courier New"/>
        </w:rPr>
        <w:t>s.</w:t>
      </w:r>
      <w:r w:rsidR="00F6702F">
        <w:rPr>
          <w:rFonts w:ascii="Courier New" w:hAnsi="Courier New" w:cs="Courier New"/>
        </w:rPr>
        <w:t xml:space="preserve"> </w:t>
      </w:r>
      <w:bookmarkStart w:id="0" w:name="_GoBack"/>
      <w:bookmarkEnd w:id="0"/>
      <w:r w:rsidR="00A347E1">
        <w:rPr>
          <w:rFonts w:ascii="Courier New" w:hAnsi="Courier New" w:cs="Courier New"/>
        </w:rPr>
        <w:t xml:space="preserve"> F31</w:t>
      </w:r>
      <w:r w:rsidR="00905F04">
        <w:rPr>
          <w:rFonts w:ascii="Courier New" w:hAnsi="Courier New" w:cs="Courier New"/>
        </w:rPr>
        <w:t>89</w:t>
      </w:r>
      <w:r w:rsidR="00FC087A">
        <w:rPr>
          <w:rFonts w:ascii="Courier New" w:hAnsi="Courier New" w:cs="Courier New"/>
        </w:rPr>
        <w:t>6</w:t>
      </w:r>
      <w:r w:rsidR="00905F04">
        <w:rPr>
          <w:rFonts w:ascii="Courier New" w:hAnsi="Courier New" w:cs="Courier New"/>
        </w:rPr>
        <w:t>6</w:t>
      </w:r>
      <w:r w:rsidR="002120D5">
        <w:rPr>
          <w:rFonts w:ascii="Courier New" w:hAnsi="Courier New" w:cs="Courier New"/>
        </w:rPr>
        <w:t xml:space="preserve"> (</w:t>
      </w:r>
      <w:r w:rsidR="00B6683E">
        <w:rPr>
          <w:rFonts w:ascii="Courier New" w:hAnsi="Courier New" w:cs="Courier New"/>
        </w:rPr>
        <w:t xml:space="preserve">FY </w:t>
      </w:r>
      <w:r w:rsidR="002120D5">
        <w:rPr>
          <w:rFonts w:ascii="Courier New" w:hAnsi="Courier New" w:cs="Courier New"/>
        </w:rPr>
        <w:t>2</w:t>
      </w:r>
      <w:r w:rsidR="001769F3">
        <w:rPr>
          <w:rFonts w:ascii="Courier New" w:hAnsi="Courier New" w:cs="Courier New"/>
        </w:rPr>
        <w:t>01</w:t>
      </w:r>
      <w:r w:rsidR="001D698E">
        <w:rPr>
          <w:rFonts w:ascii="Courier New" w:hAnsi="Courier New" w:cs="Courier New"/>
        </w:rPr>
        <w:t>3</w:t>
      </w:r>
      <w:r w:rsidR="002120D5">
        <w:rPr>
          <w:rFonts w:ascii="Courier New" w:hAnsi="Courier New" w:cs="Courier New"/>
        </w:rPr>
        <w:t>)</w:t>
      </w:r>
      <w:r w:rsidR="001769F3">
        <w:rPr>
          <w:rFonts w:ascii="Courier New" w:hAnsi="Courier New" w:cs="Courier New"/>
        </w:rPr>
        <w:tab/>
      </w:r>
      <w:r>
        <w:rPr>
          <w:rFonts w:ascii="Courier New" w:hAnsi="Courier New" w:cs="Courier New"/>
        </w:rPr>
        <w:tab/>
      </w:r>
      <w:r w:rsidR="00FA6695">
        <w:rPr>
          <w:rFonts w:ascii="Courier New" w:hAnsi="Courier New" w:cs="Courier New"/>
        </w:rPr>
        <w:t xml:space="preserve">  P</w:t>
      </w:r>
      <w:r w:rsidRPr="00966943">
        <w:rPr>
          <w:rFonts w:ascii="Courier New" w:hAnsi="Courier New" w:cs="Courier New"/>
        </w:rPr>
        <w:t>romulgated:</w:t>
      </w:r>
    </w:p>
    <w:p w:rsidR="005D7D66" w:rsidRDefault="005D7D66" w:rsidP="005D7D66">
      <w:pPr>
        <w:ind w:right="-180"/>
        <w:jc w:val="both"/>
        <w:rPr>
          <w:rFonts w:ascii="Courier New" w:hAnsi="Courier New" w:cs="Courier New"/>
        </w:rPr>
      </w:pPr>
      <w:r w:rsidRPr="00966943">
        <w:rPr>
          <w:rFonts w:ascii="Courier New" w:hAnsi="Courier New" w:cs="Courier New"/>
        </w:rPr>
        <w:tab/>
      </w:r>
      <w:r w:rsidRPr="00966943">
        <w:rPr>
          <w:rFonts w:ascii="Courier New" w:hAnsi="Courier New" w:cs="Courier New"/>
        </w:rPr>
        <w:tab/>
      </w:r>
      <w:r>
        <w:rPr>
          <w:rFonts w:ascii="Courier New" w:hAnsi="Courier New" w:cs="Courier New"/>
        </w:rPr>
        <w:t xml:space="preserve">  </w:t>
      </w:r>
      <w:r w:rsidR="002120D5">
        <w:rPr>
          <w:rFonts w:ascii="Courier New" w:hAnsi="Courier New" w:cs="Courier New"/>
        </w:rPr>
        <w:t xml:space="preserve"> </w:t>
      </w:r>
      <w:r w:rsidR="00905F04">
        <w:rPr>
          <w:rFonts w:ascii="Courier New" w:hAnsi="Courier New" w:cs="Courier New"/>
        </w:rPr>
        <w:t>F323298</w:t>
      </w:r>
      <w:r w:rsidR="002120D5">
        <w:rPr>
          <w:rFonts w:ascii="Courier New" w:hAnsi="Courier New" w:cs="Courier New"/>
        </w:rPr>
        <w:t xml:space="preserve"> (</w:t>
      </w:r>
      <w:r w:rsidR="00B6683E">
        <w:rPr>
          <w:rFonts w:ascii="Courier New" w:hAnsi="Courier New" w:cs="Courier New"/>
        </w:rPr>
        <w:t xml:space="preserve">FY </w:t>
      </w:r>
      <w:r w:rsidR="001D698E">
        <w:rPr>
          <w:rFonts w:ascii="Courier New" w:hAnsi="Courier New" w:cs="Courier New"/>
        </w:rPr>
        <w:t>2014</w:t>
      </w:r>
      <w:r w:rsidR="002120D5">
        <w:rPr>
          <w:rFonts w:ascii="Courier New" w:hAnsi="Courier New" w:cs="Courier New"/>
        </w:rPr>
        <w:t>)</w:t>
      </w:r>
      <w:r w:rsidR="00744702">
        <w:rPr>
          <w:rFonts w:ascii="Courier New" w:hAnsi="Courier New" w:cs="Courier New"/>
        </w:rPr>
        <w:tab/>
      </w:r>
      <w:r w:rsidR="00744702">
        <w:rPr>
          <w:rFonts w:ascii="Courier New" w:hAnsi="Courier New" w:cs="Courier New"/>
        </w:rPr>
        <w:tab/>
        <w:t xml:space="preserve">  </w:t>
      </w:r>
      <w:r w:rsidR="00A04442">
        <w:rPr>
          <w:rFonts w:ascii="Courier New" w:hAnsi="Courier New" w:cs="Courier New"/>
        </w:rPr>
        <w:t>March 23, 2018</w:t>
      </w:r>
    </w:p>
    <w:p w:rsidR="001769F3" w:rsidRDefault="001769F3" w:rsidP="005D7D66">
      <w:pPr>
        <w:ind w:right="-180"/>
        <w:jc w:val="both"/>
        <w:rPr>
          <w:rFonts w:ascii="Courier New" w:hAnsi="Courier New" w:cs="Courier New"/>
        </w:rPr>
      </w:pPr>
      <w:r>
        <w:rPr>
          <w:rFonts w:ascii="Courier New" w:hAnsi="Courier New" w:cs="Courier New"/>
        </w:rPr>
        <w:t xml:space="preserve">             </w:t>
      </w:r>
    </w:p>
    <w:p w:rsidR="001769F3" w:rsidRDefault="001769F3" w:rsidP="005D7D66">
      <w:pPr>
        <w:ind w:right="-180"/>
        <w:jc w:val="both"/>
        <w:rPr>
          <w:rFonts w:ascii="Courier New" w:hAnsi="Courier New" w:cs="Courier New"/>
        </w:rPr>
      </w:pPr>
    </w:p>
    <w:p w:rsidR="005D7D66" w:rsidRPr="00966943" w:rsidRDefault="005D7D66" w:rsidP="005D7D66">
      <w:pPr>
        <w:spacing w:line="480" w:lineRule="auto"/>
        <w:jc w:val="both"/>
        <w:rPr>
          <w:rFonts w:ascii="Courier New" w:hAnsi="Courier New" w:cs="Courier New"/>
        </w:rPr>
      </w:pPr>
      <w:r w:rsidRPr="00966943">
        <w:rPr>
          <w:rFonts w:ascii="Courier New" w:hAnsi="Courier New" w:cs="Courier New"/>
        </w:rPr>
        <w:tab/>
      </w:r>
      <w:r>
        <w:rPr>
          <w:rFonts w:ascii="Courier New" w:hAnsi="Courier New" w:cs="Courier New"/>
        </w:rPr>
        <w:t>These are</w:t>
      </w:r>
      <w:r w:rsidRPr="00966943">
        <w:rPr>
          <w:rFonts w:ascii="Courier New" w:hAnsi="Courier New" w:cs="Courier New"/>
        </w:rPr>
        <w:t xml:space="preserve"> appeal</w:t>
      </w:r>
      <w:r>
        <w:rPr>
          <w:rFonts w:ascii="Courier New" w:hAnsi="Courier New" w:cs="Courier New"/>
        </w:rPr>
        <w:t>s</w:t>
      </w:r>
      <w:r w:rsidRPr="00966943">
        <w:rPr>
          <w:rFonts w:ascii="Courier New" w:hAnsi="Courier New" w:cs="Courier New"/>
        </w:rPr>
        <w:t xml:space="preserve"> filed under the formal procedure, pursuant to G.L. c. 58A, § 7 and G.L. c. 59, §§ 64 and 65, from the refusal of the Board of Assessors of the </w:t>
      </w:r>
      <w:r w:rsidR="001D698E">
        <w:rPr>
          <w:rFonts w:ascii="Courier New" w:hAnsi="Courier New" w:cs="Courier New"/>
        </w:rPr>
        <w:t>Town of Wilmington (“ap</w:t>
      </w:r>
      <w:r w:rsidRPr="00966943">
        <w:rPr>
          <w:rFonts w:ascii="Courier New" w:hAnsi="Courier New" w:cs="Courier New"/>
        </w:rPr>
        <w:t xml:space="preserve">pellee” or “assessors”) to abate taxes on certain real estate in </w:t>
      </w:r>
      <w:r>
        <w:rPr>
          <w:rFonts w:ascii="Courier New" w:hAnsi="Courier New" w:cs="Courier New"/>
        </w:rPr>
        <w:t>W</w:t>
      </w:r>
      <w:r w:rsidR="00FA6695">
        <w:rPr>
          <w:rFonts w:ascii="Courier New" w:hAnsi="Courier New" w:cs="Courier New"/>
        </w:rPr>
        <w:t>ilmington</w:t>
      </w:r>
      <w:r>
        <w:rPr>
          <w:rFonts w:ascii="Courier New" w:hAnsi="Courier New" w:cs="Courier New"/>
        </w:rPr>
        <w:t>,</w:t>
      </w:r>
      <w:r w:rsidRPr="00966943">
        <w:rPr>
          <w:rFonts w:ascii="Courier New" w:hAnsi="Courier New" w:cs="Courier New"/>
        </w:rPr>
        <w:t xml:space="preserve"> owned by and assessed to </w:t>
      </w:r>
      <w:proofErr w:type="spellStart"/>
      <w:r w:rsidR="00905F04">
        <w:rPr>
          <w:rFonts w:ascii="Courier New" w:hAnsi="Courier New" w:cs="Courier New"/>
        </w:rPr>
        <w:t>Jelle</w:t>
      </w:r>
      <w:proofErr w:type="spellEnd"/>
      <w:r w:rsidR="00905F04">
        <w:rPr>
          <w:rFonts w:ascii="Courier New" w:hAnsi="Courier New" w:cs="Courier New"/>
        </w:rPr>
        <w:t>, LLC</w:t>
      </w:r>
      <w:r w:rsidR="001D698E">
        <w:rPr>
          <w:rFonts w:ascii="Courier New" w:hAnsi="Courier New" w:cs="Courier New"/>
        </w:rPr>
        <w:t xml:space="preserve"> </w:t>
      </w:r>
      <w:r w:rsidRPr="00966943">
        <w:rPr>
          <w:rFonts w:ascii="Courier New" w:hAnsi="Courier New" w:cs="Courier New"/>
        </w:rPr>
        <w:t>(</w:t>
      </w:r>
      <w:r w:rsidR="001769F3">
        <w:rPr>
          <w:rFonts w:ascii="Courier New" w:hAnsi="Courier New" w:cs="Courier New"/>
        </w:rPr>
        <w:t>“</w:t>
      </w:r>
      <w:r w:rsidRPr="00966943">
        <w:rPr>
          <w:rFonts w:ascii="Courier New" w:hAnsi="Courier New" w:cs="Courier New"/>
        </w:rPr>
        <w:t>appellant”)</w:t>
      </w:r>
      <w:r w:rsidR="00634FF4">
        <w:rPr>
          <w:rFonts w:ascii="Courier New" w:hAnsi="Courier New" w:cs="Courier New"/>
        </w:rPr>
        <w:t>,</w:t>
      </w:r>
      <w:r w:rsidRPr="00966943">
        <w:rPr>
          <w:rFonts w:ascii="Courier New" w:hAnsi="Courier New" w:cs="Courier New"/>
        </w:rPr>
        <w:t xml:space="preserve"> under G.L. c. 59, §§</w:t>
      </w:r>
      <w:r>
        <w:rPr>
          <w:rFonts w:ascii="Courier New" w:hAnsi="Courier New" w:cs="Courier New"/>
        </w:rPr>
        <w:t> </w:t>
      </w:r>
      <w:r w:rsidRPr="00966943">
        <w:rPr>
          <w:rFonts w:ascii="Courier New" w:hAnsi="Courier New" w:cs="Courier New"/>
        </w:rPr>
        <w:t>11 and 38, for fiscal year</w:t>
      </w:r>
      <w:r>
        <w:rPr>
          <w:rFonts w:ascii="Courier New" w:hAnsi="Courier New" w:cs="Courier New"/>
        </w:rPr>
        <w:t>s</w:t>
      </w:r>
      <w:r w:rsidRPr="00966943">
        <w:rPr>
          <w:rFonts w:ascii="Courier New" w:hAnsi="Courier New" w:cs="Courier New"/>
        </w:rPr>
        <w:t xml:space="preserve"> </w:t>
      </w:r>
      <w:r w:rsidR="006C27AE">
        <w:rPr>
          <w:rFonts w:ascii="Courier New" w:hAnsi="Courier New" w:cs="Courier New"/>
        </w:rPr>
        <w:t>2013 and 2014</w:t>
      </w:r>
      <w:r w:rsidRPr="00966943">
        <w:rPr>
          <w:rFonts w:ascii="Courier New" w:hAnsi="Courier New" w:cs="Courier New"/>
        </w:rPr>
        <w:t xml:space="preserve"> (“fiscal year</w:t>
      </w:r>
      <w:r w:rsidR="00287880">
        <w:rPr>
          <w:rFonts w:ascii="Courier New" w:hAnsi="Courier New" w:cs="Courier New"/>
        </w:rPr>
        <w:t>s</w:t>
      </w:r>
      <w:r w:rsidRPr="00966943">
        <w:rPr>
          <w:rFonts w:ascii="Courier New" w:hAnsi="Courier New" w:cs="Courier New"/>
        </w:rPr>
        <w:t xml:space="preserve"> at issue”).  </w:t>
      </w:r>
    </w:p>
    <w:p w:rsidR="002364A0" w:rsidRDefault="00FA6695" w:rsidP="005D7D66">
      <w:pPr>
        <w:spacing w:line="480" w:lineRule="auto"/>
        <w:jc w:val="both"/>
        <w:rPr>
          <w:rFonts w:ascii="Courier New" w:hAnsi="Courier New" w:cs="Courier New"/>
        </w:rPr>
      </w:pPr>
      <w:r>
        <w:rPr>
          <w:rFonts w:ascii="Courier New" w:hAnsi="Courier New" w:cs="Courier New"/>
        </w:rPr>
        <w:tab/>
      </w:r>
      <w:r w:rsidRPr="00774D73">
        <w:rPr>
          <w:rFonts w:ascii="Courier New" w:hAnsi="Courier New" w:cs="Courier New"/>
        </w:rPr>
        <w:t xml:space="preserve">Commissioner </w:t>
      </w:r>
      <w:r w:rsidR="00397FFA">
        <w:rPr>
          <w:rFonts w:ascii="Courier New" w:hAnsi="Courier New" w:cs="Courier New"/>
        </w:rPr>
        <w:t>Rose</w:t>
      </w:r>
      <w:r w:rsidR="00774D73">
        <w:rPr>
          <w:rFonts w:ascii="Courier New" w:hAnsi="Courier New" w:cs="Courier New"/>
        </w:rPr>
        <w:t xml:space="preserve"> </w:t>
      </w:r>
      <w:r w:rsidR="005D7D66" w:rsidRPr="00774D73">
        <w:rPr>
          <w:rFonts w:ascii="Courier New" w:hAnsi="Courier New" w:cs="Courier New"/>
        </w:rPr>
        <w:t>heard th</w:t>
      </w:r>
      <w:r w:rsidR="003E50A0" w:rsidRPr="00774D73">
        <w:rPr>
          <w:rFonts w:ascii="Courier New" w:hAnsi="Courier New" w:cs="Courier New"/>
        </w:rPr>
        <w:t>e</w:t>
      </w:r>
      <w:r w:rsidR="00210146" w:rsidRPr="00774D73">
        <w:rPr>
          <w:rFonts w:ascii="Courier New" w:hAnsi="Courier New" w:cs="Courier New"/>
        </w:rPr>
        <w:t xml:space="preserve">se </w:t>
      </w:r>
      <w:r w:rsidR="005D7D66" w:rsidRPr="00774D73">
        <w:rPr>
          <w:rFonts w:ascii="Courier New" w:hAnsi="Courier New" w:cs="Courier New"/>
        </w:rPr>
        <w:t>appeal</w:t>
      </w:r>
      <w:r w:rsidR="003E50A0" w:rsidRPr="00774D73">
        <w:rPr>
          <w:rFonts w:ascii="Courier New" w:hAnsi="Courier New" w:cs="Courier New"/>
        </w:rPr>
        <w:t>s</w:t>
      </w:r>
      <w:r w:rsidR="005D7D66" w:rsidRPr="00774D73">
        <w:rPr>
          <w:rFonts w:ascii="Courier New" w:hAnsi="Courier New" w:cs="Courier New"/>
        </w:rPr>
        <w:t xml:space="preserve">. Chairman Hammond and Commissioners Scharaffa </w:t>
      </w:r>
      <w:r w:rsidR="006C27AE" w:rsidRPr="00774D73">
        <w:rPr>
          <w:rFonts w:ascii="Courier New" w:hAnsi="Courier New" w:cs="Courier New"/>
        </w:rPr>
        <w:t xml:space="preserve">and </w:t>
      </w:r>
      <w:r w:rsidR="00347327">
        <w:rPr>
          <w:rFonts w:ascii="Courier New" w:hAnsi="Courier New" w:cs="Courier New"/>
        </w:rPr>
        <w:t>Good</w:t>
      </w:r>
      <w:r w:rsidR="006C27AE" w:rsidRPr="00774D73">
        <w:rPr>
          <w:rFonts w:ascii="Courier New" w:hAnsi="Courier New" w:cs="Courier New"/>
        </w:rPr>
        <w:t xml:space="preserve"> joined h</w:t>
      </w:r>
      <w:r w:rsidR="00347327">
        <w:rPr>
          <w:rFonts w:ascii="Courier New" w:hAnsi="Courier New" w:cs="Courier New"/>
        </w:rPr>
        <w:t>im</w:t>
      </w:r>
      <w:r w:rsidR="00774D73">
        <w:rPr>
          <w:rFonts w:ascii="Courier New" w:hAnsi="Courier New" w:cs="Courier New"/>
        </w:rPr>
        <w:t xml:space="preserve"> in </w:t>
      </w:r>
      <w:r w:rsidR="00606F41" w:rsidRPr="00774D73">
        <w:rPr>
          <w:rFonts w:ascii="Courier New" w:hAnsi="Courier New" w:cs="Courier New"/>
        </w:rPr>
        <w:t xml:space="preserve">the </w:t>
      </w:r>
      <w:r w:rsidR="000E1A0E" w:rsidRPr="00774D73">
        <w:rPr>
          <w:rFonts w:ascii="Courier New" w:hAnsi="Courier New" w:cs="Courier New"/>
        </w:rPr>
        <w:t>decision</w:t>
      </w:r>
      <w:r w:rsidR="00BE7EC0" w:rsidRPr="00774D73">
        <w:rPr>
          <w:rFonts w:ascii="Courier New" w:hAnsi="Courier New" w:cs="Courier New"/>
        </w:rPr>
        <w:t>s</w:t>
      </w:r>
      <w:r w:rsidR="000E1A0E" w:rsidRPr="00774D73">
        <w:rPr>
          <w:rFonts w:ascii="Courier New" w:hAnsi="Courier New" w:cs="Courier New"/>
        </w:rPr>
        <w:t xml:space="preserve"> for the appellee.</w:t>
      </w:r>
      <w:r w:rsidR="00BE7EC0">
        <w:rPr>
          <w:rFonts w:ascii="Courier New" w:hAnsi="Courier New" w:cs="Courier New"/>
        </w:rPr>
        <w:t xml:space="preserve">  </w:t>
      </w:r>
    </w:p>
    <w:p w:rsidR="005D7D66" w:rsidRPr="00966943" w:rsidRDefault="005D7D66" w:rsidP="005D7D66">
      <w:pPr>
        <w:spacing w:line="480" w:lineRule="auto"/>
        <w:jc w:val="both"/>
        <w:rPr>
          <w:rFonts w:ascii="Courier New" w:hAnsi="Courier New" w:cs="Courier New"/>
        </w:rPr>
      </w:pPr>
      <w:r w:rsidRPr="00966943">
        <w:rPr>
          <w:rFonts w:ascii="Courier New" w:hAnsi="Courier New" w:cs="Courier New"/>
        </w:rPr>
        <w:tab/>
        <w:t xml:space="preserve">These findings of fact and report are made pursuant </w:t>
      </w:r>
      <w:r w:rsidR="002364A0">
        <w:rPr>
          <w:rFonts w:ascii="Courier New" w:hAnsi="Courier New" w:cs="Courier New"/>
        </w:rPr>
        <w:t xml:space="preserve">to a </w:t>
      </w:r>
      <w:r w:rsidR="006C27AE">
        <w:rPr>
          <w:rFonts w:ascii="Courier New" w:hAnsi="Courier New" w:cs="Courier New"/>
        </w:rPr>
        <w:t xml:space="preserve">request by </w:t>
      </w:r>
      <w:r w:rsidR="002364A0">
        <w:rPr>
          <w:rFonts w:ascii="Courier New" w:hAnsi="Courier New" w:cs="Courier New"/>
        </w:rPr>
        <w:t>the appellant</w:t>
      </w:r>
      <w:r w:rsidR="006C27AE">
        <w:rPr>
          <w:rFonts w:ascii="Courier New" w:hAnsi="Courier New" w:cs="Courier New"/>
        </w:rPr>
        <w:t xml:space="preserve"> </w:t>
      </w:r>
      <w:r w:rsidRPr="00966943">
        <w:rPr>
          <w:rFonts w:ascii="Courier New" w:hAnsi="Courier New" w:cs="Courier New"/>
        </w:rPr>
        <w:t>under G.</w:t>
      </w:r>
      <w:r w:rsidR="006C27AE">
        <w:rPr>
          <w:rFonts w:ascii="Courier New" w:hAnsi="Courier New" w:cs="Courier New"/>
        </w:rPr>
        <w:t>L. c. 58A, § 13 and 831 CMR 1.32</w:t>
      </w:r>
      <w:r w:rsidRPr="00966943">
        <w:rPr>
          <w:rFonts w:ascii="Courier New" w:hAnsi="Courier New" w:cs="Courier New"/>
        </w:rPr>
        <w:t xml:space="preserve">.  </w:t>
      </w:r>
    </w:p>
    <w:p w:rsidR="005D7D66" w:rsidRDefault="005D7D66" w:rsidP="005D7D66">
      <w:pPr>
        <w:jc w:val="both"/>
        <w:rPr>
          <w:rFonts w:ascii="Courier New" w:hAnsi="Courier New" w:cs="Courier New"/>
        </w:rPr>
      </w:pPr>
    </w:p>
    <w:p w:rsidR="005D7D66" w:rsidRPr="00966943" w:rsidRDefault="005D7D66" w:rsidP="005D7D66">
      <w:pPr>
        <w:jc w:val="both"/>
        <w:rPr>
          <w:rFonts w:ascii="Courier New" w:hAnsi="Courier New" w:cs="Courier New"/>
        </w:rPr>
      </w:pPr>
      <w:r w:rsidRPr="00966943">
        <w:rPr>
          <w:rFonts w:ascii="Courier New" w:hAnsi="Courier New" w:cs="Courier New"/>
        </w:rPr>
        <w:tab/>
      </w:r>
      <w:proofErr w:type="gramStart"/>
      <w:r>
        <w:rPr>
          <w:rFonts w:ascii="Courier New" w:hAnsi="Courier New" w:cs="Courier New"/>
          <w:i/>
        </w:rPr>
        <w:t xml:space="preserve">Matthew </w:t>
      </w:r>
      <w:r w:rsidR="00144DBD">
        <w:rPr>
          <w:rFonts w:ascii="Courier New" w:hAnsi="Courier New" w:cs="Courier New"/>
          <w:i/>
        </w:rPr>
        <w:t>A. Luz</w:t>
      </w:r>
      <w:r w:rsidRPr="00966943">
        <w:rPr>
          <w:rFonts w:ascii="Courier New" w:hAnsi="Courier New" w:cs="Courier New"/>
          <w:i/>
        </w:rPr>
        <w:t xml:space="preserve">, </w:t>
      </w:r>
      <w:r w:rsidRPr="00966943">
        <w:rPr>
          <w:rFonts w:ascii="Courier New" w:hAnsi="Courier New" w:cs="Courier New"/>
        </w:rPr>
        <w:t>Esq. for the appellant.</w:t>
      </w:r>
      <w:proofErr w:type="gramEnd"/>
    </w:p>
    <w:p w:rsidR="005D7D66" w:rsidRPr="00966943" w:rsidRDefault="005D7D66" w:rsidP="005D7D66">
      <w:pPr>
        <w:jc w:val="both"/>
        <w:outlineLvl w:val="0"/>
        <w:rPr>
          <w:rFonts w:ascii="Courier New" w:hAnsi="Courier New" w:cs="Courier New"/>
        </w:rPr>
      </w:pPr>
      <w:r w:rsidRPr="00966943">
        <w:rPr>
          <w:rFonts w:ascii="Courier New" w:hAnsi="Courier New" w:cs="Courier New"/>
        </w:rPr>
        <w:tab/>
      </w:r>
    </w:p>
    <w:p w:rsidR="005D7D66" w:rsidRDefault="000E1A0E" w:rsidP="005D7D66">
      <w:pPr>
        <w:ind w:firstLine="720"/>
        <w:jc w:val="both"/>
        <w:outlineLvl w:val="0"/>
        <w:rPr>
          <w:rFonts w:ascii="Courier New" w:hAnsi="Courier New" w:cs="Courier New"/>
          <w:b/>
        </w:rPr>
      </w:pPr>
      <w:proofErr w:type="gramStart"/>
      <w:r>
        <w:rPr>
          <w:rFonts w:ascii="Courier New" w:hAnsi="Courier New" w:cs="Courier New"/>
          <w:i/>
        </w:rPr>
        <w:t>J</w:t>
      </w:r>
      <w:r w:rsidR="00397FFA">
        <w:rPr>
          <w:rFonts w:ascii="Courier New" w:hAnsi="Courier New" w:cs="Courier New"/>
          <w:i/>
        </w:rPr>
        <w:t>ohn</w:t>
      </w:r>
      <w:r>
        <w:rPr>
          <w:rFonts w:ascii="Courier New" w:hAnsi="Courier New" w:cs="Courier New"/>
          <w:i/>
        </w:rPr>
        <w:t xml:space="preserve"> Richard </w:t>
      </w:r>
      <w:proofErr w:type="spellStart"/>
      <w:r w:rsidR="00B17F3E">
        <w:rPr>
          <w:rFonts w:ascii="Courier New" w:hAnsi="Courier New" w:cs="Courier New"/>
          <w:i/>
        </w:rPr>
        <w:t>Hucksman</w:t>
      </w:r>
      <w:proofErr w:type="spellEnd"/>
      <w:r w:rsidR="00BC01A2">
        <w:rPr>
          <w:rFonts w:ascii="Courier New" w:hAnsi="Courier New" w:cs="Courier New"/>
          <w:i/>
        </w:rPr>
        <w:t>,</w:t>
      </w:r>
      <w:r w:rsidR="005D7D66">
        <w:rPr>
          <w:rFonts w:ascii="Courier New" w:hAnsi="Courier New" w:cs="Courier New"/>
        </w:rPr>
        <w:t xml:space="preserve"> </w:t>
      </w:r>
      <w:r w:rsidR="00B17F3E">
        <w:rPr>
          <w:rFonts w:ascii="Courier New" w:hAnsi="Courier New" w:cs="Courier New"/>
        </w:rPr>
        <w:t xml:space="preserve">Esq. </w:t>
      </w:r>
      <w:r w:rsidR="005D7D66" w:rsidRPr="00966943">
        <w:rPr>
          <w:rFonts w:ascii="Courier New" w:hAnsi="Courier New" w:cs="Courier New"/>
        </w:rPr>
        <w:t>for the appellee.</w:t>
      </w:r>
      <w:proofErr w:type="gramEnd"/>
      <w:r w:rsidR="005D7D66" w:rsidRPr="00966943">
        <w:rPr>
          <w:rFonts w:ascii="Courier New" w:hAnsi="Courier New" w:cs="Courier New"/>
          <w:b/>
        </w:rPr>
        <w:t xml:space="preserve"> </w:t>
      </w:r>
    </w:p>
    <w:p w:rsidR="005D7D66" w:rsidRDefault="005D7D66" w:rsidP="00B414F8">
      <w:pPr>
        <w:jc w:val="both"/>
        <w:outlineLvl w:val="0"/>
        <w:rPr>
          <w:rFonts w:ascii="Courier New" w:hAnsi="Courier New" w:cs="Courier New"/>
          <w:b/>
        </w:rPr>
      </w:pPr>
    </w:p>
    <w:p w:rsidR="002C4C4D" w:rsidRDefault="00D25E65" w:rsidP="002C4C4D">
      <w:pPr>
        <w:jc w:val="center"/>
        <w:outlineLvl w:val="0"/>
        <w:rPr>
          <w:rFonts w:ascii="Courier New" w:hAnsi="Courier New" w:cs="Courier New"/>
          <w:b/>
          <w:caps/>
        </w:rPr>
      </w:pPr>
      <w:r>
        <w:rPr>
          <w:rFonts w:ascii="Courier New" w:hAnsi="Courier New" w:cs="Courier New"/>
          <w:b/>
          <w:caps/>
        </w:rPr>
        <w:br w:type="page"/>
      </w:r>
      <w:r w:rsidR="005D7D66" w:rsidRPr="00966943">
        <w:rPr>
          <w:rFonts w:ascii="Courier New" w:hAnsi="Courier New" w:cs="Courier New"/>
          <w:b/>
          <w:caps/>
        </w:rPr>
        <w:lastRenderedPageBreak/>
        <w:t>Findings of Fact and Report</w:t>
      </w:r>
    </w:p>
    <w:p w:rsidR="00C96EF9" w:rsidRDefault="00C96EF9" w:rsidP="00C96EF9">
      <w:pPr>
        <w:outlineLvl w:val="0"/>
        <w:rPr>
          <w:rFonts w:ascii="Courier New" w:hAnsi="Courier New" w:cs="Courier New"/>
          <w:b/>
          <w:caps/>
        </w:rPr>
      </w:pPr>
    </w:p>
    <w:p w:rsidR="000E1A0E" w:rsidRDefault="00F114C2" w:rsidP="00FA6695">
      <w:pPr>
        <w:spacing w:line="480" w:lineRule="auto"/>
        <w:ind w:firstLine="720"/>
        <w:jc w:val="both"/>
        <w:rPr>
          <w:rFonts w:ascii="Courier New" w:hAnsi="Courier New" w:cs="Courier New"/>
        </w:rPr>
      </w:pPr>
      <w:r>
        <w:rPr>
          <w:rFonts w:ascii="Courier New" w:hAnsi="Courier New" w:cs="Courier New"/>
        </w:rPr>
        <w:t>On the basis of the t</w:t>
      </w:r>
      <w:r w:rsidR="00C66422">
        <w:rPr>
          <w:rFonts w:ascii="Courier New" w:hAnsi="Courier New" w:cs="Courier New"/>
        </w:rPr>
        <w:t>estimony</w:t>
      </w:r>
      <w:r w:rsidR="00A633B0">
        <w:rPr>
          <w:rFonts w:ascii="Courier New" w:hAnsi="Courier New" w:cs="Courier New"/>
        </w:rPr>
        <w:t xml:space="preserve">, expert reports, </w:t>
      </w:r>
      <w:r w:rsidR="002D605A">
        <w:rPr>
          <w:rFonts w:ascii="Courier New" w:hAnsi="Courier New" w:cs="Courier New"/>
        </w:rPr>
        <w:t xml:space="preserve">and </w:t>
      </w:r>
      <w:r>
        <w:rPr>
          <w:rFonts w:ascii="Courier New" w:hAnsi="Courier New" w:cs="Courier New"/>
        </w:rPr>
        <w:t>other exhibits introduced at the hearing of these appeals,</w:t>
      </w:r>
      <w:r w:rsidR="00A633B0">
        <w:rPr>
          <w:rFonts w:ascii="Courier New" w:hAnsi="Courier New" w:cs="Courier New"/>
        </w:rPr>
        <w:t xml:space="preserve"> t</w:t>
      </w:r>
      <w:r w:rsidR="005D7D66" w:rsidRPr="001C4252">
        <w:rPr>
          <w:rFonts w:ascii="Courier New" w:hAnsi="Courier New" w:cs="Courier New"/>
        </w:rPr>
        <w:t>he Appellate</w:t>
      </w:r>
      <w:r w:rsidR="005D7D66">
        <w:rPr>
          <w:rFonts w:ascii="Courier New" w:hAnsi="Courier New" w:cs="Courier New"/>
        </w:rPr>
        <w:t xml:space="preserve"> Tax Board (“Board”)</w:t>
      </w:r>
      <w:r w:rsidR="00B14DA8">
        <w:rPr>
          <w:rFonts w:ascii="Courier New" w:hAnsi="Courier New" w:cs="Courier New"/>
        </w:rPr>
        <w:t xml:space="preserve"> </w:t>
      </w:r>
      <w:r w:rsidR="00C66422">
        <w:rPr>
          <w:rFonts w:ascii="Courier New" w:hAnsi="Courier New" w:cs="Courier New"/>
        </w:rPr>
        <w:t xml:space="preserve">made </w:t>
      </w:r>
      <w:r w:rsidR="0039686B">
        <w:rPr>
          <w:rFonts w:ascii="Courier New" w:hAnsi="Courier New" w:cs="Courier New"/>
        </w:rPr>
        <w:t>the following</w:t>
      </w:r>
      <w:r w:rsidR="00C66422">
        <w:rPr>
          <w:rFonts w:ascii="Courier New" w:hAnsi="Courier New" w:cs="Courier New"/>
        </w:rPr>
        <w:t xml:space="preserve"> findings of fact</w:t>
      </w:r>
      <w:r w:rsidR="00FA6695">
        <w:rPr>
          <w:rFonts w:ascii="Courier New" w:hAnsi="Courier New" w:cs="Courier New"/>
        </w:rPr>
        <w:t xml:space="preserve">.  </w:t>
      </w:r>
    </w:p>
    <w:p w:rsidR="000D2056" w:rsidRDefault="002A504D" w:rsidP="000D2056">
      <w:pPr>
        <w:spacing w:line="480" w:lineRule="auto"/>
        <w:ind w:firstLine="720"/>
        <w:jc w:val="both"/>
        <w:rPr>
          <w:rFonts w:ascii="Courier New" w:hAnsi="Courier New" w:cs="Courier New"/>
        </w:rPr>
      </w:pPr>
      <w:r>
        <w:rPr>
          <w:rFonts w:ascii="Courier New" w:hAnsi="Courier New" w:cs="Courier New"/>
          <w:b/>
        </w:rPr>
        <w:t xml:space="preserve"> </w:t>
      </w:r>
      <w:r w:rsidR="00FA6695">
        <w:rPr>
          <w:rFonts w:ascii="Courier New" w:hAnsi="Courier New" w:cs="Courier New"/>
        </w:rPr>
        <w:t>On January 1,</w:t>
      </w:r>
      <w:r w:rsidR="001733BF">
        <w:rPr>
          <w:rFonts w:ascii="Courier New" w:hAnsi="Courier New" w:cs="Courier New"/>
        </w:rPr>
        <w:t xml:space="preserve"> </w:t>
      </w:r>
      <w:r w:rsidR="00FA6695">
        <w:rPr>
          <w:rFonts w:ascii="Courier New" w:hAnsi="Courier New" w:cs="Courier New"/>
        </w:rPr>
        <w:t xml:space="preserve">2012 and January 1, 2013, </w:t>
      </w:r>
      <w:r w:rsidR="00A633B0">
        <w:rPr>
          <w:rFonts w:ascii="Courier New" w:hAnsi="Courier New" w:cs="Courier New"/>
        </w:rPr>
        <w:t>t</w:t>
      </w:r>
      <w:r w:rsidR="00980FD0">
        <w:rPr>
          <w:rFonts w:ascii="Courier New" w:hAnsi="Courier New" w:cs="Courier New"/>
        </w:rPr>
        <w:t xml:space="preserve">he </w:t>
      </w:r>
      <w:r w:rsidR="00A633B0">
        <w:rPr>
          <w:rFonts w:ascii="Courier New" w:hAnsi="Courier New" w:cs="Courier New"/>
        </w:rPr>
        <w:t xml:space="preserve">relevant </w:t>
      </w:r>
      <w:r w:rsidR="000D2056">
        <w:rPr>
          <w:rFonts w:ascii="Courier New" w:hAnsi="Courier New" w:cs="Courier New"/>
        </w:rPr>
        <w:t xml:space="preserve">valuation and </w:t>
      </w:r>
      <w:r w:rsidR="00A633B0">
        <w:rPr>
          <w:rFonts w:ascii="Courier New" w:hAnsi="Courier New" w:cs="Courier New"/>
        </w:rPr>
        <w:t xml:space="preserve">assessment dates for the fiscal years at issue, the </w:t>
      </w:r>
      <w:r w:rsidR="005D7D66">
        <w:rPr>
          <w:rFonts w:ascii="Courier New" w:hAnsi="Courier New" w:cs="Courier New"/>
        </w:rPr>
        <w:t>appellant</w:t>
      </w:r>
      <w:r w:rsidR="005D7D66" w:rsidRPr="001C4252">
        <w:rPr>
          <w:rFonts w:ascii="Courier New" w:hAnsi="Courier New" w:cs="Courier New"/>
        </w:rPr>
        <w:t xml:space="preserve"> was the assessed owner of a</w:t>
      </w:r>
      <w:r w:rsidR="0039566C">
        <w:rPr>
          <w:rFonts w:ascii="Courier New" w:hAnsi="Courier New" w:cs="Courier New"/>
        </w:rPr>
        <w:t xml:space="preserve"> </w:t>
      </w:r>
      <w:r w:rsidR="0060188C">
        <w:rPr>
          <w:rFonts w:ascii="Courier New" w:hAnsi="Courier New" w:cs="Courier New"/>
        </w:rPr>
        <w:t>4.</w:t>
      </w:r>
      <w:r w:rsidR="000C78EC">
        <w:rPr>
          <w:rFonts w:ascii="Courier New" w:hAnsi="Courier New" w:cs="Courier New"/>
        </w:rPr>
        <w:t>245</w:t>
      </w:r>
      <w:r w:rsidR="0060188C">
        <w:rPr>
          <w:rFonts w:ascii="Courier New" w:hAnsi="Courier New" w:cs="Courier New"/>
        </w:rPr>
        <w:t>-</w:t>
      </w:r>
      <w:r w:rsidR="005D7D66">
        <w:rPr>
          <w:rFonts w:ascii="Courier New" w:hAnsi="Courier New" w:cs="Courier New"/>
        </w:rPr>
        <w:t xml:space="preserve">acre parcel of </w:t>
      </w:r>
      <w:r w:rsidR="0039566C">
        <w:rPr>
          <w:rFonts w:ascii="Courier New" w:hAnsi="Courier New" w:cs="Courier New"/>
        </w:rPr>
        <w:t>real estate located at 54 Industrial Way in W</w:t>
      </w:r>
      <w:r w:rsidR="006B6C7F">
        <w:rPr>
          <w:rFonts w:ascii="Courier New" w:hAnsi="Courier New" w:cs="Courier New"/>
        </w:rPr>
        <w:t>ilmington (“s</w:t>
      </w:r>
      <w:r w:rsidR="0039566C">
        <w:rPr>
          <w:rFonts w:ascii="Courier New" w:hAnsi="Courier New" w:cs="Courier New"/>
        </w:rPr>
        <w:t>ubject property”</w:t>
      </w:r>
      <w:r w:rsidR="000201A0">
        <w:rPr>
          <w:rFonts w:ascii="Courier New" w:hAnsi="Courier New" w:cs="Courier New"/>
        </w:rPr>
        <w:t>)</w:t>
      </w:r>
      <w:r w:rsidR="00980FD0">
        <w:rPr>
          <w:rFonts w:ascii="Courier New" w:hAnsi="Courier New" w:cs="Courier New"/>
        </w:rPr>
        <w:t>.</w:t>
      </w:r>
      <w:r w:rsidR="00BF33E0">
        <w:rPr>
          <w:rFonts w:ascii="Courier New" w:hAnsi="Courier New" w:cs="Courier New"/>
        </w:rPr>
        <w:t xml:space="preserve">  </w:t>
      </w:r>
      <w:r w:rsidR="00E61F25">
        <w:rPr>
          <w:rFonts w:ascii="Courier New" w:hAnsi="Courier New" w:cs="Courier New"/>
        </w:rPr>
        <w:t xml:space="preserve">For assessment purposes the subject property </w:t>
      </w:r>
      <w:r w:rsidR="000D2056">
        <w:rPr>
          <w:rFonts w:ascii="Courier New" w:hAnsi="Courier New" w:cs="Courier New"/>
        </w:rPr>
        <w:t>is identified on the assessors’ m</w:t>
      </w:r>
      <w:r w:rsidR="00E61F25">
        <w:rPr>
          <w:rFonts w:ascii="Courier New" w:hAnsi="Courier New" w:cs="Courier New"/>
        </w:rPr>
        <w:t xml:space="preserve">ap 46 </w:t>
      </w:r>
      <w:r w:rsidR="001F4E6A">
        <w:rPr>
          <w:rFonts w:ascii="Courier New" w:hAnsi="Courier New" w:cs="Courier New"/>
        </w:rPr>
        <w:t xml:space="preserve">as </w:t>
      </w:r>
      <w:r w:rsidR="00E61F25">
        <w:rPr>
          <w:rFonts w:ascii="Courier New" w:hAnsi="Courier New" w:cs="Courier New"/>
        </w:rPr>
        <w:t>parcel number 101</w:t>
      </w:r>
      <w:r w:rsidR="000D2056">
        <w:rPr>
          <w:rFonts w:ascii="Courier New" w:hAnsi="Courier New" w:cs="Courier New"/>
        </w:rPr>
        <w:t xml:space="preserve"> and </w:t>
      </w:r>
      <w:r w:rsidR="00F9696F">
        <w:rPr>
          <w:rFonts w:ascii="Courier New" w:hAnsi="Courier New" w:cs="Courier New"/>
        </w:rPr>
        <w:t xml:space="preserve">is located in </w:t>
      </w:r>
      <w:r w:rsidR="00166859">
        <w:rPr>
          <w:rFonts w:ascii="Courier New" w:hAnsi="Courier New" w:cs="Courier New"/>
        </w:rPr>
        <w:t xml:space="preserve">the </w:t>
      </w:r>
      <w:r w:rsidR="00F9696F">
        <w:rPr>
          <w:rFonts w:ascii="Courier New" w:hAnsi="Courier New" w:cs="Courier New"/>
        </w:rPr>
        <w:t>south</w:t>
      </w:r>
      <w:r w:rsidR="00166859">
        <w:rPr>
          <w:rFonts w:ascii="Courier New" w:hAnsi="Courier New" w:cs="Courier New"/>
        </w:rPr>
        <w:t>ern part of</w:t>
      </w:r>
      <w:r w:rsidR="00F9696F">
        <w:rPr>
          <w:rFonts w:ascii="Courier New" w:hAnsi="Courier New" w:cs="Courier New"/>
        </w:rPr>
        <w:t xml:space="preserve"> Wilmington near the Woburn town line</w:t>
      </w:r>
      <w:r w:rsidR="000D2056">
        <w:rPr>
          <w:rFonts w:ascii="Courier New" w:hAnsi="Courier New" w:cs="Courier New"/>
        </w:rPr>
        <w:t>,</w:t>
      </w:r>
      <w:r w:rsidR="00D12993">
        <w:rPr>
          <w:rFonts w:ascii="Courier New" w:hAnsi="Courier New" w:cs="Courier New"/>
        </w:rPr>
        <w:t xml:space="preserve"> </w:t>
      </w:r>
      <w:r w:rsidR="006D2E12">
        <w:rPr>
          <w:rFonts w:ascii="Courier New" w:hAnsi="Courier New" w:cs="Courier New"/>
        </w:rPr>
        <w:t>in close proxim</w:t>
      </w:r>
      <w:r w:rsidR="00D12993">
        <w:rPr>
          <w:rFonts w:ascii="Courier New" w:hAnsi="Courier New" w:cs="Courier New"/>
        </w:rPr>
        <w:t>ity to Interstate 9</w:t>
      </w:r>
      <w:r w:rsidR="00F114C2">
        <w:rPr>
          <w:rFonts w:ascii="Courier New" w:hAnsi="Courier New" w:cs="Courier New"/>
        </w:rPr>
        <w:t>3</w:t>
      </w:r>
      <w:r w:rsidR="00F9696F">
        <w:rPr>
          <w:rFonts w:ascii="Courier New" w:hAnsi="Courier New" w:cs="Courier New"/>
        </w:rPr>
        <w:t>.</w:t>
      </w:r>
      <w:r w:rsidR="000D2056">
        <w:rPr>
          <w:rFonts w:ascii="Courier New" w:hAnsi="Courier New" w:cs="Courier New"/>
        </w:rPr>
        <w:t xml:space="preserve">  </w:t>
      </w:r>
      <w:r w:rsidR="009B2FC2">
        <w:rPr>
          <w:rFonts w:ascii="Courier New" w:hAnsi="Courier New" w:cs="Courier New"/>
        </w:rPr>
        <w:t>The subject property is an irregular but somewhat rectangular-shaped parcel of land located at the intersection of Industrial Way and Woburn Street</w:t>
      </w:r>
      <w:r w:rsidR="000D2056">
        <w:rPr>
          <w:rFonts w:ascii="Courier New" w:hAnsi="Courier New" w:cs="Courier New"/>
        </w:rPr>
        <w:t xml:space="preserve">, with </w:t>
      </w:r>
      <w:r w:rsidR="009B2FC2">
        <w:rPr>
          <w:rFonts w:ascii="Courier New" w:hAnsi="Courier New" w:cs="Courier New"/>
        </w:rPr>
        <w:t xml:space="preserve">frontage </w:t>
      </w:r>
      <w:r w:rsidR="000D2056">
        <w:rPr>
          <w:rFonts w:ascii="Courier New" w:hAnsi="Courier New" w:cs="Courier New"/>
        </w:rPr>
        <w:t xml:space="preserve">on both roads. </w:t>
      </w:r>
      <w:r w:rsidR="009B2FC2">
        <w:rPr>
          <w:rFonts w:ascii="Courier New" w:hAnsi="Courier New" w:cs="Courier New"/>
        </w:rPr>
        <w:t>The subject property is improved with a single-story, owner-occupied, industrial</w:t>
      </w:r>
      <w:r w:rsidR="000D2056">
        <w:rPr>
          <w:rFonts w:ascii="Courier New" w:hAnsi="Courier New" w:cs="Courier New"/>
        </w:rPr>
        <w:t>-</w:t>
      </w:r>
      <w:r w:rsidR="009B2FC2">
        <w:rPr>
          <w:rFonts w:ascii="Courier New" w:hAnsi="Courier New" w:cs="Courier New"/>
        </w:rPr>
        <w:t>use building containing 54,780 square feet of gross building area (“subject building”).  The subject building is a steel and masonry structure constructed</w:t>
      </w:r>
      <w:r w:rsidR="000D2056">
        <w:rPr>
          <w:rFonts w:ascii="Courier New" w:hAnsi="Courier New" w:cs="Courier New"/>
        </w:rPr>
        <w:t xml:space="preserve"> </w:t>
      </w:r>
      <w:r w:rsidR="00126C95">
        <w:rPr>
          <w:rFonts w:ascii="Courier New" w:hAnsi="Courier New" w:cs="Courier New"/>
        </w:rPr>
        <w:t xml:space="preserve">on a </w:t>
      </w:r>
      <w:r w:rsidR="009B2FC2">
        <w:rPr>
          <w:rFonts w:ascii="Courier New" w:hAnsi="Courier New" w:cs="Courier New"/>
        </w:rPr>
        <w:t>concrete</w:t>
      </w:r>
      <w:r w:rsidR="00126C95">
        <w:rPr>
          <w:rFonts w:ascii="Courier New" w:hAnsi="Courier New" w:cs="Courier New"/>
        </w:rPr>
        <w:t xml:space="preserve"> </w:t>
      </w:r>
      <w:r w:rsidR="009B2FC2">
        <w:rPr>
          <w:rFonts w:ascii="Courier New" w:hAnsi="Courier New" w:cs="Courier New"/>
        </w:rPr>
        <w:t>slab foundation at tailgate level</w:t>
      </w:r>
      <w:r w:rsidR="000D2056">
        <w:rPr>
          <w:rFonts w:ascii="Courier New" w:hAnsi="Courier New" w:cs="Courier New"/>
        </w:rPr>
        <w:t xml:space="preserve">, which was </w:t>
      </w:r>
      <w:r w:rsidR="009B2FC2">
        <w:rPr>
          <w:rFonts w:ascii="Courier New" w:hAnsi="Courier New" w:cs="Courier New"/>
        </w:rPr>
        <w:t xml:space="preserve">designed for industrial warehouse use with ancillary office space.  </w:t>
      </w:r>
    </w:p>
    <w:p w:rsidR="00207A4D" w:rsidRPr="00D5502A" w:rsidRDefault="00207A4D" w:rsidP="00207A4D">
      <w:pPr>
        <w:spacing w:line="480" w:lineRule="auto"/>
        <w:ind w:firstLine="720"/>
        <w:jc w:val="both"/>
        <w:rPr>
          <w:rFonts w:ascii="Courier New" w:hAnsi="Courier New" w:cs="Courier New"/>
          <w:sz w:val="28"/>
        </w:rPr>
      </w:pPr>
      <w:r w:rsidRPr="007F5CB9">
        <w:rPr>
          <w:rFonts w:ascii="Courier New" w:hAnsi="Courier New" w:cs="Courier New"/>
          <w:szCs w:val="24"/>
        </w:rPr>
        <w:t>For fiscal year 2013, the assessors valued the subject property at $2,</w:t>
      </w:r>
      <w:r>
        <w:rPr>
          <w:rFonts w:ascii="Courier New" w:hAnsi="Courier New" w:cs="Courier New"/>
          <w:szCs w:val="24"/>
        </w:rPr>
        <w:t>387</w:t>
      </w:r>
      <w:r w:rsidRPr="007F5CB9">
        <w:rPr>
          <w:rFonts w:ascii="Courier New" w:hAnsi="Courier New" w:cs="Courier New"/>
          <w:szCs w:val="24"/>
        </w:rPr>
        <w:t>,</w:t>
      </w:r>
      <w:r>
        <w:rPr>
          <w:rFonts w:ascii="Courier New" w:hAnsi="Courier New" w:cs="Courier New"/>
          <w:szCs w:val="24"/>
        </w:rPr>
        <w:t>2</w:t>
      </w:r>
      <w:r w:rsidRPr="007F5CB9">
        <w:rPr>
          <w:rFonts w:ascii="Courier New" w:hAnsi="Courier New" w:cs="Courier New"/>
          <w:szCs w:val="24"/>
        </w:rPr>
        <w:t xml:space="preserve">00 and assessed a tax thereon, at the rate </w:t>
      </w:r>
      <w:r w:rsidRPr="007F5CB9">
        <w:rPr>
          <w:rFonts w:ascii="Courier New" w:hAnsi="Courier New" w:cs="Courier New"/>
          <w:szCs w:val="24"/>
        </w:rPr>
        <w:lastRenderedPageBreak/>
        <w:t>of $32.08 per thousand, in the total amount of $</w:t>
      </w:r>
      <w:r>
        <w:rPr>
          <w:rFonts w:ascii="Courier New" w:hAnsi="Courier New" w:cs="Courier New"/>
          <w:szCs w:val="24"/>
        </w:rPr>
        <w:t>76,581.38.  On December 28, 2012</w:t>
      </w:r>
      <w:r w:rsidRPr="007F5CB9">
        <w:rPr>
          <w:rFonts w:ascii="Courier New" w:hAnsi="Courier New" w:cs="Courier New"/>
          <w:szCs w:val="24"/>
        </w:rPr>
        <w:t xml:space="preserve">, the Collector sent out the town’s actual real estate tax </w:t>
      </w:r>
      <w:r>
        <w:rPr>
          <w:rFonts w:ascii="Courier New" w:hAnsi="Courier New" w:cs="Courier New"/>
          <w:szCs w:val="24"/>
        </w:rPr>
        <w:t>bill.  In</w:t>
      </w:r>
      <w:r w:rsidRPr="007F5CB9">
        <w:rPr>
          <w:rFonts w:ascii="Courier New" w:hAnsi="Courier New" w:cs="Courier New"/>
          <w:szCs w:val="24"/>
        </w:rPr>
        <w:t xml:space="preserve"> accordance with G.L. c. 59, § 57C, </w:t>
      </w:r>
      <w:r>
        <w:rPr>
          <w:rFonts w:ascii="Courier New" w:hAnsi="Courier New" w:cs="Courier New"/>
          <w:szCs w:val="24"/>
        </w:rPr>
        <w:t xml:space="preserve">the appellant paid the tax due without incurring interest.  On January 13, 2013, in accordance with G.L. c. 59, § 59, </w:t>
      </w:r>
      <w:r w:rsidRPr="007F5CB9">
        <w:rPr>
          <w:rFonts w:ascii="Courier New" w:hAnsi="Courier New" w:cs="Courier New"/>
          <w:szCs w:val="24"/>
        </w:rPr>
        <w:t xml:space="preserve">the appellant timely filed an Application for </w:t>
      </w:r>
      <w:r>
        <w:rPr>
          <w:rFonts w:ascii="Courier New" w:hAnsi="Courier New" w:cs="Courier New"/>
        </w:rPr>
        <w:t xml:space="preserve">Abatement with the assessors, which they denied on April 10, 2013.  On April 22, 2013, </w:t>
      </w:r>
      <w:r>
        <w:rPr>
          <w:rFonts w:ascii="Courier New" w:hAnsi="Courier New" w:cs="Courier New"/>
          <w:color w:val="333333"/>
          <w:shd w:val="clear" w:color="auto" w:fill="FFFFFF"/>
        </w:rPr>
        <w:t xml:space="preserve">in accordance with G.L. c. 59, §§ 64 and 65, the appellant seasonably filed an appeal with the Board.  </w:t>
      </w:r>
    </w:p>
    <w:p w:rsidR="00126C95" w:rsidRDefault="00207A4D" w:rsidP="007B372A">
      <w:pPr>
        <w:spacing w:line="480" w:lineRule="auto"/>
        <w:ind w:firstLine="720"/>
        <w:jc w:val="both"/>
        <w:rPr>
          <w:rFonts w:ascii="Courier New" w:hAnsi="Courier New" w:cs="Courier New"/>
          <w:color w:val="333333"/>
          <w:shd w:val="clear" w:color="auto" w:fill="FFFFFF"/>
        </w:rPr>
      </w:pPr>
      <w:r>
        <w:rPr>
          <w:rFonts w:ascii="Courier New" w:hAnsi="Courier New" w:cs="Courier New"/>
        </w:rPr>
        <w:t xml:space="preserve">For fiscal year 2014, the assessors valued the subject property at $2,387,400 and assessed a tax thereon, at the rate of $33.04 per thousand, in the total amount of $78,879.70.  On December 30, 2013, the Collector sent out the town’s actual real estate tax bill.  In accordance with G. L. c. 59, § 57C, the appellant paid the tax due without incurring interest.  On January 28, 2014, in accordance with G.L. c. 59, § 59, the appellant timely filed an Application for Abatement with the assessors, which they denied on March 13, 2014.  On June 3, 2014, </w:t>
      </w:r>
      <w:r>
        <w:rPr>
          <w:rFonts w:ascii="Courier New" w:hAnsi="Courier New" w:cs="Courier New"/>
          <w:color w:val="333333"/>
          <w:shd w:val="clear" w:color="auto" w:fill="FFFFFF"/>
        </w:rPr>
        <w:t xml:space="preserve">in accordance with G.L. c. 59, §§ 64 and 65, the appellant seasonably filed an appeal with the Board.  </w:t>
      </w:r>
    </w:p>
    <w:p w:rsidR="00207A4D" w:rsidRPr="007B372A" w:rsidRDefault="00207A4D" w:rsidP="007B372A">
      <w:pPr>
        <w:spacing w:line="480" w:lineRule="auto"/>
        <w:ind w:firstLine="720"/>
        <w:jc w:val="both"/>
        <w:rPr>
          <w:rFonts w:ascii="Courier New" w:hAnsi="Courier New" w:cs="Courier New"/>
          <w:color w:val="333333"/>
          <w:shd w:val="clear" w:color="auto" w:fill="FFFFFF"/>
        </w:rPr>
      </w:pPr>
      <w:r w:rsidRPr="0089676E">
        <w:rPr>
          <w:rFonts w:ascii="Courier New" w:hAnsi="Courier New" w:cs="Courier New"/>
          <w:color w:val="333333"/>
          <w:shd w:val="clear" w:color="auto" w:fill="FFFFFF"/>
        </w:rPr>
        <w:t>On the basis of these facts, the Board found and ruled that it had jurisdiction</w:t>
      </w:r>
      <w:r>
        <w:rPr>
          <w:rFonts w:ascii="Courier New" w:hAnsi="Courier New" w:cs="Courier New"/>
          <w:color w:val="333333"/>
          <w:shd w:val="clear" w:color="auto" w:fill="FFFFFF"/>
        </w:rPr>
        <w:t xml:space="preserve"> to hear and decide these appeals</w:t>
      </w:r>
      <w:r w:rsidR="007B372A">
        <w:rPr>
          <w:rFonts w:ascii="Courier New" w:hAnsi="Courier New" w:cs="Courier New"/>
          <w:color w:val="333333"/>
          <w:shd w:val="clear" w:color="auto" w:fill="FFFFFF"/>
        </w:rPr>
        <w:t>.</w:t>
      </w:r>
    </w:p>
    <w:p w:rsidR="0054205B" w:rsidRDefault="0054205B" w:rsidP="0054205B">
      <w:pPr>
        <w:spacing w:line="480" w:lineRule="auto"/>
        <w:ind w:firstLine="720"/>
        <w:jc w:val="both"/>
        <w:rPr>
          <w:rFonts w:ascii="Courier New" w:hAnsi="Courier New" w:cs="Courier New"/>
        </w:rPr>
      </w:pPr>
      <w:r>
        <w:rPr>
          <w:rFonts w:ascii="Courier New" w:hAnsi="Courier New" w:cs="Courier New"/>
        </w:rPr>
        <w:t xml:space="preserve">In support of its claim that the subject property was overvalued for </w:t>
      </w:r>
      <w:r w:rsidR="00FB7F2B">
        <w:rPr>
          <w:rFonts w:ascii="Courier New" w:hAnsi="Courier New" w:cs="Courier New"/>
        </w:rPr>
        <w:t>the f</w:t>
      </w:r>
      <w:r>
        <w:rPr>
          <w:rFonts w:ascii="Courier New" w:hAnsi="Courier New" w:cs="Courier New"/>
        </w:rPr>
        <w:t>iscal year</w:t>
      </w:r>
      <w:r w:rsidR="00FB7F2B">
        <w:rPr>
          <w:rFonts w:ascii="Courier New" w:hAnsi="Courier New" w:cs="Courier New"/>
        </w:rPr>
        <w:t>s at issue,</w:t>
      </w:r>
      <w:r>
        <w:rPr>
          <w:rFonts w:ascii="Courier New" w:hAnsi="Courier New" w:cs="Courier New"/>
        </w:rPr>
        <w:t xml:space="preserve"> the appellant </w:t>
      </w:r>
      <w:r>
        <w:rPr>
          <w:rFonts w:ascii="Courier New" w:hAnsi="Courier New" w:cs="Courier New"/>
        </w:rPr>
        <w:lastRenderedPageBreak/>
        <w:t xml:space="preserve">presented the testimony and appraisal report of Eric Wolff, whom the Board qualified as an expert in the area of real estate valuation.  </w:t>
      </w:r>
      <w:r w:rsidR="007B372A">
        <w:rPr>
          <w:rFonts w:ascii="Courier New" w:hAnsi="Courier New" w:cs="Courier New"/>
          <w:color w:val="333333"/>
          <w:shd w:val="clear" w:color="auto" w:fill="FFFFFF"/>
        </w:rPr>
        <w:t xml:space="preserve">To </w:t>
      </w:r>
      <w:r w:rsidRPr="00E475A0">
        <w:rPr>
          <w:rFonts w:ascii="Courier New" w:hAnsi="Courier New" w:cs="Courier New"/>
          <w:color w:val="333333"/>
          <w:shd w:val="clear" w:color="auto" w:fill="FFFFFF"/>
        </w:rPr>
        <w:t xml:space="preserve">develop a value for the subject property for </w:t>
      </w:r>
      <w:r w:rsidR="000D48F0">
        <w:rPr>
          <w:rFonts w:ascii="Courier New" w:hAnsi="Courier New" w:cs="Courier New"/>
          <w:color w:val="333333"/>
          <w:shd w:val="clear" w:color="auto" w:fill="FFFFFF"/>
        </w:rPr>
        <w:t xml:space="preserve">the </w:t>
      </w:r>
      <w:r w:rsidRPr="00E475A0">
        <w:rPr>
          <w:rFonts w:ascii="Courier New" w:hAnsi="Courier New" w:cs="Courier New"/>
          <w:color w:val="333333"/>
          <w:shd w:val="clear" w:color="auto" w:fill="FFFFFF"/>
        </w:rPr>
        <w:t>fiscal year</w:t>
      </w:r>
      <w:r w:rsidR="000D48F0">
        <w:rPr>
          <w:rFonts w:ascii="Courier New" w:hAnsi="Courier New" w:cs="Courier New"/>
          <w:color w:val="333333"/>
          <w:shd w:val="clear" w:color="auto" w:fill="FFFFFF"/>
        </w:rPr>
        <w:t>s at issue,</w:t>
      </w:r>
      <w:r w:rsidRPr="00E475A0">
        <w:rPr>
          <w:rFonts w:ascii="Courier New" w:hAnsi="Courier New" w:cs="Courier New"/>
          <w:color w:val="333333"/>
          <w:shd w:val="clear" w:color="auto" w:fill="FFFFFF"/>
        </w:rPr>
        <w:t xml:space="preserve"> </w:t>
      </w:r>
      <w:r>
        <w:rPr>
          <w:rFonts w:ascii="Courier New" w:hAnsi="Courier New" w:cs="Courier New"/>
        </w:rPr>
        <w:t xml:space="preserve">Mr. Wolff first examined the subject property’s highest-and-best use and concluded that it was its current use as an industrial-use building.  </w:t>
      </w:r>
      <w:r w:rsidRPr="00294782">
        <w:rPr>
          <w:rFonts w:ascii="Courier New" w:hAnsi="Courier New" w:cs="Courier New"/>
          <w:color w:val="333333"/>
          <w:shd w:val="clear" w:color="auto" w:fill="FFFFFF"/>
        </w:rPr>
        <w:t xml:space="preserve">Mr. Wolff then considered the three usual methods for estimating the value of the subject property for </w:t>
      </w:r>
      <w:r w:rsidR="000D48F0">
        <w:rPr>
          <w:rFonts w:ascii="Courier New" w:hAnsi="Courier New" w:cs="Courier New"/>
          <w:color w:val="333333"/>
          <w:shd w:val="clear" w:color="auto" w:fill="FFFFFF"/>
        </w:rPr>
        <w:t xml:space="preserve">the </w:t>
      </w:r>
      <w:r w:rsidRPr="00294782">
        <w:rPr>
          <w:rFonts w:ascii="Courier New" w:hAnsi="Courier New" w:cs="Courier New"/>
          <w:color w:val="333333"/>
          <w:shd w:val="clear" w:color="auto" w:fill="FFFFFF"/>
        </w:rPr>
        <w:t>fiscal year</w:t>
      </w:r>
      <w:r w:rsidR="000D48F0">
        <w:rPr>
          <w:rFonts w:ascii="Courier New" w:hAnsi="Courier New" w:cs="Courier New"/>
          <w:color w:val="333333"/>
          <w:shd w:val="clear" w:color="auto" w:fill="FFFFFF"/>
        </w:rPr>
        <w:t>s at issue</w:t>
      </w:r>
      <w:r w:rsidRPr="00294782">
        <w:rPr>
          <w:rFonts w:ascii="Courier New" w:hAnsi="Courier New" w:cs="Courier New"/>
          <w:color w:val="333333"/>
          <w:shd w:val="clear" w:color="auto" w:fill="FFFFFF"/>
        </w:rPr>
        <w:t xml:space="preserve">. </w:t>
      </w:r>
      <w:r w:rsidR="000D48F0">
        <w:rPr>
          <w:rFonts w:ascii="Courier New" w:hAnsi="Courier New" w:cs="Courier New"/>
          <w:color w:val="333333"/>
          <w:shd w:val="clear" w:color="auto" w:fill="FFFFFF"/>
        </w:rPr>
        <w:t xml:space="preserve"> </w:t>
      </w:r>
      <w:r w:rsidRPr="00294782">
        <w:rPr>
          <w:rFonts w:ascii="Courier New" w:hAnsi="Courier New" w:cs="Courier New"/>
          <w:color w:val="333333"/>
          <w:shd w:val="clear" w:color="auto" w:fill="FFFFFF"/>
        </w:rPr>
        <w:t>He rejected both the cost and</w:t>
      </w:r>
      <w:r w:rsidRPr="00294782">
        <w:rPr>
          <w:rStyle w:val="apple-converted-space"/>
          <w:rFonts w:ascii="Courier New" w:hAnsi="Courier New" w:cs="Courier New"/>
          <w:color w:val="333333"/>
          <w:shd w:val="clear" w:color="auto" w:fill="FFFFFF"/>
        </w:rPr>
        <w:t> </w:t>
      </w:r>
      <w:r w:rsidRPr="00294782">
        <w:rPr>
          <w:rFonts w:ascii="Courier New" w:hAnsi="Courier New" w:cs="Courier New"/>
          <w:color w:val="333333"/>
          <w:shd w:val="clear" w:color="auto" w:fill="FFFFFF"/>
        </w:rPr>
        <w:t xml:space="preserve">sales-comparison approaches and instead </w:t>
      </w:r>
      <w:r>
        <w:rPr>
          <w:rFonts w:ascii="Courier New" w:hAnsi="Courier New" w:cs="Courier New"/>
          <w:color w:val="333333"/>
          <w:shd w:val="clear" w:color="auto" w:fill="FFFFFF"/>
        </w:rPr>
        <w:t>relied on</w:t>
      </w:r>
      <w:r w:rsidRPr="00294782">
        <w:rPr>
          <w:rFonts w:ascii="Courier New" w:hAnsi="Courier New" w:cs="Courier New"/>
          <w:color w:val="333333"/>
          <w:shd w:val="clear" w:color="auto" w:fill="FFFFFF"/>
        </w:rPr>
        <w:t xml:space="preserve"> the income-capitalization approach to estimate the fair cash value of the subject property for </w:t>
      </w:r>
      <w:r w:rsidR="000D48F0">
        <w:rPr>
          <w:rFonts w:ascii="Courier New" w:hAnsi="Courier New" w:cs="Courier New"/>
          <w:color w:val="333333"/>
          <w:shd w:val="clear" w:color="auto" w:fill="FFFFFF"/>
        </w:rPr>
        <w:t>the f</w:t>
      </w:r>
      <w:r w:rsidRPr="00294782">
        <w:rPr>
          <w:rFonts w:ascii="Courier New" w:hAnsi="Courier New" w:cs="Courier New"/>
          <w:color w:val="333333"/>
          <w:shd w:val="clear" w:color="auto" w:fill="FFFFFF"/>
        </w:rPr>
        <w:t>iscal year</w:t>
      </w:r>
      <w:r w:rsidR="000D48F0">
        <w:rPr>
          <w:rFonts w:ascii="Courier New" w:hAnsi="Courier New" w:cs="Courier New"/>
          <w:color w:val="333333"/>
          <w:shd w:val="clear" w:color="auto" w:fill="FFFFFF"/>
        </w:rPr>
        <w:t>s at issue</w:t>
      </w:r>
      <w:r w:rsidRPr="00294782">
        <w:rPr>
          <w:rFonts w:ascii="Courier New" w:hAnsi="Courier New" w:cs="Courier New"/>
          <w:color w:val="333333"/>
          <w:shd w:val="clear" w:color="auto" w:fill="FFFFFF"/>
        </w:rPr>
        <w:t xml:space="preserve"> because it was an income-producing property.</w:t>
      </w:r>
      <w:r w:rsidRPr="00294782">
        <w:rPr>
          <w:rStyle w:val="FootnoteReference"/>
          <w:rFonts w:ascii="Courier New" w:hAnsi="Courier New" w:cs="Courier New"/>
          <w:color w:val="333333"/>
          <w:shd w:val="clear" w:color="auto" w:fill="FFFFFF"/>
        </w:rPr>
        <w:footnoteReference w:id="1"/>
      </w:r>
    </w:p>
    <w:p w:rsidR="006D2770" w:rsidRPr="006B467B" w:rsidRDefault="007B372A" w:rsidP="006D2770">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rPr>
        <w:t>To determi</w:t>
      </w:r>
      <w:r w:rsidR="0054205B">
        <w:rPr>
          <w:rFonts w:ascii="Courier New" w:hAnsi="Courier New" w:cs="Courier New"/>
          <w:color w:val="333333"/>
        </w:rPr>
        <w:t xml:space="preserve">ne what he considered to be the most appropriate rent to use in his income-capitalization methodology for </w:t>
      </w:r>
      <w:r w:rsidR="0097548C">
        <w:rPr>
          <w:rFonts w:ascii="Courier New" w:hAnsi="Courier New" w:cs="Courier New"/>
          <w:color w:val="333333"/>
        </w:rPr>
        <w:t xml:space="preserve">the </w:t>
      </w:r>
      <w:r w:rsidR="0054205B">
        <w:rPr>
          <w:rFonts w:ascii="Courier New" w:hAnsi="Courier New" w:cs="Courier New"/>
          <w:color w:val="333333"/>
        </w:rPr>
        <w:t>fiscal year</w:t>
      </w:r>
      <w:r w:rsidR="0097548C">
        <w:rPr>
          <w:rFonts w:ascii="Courier New" w:hAnsi="Courier New" w:cs="Courier New"/>
          <w:color w:val="333333"/>
        </w:rPr>
        <w:t>s at issue,</w:t>
      </w:r>
      <w:r w:rsidR="0054205B">
        <w:rPr>
          <w:rFonts w:ascii="Courier New" w:hAnsi="Courier New" w:cs="Courier New"/>
          <w:color w:val="333333"/>
        </w:rPr>
        <w:t xml:space="preserve"> </w:t>
      </w:r>
      <w:r w:rsidR="0054205B">
        <w:rPr>
          <w:rFonts w:ascii="Courier New" w:hAnsi="Courier New" w:cs="Courier New"/>
        </w:rPr>
        <w:t xml:space="preserve">Mr. Wolff </w:t>
      </w:r>
      <w:r w:rsidR="006D2770">
        <w:rPr>
          <w:rFonts w:ascii="Courier New" w:hAnsi="Courier New" w:cs="Courier New"/>
        </w:rPr>
        <w:t xml:space="preserve">conducted a survey of eleven purportedly comparable industrial-use spaces located in Wilmington and the neighboring town of Woburn.  Of these eleven spaces, seven rented on a triple-net basis with rents ranging from $3.42 to $6.00 per square foot, </w:t>
      </w:r>
      <w:r w:rsidR="006F26F0">
        <w:rPr>
          <w:rFonts w:ascii="Courier New" w:hAnsi="Courier New" w:cs="Courier New"/>
        </w:rPr>
        <w:t xml:space="preserve">with an average per-square-foot rate of $5.34, </w:t>
      </w:r>
      <w:r w:rsidR="006D2770">
        <w:rPr>
          <w:rFonts w:ascii="Courier New" w:hAnsi="Courier New" w:cs="Courier New"/>
        </w:rPr>
        <w:t xml:space="preserve">and four rented under </w:t>
      </w:r>
      <w:r w:rsidR="000D2056">
        <w:rPr>
          <w:rFonts w:ascii="Courier New" w:hAnsi="Courier New" w:cs="Courier New"/>
        </w:rPr>
        <w:t xml:space="preserve">gross-plus-utilities (“modified </w:t>
      </w:r>
      <w:r w:rsidR="006D2770">
        <w:rPr>
          <w:rFonts w:ascii="Courier New" w:hAnsi="Courier New" w:cs="Courier New"/>
        </w:rPr>
        <w:t xml:space="preserve">gross”) leases ranging from $5.50 to $7.50 per square </w:t>
      </w:r>
      <w:r w:rsidR="006D2770">
        <w:rPr>
          <w:rFonts w:ascii="Courier New" w:hAnsi="Courier New" w:cs="Courier New"/>
        </w:rPr>
        <w:lastRenderedPageBreak/>
        <w:t>foot</w:t>
      </w:r>
      <w:r w:rsidR="0097548C">
        <w:rPr>
          <w:rFonts w:ascii="Courier New" w:hAnsi="Courier New" w:cs="Courier New"/>
        </w:rPr>
        <w:t>.</w:t>
      </w:r>
      <w:r w:rsidR="006D2770" w:rsidRPr="003135C3">
        <w:rPr>
          <w:rFonts w:ascii="Courier New" w:hAnsi="Courier New" w:cs="Courier New"/>
        </w:rPr>
        <w:t xml:space="preserve"> </w:t>
      </w:r>
      <w:r w:rsidR="00AB5A63">
        <w:rPr>
          <w:rFonts w:ascii="Courier New" w:hAnsi="Courier New" w:cs="Courier New"/>
        </w:rPr>
        <w:t xml:space="preserve"> Based </w:t>
      </w:r>
      <w:r w:rsidR="006D2770">
        <w:rPr>
          <w:rStyle w:val="apple-converted-space"/>
          <w:rFonts w:ascii="Courier New" w:hAnsi="Courier New" w:cs="Courier New"/>
          <w:color w:val="333333"/>
          <w:shd w:val="clear" w:color="auto" w:fill="FFFFFF"/>
        </w:rPr>
        <w:t>on his experience</w:t>
      </w:r>
      <w:r w:rsidR="00AB5A63">
        <w:rPr>
          <w:rStyle w:val="apple-converted-space"/>
          <w:rFonts w:ascii="Courier New" w:hAnsi="Courier New" w:cs="Courier New"/>
          <w:color w:val="333333"/>
          <w:shd w:val="clear" w:color="auto" w:fill="FFFFFF"/>
        </w:rPr>
        <w:t xml:space="preserve">, Mr. Wolff determined that operating expenses for similar-type properties in the area </w:t>
      </w:r>
      <w:r w:rsidR="000D2056">
        <w:rPr>
          <w:rStyle w:val="apple-converted-space"/>
          <w:rFonts w:ascii="Courier New" w:hAnsi="Courier New" w:cs="Courier New"/>
          <w:color w:val="333333"/>
          <w:shd w:val="clear" w:color="auto" w:fill="FFFFFF"/>
        </w:rPr>
        <w:t>we</w:t>
      </w:r>
      <w:r w:rsidR="00AB5A63">
        <w:rPr>
          <w:rStyle w:val="apple-converted-space"/>
          <w:rFonts w:ascii="Courier New" w:hAnsi="Courier New" w:cs="Courier New"/>
          <w:color w:val="333333"/>
          <w:shd w:val="clear" w:color="auto" w:fill="FFFFFF"/>
        </w:rPr>
        <w:t xml:space="preserve">re approximately $3.00 per square foot.  </w:t>
      </w:r>
      <w:r w:rsidR="00267AC1">
        <w:rPr>
          <w:rStyle w:val="apple-converted-space"/>
          <w:rFonts w:ascii="Courier New" w:hAnsi="Courier New" w:cs="Courier New"/>
          <w:color w:val="333333"/>
          <w:shd w:val="clear" w:color="auto" w:fill="FFFFFF"/>
        </w:rPr>
        <w:t>Therefore, he made corresponding down</w:t>
      </w:r>
      <w:r w:rsidR="006D2770">
        <w:rPr>
          <w:rStyle w:val="apple-converted-space"/>
          <w:rFonts w:ascii="Courier New" w:hAnsi="Courier New" w:cs="Courier New"/>
          <w:color w:val="333333"/>
          <w:shd w:val="clear" w:color="auto" w:fill="FFFFFF"/>
        </w:rPr>
        <w:t xml:space="preserve">ward adjustments </w:t>
      </w:r>
      <w:r w:rsidR="00267AC1">
        <w:rPr>
          <w:rStyle w:val="apple-converted-space"/>
          <w:rFonts w:ascii="Courier New" w:hAnsi="Courier New" w:cs="Courier New"/>
          <w:color w:val="333333"/>
          <w:shd w:val="clear" w:color="auto" w:fill="FFFFFF"/>
        </w:rPr>
        <w:t>t</w:t>
      </w:r>
      <w:r w:rsidR="006D2770">
        <w:rPr>
          <w:rStyle w:val="apple-converted-space"/>
          <w:rFonts w:ascii="Courier New" w:hAnsi="Courier New" w:cs="Courier New"/>
          <w:color w:val="333333"/>
          <w:shd w:val="clear" w:color="auto" w:fill="FFFFFF"/>
        </w:rPr>
        <w:t>o convert the mo</w:t>
      </w:r>
      <w:r w:rsidR="000D2056">
        <w:rPr>
          <w:rStyle w:val="apple-converted-space"/>
          <w:rFonts w:ascii="Courier New" w:hAnsi="Courier New" w:cs="Courier New"/>
          <w:color w:val="333333"/>
          <w:shd w:val="clear" w:color="auto" w:fill="FFFFFF"/>
        </w:rPr>
        <w:t xml:space="preserve">dified </w:t>
      </w:r>
      <w:r w:rsidR="006D2770">
        <w:rPr>
          <w:rStyle w:val="apple-converted-space"/>
          <w:rFonts w:ascii="Courier New" w:hAnsi="Courier New" w:cs="Courier New"/>
          <w:color w:val="333333"/>
          <w:shd w:val="clear" w:color="auto" w:fill="FFFFFF"/>
        </w:rPr>
        <w:t>gross leases to a triple-net basis.  Based on this information together with the subject property’s location, size</w:t>
      </w:r>
      <w:r w:rsidR="00C1371A">
        <w:rPr>
          <w:rStyle w:val="apple-converted-space"/>
          <w:rFonts w:ascii="Courier New" w:hAnsi="Courier New" w:cs="Courier New"/>
          <w:color w:val="333333"/>
          <w:shd w:val="clear" w:color="auto" w:fill="FFFFFF"/>
        </w:rPr>
        <w:t>,</w:t>
      </w:r>
      <w:r w:rsidR="006D2770">
        <w:rPr>
          <w:rStyle w:val="apple-converted-space"/>
          <w:rFonts w:ascii="Courier New" w:hAnsi="Courier New" w:cs="Courier New"/>
          <w:color w:val="333333"/>
          <w:shd w:val="clear" w:color="auto" w:fill="FFFFFF"/>
        </w:rPr>
        <w:t xml:space="preserve"> and condition, Mr. Wolff selected a</w:t>
      </w:r>
      <w:r w:rsidR="00267AC1">
        <w:rPr>
          <w:rStyle w:val="apple-converted-space"/>
          <w:rFonts w:ascii="Courier New" w:hAnsi="Courier New" w:cs="Courier New"/>
          <w:color w:val="333333"/>
          <w:shd w:val="clear" w:color="auto" w:fill="FFFFFF"/>
        </w:rPr>
        <w:t xml:space="preserve"> stabilized</w:t>
      </w:r>
      <w:r w:rsidR="006D2770">
        <w:rPr>
          <w:rStyle w:val="apple-converted-space"/>
          <w:rFonts w:ascii="Courier New" w:hAnsi="Courier New" w:cs="Courier New"/>
          <w:color w:val="333333"/>
          <w:shd w:val="clear" w:color="auto" w:fill="FFFFFF"/>
        </w:rPr>
        <w:t xml:space="preserve"> economic rent of $</w:t>
      </w:r>
      <w:r w:rsidR="004E7354">
        <w:rPr>
          <w:rStyle w:val="apple-converted-space"/>
          <w:rFonts w:ascii="Courier New" w:hAnsi="Courier New" w:cs="Courier New"/>
          <w:color w:val="333333"/>
          <w:shd w:val="clear" w:color="auto" w:fill="FFFFFF"/>
        </w:rPr>
        <w:t>4.00</w:t>
      </w:r>
      <w:r w:rsidR="006D2770">
        <w:rPr>
          <w:rStyle w:val="apple-converted-space"/>
          <w:rFonts w:ascii="Courier New" w:hAnsi="Courier New" w:cs="Courier New"/>
          <w:color w:val="333333"/>
          <w:shd w:val="clear" w:color="auto" w:fill="FFFFFF"/>
        </w:rPr>
        <w:t xml:space="preserve"> per square foot on a triple-net basis</w:t>
      </w:r>
      <w:r w:rsidR="006D2770" w:rsidRPr="003135C3">
        <w:rPr>
          <w:rFonts w:ascii="Courier New" w:hAnsi="Courier New" w:cs="Courier New"/>
          <w:color w:val="333333"/>
          <w:shd w:val="clear" w:color="auto" w:fill="FFFFFF"/>
        </w:rPr>
        <w:t>.</w:t>
      </w:r>
      <w:r w:rsidR="006D2770">
        <w:rPr>
          <w:rFonts w:ascii="Courier New" w:hAnsi="Courier New" w:cs="Courier New"/>
          <w:color w:val="333333"/>
          <w:shd w:val="clear" w:color="auto" w:fill="FFFFFF"/>
        </w:rPr>
        <w:t xml:space="preserve">  </w:t>
      </w:r>
      <w:r w:rsidR="006D2770">
        <w:rPr>
          <w:rFonts w:ascii="Courier New" w:hAnsi="Courier New" w:cs="Courier New"/>
        </w:rPr>
        <w:t xml:space="preserve">Applying this rate to the subject property’s net rentable area of </w:t>
      </w:r>
      <w:r w:rsidR="004E7354">
        <w:rPr>
          <w:rFonts w:ascii="Courier New" w:hAnsi="Courier New" w:cs="Courier New"/>
        </w:rPr>
        <w:t>54,780</w:t>
      </w:r>
      <w:r w:rsidR="006D2770">
        <w:rPr>
          <w:rFonts w:ascii="Courier New" w:hAnsi="Courier New" w:cs="Courier New"/>
        </w:rPr>
        <w:t xml:space="preserve"> square feet, Mr. Wolff obtained a </w:t>
      </w:r>
      <w:r w:rsidR="00126C95">
        <w:rPr>
          <w:rFonts w:ascii="Courier New" w:hAnsi="Courier New" w:cs="Courier New"/>
        </w:rPr>
        <w:t xml:space="preserve">stabilized </w:t>
      </w:r>
      <w:r w:rsidR="006D2770">
        <w:rPr>
          <w:rFonts w:ascii="Courier New" w:hAnsi="Courier New" w:cs="Courier New"/>
        </w:rPr>
        <w:t>potential gross income of $2</w:t>
      </w:r>
      <w:r w:rsidR="00F114C2">
        <w:rPr>
          <w:rFonts w:ascii="Courier New" w:hAnsi="Courier New" w:cs="Courier New"/>
        </w:rPr>
        <w:t>19,120</w:t>
      </w:r>
      <w:r w:rsidR="004E7354">
        <w:rPr>
          <w:rFonts w:ascii="Courier New" w:hAnsi="Courier New" w:cs="Courier New"/>
        </w:rPr>
        <w:t xml:space="preserve"> for </w:t>
      </w:r>
      <w:r w:rsidR="00126C95">
        <w:rPr>
          <w:rFonts w:ascii="Courier New" w:hAnsi="Courier New" w:cs="Courier New"/>
        </w:rPr>
        <w:t xml:space="preserve">both of the </w:t>
      </w:r>
      <w:r w:rsidR="004E7354">
        <w:rPr>
          <w:rFonts w:ascii="Courier New" w:hAnsi="Courier New" w:cs="Courier New"/>
        </w:rPr>
        <w:t>fiscal years at issue</w:t>
      </w:r>
      <w:r w:rsidR="006D2770">
        <w:rPr>
          <w:rFonts w:ascii="Courier New" w:hAnsi="Courier New" w:cs="Courier New"/>
        </w:rPr>
        <w:t>.</w:t>
      </w:r>
    </w:p>
    <w:p w:rsidR="006D2770" w:rsidRPr="00E76A92" w:rsidRDefault="006D2770" w:rsidP="006D2770">
      <w:pPr>
        <w:spacing w:line="480" w:lineRule="auto"/>
        <w:ind w:firstLine="720"/>
        <w:jc w:val="both"/>
        <w:rPr>
          <w:rFonts w:ascii="Courier New" w:hAnsi="Courier New" w:cs="Courier New"/>
        </w:rPr>
      </w:pPr>
      <w:r w:rsidRPr="00E76A92">
        <w:rPr>
          <w:rFonts w:ascii="Courier New" w:hAnsi="Courier New" w:cs="Courier New"/>
          <w:color w:val="333333"/>
          <w:shd w:val="clear" w:color="auto" w:fill="FFFFFF"/>
        </w:rPr>
        <w:t>For vacancy and collection loss, Mr. Wolff testified that he consulted with local brokers who reported that vacancy rates for industrial space in Woburn ranged between 5% and 10%. He further testified that market survey</w:t>
      </w:r>
      <w:r w:rsidR="004310F2">
        <w:rPr>
          <w:rFonts w:ascii="Courier New" w:hAnsi="Courier New" w:cs="Courier New"/>
          <w:color w:val="333333"/>
          <w:shd w:val="clear" w:color="auto" w:fill="FFFFFF"/>
        </w:rPr>
        <w:t>s</w:t>
      </w:r>
      <w:r w:rsidRPr="00E76A92">
        <w:rPr>
          <w:rFonts w:ascii="Courier New" w:hAnsi="Courier New" w:cs="Courier New"/>
          <w:color w:val="333333"/>
          <w:shd w:val="clear" w:color="auto" w:fill="FFFFFF"/>
        </w:rPr>
        <w:t xml:space="preserve"> conducted by </w:t>
      </w:r>
      <w:proofErr w:type="spellStart"/>
      <w:r w:rsidRPr="00E76A92">
        <w:rPr>
          <w:rFonts w:ascii="Courier New" w:hAnsi="Courier New" w:cs="Courier New"/>
          <w:color w:val="333333"/>
          <w:shd w:val="clear" w:color="auto" w:fill="FFFFFF"/>
        </w:rPr>
        <w:t>CoStar</w:t>
      </w:r>
      <w:proofErr w:type="spellEnd"/>
      <w:r w:rsidRPr="00E76A92">
        <w:rPr>
          <w:rFonts w:ascii="Courier New" w:hAnsi="Courier New" w:cs="Courier New"/>
          <w:color w:val="333333"/>
          <w:shd w:val="clear" w:color="auto" w:fill="FFFFFF"/>
        </w:rPr>
        <w:t xml:space="preserve"> indicated that the vacancy rate for industrial space in the W</w:t>
      </w:r>
      <w:r>
        <w:rPr>
          <w:rFonts w:ascii="Courier New" w:hAnsi="Courier New" w:cs="Courier New"/>
          <w:color w:val="333333"/>
          <w:shd w:val="clear" w:color="auto" w:fill="FFFFFF"/>
        </w:rPr>
        <w:t xml:space="preserve">ilmington </w:t>
      </w:r>
      <w:r w:rsidRPr="00E76A92">
        <w:rPr>
          <w:rFonts w:ascii="Courier New" w:hAnsi="Courier New" w:cs="Courier New"/>
          <w:color w:val="333333"/>
          <w:shd w:val="clear" w:color="auto" w:fill="FFFFFF"/>
        </w:rPr>
        <w:t>area was between 5.8% and 6.2%</w:t>
      </w:r>
      <w:r w:rsidR="004E7354">
        <w:rPr>
          <w:rFonts w:ascii="Courier New" w:hAnsi="Courier New" w:cs="Courier New"/>
          <w:color w:val="333333"/>
          <w:shd w:val="clear" w:color="auto" w:fill="FFFFFF"/>
        </w:rPr>
        <w:t>, and</w:t>
      </w:r>
      <w:r w:rsidR="000D2056">
        <w:rPr>
          <w:rFonts w:ascii="Courier New" w:hAnsi="Courier New" w:cs="Courier New"/>
          <w:color w:val="333333"/>
          <w:shd w:val="clear" w:color="auto" w:fill="FFFFFF"/>
        </w:rPr>
        <w:t>,</w:t>
      </w:r>
      <w:r w:rsidR="004E7354">
        <w:rPr>
          <w:rFonts w:ascii="Courier New" w:hAnsi="Courier New" w:cs="Courier New"/>
          <w:color w:val="333333"/>
          <w:shd w:val="clear" w:color="auto" w:fill="FFFFFF"/>
        </w:rPr>
        <w:t xml:space="preserve"> according to survey</w:t>
      </w:r>
      <w:r w:rsidR="004310F2">
        <w:rPr>
          <w:rFonts w:ascii="Courier New" w:hAnsi="Courier New" w:cs="Courier New"/>
          <w:color w:val="333333"/>
          <w:shd w:val="clear" w:color="auto" w:fill="FFFFFF"/>
        </w:rPr>
        <w:t>s</w:t>
      </w:r>
      <w:r w:rsidR="004E7354">
        <w:rPr>
          <w:rFonts w:ascii="Courier New" w:hAnsi="Courier New" w:cs="Courier New"/>
          <w:color w:val="333333"/>
          <w:shd w:val="clear" w:color="auto" w:fill="FFFFFF"/>
        </w:rPr>
        <w:t xml:space="preserve"> reported by Jones Lang LaSalle</w:t>
      </w:r>
      <w:r w:rsidR="000D2056">
        <w:rPr>
          <w:rFonts w:ascii="Courier New" w:hAnsi="Courier New" w:cs="Courier New"/>
          <w:color w:val="333333"/>
          <w:shd w:val="clear" w:color="auto" w:fill="FFFFFF"/>
        </w:rPr>
        <w:t>,</w:t>
      </w:r>
      <w:r w:rsidR="004E7354">
        <w:rPr>
          <w:rFonts w:ascii="Courier New" w:hAnsi="Courier New" w:cs="Courier New"/>
          <w:color w:val="333333"/>
          <w:shd w:val="clear" w:color="auto" w:fill="FFFFFF"/>
        </w:rPr>
        <w:t xml:space="preserve"> the vacancy rate for industrial space in the Northwest Boston are</w:t>
      </w:r>
      <w:r w:rsidR="000D2056">
        <w:rPr>
          <w:rFonts w:ascii="Courier New" w:hAnsi="Courier New" w:cs="Courier New"/>
          <w:color w:val="333333"/>
          <w:shd w:val="clear" w:color="auto" w:fill="FFFFFF"/>
        </w:rPr>
        <w:t>a</w:t>
      </w:r>
      <w:r w:rsidR="004E7354">
        <w:rPr>
          <w:rFonts w:ascii="Courier New" w:hAnsi="Courier New" w:cs="Courier New"/>
          <w:color w:val="333333"/>
          <w:shd w:val="clear" w:color="auto" w:fill="FFFFFF"/>
        </w:rPr>
        <w:t>, which included Wilmington, was 26.4%</w:t>
      </w:r>
      <w:r w:rsidRPr="00E76A92">
        <w:rPr>
          <w:rFonts w:ascii="Courier New" w:hAnsi="Courier New" w:cs="Courier New"/>
          <w:color w:val="333333"/>
          <w:shd w:val="clear" w:color="auto" w:fill="FFFFFF"/>
        </w:rPr>
        <w:t xml:space="preserve">.  For purposes of the subject property, Mr. Wolff selected a </w:t>
      </w:r>
      <w:r>
        <w:rPr>
          <w:rFonts w:ascii="Courier New" w:hAnsi="Courier New" w:cs="Courier New"/>
          <w:color w:val="333333"/>
          <w:shd w:val="clear" w:color="auto" w:fill="FFFFFF"/>
        </w:rPr>
        <w:t>vacancy rate of 10</w:t>
      </w:r>
      <w:r w:rsidR="004E7354">
        <w:rPr>
          <w:rFonts w:ascii="Courier New" w:hAnsi="Courier New" w:cs="Courier New"/>
          <w:color w:val="333333"/>
          <w:shd w:val="clear" w:color="auto" w:fill="FFFFFF"/>
        </w:rPr>
        <w:t>%</w:t>
      </w:r>
      <w:r w:rsidR="004310F2">
        <w:rPr>
          <w:rFonts w:ascii="Courier New" w:hAnsi="Courier New" w:cs="Courier New"/>
          <w:color w:val="333333"/>
          <w:shd w:val="clear" w:color="auto" w:fill="FFFFFF"/>
        </w:rPr>
        <w:t xml:space="preserve"> for both fiscal years</w:t>
      </w:r>
      <w:r w:rsidR="004E7354">
        <w:rPr>
          <w:rFonts w:ascii="Courier New" w:hAnsi="Courier New" w:cs="Courier New"/>
          <w:color w:val="333333"/>
          <w:shd w:val="clear" w:color="auto" w:fill="FFFFFF"/>
        </w:rPr>
        <w:t>, wh</w:t>
      </w:r>
      <w:r w:rsidR="00C1371A">
        <w:rPr>
          <w:rFonts w:ascii="Courier New" w:hAnsi="Courier New" w:cs="Courier New"/>
          <w:color w:val="333333"/>
          <w:shd w:val="clear" w:color="auto" w:fill="FFFFFF"/>
        </w:rPr>
        <w:t>ich</w:t>
      </w:r>
      <w:r w:rsidRPr="00E76A92">
        <w:rPr>
          <w:rFonts w:ascii="Courier New" w:hAnsi="Courier New" w:cs="Courier New"/>
          <w:color w:val="333333"/>
          <w:shd w:val="clear" w:color="auto" w:fill="FFFFFF"/>
        </w:rPr>
        <w:t xml:space="preserve"> resulted in an effective gross income </w:t>
      </w:r>
      <w:r>
        <w:rPr>
          <w:rFonts w:ascii="Courier New" w:hAnsi="Courier New" w:cs="Courier New"/>
          <w:color w:val="333333"/>
          <w:shd w:val="clear" w:color="auto" w:fill="FFFFFF"/>
        </w:rPr>
        <w:t>of</w:t>
      </w:r>
      <w:r w:rsidRPr="00E76A92">
        <w:rPr>
          <w:rFonts w:ascii="Courier New" w:hAnsi="Courier New" w:cs="Courier New"/>
          <w:color w:val="333333"/>
          <w:shd w:val="clear" w:color="auto" w:fill="FFFFFF"/>
        </w:rPr>
        <w:t xml:space="preserve"> $</w:t>
      </w:r>
      <w:r w:rsidR="004E7354">
        <w:rPr>
          <w:rFonts w:ascii="Courier New" w:hAnsi="Courier New" w:cs="Courier New"/>
          <w:color w:val="333333"/>
          <w:shd w:val="clear" w:color="auto" w:fill="FFFFFF"/>
        </w:rPr>
        <w:t xml:space="preserve">197,208 for </w:t>
      </w:r>
      <w:r w:rsidR="00126C95">
        <w:rPr>
          <w:rFonts w:ascii="Courier New" w:hAnsi="Courier New" w:cs="Courier New"/>
          <w:color w:val="333333"/>
          <w:shd w:val="clear" w:color="auto" w:fill="FFFFFF"/>
        </w:rPr>
        <w:t xml:space="preserve">both of the </w:t>
      </w:r>
      <w:r w:rsidR="004E7354">
        <w:rPr>
          <w:rFonts w:ascii="Courier New" w:hAnsi="Courier New" w:cs="Courier New"/>
          <w:color w:val="333333"/>
          <w:shd w:val="clear" w:color="auto" w:fill="FFFFFF"/>
        </w:rPr>
        <w:t>fiscal years at issue</w:t>
      </w:r>
      <w:r w:rsidRPr="00E76A92">
        <w:rPr>
          <w:rFonts w:ascii="Courier New" w:hAnsi="Courier New" w:cs="Courier New"/>
          <w:color w:val="333333"/>
          <w:shd w:val="clear" w:color="auto" w:fill="FFFFFF"/>
        </w:rPr>
        <w:t>.</w:t>
      </w:r>
    </w:p>
    <w:p w:rsidR="000673B2" w:rsidRPr="000673B2" w:rsidRDefault="006D2770" w:rsidP="000673B2">
      <w:pPr>
        <w:spacing w:line="480" w:lineRule="auto"/>
        <w:ind w:firstLine="720"/>
        <w:jc w:val="both"/>
        <w:rPr>
          <w:rFonts w:ascii="Courier New" w:hAnsi="Courier New" w:cs="Courier New"/>
        </w:rPr>
      </w:pPr>
      <w:r w:rsidRPr="00E76A92">
        <w:rPr>
          <w:rFonts w:ascii="Courier New" w:hAnsi="Courier New" w:cs="Courier New"/>
          <w:color w:val="333333"/>
          <w:shd w:val="clear" w:color="auto" w:fill="FFFFFF"/>
        </w:rPr>
        <w:lastRenderedPageBreak/>
        <w:t>Next, Mr. Wolff d</w:t>
      </w:r>
      <w:r w:rsidR="00126C95">
        <w:rPr>
          <w:rFonts w:ascii="Courier New" w:hAnsi="Courier New" w:cs="Courier New"/>
          <w:color w:val="333333"/>
          <w:shd w:val="clear" w:color="auto" w:fill="FFFFFF"/>
        </w:rPr>
        <w:t>etermined the subject property’s</w:t>
      </w:r>
      <w:r w:rsidRPr="00E76A92">
        <w:rPr>
          <w:rFonts w:ascii="Courier New" w:hAnsi="Courier New" w:cs="Courier New"/>
          <w:color w:val="333333"/>
          <w:shd w:val="clear" w:color="auto" w:fill="FFFFFF"/>
        </w:rPr>
        <w:t xml:space="preserve"> net-operating income </w:t>
      </w:r>
      <w:r w:rsidR="004E7354">
        <w:rPr>
          <w:rFonts w:ascii="Courier New" w:hAnsi="Courier New" w:cs="Courier New"/>
          <w:color w:val="333333"/>
          <w:shd w:val="clear" w:color="auto" w:fill="FFFFFF"/>
        </w:rPr>
        <w:t xml:space="preserve">for the fiscal years at issue </w:t>
      </w:r>
      <w:r w:rsidRPr="00E76A92">
        <w:rPr>
          <w:rFonts w:ascii="Courier New" w:hAnsi="Courier New" w:cs="Courier New"/>
          <w:color w:val="333333"/>
          <w:shd w:val="clear" w:color="auto" w:fill="FFFFFF"/>
        </w:rPr>
        <w:t xml:space="preserve">by deducting from the </w:t>
      </w:r>
      <w:r>
        <w:rPr>
          <w:rFonts w:ascii="Courier New" w:hAnsi="Courier New" w:cs="Courier New"/>
          <w:color w:val="333333"/>
          <w:shd w:val="clear" w:color="auto" w:fill="FFFFFF"/>
        </w:rPr>
        <w:t>effective gross income</w:t>
      </w:r>
      <w:r w:rsidRPr="00E76A92">
        <w:rPr>
          <w:rFonts w:ascii="Courier New" w:hAnsi="Courier New" w:cs="Courier New"/>
          <w:color w:val="333333"/>
          <w:shd w:val="clear" w:color="auto" w:fill="FFFFFF"/>
        </w:rPr>
        <w:t xml:space="preserve"> the subject property's estimated operating expenses. </w:t>
      </w:r>
      <w:r w:rsidR="00955817">
        <w:rPr>
          <w:rFonts w:ascii="Courier New" w:hAnsi="Courier New" w:cs="Courier New"/>
          <w:color w:val="333333"/>
          <w:shd w:val="clear" w:color="auto" w:fill="FFFFFF"/>
        </w:rPr>
        <w:t xml:space="preserve"> </w:t>
      </w:r>
      <w:r w:rsidRPr="00E76A92">
        <w:rPr>
          <w:rFonts w:ascii="Courier New" w:hAnsi="Courier New" w:cs="Courier New"/>
          <w:color w:val="333333"/>
          <w:shd w:val="clear" w:color="auto" w:fill="FFFFFF"/>
        </w:rPr>
        <w:t xml:space="preserve">Mr. Wolff noted that within the subject property's competitive market area, the </w:t>
      </w:r>
      <w:r w:rsidR="00DC16D9">
        <w:rPr>
          <w:rFonts w:ascii="Courier New" w:hAnsi="Courier New" w:cs="Courier New"/>
          <w:color w:val="333333"/>
          <w:shd w:val="clear" w:color="auto" w:fill="FFFFFF"/>
        </w:rPr>
        <w:t>tenant is responsible for all operating expenses, excluding those associated with management and structural maintenance of the</w:t>
      </w:r>
      <w:r w:rsidRPr="00E76A92">
        <w:rPr>
          <w:rFonts w:ascii="Courier New" w:hAnsi="Courier New" w:cs="Courier New"/>
          <w:color w:val="333333"/>
          <w:shd w:val="clear" w:color="auto" w:fill="FFFFFF"/>
        </w:rPr>
        <w:t xml:space="preserve"> building. Consequently, Mr. Wolff </w:t>
      </w:r>
      <w:r w:rsidR="00EE5CFB">
        <w:rPr>
          <w:rFonts w:ascii="Courier New" w:hAnsi="Courier New" w:cs="Courier New"/>
          <w:color w:val="333333"/>
          <w:shd w:val="clear" w:color="auto" w:fill="FFFFFF"/>
        </w:rPr>
        <w:t xml:space="preserve">reported that he </w:t>
      </w:r>
      <w:r w:rsidR="00F76AE9">
        <w:rPr>
          <w:rFonts w:ascii="Courier New" w:hAnsi="Courier New" w:cs="Courier New"/>
          <w:color w:val="333333"/>
          <w:shd w:val="clear" w:color="auto" w:fill="FFFFFF"/>
        </w:rPr>
        <w:t>limited his expenses to</w:t>
      </w:r>
      <w:r w:rsidRPr="00E76A92">
        <w:rPr>
          <w:rFonts w:ascii="Courier New" w:hAnsi="Courier New" w:cs="Courier New"/>
          <w:color w:val="333333"/>
          <w:shd w:val="clear" w:color="auto" w:fill="FFFFFF"/>
        </w:rPr>
        <w:t xml:space="preserve"> a management fee equal to 5% of the </w:t>
      </w:r>
      <w:r w:rsidR="00DC16D9">
        <w:rPr>
          <w:rFonts w:ascii="Courier New" w:hAnsi="Courier New" w:cs="Courier New"/>
          <w:color w:val="333333"/>
          <w:shd w:val="clear" w:color="auto" w:fill="FFFFFF"/>
        </w:rPr>
        <w:t>effective gross income</w:t>
      </w:r>
      <w:r w:rsidRPr="00E76A92">
        <w:rPr>
          <w:rFonts w:ascii="Courier New" w:hAnsi="Courier New" w:cs="Courier New"/>
          <w:color w:val="333333"/>
          <w:shd w:val="clear" w:color="auto" w:fill="FFFFFF"/>
        </w:rPr>
        <w:t xml:space="preserve">, a replacement reserve allowance equal to </w:t>
      </w:r>
      <w:r w:rsidR="004E7354">
        <w:rPr>
          <w:rFonts w:ascii="Courier New" w:hAnsi="Courier New" w:cs="Courier New"/>
          <w:color w:val="333333"/>
          <w:shd w:val="clear" w:color="auto" w:fill="FFFFFF"/>
        </w:rPr>
        <w:t>3% of potential gross income</w:t>
      </w:r>
      <w:r w:rsidR="00DC16D9">
        <w:rPr>
          <w:rFonts w:ascii="Courier New" w:hAnsi="Courier New" w:cs="Courier New"/>
          <w:color w:val="333333"/>
          <w:shd w:val="clear" w:color="auto" w:fill="FFFFFF"/>
        </w:rPr>
        <w:t>,</w:t>
      </w:r>
      <w:r w:rsidRPr="00E76A92">
        <w:rPr>
          <w:rFonts w:ascii="Courier New" w:hAnsi="Courier New" w:cs="Courier New"/>
          <w:color w:val="333333"/>
          <w:shd w:val="clear" w:color="auto" w:fill="FFFFFF"/>
        </w:rPr>
        <w:t xml:space="preserve"> and also a </w:t>
      </w:r>
      <w:r>
        <w:rPr>
          <w:rFonts w:ascii="Courier New" w:hAnsi="Courier New" w:cs="Courier New"/>
          <w:color w:val="333333"/>
          <w:shd w:val="clear" w:color="auto" w:fill="FFFFFF"/>
        </w:rPr>
        <w:t xml:space="preserve">leasing </w:t>
      </w:r>
      <w:r w:rsidRPr="00E76A92">
        <w:rPr>
          <w:rFonts w:ascii="Courier New" w:hAnsi="Courier New" w:cs="Courier New"/>
          <w:color w:val="333333"/>
          <w:shd w:val="clear" w:color="auto" w:fill="FFFFFF"/>
        </w:rPr>
        <w:t xml:space="preserve">commission expense equal to 1% of the </w:t>
      </w:r>
      <w:r w:rsidR="00DC16D9">
        <w:rPr>
          <w:rFonts w:ascii="Courier New" w:hAnsi="Courier New" w:cs="Courier New"/>
          <w:color w:val="333333"/>
          <w:shd w:val="clear" w:color="auto" w:fill="FFFFFF"/>
        </w:rPr>
        <w:t xml:space="preserve">potential gross income, which he testified were typical </w:t>
      </w:r>
      <w:r w:rsidR="0054205B">
        <w:rPr>
          <w:rFonts w:ascii="Courier New" w:hAnsi="Courier New" w:cs="Courier New"/>
          <w:color w:val="333333"/>
          <w:shd w:val="clear" w:color="auto" w:fill="FFFFFF"/>
        </w:rPr>
        <w:t xml:space="preserve">in the market. Mr. Wolff deducted these expenses from his effective </w:t>
      </w:r>
      <w:r w:rsidR="00DC16D9">
        <w:rPr>
          <w:rFonts w:ascii="Courier New" w:hAnsi="Courier New" w:cs="Courier New"/>
          <w:color w:val="333333"/>
          <w:shd w:val="clear" w:color="auto" w:fill="FFFFFF"/>
        </w:rPr>
        <w:t>gros</w:t>
      </w:r>
      <w:r w:rsidR="0054205B">
        <w:rPr>
          <w:rFonts w:ascii="Courier New" w:hAnsi="Courier New" w:cs="Courier New"/>
          <w:color w:val="333333"/>
          <w:shd w:val="clear" w:color="auto" w:fill="FFFFFF"/>
        </w:rPr>
        <w:t>s income to derive a</w:t>
      </w:r>
      <w:r w:rsidR="0054205B">
        <w:rPr>
          <w:rStyle w:val="apple-converted-space"/>
          <w:rFonts w:ascii="Courier New" w:hAnsi="Courier New" w:cs="Courier New"/>
          <w:color w:val="333333"/>
          <w:shd w:val="clear" w:color="auto" w:fill="FFFFFF"/>
        </w:rPr>
        <w:t xml:space="preserve"> </w:t>
      </w:r>
      <w:r w:rsidR="004310F2">
        <w:rPr>
          <w:rStyle w:val="apple-converted-space"/>
          <w:rFonts w:ascii="Courier New" w:hAnsi="Courier New" w:cs="Courier New"/>
          <w:color w:val="333333"/>
          <w:shd w:val="clear" w:color="auto" w:fill="FFFFFF"/>
        </w:rPr>
        <w:t xml:space="preserve">stabilized </w:t>
      </w:r>
      <w:r w:rsidR="0054205B">
        <w:rPr>
          <w:rFonts w:ascii="Courier New" w:hAnsi="Courier New" w:cs="Courier New"/>
          <w:color w:val="333333"/>
          <w:shd w:val="clear" w:color="auto" w:fill="FFFFFF"/>
        </w:rPr>
        <w:t>net-operating income of $</w:t>
      </w:r>
      <w:r w:rsidR="004E7354">
        <w:rPr>
          <w:rFonts w:ascii="Courier New" w:hAnsi="Courier New" w:cs="Courier New"/>
          <w:color w:val="333333"/>
          <w:shd w:val="clear" w:color="auto" w:fill="FFFFFF"/>
        </w:rPr>
        <w:t xml:space="preserve">178,583 for </w:t>
      </w:r>
      <w:r w:rsidR="00126C95">
        <w:rPr>
          <w:rFonts w:ascii="Courier New" w:hAnsi="Courier New" w:cs="Courier New"/>
          <w:color w:val="333333"/>
          <w:shd w:val="clear" w:color="auto" w:fill="FFFFFF"/>
        </w:rPr>
        <w:t xml:space="preserve">both of </w:t>
      </w:r>
      <w:r w:rsidR="004310F2">
        <w:rPr>
          <w:rFonts w:ascii="Courier New" w:hAnsi="Courier New" w:cs="Courier New"/>
          <w:color w:val="333333"/>
          <w:shd w:val="clear" w:color="auto" w:fill="FFFFFF"/>
        </w:rPr>
        <w:t>the</w:t>
      </w:r>
      <w:r w:rsidR="004E7354">
        <w:rPr>
          <w:rFonts w:ascii="Courier New" w:hAnsi="Courier New" w:cs="Courier New"/>
          <w:color w:val="333333"/>
          <w:shd w:val="clear" w:color="auto" w:fill="FFFFFF"/>
        </w:rPr>
        <w:t xml:space="preserve"> fiscal years at issue.</w:t>
      </w:r>
    </w:p>
    <w:p w:rsidR="00267AC1" w:rsidRDefault="0054205B" w:rsidP="00F219B9">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Finally, Mr. Wolff de</w:t>
      </w:r>
      <w:r w:rsidR="00DC16D9">
        <w:rPr>
          <w:rFonts w:ascii="Courier New" w:hAnsi="Courier New" w:cs="Courier New"/>
          <w:color w:val="333333"/>
          <w:shd w:val="clear" w:color="auto" w:fill="FFFFFF"/>
        </w:rPr>
        <w:t>veloped a</w:t>
      </w:r>
      <w:r>
        <w:rPr>
          <w:rFonts w:ascii="Courier New" w:hAnsi="Courier New" w:cs="Courier New"/>
          <w:color w:val="333333"/>
          <w:shd w:val="clear" w:color="auto" w:fill="FFFFFF"/>
        </w:rPr>
        <w:t xml:space="preserve"> capitalization rate </w:t>
      </w:r>
      <w:r w:rsidR="004E7354">
        <w:rPr>
          <w:rFonts w:ascii="Courier New" w:hAnsi="Courier New" w:cs="Courier New"/>
          <w:color w:val="333333"/>
          <w:shd w:val="clear" w:color="auto" w:fill="FFFFFF"/>
        </w:rPr>
        <w:t xml:space="preserve">for each </w:t>
      </w:r>
      <w:r w:rsidR="002F75EA">
        <w:rPr>
          <w:rFonts w:ascii="Courier New" w:hAnsi="Courier New" w:cs="Courier New"/>
          <w:color w:val="333333"/>
          <w:shd w:val="clear" w:color="auto" w:fill="FFFFFF"/>
        </w:rPr>
        <w:t xml:space="preserve">of the </w:t>
      </w:r>
      <w:r w:rsidR="004E7354">
        <w:rPr>
          <w:rFonts w:ascii="Courier New" w:hAnsi="Courier New" w:cs="Courier New"/>
          <w:color w:val="333333"/>
          <w:shd w:val="clear" w:color="auto" w:fill="FFFFFF"/>
        </w:rPr>
        <w:t>fiscal year</w:t>
      </w:r>
      <w:r w:rsidR="006103DC">
        <w:rPr>
          <w:rFonts w:ascii="Courier New" w:hAnsi="Courier New" w:cs="Courier New"/>
          <w:color w:val="333333"/>
          <w:shd w:val="clear" w:color="auto" w:fill="FFFFFF"/>
        </w:rPr>
        <w:t>s at issue using a band-of-investment technique</w:t>
      </w:r>
      <w:r w:rsidR="000673B2">
        <w:rPr>
          <w:rFonts w:ascii="Courier New" w:hAnsi="Courier New" w:cs="Courier New"/>
          <w:color w:val="333333"/>
          <w:shd w:val="clear" w:color="auto" w:fill="FFFFFF"/>
        </w:rPr>
        <w:t xml:space="preserve">.  For fiscal year 2013 he </w:t>
      </w:r>
      <w:r w:rsidR="00DC16D9">
        <w:rPr>
          <w:rFonts w:ascii="Courier New" w:hAnsi="Courier New" w:cs="Courier New"/>
          <w:color w:val="333333"/>
          <w:shd w:val="clear" w:color="auto" w:fill="FFFFFF"/>
        </w:rPr>
        <w:t>assumed</w:t>
      </w:r>
      <w:r>
        <w:rPr>
          <w:rFonts w:ascii="Courier New" w:hAnsi="Courier New" w:cs="Courier New"/>
          <w:color w:val="333333"/>
          <w:shd w:val="clear" w:color="auto" w:fill="FFFFFF"/>
        </w:rPr>
        <w:t xml:space="preserve"> </w:t>
      </w:r>
      <w:r w:rsidR="00DC16D9">
        <w:rPr>
          <w:rFonts w:ascii="Courier New" w:hAnsi="Courier New" w:cs="Courier New"/>
          <w:color w:val="333333"/>
          <w:shd w:val="clear" w:color="auto" w:fill="FFFFFF"/>
        </w:rPr>
        <w:t xml:space="preserve">a </w:t>
      </w:r>
      <w:r>
        <w:rPr>
          <w:rFonts w:ascii="Courier New" w:hAnsi="Courier New" w:cs="Courier New"/>
          <w:color w:val="333333"/>
          <w:shd w:val="clear" w:color="auto" w:fill="FFFFFF"/>
        </w:rPr>
        <w:t>mortgage-to-equ</w:t>
      </w:r>
      <w:r w:rsidR="00267AC1">
        <w:rPr>
          <w:rFonts w:ascii="Courier New" w:hAnsi="Courier New" w:cs="Courier New"/>
          <w:color w:val="333333"/>
          <w:shd w:val="clear" w:color="auto" w:fill="FFFFFF"/>
        </w:rPr>
        <w:t>ity ratio of 75% to 25%, with a 4.5</w:t>
      </w:r>
      <w:r>
        <w:rPr>
          <w:rFonts w:ascii="Courier New" w:hAnsi="Courier New" w:cs="Courier New"/>
          <w:color w:val="333333"/>
          <w:shd w:val="clear" w:color="auto" w:fill="FFFFFF"/>
        </w:rPr>
        <w:t xml:space="preserve">% interest rate and a </w:t>
      </w:r>
      <w:r w:rsidR="00DC16D9">
        <w:rPr>
          <w:rFonts w:ascii="Courier New" w:hAnsi="Courier New" w:cs="Courier New"/>
          <w:color w:val="333333"/>
          <w:shd w:val="clear" w:color="auto" w:fill="FFFFFF"/>
        </w:rPr>
        <w:t>1</w:t>
      </w:r>
      <w:r w:rsidR="006103DC">
        <w:rPr>
          <w:rFonts w:ascii="Courier New" w:hAnsi="Courier New" w:cs="Courier New"/>
          <w:color w:val="333333"/>
          <w:shd w:val="clear" w:color="auto" w:fill="FFFFFF"/>
        </w:rPr>
        <w:t>2</w:t>
      </w:r>
      <w:r>
        <w:rPr>
          <w:rFonts w:ascii="Courier New" w:hAnsi="Courier New" w:cs="Courier New"/>
          <w:color w:val="333333"/>
          <w:shd w:val="clear" w:color="auto" w:fill="FFFFFF"/>
        </w:rPr>
        <w:t>% equity capitalization rate</w:t>
      </w:r>
      <w:r w:rsidR="002F75EA">
        <w:rPr>
          <w:rFonts w:ascii="Courier New" w:hAnsi="Courier New" w:cs="Courier New"/>
          <w:color w:val="333333"/>
          <w:shd w:val="clear" w:color="auto" w:fill="FFFFFF"/>
        </w:rPr>
        <w:t xml:space="preserve"> to determine a </w:t>
      </w:r>
      <w:r w:rsidR="00DC16D9">
        <w:rPr>
          <w:rFonts w:ascii="Courier New" w:hAnsi="Courier New" w:cs="Courier New"/>
          <w:color w:val="333333"/>
          <w:shd w:val="clear" w:color="auto" w:fill="FFFFFF"/>
        </w:rPr>
        <w:t>capitalization rate of 8.</w:t>
      </w:r>
      <w:r w:rsidR="002F75EA">
        <w:rPr>
          <w:rFonts w:ascii="Courier New" w:hAnsi="Courier New" w:cs="Courier New"/>
          <w:color w:val="333333"/>
          <w:shd w:val="clear" w:color="auto" w:fill="FFFFFF"/>
        </w:rPr>
        <w:t>0</w:t>
      </w:r>
      <w:r w:rsidR="006103DC">
        <w:rPr>
          <w:rFonts w:ascii="Courier New" w:hAnsi="Courier New" w:cs="Courier New"/>
          <w:color w:val="333333"/>
          <w:shd w:val="clear" w:color="auto" w:fill="FFFFFF"/>
        </w:rPr>
        <w:t>0</w:t>
      </w:r>
      <w:r w:rsidR="00DC16D9">
        <w:rPr>
          <w:rFonts w:ascii="Courier New" w:hAnsi="Courier New" w:cs="Courier New"/>
          <w:color w:val="333333"/>
          <w:shd w:val="clear" w:color="auto" w:fill="FFFFFF"/>
        </w:rPr>
        <w:t>%.</w:t>
      </w:r>
      <w:r>
        <w:rPr>
          <w:rFonts w:ascii="Courier New" w:hAnsi="Courier New" w:cs="Courier New"/>
          <w:color w:val="333333"/>
          <w:shd w:val="clear" w:color="auto" w:fill="FFFFFF"/>
        </w:rPr>
        <w:t xml:space="preserve"> </w:t>
      </w:r>
      <w:r w:rsidR="00F219B9">
        <w:rPr>
          <w:rFonts w:ascii="Courier New" w:hAnsi="Courier New" w:cs="Courier New"/>
          <w:color w:val="333333"/>
          <w:shd w:val="clear" w:color="auto" w:fill="FFFFFF"/>
        </w:rPr>
        <w:t xml:space="preserve"> Applying the 8.00% capitalization rate to the $178,583 </w:t>
      </w:r>
      <w:r w:rsidR="000D2056">
        <w:rPr>
          <w:rFonts w:ascii="Courier New" w:hAnsi="Courier New" w:cs="Courier New"/>
          <w:color w:val="333333"/>
          <w:shd w:val="clear" w:color="auto" w:fill="FFFFFF"/>
        </w:rPr>
        <w:t>net-operating income</w:t>
      </w:r>
      <w:r w:rsidR="00F219B9">
        <w:rPr>
          <w:rFonts w:ascii="Courier New" w:hAnsi="Courier New" w:cs="Courier New"/>
          <w:color w:val="333333"/>
          <w:shd w:val="clear" w:color="auto" w:fill="FFFFFF"/>
        </w:rPr>
        <w:t xml:space="preserve"> resulted in an estimated rounded value for the subject property of $2,23</w:t>
      </w:r>
      <w:r w:rsidR="000D2056">
        <w:rPr>
          <w:rFonts w:ascii="Courier New" w:hAnsi="Courier New" w:cs="Courier New"/>
          <w:color w:val="333333"/>
          <w:shd w:val="clear" w:color="auto" w:fill="FFFFFF"/>
        </w:rPr>
        <w:t>0</w:t>
      </w:r>
      <w:r w:rsidR="00F219B9">
        <w:rPr>
          <w:rFonts w:ascii="Courier New" w:hAnsi="Courier New" w:cs="Courier New"/>
          <w:color w:val="333333"/>
          <w:shd w:val="clear" w:color="auto" w:fill="FFFFFF"/>
        </w:rPr>
        <w:t>,</w:t>
      </w:r>
      <w:r w:rsidR="000D2056">
        <w:rPr>
          <w:rFonts w:ascii="Courier New" w:hAnsi="Courier New" w:cs="Courier New"/>
          <w:color w:val="333333"/>
          <w:shd w:val="clear" w:color="auto" w:fill="FFFFFF"/>
        </w:rPr>
        <w:t>000</w:t>
      </w:r>
      <w:r w:rsidR="00F219B9">
        <w:rPr>
          <w:rFonts w:ascii="Courier New" w:hAnsi="Courier New" w:cs="Courier New"/>
          <w:color w:val="333333"/>
          <w:shd w:val="clear" w:color="auto" w:fill="FFFFFF"/>
        </w:rPr>
        <w:t xml:space="preserve"> for fiscal year 2013.  </w:t>
      </w:r>
      <w:r w:rsidR="00267AC1">
        <w:rPr>
          <w:rFonts w:ascii="Courier New" w:hAnsi="Courier New" w:cs="Courier New"/>
          <w:color w:val="333333"/>
          <w:shd w:val="clear" w:color="auto" w:fill="FFFFFF"/>
        </w:rPr>
        <w:t xml:space="preserve"> </w:t>
      </w:r>
    </w:p>
    <w:p w:rsidR="0054205B" w:rsidRDefault="004310F2" w:rsidP="00F219B9">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lastRenderedPageBreak/>
        <w:t xml:space="preserve">For fiscal year 2014, Mr. Wolff </w:t>
      </w:r>
      <w:r w:rsidR="00040236">
        <w:rPr>
          <w:rFonts w:ascii="Courier New" w:hAnsi="Courier New" w:cs="Courier New"/>
          <w:color w:val="333333"/>
          <w:shd w:val="clear" w:color="auto" w:fill="FFFFFF"/>
        </w:rPr>
        <w:t xml:space="preserve">again </w:t>
      </w:r>
      <w:r>
        <w:rPr>
          <w:rFonts w:ascii="Courier New" w:hAnsi="Courier New" w:cs="Courier New"/>
          <w:color w:val="333333"/>
          <w:shd w:val="clear" w:color="auto" w:fill="FFFFFF"/>
        </w:rPr>
        <w:t>assumed a mortgage-to-equity r</w:t>
      </w:r>
      <w:r w:rsidR="00267AC1">
        <w:rPr>
          <w:rFonts w:ascii="Courier New" w:hAnsi="Courier New" w:cs="Courier New"/>
          <w:color w:val="333333"/>
          <w:shd w:val="clear" w:color="auto" w:fill="FFFFFF"/>
        </w:rPr>
        <w:t>atio of 75% to 25%, with a 4.5</w:t>
      </w:r>
      <w:r>
        <w:rPr>
          <w:rFonts w:ascii="Courier New" w:hAnsi="Courier New" w:cs="Courier New"/>
          <w:color w:val="333333"/>
          <w:shd w:val="clear" w:color="auto" w:fill="FFFFFF"/>
        </w:rPr>
        <w:t xml:space="preserve">% interest rate and a </w:t>
      </w:r>
      <w:r w:rsidR="000D2056">
        <w:rPr>
          <w:rFonts w:ascii="Courier New" w:hAnsi="Courier New" w:cs="Courier New"/>
          <w:color w:val="333333"/>
          <w:shd w:val="clear" w:color="auto" w:fill="FFFFFF"/>
        </w:rPr>
        <w:t>2</w:t>
      </w:r>
      <w:r>
        <w:rPr>
          <w:rFonts w:ascii="Courier New" w:hAnsi="Courier New" w:cs="Courier New"/>
          <w:color w:val="333333"/>
          <w:shd w:val="clear" w:color="auto" w:fill="FFFFFF"/>
        </w:rPr>
        <w:t xml:space="preserve">% </w:t>
      </w:r>
      <w:r w:rsidR="008D0E5D">
        <w:rPr>
          <w:rFonts w:ascii="Courier New" w:hAnsi="Courier New" w:cs="Courier New"/>
          <w:color w:val="333333"/>
          <w:shd w:val="clear" w:color="auto" w:fill="FFFFFF"/>
        </w:rPr>
        <w:t xml:space="preserve">higher </w:t>
      </w:r>
      <w:r>
        <w:rPr>
          <w:rFonts w:ascii="Courier New" w:hAnsi="Courier New" w:cs="Courier New"/>
          <w:color w:val="333333"/>
          <w:shd w:val="clear" w:color="auto" w:fill="FFFFFF"/>
        </w:rPr>
        <w:t xml:space="preserve">equity capitalization rate </w:t>
      </w:r>
      <w:r w:rsidR="000D2056">
        <w:rPr>
          <w:rFonts w:ascii="Courier New" w:hAnsi="Courier New" w:cs="Courier New"/>
          <w:color w:val="333333"/>
          <w:shd w:val="clear" w:color="auto" w:fill="FFFFFF"/>
        </w:rPr>
        <w:t xml:space="preserve">of 14% </w:t>
      </w:r>
      <w:r>
        <w:rPr>
          <w:rFonts w:ascii="Courier New" w:hAnsi="Courier New" w:cs="Courier New"/>
          <w:color w:val="333333"/>
          <w:shd w:val="clear" w:color="auto" w:fill="FFFFFF"/>
        </w:rPr>
        <w:t>to determine a capitalization rate of 8.</w:t>
      </w:r>
      <w:r w:rsidR="006103DC">
        <w:rPr>
          <w:rFonts w:ascii="Courier New" w:hAnsi="Courier New" w:cs="Courier New"/>
          <w:color w:val="333333"/>
          <w:shd w:val="clear" w:color="auto" w:fill="FFFFFF"/>
        </w:rPr>
        <w:t>5</w:t>
      </w:r>
      <w:r>
        <w:rPr>
          <w:rFonts w:ascii="Courier New" w:hAnsi="Courier New" w:cs="Courier New"/>
          <w:color w:val="333333"/>
          <w:shd w:val="clear" w:color="auto" w:fill="FFFFFF"/>
        </w:rPr>
        <w:t>0%.  Applying the 8.</w:t>
      </w:r>
      <w:r w:rsidR="006103DC">
        <w:rPr>
          <w:rFonts w:ascii="Courier New" w:hAnsi="Courier New" w:cs="Courier New"/>
          <w:color w:val="333333"/>
          <w:shd w:val="clear" w:color="auto" w:fill="FFFFFF"/>
        </w:rPr>
        <w:t>5</w:t>
      </w:r>
      <w:r>
        <w:rPr>
          <w:rFonts w:ascii="Courier New" w:hAnsi="Courier New" w:cs="Courier New"/>
          <w:color w:val="333333"/>
          <w:shd w:val="clear" w:color="auto" w:fill="FFFFFF"/>
        </w:rPr>
        <w:t xml:space="preserve">0% capitalization rate to the $178,583 </w:t>
      </w:r>
      <w:r w:rsidR="00F219B9">
        <w:rPr>
          <w:rFonts w:ascii="Courier New" w:hAnsi="Courier New" w:cs="Courier New"/>
          <w:color w:val="333333"/>
          <w:shd w:val="clear" w:color="auto" w:fill="FFFFFF"/>
        </w:rPr>
        <w:t xml:space="preserve">net-operating income </w:t>
      </w:r>
      <w:r>
        <w:rPr>
          <w:rFonts w:ascii="Courier New" w:hAnsi="Courier New" w:cs="Courier New"/>
          <w:color w:val="333333"/>
          <w:shd w:val="clear" w:color="auto" w:fill="FFFFFF"/>
        </w:rPr>
        <w:t xml:space="preserve">resulted in an estimated </w:t>
      </w:r>
      <w:r w:rsidR="00F219B9">
        <w:rPr>
          <w:rFonts w:ascii="Courier New" w:hAnsi="Courier New" w:cs="Courier New"/>
          <w:color w:val="333333"/>
          <w:shd w:val="clear" w:color="auto" w:fill="FFFFFF"/>
        </w:rPr>
        <w:t xml:space="preserve">rounded </w:t>
      </w:r>
      <w:r>
        <w:rPr>
          <w:rFonts w:ascii="Courier New" w:hAnsi="Courier New" w:cs="Courier New"/>
          <w:color w:val="333333"/>
          <w:shd w:val="clear" w:color="auto" w:fill="FFFFFF"/>
        </w:rPr>
        <w:t>value for the subject property of $2,</w:t>
      </w:r>
      <w:r w:rsidR="00F219B9">
        <w:rPr>
          <w:rFonts w:ascii="Courier New" w:hAnsi="Courier New" w:cs="Courier New"/>
          <w:color w:val="333333"/>
          <w:shd w:val="clear" w:color="auto" w:fill="FFFFFF"/>
        </w:rPr>
        <w:t>100</w:t>
      </w:r>
      <w:r>
        <w:rPr>
          <w:rFonts w:ascii="Courier New" w:hAnsi="Courier New" w:cs="Courier New"/>
          <w:color w:val="333333"/>
          <w:shd w:val="clear" w:color="auto" w:fill="FFFFFF"/>
        </w:rPr>
        <w:t>,000 for fiscal year 20</w:t>
      </w:r>
      <w:r w:rsidR="00F219B9">
        <w:rPr>
          <w:rFonts w:ascii="Courier New" w:hAnsi="Courier New" w:cs="Courier New"/>
          <w:color w:val="333333"/>
          <w:shd w:val="clear" w:color="auto" w:fill="FFFFFF"/>
        </w:rPr>
        <w:t>14</w:t>
      </w:r>
      <w:r>
        <w:rPr>
          <w:rFonts w:ascii="Courier New" w:hAnsi="Courier New" w:cs="Courier New"/>
          <w:color w:val="333333"/>
          <w:shd w:val="clear" w:color="auto" w:fill="FFFFFF"/>
        </w:rPr>
        <w:t>.</w:t>
      </w:r>
    </w:p>
    <w:p w:rsidR="0054205B" w:rsidRDefault="0054205B" w:rsidP="0054205B">
      <w:pPr>
        <w:spacing w:line="480" w:lineRule="auto"/>
        <w:ind w:firstLine="720"/>
        <w:jc w:val="both"/>
        <w:rPr>
          <w:rFonts w:ascii="Courier New" w:hAnsi="Courier New" w:cs="Courier New"/>
        </w:rPr>
      </w:pPr>
      <w:r>
        <w:rPr>
          <w:rFonts w:ascii="Courier New" w:hAnsi="Courier New" w:cs="Courier New"/>
        </w:rPr>
        <w:t>Mr. Wolff</w:t>
      </w:r>
      <w:r w:rsidR="00F76AE9">
        <w:rPr>
          <w:rFonts w:ascii="Courier New" w:hAnsi="Courier New" w:cs="Courier New"/>
        </w:rPr>
        <w:t xml:space="preserve">’s </w:t>
      </w:r>
      <w:r w:rsidR="00126C95">
        <w:rPr>
          <w:rFonts w:ascii="Courier New" w:hAnsi="Courier New" w:cs="Courier New"/>
        </w:rPr>
        <w:t>income-capitalization analyse</w:t>
      </w:r>
      <w:r>
        <w:rPr>
          <w:rFonts w:ascii="Courier New" w:hAnsi="Courier New" w:cs="Courier New"/>
        </w:rPr>
        <w:t xml:space="preserve">s </w:t>
      </w:r>
      <w:r w:rsidR="00126C95">
        <w:rPr>
          <w:rFonts w:ascii="Courier New" w:hAnsi="Courier New" w:cs="Courier New"/>
        </w:rPr>
        <w:t>are</w:t>
      </w:r>
      <w:r>
        <w:rPr>
          <w:rFonts w:ascii="Courier New" w:hAnsi="Courier New" w:cs="Courier New"/>
        </w:rPr>
        <w:t xml:space="preserve"> reproduced in the following table.</w:t>
      </w:r>
    </w:p>
    <w:p w:rsidR="0054205B" w:rsidRDefault="0054205B" w:rsidP="006B382B">
      <w:pPr>
        <w:ind w:firstLine="720"/>
        <w:rPr>
          <w:rFonts w:ascii="Courier New" w:hAnsi="Courier New" w:cs="Courier New"/>
          <w:b/>
          <w:color w:val="000000"/>
          <w:u w:val="single"/>
        </w:rPr>
      </w:pPr>
      <w:r>
        <w:rPr>
          <w:rFonts w:ascii="Courier New" w:hAnsi="Courier New" w:cs="Courier New"/>
          <w:b/>
          <w:color w:val="000000"/>
          <w:u w:val="single"/>
        </w:rPr>
        <w:t>Mr. Wolff’s Income-Capitalization Analys</w:t>
      </w:r>
      <w:r w:rsidR="00126C95">
        <w:rPr>
          <w:rFonts w:ascii="Courier New" w:hAnsi="Courier New" w:cs="Courier New"/>
          <w:b/>
          <w:color w:val="000000"/>
          <w:u w:val="single"/>
        </w:rPr>
        <w:t>e</w:t>
      </w:r>
      <w:r>
        <w:rPr>
          <w:rFonts w:ascii="Courier New" w:hAnsi="Courier New" w:cs="Courier New"/>
          <w:b/>
          <w:color w:val="000000"/>
          <w:u w:val="single"/>
        </w:rPr>
        <w:t>s</w:t>
      </w:r>
      <w:r w:rsidR="00F219B9">
        <w:rPr>
          <w:rFonts w:ascii="Courier New" w:hAnsi="Courier New" w:cs="Courier New"/>
          <w:b/>
          <w:color w:val="000000"/>
          <w:u w:val="single"/>
        </w:rPr>
        <w:t xml:space="preserve"> for FY13 &amp; FY14</w:t>
      </w:r>
    </w:p>
    <w:p w:rsidR="00EA254F" w:rsidRDefault="00EA254F" w:rsidP="00EA254F">
      <w:pPr>
        <w:rPr>
          <w:rFonts w:ascii="Courier New" w:hAnsi="Courier New" w:cs="Courier New"/>
          <w:b/>
          <w:color w:val="000000"/>
          <w:u w:val="single"/>
        </w:rPr>
      </w:pPr>
    </w:p>
    <w:tbl>
      <w:tblPr>
        <w:tblW w:w="0" w:type="auto"/>
        <w:tblLook w:val="04A0" w:firstRow="1" w:lastRow="0" w:firstColumn="1" w:lastColumn="0" w:noHBand="0" w:noVBand="1"/>
      </w:tblPr>
      <w:tblGrid>
        <w:gridCol w:w="7668"/>
        <w:gridCol w:w="1908"/>
      </w:tblGrid>
      <w:tr w:rsidR="00EA254F" w:rsidRPr="00850A64" w:rsidTr="00850A64">
        <w:tc>
          <w:tcPr>
            <w:tcW w:w="7668" w:type="dxa"/>
            <w:shd w:val="clear" w:color="auto" w:fill="auto"/>
          </w:tcPr>
          <w:p w:rsidR="00EA254F" w:rsidRPr="00850A64" w:rsidRDefault="00EA254F" w:rsidP="00EA254F">
            <w:pPr>
              <w:rPr>
                <w:rFonts w:ascii="Courier New" w:hAnsi="Courier New" w:cs="Courier New"/>
                <w:b/>
                <w:color w:val="000000"/>
                <w:sz w:val="20"/>
                <w:szCs w:val="20"/>
                <w:u w:val="single"/>
              </w:rPr>
            </w:pPr>
            <w:r w:rsidRPr="00850A64">
              <w:rPr>
                <w:rFonts w:ascii="Courier New" w:hAnsi="Courier New" w:cs="Courier New"/>
                <w:b/>
                <w:color w:val="000000"/>
                <w:sz w:val="20"/>
                <w:szCs w:val="20"/>
                <w:u w:val="single"/>
              </w:rPr>
              <w:t>INCOME</w:t>
            </w:r>
          </w:p>
          <w:p w:rsidR="00EA254F" w:rsidRPr="00850A64" w:rsidRDefault="00EA254F" w:rsidP="00F219B9">
            <w:pPr>
              <w:rPr>
                <w:rFonts w:ascii="Courier New" w:hAnsi="Courier New" w:cs="Courier New"/>
                <w:color w:val="000000"/>
                <w:sz w:val="20"/>
                <w:szCs w:val="20"/>
              </w:rPr>
            </w:pPr>
            <w:r w:rsidRPr="00850A64">
              <w:rPr>
                <w:rFonts w:ascii="Courier New" w:hAnsi="Courier New" w:cs="Courier New"/>
                <w:color w:val="000000"/>
                <w:sz w:val="20"/>
                <w:szCs w:val="20"/>
              </w:rPr>
              <w:t>Industrial Space</w:t>
            </w:r>
            <w:r w:rsidR="00C1371A">
              <w:rPr>
                <w:rFonts w:ascii="Courier New" w:hAnsi="Courier New" w:cs="Courier New"/>
                <w:color w:val="000000"/>
                <w:sz w:val="20"/>
                <w:szCs w:val="20"/>
              </w:rPr>
              <w:t xml:space="preserve"> </w:t>
            </w:r>
            <w:r w:rsidR="00F219B9">
              <w:rPr>
                <w:rFonts w:ascii="Courier New" w:hAnsi="Courier New" w:cs="Courier New"/>
                <w:color w:val="000000"/>
                <w:sz w:val="20"/>
                <w:szCs w:val="20"/>
              </w:rPr>
              <w:t>–</w:t>
            </w:r>
            <w:r w:rsidRPr="00850A64">
              <w:rPr>
                <w:rFonts w:ascii="Courier New" w:hAnsi="Courier New" w:cs="Courier New"/>
                <w:color w:val="000000"/>
                <w:sz w:val="20"/>
                <w:szCs w:val="20"/>
              </w:rPr>
              <w:t xml:space="preserve"> </w:t>
            </w:r>
            <w:r w:rsidR="00F219B9">
              <w:rPr>
                <w:rFonts w:ascii="Courier New" w:hAnsi="Courier New" w:cs="Courier New"/>
                <w:color w:val="000000"/>
                <w:sz w:val="20"/>
                <w:szCs w:val="20"/>
              </w:rPr>
              <w:t>54,780 sq</w:t>
            </w:r>
            <w:r w:rsidRPr="00850A64">
              <w:rPr>
                <w:rFonts w:ascii="Courier New" w:hAnsi="Courier New" w:cs="Courier New"/>
                <w:color w:val="000000"/>
                <w:sz w:val="20"/>
                <w:szCs w:val="20"/>
              </w:rPr>
              <w:t>uare feet @ $</w:t>
            </w:r>
            <w:r w:rsidR="00F219B9">
              <w:rPr>
                <w:rFonts w:ascii="Courier New" w:hAnsi="Courier New" w:cs="Courier New"/>
                <w:color w:val="000000"/>
                <w:sz w:val="20"/>
                <w:szCs w:val="20"/>
              </w:rPr>
              <w:t>4</w:t>
            </w:r>
            <w:r w:rsidRPr="00850A64">
              <w:rPr>
                <w:rFonts w:ascii="Courier New" w:hAnsi="Courier New" w:cs="Courier New"/>
                <w:color w:val="000000"/>
                <w:sz w:val="20"/>
                <w:szCs w:val="20"/>
              </w:rPr>
              <w:t>.</w:t>
            </w:r>
            <w:r w:rsidR="00F219B9">
              <w:rPr>
                <w:rFonts w:ascii="Courier New" w:hAnsi="Courier New" w:cs="Courier New"/>
                <w:color w:val="000000"/>
                <w:sz w:val="20"/>
                <w:szCs w:val="20"/>
              </w:rPr>
              <w:t>00</w:t>
            </w:r>
            <w:r w:rsidRPr="00850A64">
              <w:rPr>
                <w:rFonts w:ascii="Courier New" w:hAnsi="Courier New" w:cs="Courier New"/>
                <w:color w:val="000000"/>
                <w:sz w:val="20"/>
                <w:szCs w:val="20"/>
              </w:rPr>
              <w:t xml:space="preserve"> </w:t>
            </w:r>
            <w:proofErr w:type="spellStart"/>
            <w:r w:rsidRPr="00850A64">
              <w:rPr>
                <w:rFonts w:ascii="Courier New" w:hAnsi="Courier New" w:cs="Courier New"/>
                <w:color w:val="000000"/>
                <w:sz w:val="20"/>
                <w:szCs w:val="20"/>
              </w:rPr>
              <w:t>psf</w:t>
            </w:r>
            <w:proofErr w:type="spellEnd"/>
            <w:r w:rsidRPr="00850A64">
              <w:rPr>
                <w:rFonts w:ascii="Courier New" w:hAnsi="Courier New" w:cs="Courier New"/>
                <w:color w:val="000000"/>
                <w:sz w:val="20"/>
                <w:szCs w:val="20"/>
              </w:rPr>
              <w:t xml:space="preserve"> </w:t>
            </w:r>
          </w:p>
        </w:tc>
        <w:tc>
          <w:tcPr>
            <w:tcW w:w="1908" w:type="dxa"/>
            <w:shd w:val="clear" w:color="auto" w:fill="auto"/>
          </w:tcPr>
          <w:p w:rsidR="00EA254F" w:rsidRPr="00850A64" w:rsidRDefault="00EA254F" w:rsidP="00EA254F">
            <w:pPr>
              <w:rPr>
                <w:rFonts w:ascii="Courier New" w:hAnsi="Courier New" w:cs="Courier New"/>
                <w:b/>
                <w:color w:val="000000"/>
                <w:sz w:val="20"/>
                <w:szCs w:val="20"/>
                <w:u w:val="single"/>
              </w:rPr>
            </w:pPr>
          </w:p>
        </w:tc>
      </w:tr>
      <w:tr w:rsidR="00EA254F" w:rsidRPr="00850A64" w:rsidTr="00850A64">
        <w:tc>
          <w:tcPr>
            <w:tcW w:w="7668" w:type="dxa"/>
            <w:shd w:val="clear" w:color="auto" w:fill="auto"/>
          </w:tcPr>
          <w:p w:rsidR="00EA254F" w:rsidRPr="00850A64" w:rsidRDefault="00EA254F" w:rsidP="00EA254F">
            <w:pPr>
              <w:rPr>
                <w:rFonts w:ascii="Courier New" w:hAnsi="Courier New" w:cs="Courier New"/>
                <w:b/>
                <w:color w:val="000000"/>
                <w:sz w:val="20"/>
                <w:szCs w:val="20"/>
              </w:rPr>
            </w:pPr>
            <w:r w:rsidRPr="00850A64">
              <w:rPr>
                <w:rFonts w:ascii="Courier New" w:hAnsi="Courier New" w:cs="Courier New"/>
                <w:b/>
                <w:color w:val="000000"/>
                <w:sz w:val="20"/>
                <w:szCs w:val="20"/>
              </w:rPr>
              <w:t>Potential Gross Income (“PGI”)</w:t>
            </w:r>
          </w:p>
        </w:tc>
        <w:tc>
          <w:tcPr>
            <w:tcW w:w="1908" w:type="dxa"/>
            <w:shd w:val="clear" w:color="auto" w:fill="auto"/>
          </w:tcPr>
          <w:p w:rsidR="00EA254F" w:rsidRPr="00850A64" w:rsidRDefault="00EA26FC" w:rsidP="00EA26FC">
            <w:pPr>
              <w:rPr>
                <w:rFonts w:ascii="Courier New" w:hAnsi="Courier New" w:cs="Courier New"/>
                <w:b/>
                <w:color w:val="000000"/>
                <w:sz w:val="20"/>
                <w:szCs w:val="20"/>
              </w:rPr>
            </w:pPr>
            <w:r w:rsidRPr="00850A64">
              <w:rPr>
                <w:rFonts w:ascii="Courier New" w:hAnsi="Courier New" w:cs="Courier New"/>
                <w:b/>
                <w:color w:val="000000"/>
                <w:sz w:val="20"/>
                <w:szCs w:val="20"/>
              </w:rPr>
              <w:t xml:space="preserve">  </w:t>
            </w:r>
            <w:r w:rsidR="00EA254F" w:rsidRPr="00850A64">
              <w:rPr>
                <w:rFonts w:ascii="Courier New" w:hAnsi="Courier New" w:cs="Courier New"/>
                <w:b/>
                <w:color w:val="000000"/>
                <w:sz w:val="20"/>
                <w:szCs w:val="20"/>
              </w:rPr>
              <w:t>$</w:t>
            </w:r>
            <w:r w:rsidR="00D00F54" w:rsidRPr="00850A64">
              <w:rPr>
                <w:rFonts w:ascii="Courier New" w:hAnsi="Courier New" w:cs="Courier New"/>
                <w:b/>
                <w:color w:val="000000"/>
                <w:sz w:val="20"/>
                <w:szCs w:val="20"/>
              </w:rPr>
              <w:t xml:space="preserve"> </w:t>
            </w:r>
            <w:r w:rsidRPr="00850A64">
              <w:rPr>
                <w:rFonts w:ascii="Courier New" w:hAnsi="Courier New" w:cs="Courier New"/>
                <w:b/>
                <w:color w:val="000000"/>
                <w:sz w:val="20"/>
                <w:szCs w:val="20"/>
              </w:rPr>
              <w:t xml:space="preserve">  </w:t>
            </w:r>
            <w:r w:rsidR="00F219B9">
              <w:rPr>
                <w:rFonts w:ascii="Courier New" w:hAnsi="Courier New" w:cs="Courier New"/>
                <w:b/>
                <w:color w:val="000000"/>
                <w:sz w:val="20"/>
                <w:szCs w:val="20"/>
              </w:rPr>
              <w:t>219,120</w:t>
            </w:r>
          </w:p>
        </w:tc>
      </w:tr>
      <w:tr w:rsidR="00D00F54" w:rsidRPr="00850A64" w:rsidTr="00850A64">
        <w:tc>
          <w:tcPr>
            <w:tcW w:w="7668" w:type="dxa"/>
            <w:shd w:val="clear" w:color="auto" w:fill="auto"/>
          </w:tcPr>
          <w:p w:rsidR="00D00F54" w:rsidRPr="00850A64" w:rsidRDefault="00D00F54" w:rsidP="00EA254F">
            <w:pPr>
              <w:rPr>
                <w:rFonts w:ascii="Courier New" w:hAnsi="Courier New" w:cs="Courier New"/>
                <w:color w:val="000000"/>
                <w:sz w:val="20"/>
                <w:szCs w:val="20"/>
              </w:rPr>
            </w:pPr>
            <w:r w:rsidRPr="00850A64">
              <w:rPr>
                <w:rFonts w:ascii="Courier New" w:hAnsi="Courier New" w:cs="Courier New"/>
                <w:color w:val="000000"/>
                <w:sz w:val="20"/>
                <w:szCs w:val="20"/>
              </w:rPr>
              <w:t>Vacancy &amp; Collection Allowance (10%)</w:t>
            </w:r>
          </w:p>
        </w:tc>
        <w:tc>
          <w:tcPr>
            <w:tcW w:w="1908" w:type="dxa"/>
            <w:shd w:val="clear" w:color="auto" w:fill="auto"/>
          </w:tcPr>
          <w:p w:rsidR="00D00F54" w:rsidRPr="00850A64" w:rsidRDefault="00EA26FC" w:rsidP="00EA26FC">
            <w:pPr>
              <w:rPr>
                <w:rFonts w:ascii="Courier New" w:hAnsi="Courier New" w:cs="Courier New"/>
                <w:color w:val="000000"/>
                <w:sz w:val="20"/>
                <w:szCs w:val="20"/>
              </w:rPr>
            </w:pPr>
            <w:r w:rsidRPr="00850A64">
              <w:rPr>
                <w:rFonts w:ascii="Courier New" w:hAnsi="Courier New" w:cs="Courier New"/>
                <w:color w:val="000000"/>
                <w:sz w:val="20"/>
                <w:szCs w:val="20"/>
              </w:rPr>
              <w:t xml:space="preserve"> </w:t>
            </w:r>
            <w:r w:rsidR="00D00F54" w:rsidRPr="00850A64">
              <w:rPr>
                <w:rFonts w:ascii="Courier New" w:hAnsi="Courier New" w:cs="Courier New"/>
                <w:color w:val="000000"/>
                <w:sz w:val="20"/>
                <w:szCs w:val="20"/>
              </w:rPr>
              <w:t xml:space="preserve">($  </w:t>
            </w:r>
            <w:r w:rsidRPr="00850A64">
              <w:rPr>
                <w:rFonts w:ascii="Courier New" w:hAnsi="Courier New" w:cs="Courier New"/>
                <w:color w:val="000000"/>
                <w:sz w:val="20"/>
                <w:szCs w:val="20"/>
              </w:rPr>
              <w:t xml:space="preserve">  </w:t>
            </w:r>
            <w:r w:rsidR="00F219B9">
              <w:rPr>
                <w:rFonts w:ascii="Courier New" w:hAnsi="Courier New" w:cs="Courier New"/>
                <w:color w:val="000000"/>
                <w:sz w:val="20"/>
                <w:szCs w:val="20"/>
              </w:rPr>
              <w:t>21,912</w:t>
            </w:r>
            <w:r w:rsidR="00D00F54" w:rsidRPr="00850A64">
              <w:rPr>
                <w:rFonts w:ascii="Courier New" w:hAnsi="Courier New" w:cs="Courier New"/>
                <w:color w:val="000000"/>
                <w:sz w:val="20"/>
                <w:szCs w:val="20"/>
              </w:rPr>
              <w:t>)</w:t>
            </w:r>
          </w:p>
        </w:tc>
      </w:tr>
      <w:tr w:rsidR="00D00F54" w:rsidRPr="00850A64" w:rsidTr="00850A64">
        <w:tc>
          <w:tcPr>
            <w:tcW w:w="7668" w:type="dxa"/>
            <w:shd w:val="clear" w:color="auto" w:fill="auto"/>
          </w:tcPr>
          <w:p w:rsidR="00D00F54" w:rsidRPr="00850A64" w:rsidRDefault="00D00F54" w:rsidP="00EA254F">
            <w:pPr>
              <w:rPr>
                <w:rFonts w:ascii="Courier New" w:hAnsi="Courier New" w:cs="Courier New"/>
                <w:b/>
                <w:color w:val="000000"/>
                <w:sz w:val="20"/>
                <w:szCs w:val="20"/>
              </w:rPr>
            </w:pPr>
            <w:r w:rsidRPr="00850A64">
              <w:rPr>
                <w:rFonts w:ascii="Courier New" w:hAnsi="Courier New" w:cs="Courier New"/>
                <w:b/>
                <w:color w:val="000000"/>
                <w:sz w:val="20"/>
                <w:szCs w:val="20"/>
              </w:rPr>
              <w:t>Effective Gross Income (“EGI”)</w:t>
            </w:r>
          </w:p>
        </w:tc>
        <w:tc>
          <w:tcPr>
            <w:tcW w:w="1908" w:type="dxa"/>
            <w:shd w:val="clear" w:color="auto" w:fill="auto"/>
          </w:tcPr>
          <w:p w:rsidR="00D00F54" w:rsidRPr="00850A64" w:rsidRDefault="00EA26FC" w:rsidP="00EA26FC">
            <w:pPr>
              <w:rPr>
                <w:rFonts w:ascii="Courier New" w:hAnsi="Courier New" w:cs="Courier New"/>
                <w:b/>
                <w:color w:val="000000"/>
                <w:sz w:val="20"/>
                <w:szCs w:val="20"/>
              </w:rPr>
            </w:pPr>
            <w:r w:rsidRPr="00850A64">
              <w:rPr>
                <w:rFonts w:ascii="Courier New" w:hAnsi="Courier New" w:cs="Courier New"/>
                <w:b/>
                <w:color w:val="000000"/>
                <w:sz w:val="20"/>
                <w:szCs w:val="20"/>
              </w:rPr>
              <w:t xml:space="preserve">  </w:t>
            </w:r>
            <w:r w:rsidR="00D00F54" w:rsidRPr="00850A64">
              <w:rPr>
                <w:rFonts w:ascii="Courier New" w:hAnsi="Courier New" w:cs="Courier New"/>
                <w:b/>
                <w:color w:val="000000"/>
                <w:sz w:val="20"/>
                <w:szCs w:val="20"/>
              </w:rPr>
              <w:t xml:space="preserve">$ </w:t>
            </w:r>
            <w:r w:rsidRPr="00850A64">
              <w:rPr>
                <w:rFonts w:ascii="Courier New" w:hAnsi="Courier New" w:cs="Courier New"/>
                <w:b/>
                <w:color w:val="000000"/>
                <w:sz w:val="20"/>
                <w:szCs w:val="20"/>
              </w:rPr>
              <w:t xml:space="preserve">  </w:t>
            </w:r>
            <w:r w:rsidR="00F219B9">
              <w:rPr>
                <w:rFonts w:ascii="Courier New" w:hAnsi="Courier New" w:cs="Courier New"/>
                <w:b/>
                <w:color w:val="000000"/>
                <w:sz w:val="20"/>
                <w:szCs w:val="20"/>
              </w:rPr>
              <w:t>197,208</w:t>
            </w:r>
          </w:p>
        </w:tc>
      </w:tr>
      <w:tr w:rsidR="00D00F54" w:rsidRPr="00850A64" w:rsidTr="00850A64">
        <w:tc>
          <w:tcPr>
            <w:tcW w:w="7668" w:type="dxa"/>
            <w:shd w:val="clear" w:color="auto" w:fill="auto"/>
          </w:tcPr>
          <w:p w:rsidR="00D00F54" w:rsidRPr="00850A64" w:rsidRDefault="00D00F54" w:rsidP="00EA254F">
            <w:pPr>
              <w:rPr>
                <w:rFonts w:ascii="Courier New" w:hAnsi="Courier New" w:cs="Courier New"/>
                <w:b/>
                <w:color w:val="000000"/>
                <w:sz w:val="20"/>
                <w:szCs w:val="20"/>
              </w:rPr>
            </w:pPr>
          </w:p>
        </w:tc>
        <w:tc>
          <w:tcPr>
            <w:tcW w:w="1908" w:type="dxa"/>
            <w:shd w:val="clear" w:color="auto" w:fill="auto"/>
          </w:tcPr>
          <w:p w:rsidR="00D00F54" w:rsidRPr="00850A64" w:rsidRDefault="00D00F54" w:rsidP="00850A64">
            <w:pPr>
              <w:jc w:val="right"/>
              <w:rPr>
                <w:rFonts w:ascii="Courier New" w:hAnsi="Courier New" w:cs="Courier New"/>
                <w:b/>
                <w:color w:val="000000"/>
                <w:sz w:val="20"/>
                <w:szCs w:val="20"/>
              </w:rPr>
            </w:pPr>
          </w:p>
        </w:tc>
      </w:tr>
      <w:tr w:rsidR="00D00F54" w:rsidRPr="00850A64" w:rsidTr="00850A64">
        <w:tc>
          <w:tcPr>
            <w:tcW w:w="7668" w:type="dxa"/>
            <w:shd w:val="clear" w:color="auto" w:fill="auto"/>
          </w:tcPr>
          <w:p w:rsidR="00D00F54" w:rsidRPr="00850A64" w:rsidRDefault="00D00F54" w:rsidP="00EA254F">
            <w:pPr>
              <w:rPr>
                <w:rFonts w:ascii="Courier New" w:hAnsi="Courier New" w:cs="Courier New"/>
                <w:b/>
                <w:color w:val="000000"/>
                <w:sz w:val="20"/>
                <w:szCs w:val="20"/>
                <w:u w:val="single"/>
              </w:rPr>
            </w:pPr>
            <w:r w:rsidRPr="00850A64">
              <w:rPr>
                <w:rFonts w:ascii="Courier New" w:hAnsi="Courier New" w:cs="Courier New"/>
                <w:b/>
                <w:color w:val="000000"/>
                <w:sz w:val="20"/>
                <w:szCs w:val="20"/>
                <w:u w:val="single"/>
              </w:rPr>
              <w:t>EXPENSES</w:t>
            </w:r>
          </w:p>
        </w:tc>
        <w:tc>
          <w:tcPr>
            <w:tcW w:w="1908" w:type="dxa"/>
            <w:shd w:val="clear" w:color="auto" w:fill="auto"/>
          </w:tcPr>
          <w:p w:rsidR="00D00F54" w:rsidRPr="00850A64" w:rsidRDefault="00D00F54" w:rsidP="00850A64">
            <w:pPr>
              <w:jc w:val="right"/>
              <w:rPr>
                <w:rFonts w:ascii="Courier New" w:hAnsi="Courier New" w:cs="Courier New"/>
                <w:b/>
                <w:color w:val="000000"/>
                <w:sz w:val="20"/>
                <w:szCs w:val="20"/>
              </w:rPr>
            </w:pPr>
          </w:p>
        </w:tc>
      </w:tr>
      <w:tr w:rsidR="00D00F54" w:rsidRPr="00850A64" w:rsidTr="00850A64">
        <w:tc>
          <w:tcPr>
            <w:tcW w:w="7668" w:type="dxa"/>
            <w:shd w:val="clear" w:color="auto" w:fill="auto"/>
          </w:tcPr>
          <w:p w:rsidR="00D00F54" w:rsidRPr="00850A64" w:rsidRDefault="00D00F54" w:rsidP="00EA254F">
            <w:pPr>
              <w:rPr>
                <w:rFonts w:ascii="Courier New" w:hAnsi="Courier New" w:cs="Courier New"/>
                <w:color w:val="000000"/>
                <w:sz w:val="20"/>
                <w:szCs w:val="20"/>
              </w:rPr>
            </w:pPr>
            <w:r w:rsidRPr="00850A64">
              <w:rPr>
                <w:rFonts w:ascii="Courier New" w:hAnsi="Courier New" w:cs="Courier New"/>
                <w:color w:val="000000"/>
                <w:sz w:val="20"/>
                <w:szCs w:val="20"/>
              </w:rPr>
              <w:t xml:space="preserve">  Management Fee          </w:t>
            </w:r>
            <w:r w:rsidR="00F219B9">
              <w:rPr>
                <w:rFonts w:ascii="Courier New" w:hAnsi="Courier New" w:cs="Courier New"/>
                <w:color w:val="000000"/>
                <w:sz w:val="20"/>
                <w:szCs w:val="20"/>
              </w:rPr>
              <w:t>$  9,860</w:t>
            </w:r>
            <w:r w:rsidRPr="00850A64">
              <w:rPr>
                <w:rFonts w:ascii="Courier New" w:hAnsi="Courier New" w:cs="Courier New"/>
                <w:color w:val="000000"/>
                <w:sz w:val="20"/>
                <w:szCs w:val="20"/>
              </w:rPr>
              <w:t xml:space="preserve">   @ 5% of EGI</w:t>
            </w:r>
          </w:p>
          <w:p w:rsidR="00D00F54" w:rsidRPr="00850A64" w:rsidRDefault="00D00F54" w:rsidP="00EA254F">
            <w:pPr>
              <w:rPr>
                <w:rFonts w:ascii="Courier New" w:hAnsi="Courier New" w:cs="Courier New"/>
                <w:color w:val="000000"/>
                <w:sz w:val="20"/>
                <w:szCs w:val="20"/>
              </w:rPr>
            </w:pPr>
            <w:r w:rsidRPr="00850A64">
              <w:rPr>
                <w:rFonts w:ascii="Courier New" w:hAnsi="Courier New" w:cs="Courier New"/>
                <w:color w:val="000000"/>
                <w:sz w:val="20"/>
                <w:szCs w:val="20"/>
              </w:rPr>
              <w:t xml:space="preserve">  Replacement Reserves    </w:t>
            </w:r>
            <w:r w:rsidR="00F219B9">
              <w:rPr>
                <w:rFonts w:ascii="Courier New" w:hAnsi="Courier New" w:cs="Courier New"/>
                <w:color w:val="000000"/>
                <w:sz w:val="20"/>
                <w:szCs w:val="20"/>
              </w:rPr>
              <w:t>$  6,574</w:t>
            </w:r>
            <w:r w:rsidRPr="00850A64">
              <w:rPr>
                <w:rFonts w:ascii="Courier New" w:hAnsi="Courier New" w:cs="Courier New"/>
                <w:color w:val="000000"/>
                <w:sz w:val="20"/>
                <w:szCs w:val="20"/>
              </w:rPr>
              <w:t xml:space="preserve">   @ </w:t>
            </w:r>
            <w:r w:rsidR="00F219B9">
              <w:rPr>
                <w:rFonts w:ascii="Courier New" w:hAnsi="Courier New" w:cs="Courier New"/>
                <w:color w:val="000000"/>
                <w:sz w:val="20"/>
                <w:szCs w:val="20"/>
              </w:rPr>
              <w:t>3% of</w:t>
            </w:r>
            <w:r w:rsidRPr="00850A64">
              <w:rPr>
                <w:rFonts w:ascii="Courier New" w:hAnsi="Courier New" w:cs="Courier New"/>
                <w:color w:val="000000"/>
                <w:sz w:val="20"/>
                <w:szCs w:val="20"/>
              </w:rPr>
              <w:t xml:space="preserve"> </w:t>
            </w:r>
            <w:r w:rsidR="00F219B9">
              <w:rPr>
                <w:rFonts w:ascii="Courier New" w:hAnsi="Courier New" w:cs="Courier New"/>
                <w:color w:val="000000"/>
                <w:sz w:val="20"/>
                <w:szCs w:val="20"/>
              </w:rPr>
              <w:t>PGI</w:t>
            </w:r>
          </w:p>
          <w:p w:rsidR="00D00F54" w:rsidRPr="00850A64" w:rsidRDefault="00D00F54" w:rsidP="00EA254F">
            <w:pPr>
              <w:rPr>
                <w:rFonts w:ascii="Courier New" w:hAnsi="Courier New" w:cs="Courier New"/>
                <w:color w:val="000000"/>
                <w:sz w:val="20"/>
                <w:szCs w:val="20"/>
              </w:rPr>
            </w:pPr>
            <w:r w:rsidRPr="00850A64">
              <w:rPr>
                <w:rFonts w:ascii="Courier New" w:hAnsi="Courier New" w:cs="Courier New"/>
                <w:color w:val="000000"/>
                <w:sz w:val="20"/>
                <w:szCs w:val="20"/>
              </w:rPr>
              <w:t xml:space="preserve">  Commissions             </w:t>
            </w:r>
            <w:r w:rsidR="00F219B9">
              <w:rPr>
                <w:rFonts w:ascii="Courier New" w:hAnsi="Courier New" w:cs="Courier New"/>
                <w:color w:val="000000"/>
                <w:sz w:val="20"/>
                <w:szCs w:val="20"/>
              </w:rPr>
              <w:t>$  2,191</w:t>
            </w:r>
            <w:r w:rsidRPr="00850A64">
              <w:rPr>
                <w:rFonts w:ascii="Courier New" w:hAnsi="Courier New" w:cs="Courier New"/>
                <w:color w:val="000000"/>
                <w:sz w:val="20"/>
                <w:szCs w:val="20"/>
              </w:rPr>
              <w:t xml:space="preserve">   @ 1% of PGI</w:t>
            </w:r>
          </w:p>
          <w:p w:rsidR="00D00F54" w:rsidRPr="00850A64" w:rsidRDefault="00D00F54" w:rsidP="00EA254F">
            <w:pPr>
              <w:rPr>
                <w:rFonts w:ascii="Courier New" w:hAnsi="Courier New" w:cs="Courier New"/>
                <w:b/>
                <w:color w:val="000000"/>
                <w:sz w:val="20"/>
                <w:szCs w:val="20"/>
              </w:rPr>
            </w:pPr>
            <w:r w:rsidRPr="00850A64">
              <w:rPr>
                <w:rFonts w:ascii="Courier New" w:hAnsi="Courier New" w:cs="Courier New"/>
                <w:b/>
                <w:color w:val="000000"/>
                <w:sz w:val="20"/>
                <w:szCs w:val="20"/>
              </w:rPr>
              <w:t>Total Expenses</w:t>
            </w:r>
          </w:p>
        </w:tc>
        <w:tc>
          <w:tcPr>
            <w:tcW w:w="1908" w:type="dxa"/>
            <w:shd w:val="clear" w:color="auto" w:fill="auto"/>
          </w:tcPr>
          <w:p w:rsidR="00D00F54" w:rsidRPr="00850A64" w:rsidRDefault="00D00F54" w:rsidP="00850A64">
            <w:pPr>
              <w:jc w:val="right"/>
              <w:rPr>
                <w:rFonts w:ascii="Courier New" w:hAnsi="Courier New" w:cs="Courier New"/>
                <w:b/>
                <w:color w:val="000000"/>
                <w:sz w:val="20"/>
                <w:szCs w:val="20"/>
              </w:rPr>
            </w:pPr>
          </w:p>
          <w:p w:rsidR="00D00F54" w:rsidRPr="00850A64" w:rsidRDefault="00D00F54" w:rsidP="00850A64">
            <w:pPr>
              <w:jc w:val="right"/>
              <w:rPr>
                <w:rFonts w:ascii="Courier New" w:hAnsi="Courier New" w:cs="Courier New"/>
                <w:b/>
                <w:color w:val="000000"/>
                <w:sz w:val="20"/>
                <w:szCs w:val="20"/>
              </w:rPr>
            </w:pPr>
          </w:p>
          <w:p w:rsidR="00EA26FC" w:rsidRPr="00850A64" w:rsidRDefault="00EA26FC" w:rsidP="00850A64">
            <w:pPr>
              <w:jc w:val="right"/>
              <w:rPr>
                <w:rFonts w:ascii="Courier New" w:hAnsi="Courier New" w:cs="Courier New"/>
                <w:b/>
                <w:color w:val="000000"/>
                <w:sz w:val="20"/>
                <w:szCs w:val="20"/>
              </w:rPr>
            </w:pPr>
          </w:p>
          <w:p w:rsidR="00D00F54" w:rsidRPr="00850A64" w:rsidRDefault="00EA26FC" w:rsidP="00EA26FC">
            <w:pPr>
              <w:rPr>
                <w:rFonts w:ascii="Courier New" w:hAnsi="Courier New" w:cs="Courier New"/>
                <w:b/>
                <w:color w:val="000000"/>
                <w:sz w:val="20"/>
                <w:szCs w:val="20"/>
              </w:rPr>
            </w:pPr>
            <w:r w:rsidRPr="00850A64">
              <w:rPr>
                <w:rFonts w:ascii="Courier New" w:hAnsi="Courier New" w:cs="Courier New"/>
                <w:b/>
                <w:color w:val="000000"/>
                <w:sz w:val="20"/>
                <w:szCs w:val="20"/>
              </w:rPr>
              <w:t xml:space="preserve"> </w:t>
            </w:r>
            <w:r w:rsidR="00D00F54" w:rsidRPr="00850A64">
              <w:rPr>
                <w:rFonts w:ascii="Courier New" w:hAnsi="Courier New" w:cs="Courier New"/>
                <w:b/>
                <w:color w:val="000000"/>
                <w:sz w:val="20"/>
                <w:szCs w:val="20"/>
              </w:rPr>
              <w:t xml:space="preserve">($  </w:t>
            </w:r>
            <w:r w:rsidRPr="00850A64">
              <w:rPr>
                <w:rFonts w:ascii="Courier New" w:hAnsi="Courier New" w:cs="Courier New"/>
                <w:b/>
                <w:color w:val="000000"/>
                <w:sz w:val="20"/>
                <w:szCs w:val="20"/>
              </w:rPr>
              <w:t xml:space="preserve">  </w:t>
            </w:r>
            <w:r w:rsidR="00F219B9">
              <w:rPr>
                <w:rFonts w:ascii="Courier New" w:hAnsi="Courier New" w:cs="Courier New"/>
                <w:b/>
                <w:color w:val="000000"/>
                <w:sz w:val="20"/>
                <w:szCs w:val="20"/>
              </w:rPr>
              <w:t>18,625</w:t>
            </w:r>
            <w:r w:rsidR="00D00F54" w:rsidRPr="00850A64">
              <w:rPr>
                <w:rFonts w:ascii="Courier New" w:hAnsi="Courier New" w:cs="Courier New"/>
                <w:b/>
                <w:color w:val="000000"/>
                <w:sz w:val="20"/>
                <w:szCs w:val="20"/>
              </w:rPr>
              <w:t>)</w:t>
            </w:r>
          </w:p>
        </w:tc>
      </w:tr>
      <w:tr w:rsidR="00D00F54" w:rsidRPr="00850A64" w:rsidTr="00850A64">
        <w:tc>
          <w:tcPr>
            <w:tcW w:w="7668" w:type="dxa"/>
            <w:shd w:val="clear" w:color="auto" w:fill="auto"/>
          </w:tcPr>
          <w:p w:rsidR="00D00F54" w:rsidRPr="00850A64" w:rsidRDefault="00D00F54" w:rsidP="00EA254F">
            <w:pPr>
              <w:rPr>
                <w:rFonts w:ascii="Courier New" w:hAnsi="Courier New" w:cs="Courier New"/>
                <w:color w:val="000000"/>
                <w:sz w:val="20"/>
                <w:szCs w:val="20"/>
              </w:rPr>
            </w:pPr>
          </w:p>
        </w:tc>
        <w:tc>
          <w:tcPr>
            <w:tcW w:w="1908" w:type="dxa"/>
            <w:shd w:val="clear" w:color="auto" w:fill="auto"/>
          </w:tcPr>
          <w:p w:rsidR="00D00F54" w:rsidRPr="00850A64" w:rsidRDefault="00D00F54" w:rsidP="00850A64">
            <w:pPr>
              <w:jc w:val="right"/>
              <w:rPr>
                <w:rFonts w:ascii="Courier New" w:hAnsi="Courier New" w:cs="Courier New"/>
                <w:b/>
                <w:color w:val="000000"/>
                <w:sz w:val="20"/>
                <w:szCs w:val="20"/>
              </w:rPr>
            </w:pPr>
          </w:p>
        </w:tc>
      </w:tr>
      <w:tr w:rsidR="00D00F54" w:rsidRPr="00850A64" w:rsidTr="00850A64">
        <w:tc>
          <w:tcPr>
            <w:tcW w:w="7668" w:type="dxa"/>
            <w:shd w:val="clear" w:color="auto" w:fill="auto"/>
          </w:tcPr>
          <w:p w:rsidR="00D00F54" w:rsidRPr="00850A64" w:rsidRDefault="00D00F54" w:rsidP="000D2056">
            <w:pPr>
              <w:rPr>
                <w:rFonts w:ascii="Courier New" w:hAnsi="Courier New" w:cs="Courier New"/>
                <w:b/>
                <w:color w:val="000000"/>
                <w:sz w:val="20"/>
                <w:szCs w:val="20"/>
              </w:rPr>
            </w:pPr>
            <w:r w:rsidRPr="00850A64">
              <w:rPr>
                <w:rFonts w:ascii="Courier New" w:hAnsi="Courier New" w:cs="Courier New"/>
                <w:b/>
                <w:color w:val="000000"/>
                <w:sz w:val="20"/>
                <w:szCs w:val="20"/>
              </w:rPr>
              <w:t>Net</w:t>
            </w:r>
            <w:r w:rsidR="000D2056">
              <w:rPr>
                <w:rFonts w:ascii="Courier New" w:hAnsi="Courier New" w:cs="Courier New"/>
                <w:b/>
                <w:color w:val="000000"/>
                <w:sz w:val="20"/>
                <w:szCs w:val="20"/>
              </w:rPr>
              <w:t>-</w:t>
            </w:r>
            <w:r w:rsidR="00126C95">
              <w:rPr>
                <w:rFonts w:ascii="Courier New" w:hAnsi="Courier New" w:cs="Courier New"/>
                <w:b/>
                <w:color w:val="000000"/>
                <w:sz w:val="20"/>
                <w:szCs w:val="20"/>
              </w:rPr>
              <w:t xml:space="preserve">Operating Income </w:t>
            </w:r>
          </w:p>
        </w:tc>
        <w:tc>
          <w:tcPr>
            <w:tcW w:w="1908" w:type="dxa"/>
            <w:shd w:val="clear" w:color="auto" w:fill="auto"/>
          </w:tcPr>
          <w:p w:rsidR="00D00F54" w:rsidRPr="00850A64" w:rsidRDefault="00EA26FC" w:rsidP="00EA26FC">
            <w:pPr>
              <w:rPr>
                <w:rFonts w:ascii="Courier New" w:hAnsi="Courier New" w:cs="Courier New"/>
                <w:b/>
                <w:color w:val="000000"/>
                <w:sz w:val="20"/>
                <w:szCs w:val="20"/>
              </w:rPr>
            </w:pPr>
            <w:r w:rsidRPr="00850A64">
              <w:rPr>
                <w:rFonts w:ascii="Courier New" w:hAnsi="Courier New" w:cs="Courier New"/>
                <w:b/>
                <w:color w:val="000000"/>
                <w:sz w:val="20"/>
                <w:szCs w:val="20"/>
              </w:rPr>
              <w:t xml:space="preserve">  </w:t>
            </w:r>
            <w:r w:rsidR="00D00F54" w:rsidRPr="00850A64">
              <w:rPr>
                <w:rFonts w:ascii="Courier New" w:hAnsi="Courier New" w:cs="Courier New"/>
                <w:b/>
                <w:color w:val="000000"/>
                <w:sz w:val="20"/>
                <w:szCs w:val="20"/>
              </w:rPr>
              <w:t xml:space="preserve">$ </w:t>
            </w:r>
            <w:r w:rsidRPr="00850A64">
              <w:rPr>
                <w:rFonts w:ascii="Courier New" w:hAnsi="Courier New" w:cs="Courier New"/>
                <w:b/>
                <w:color w:val="000000"/>
                <w:sz w:val="20"/>
                <w:szCs w:val="20"/>
              </w:rPr>
              <w:t xml:space="preserve">  </w:t>
            </w:r>
            <w:r w:rsidR="00F219B9">
              <w:rPr>
                <w:rFonts w:ascii="Courier New" w:hAnsi="Courier New" w:cs="Courier New"/>
                <w:b/>
                <w:color w:val="000000"/>
                <w:sz w:val="20"/>
                <w:szCs w:val="20"/>
              </w:rPr>
              <w:t>178,583</w:t>
            </w:r>
          </w:p>
        </w:tc>
      </w:tr>
      <w:tr w:rsidR="00EA26FC" w:rsidRPr="00850A64" w:rsidTr="00850A64">
        <w:tc>
          <w:tcPr>
            <w:tcW w:w="7668" w:type="dxa"/>
            <w:shd w:val="clear" w:color="auto" w:fill="auto"/>
          </w:tcPr>
          <w:p w:rsidR="00EA26FC" w:rsidRPr="00850A64" w:rsidRDefault="00EA26FC" w:rsidP="00EA254F">
            <w:pPr>
              <w:rPr>
                <w:rFonts w:ascii="Courier New" w:hAnsi="Courier New" w:cs="Courier New"/>
                <w:b/>
                <w:color w:val="000000"/>
                <w:sz w:val="20"/>
                <w:szCs w:val="20"/>
              </w:rPr>
            </w:pPr>
          </w:p>
        </w:tc>
        <w:tc>
          <w:tcPr>
            <w:tcW w:w="1908" w:type="dxa"/>
            <w:shd w:val="clear" w:color="auto" w:fill="auto"/>
          </w:tcPr>
          <w:p w:rsidR="00EA26FC" w:rsidRDefault="00EA26FC" w:rsidP="00850A64">
            <w:pPr>
              <w:jc w:val="right"/>
              <w:rPr>
                <w:rFonts w:ascii="Courier New" w:hAnsi="Courier New" w:cs="Courier New"/>
                <w:b/>
                <w:color w:val="000000"/>
                <w:sz w:val="20"/>
                <w:szCs w:val="20"/>
              </w:rPr>
            </w:pPr>
          </w:p>
          <w:p w:rsidR="00102191" w:rsidRPr="00850A64" w:rsidRDefault="00102191" w:rsidP="00850A64">
            <w:pPr>
              <w:jc w:val="right"/>
              <w:rPr>
                <w:rFonts w:ascii="Courier New" w:hAnsi="Courier New" w:cs="Courier New"/>
                <w:b/>
                <w:color w:val="000000"/>
                <w:sz w:val="20"/>
                <w:szCs w:val="20"/>
              </w:rPr>
            </w:pPr>
          </w:p>
        </w:tc>
      </w:tr>
      <w:tr w:rsidR="00EA26FC" w:rsidRPr="00850A64" w:rsidTr="00850A64">
        <w:tc>
          <w:tcPr>
            <w:tcW w:w="7668" w:type="dxa"/>
            <w:shd w:val="clear" w:color="auto" w:fill="auto"/>
          </w:tcPr>
          <w:p w:rsidR="00EA26FC" w:rsidRPr="00850A64" w:rsidRDefault="00EA26FC" w:rsidP="00EA254F">
            <w:pPr>
              <w:rPr>
                <w:rFonts w:ascii="Courier New" w:hAnsi="Courier New" w:cs="Courier New"/>
                <w:b/>
                <w:color w:val="000000"/>
                <w:sz w:val="20"/>
                <w:szCs w:val="20"/>
              </w:rPr>
            </w:pPr>
            <w:r w:rsidRPr="00850A64">
              <w:rPr>
                <w:rFonts w:ascii="Courier New" w:hAnsi="Courier New" w:cs="Courier New"/>
                <w:b/>
                <w:color w:val="000000"/>
                <w:sz w:val="20"/>
                <w:szCs w:val="20"/>
              </w:rPr>
              <w:t>Divide by</w:t>
            </w:r>
            <w:r w:rsidR="00F219B9">
              <w:rPr>
                <w:rFonts w:ascii="Courier New" w:hAnsi="Courier New" w:cs="Courier New"/>
                <w:b/>
                <w:color w:val="000000"/>
                <w:sz w:val="20"/>
                <w:szCs w:val="20"/>
              </w:rPr>
              <w:t>:</w:t>
            </w:r>
            <w:r w:rsidRPr="00850A64">
              <w:rPr>
                <w:rFonts w:ascii="Courier New" w:hAnsi="Courier New" w:cs="Courier New"/>
                <w:b/>
                <w:color w:val="000000"/>
                <w:sz w:val="20"/>
                <w:szCs w:val="20"/>
              </w:rPr>
              <w:t xml:space="preserve"> Capitalization Rate </w:t>
            </w:r>
            <w:r w:rsidR="00F219B9">
              <w:rPr>
                <w:rFonts w:ascii="Courier New" w:hAnsi="Courier New" w:cs="Courier New"/>
                <w:b/>
                <w:color w:val="000000"/>
                <w:sz w:val="20"/>
                <w:szCs w:val="20"/>
              </w:rPr>
              <w:t xml:space="preserve">for Fiscal Year 2013 </w:t>
            </w:r>
            <w:r w:rsidR="000D2056">
              <w:rPr>
                <w:rFonts w:ascii="Courier New" w:hAnsi="Courier New" w:cs="Courier New"/>
                <w:b/>
                <w:color w:val="000000"/>
                <w:sz w:val="20"/>
                <w:szCs w:val="20"/>
              </w:rPr>
              <w:t>– 8.0</w:t>
            </w:r>
            <w:r w:rsidRPr="00850A64">
              <w:rPr>
                <w:rFonts w:ascii="Courier New" w:hAnsi="Courier New" w:cs="Courier New"/>
                <w:b/>
                <w:color w:val="000000"/>
                <w:sz w:val="20"/>
                <w:szCs w:val="20"/>
              </w:rPr>
              <w:t>%</w:t>
            </w:r>
          </w:p>
        </w:tc>
        <w:tc>
          <w:tcPr>
            <w:tcW w:w="1908" w:type="dxa"/>
            <w:shd w:val="clear" w:color="auto" w:fill="auto"/>
          </w:tcPr>
          <w:p w:rsidR="00EA26FC" w:rsidRPr="00850A64" w:rsidRDefault="00EA26FC" w:rsidP="00850A64">
            <w:pPr>
              <w:jc w:val="center"/>
              <w:rPr>
                <w:rFonts w:ascii="Courier New" w:hAnsi="Courier New" w:cs="Courier New"/>
                <w:b/>
                <w:color w:val="000000"/>
                <w:sz w:val="20"/>
                <w:szCs w:val="20"/>
              </w:rPr>
            </w:pPr>
            <w:r w:rsidRPr="00850A64">
              <w:rPr>
                <w:rFonts w:ascii="Courier New" w:hAnsi="Courier New" w:cs="Courier New"/>
                <w:b/>
                <w:color w:val="000000"/>
                <w:sz w:val="20"/>
                <w:szCs w:val="20"/>
              </w:rPr>
              <w:t xml:space="preserve"> </w:t>
            </w:r>
          </w:p>
        </w:tc>
      </w:tr>
      <w:tr w:rsidR="00EA26FC" w:rsidRPr="00850A64" w:rsidTr="00850A64">
        <w:tc>
          <w:tcPr>
            <w:tcW w:w="7668" w:type="dxa"/>
            <w:shd w:val="clear" w:color="auto" w:fill="auto"/>
          </w:tcPr>
          <w:p w:rsidR="00EA26FC" w:rsidRPr="00850A64" w:rsidRDefault="00EA26FC" w:rsidP="00EA254F">
            <w:pPr>
              <w:rPr>
                <w:rFonts w:ascii="Courier New" w:hAnsi="Courier New" w:cs="Courier New"/>
                <w:b/>
                <w:color w:val="000000"/>
                <w:sz w:val="20"/>
                <w:szCs w:val="20"/>
              </w:rPr>
            </w:pPr>
          </w:p>
        </w:tc>
        <w:tc>
          <w:tcPr>
            <w:tcW w:w="1908" w:type="dxa"/>
            <w:shd w:val="clear" w:color="auto" w:fill="auto"/>
          </w:tcPr>
          <w:p w:rsidR="00EA26FC" w:rsidRPr="00850A64" w:rsidRDefault="00EA26FC" w:rsidP="00850A64">
            <w:pPr>
              <w:jc w:val="center"/>
              <w:rPr>
                <w:rFonts w:ascii="Courier New" w:hAnsi="Courier New" w:cs="Courier New"/>
                <w:b/>
                <w:color w:val="000000"/>
                <w:sz w:val="20"/>
                <w:szCs w:val="20"/>
              </w:rPr>
            </w:pPr>
          </w:p>
        </w:tc>
      </w:tr>
      <w:tr w:rsidR="00EA26FC" w:rsidRPr="00102191" w:rsidTr="00850A64">
        <w:tc>
          <w:tcPr>
            <w:tcW w:w="7668" w:type="dxa"/>
            <w:shd w:val="clear" w:color="auto" w:fill="auto"/>
          </w:tcPr>
          <w:p w:rsidR="00EA26FC" w:rsidRPr="00102191" w:rsidRDefault="00EA26FC" w:rsidP="00EA254F">
            <w:pPr>
              <w:rPr>
                <w:rFonts w:ascii="Courier New" w:hAnsi="Courier New" w:cs="Courier New"/>
                <w:b/>
                <w:color w:val="000000"/>
                <w:sz w:val="20"/>
                <w:szCs w:val="20"/>
              </w:rPr>
            </w:pPr>
            <w:r w:rsidRPr="00102191">
              <w:rPr>
                <w:rFonts w:ascii="Courier New" w:hAnsi="Courier New" w:cs="Courier New"/>
                <w:b/>
                <w:color w:val="000000"/>
                <w:sz w:val="20"/>
                <w:szCs w:val="20"/>
              </w:rPr>
              <w:t>Indi</w:t>
            </w:r>
            <w:r w:rsidR="00F219B9" w:rsidRPr="00102191">
              <w:rPr>
                <w:rFonts w:ascii="Courier New" w:hAnsi="Courier New" w:cs="Courier New"/>
                <w:b/>
                <w:color w:val="000000"/>
                <w:sz w:val="20"/>
                <w:szCs w:val="20"/>
              </w:rPr>
              <w:t xml:space="preserve">cated Value </w:t>
            </w:r>
            <w:r w:rsidR="00102191" w:rsidRPr="00102191">
              <w:rPr>
                <w:rFonts w:ascii="Courier New" w:hAnsi="Courier New" w:cs="Courier New"/>
                <w:b/>
                <w:color w:val="000000"/>
                <w:sz w:val="20"/>
                <w:szCs w:val="20"/>
              </w:rPr>
              <w:t xml:space="preserve">(rounded) </w:t>
            </w:r>
            <w:r w:rsidR="00F219B9" w:rsidRPr="00102191">
              <w:rPr>
                <w:rFonts w:ascii="Courier New" w:hAnsi="Courier New" w:cs="Courier New"/>
                <w:b/>
                <w:color w:val="000000"/>
                <w:sz w:val="20"/>
                <w:szCs w:val="20"/>
              </w:rPr>
              <w:t>for Fiscal Year 2013</w:t>
            </w:r>
          </w:p>
        </w:tc>
        <w:tc>
          <w:tcPr>
            <w:tcW w:w="1908" w:type="dxa"/>
            <w:shd w:val="clear" w:color="auto" w:fill="auto"/>
          </w:tcPr>
          <w:p w:rsidR="00EA26FC" w:rsidRPr="00102191" w:rsidRDefault="00F219B9" w:rsidP="00EA26FC">
            <w:pPr>
              <w:rPr>
                <w:rFonts w:ascii="Courier New" w:hAnsi="Courier New" w:cs="Courier New"/>
                <w:b/>
                <w:color w:val="000000"/>
                <w:sz w:val="20"/>
                <w:szCs w:val="20"/>
              </w:rPr>
            </w:pPr>
            <w:r w:rsidRPr="00102191">
              <w:rPr>
                <w:rFonts w:ascii="Courier New" w:hAnsi="Courier New" w:cs="Courier New"/>
                <w:b/>
                <w:color w:val="000000"/>
                <w:sz w:val="20"/>
                <w:szCs w:val="20"/>
              </w:rPr>
              <w:t xml:space="preserve">  $ 2,230,000</w:t>
            </w:r>
          </w:p>
        </w:tc>
      </w:tr>
      <w:tr w:rsidR="00F219B9" w:rsidRPr="00850A64" w:rsidTr="00850A64">
        <w:tc>
          <w:tcPr>
            <w:tcW w:w="7668" w:type="dxa"/>
            <w:shd w:val="clear" w:color="auto" w:fill="auto"/>
          </w:tcPr>
          <w:p w:rsidR="00F219B9" w:rsidRPr="00850A64" w:rsidRDefault="00F219B9" w:rsidP="00EA254F">
            <w:pPr>
              <w:rPr>
                <w:rFonts w:ascii="Courier New" w:hAnsi="Courier New" w:cs="Courier New"/>
                <w:color w:val="000000"/>
                <w:sz w:val="20"/>
                <w:szCs w:val="20"/>
              </w:rPr>
            </w:pPr>
          </w:p>
        </w:tc>
        <w:tc>
          <w:tcPr>
            <w:tcW w:w="1908" w:type="dxa"/>
            <w:shd w:val="clear" w:color="auto" w:fill="auto"/>
          </w:tcPr>
          <w:p w:rsidR="00F219B9" w:rsidRDefault="00F219B9" w:rsidP="00EA26FC">
            <w:pPr>
              <w:rPr>
                <w:rFonts w:ascii="Courier New" w:hAnsi="Courier New" w:cs="Courier New"/>
                <w:color w:val="000000"/>
                <w:sz w:val="20"/>
                <w:szCs w:val="20"/>
              </w:rPr>
            </w:pPr>
          </w:p>
        </w:tc>
      </w:tr>
      <w:tr w:rsidR="00102191" w:rsidRPr="00850A64" w:rsidTr="00850A64">
        <w:tc>
          <w:tcPr>
            <w:tcW w:w="7668" w:type="dxa"/>
            <w:shd w:val="clear" w:color="auto" w:fill="auto"/>
          </w:tcPr>
          <w:p w:rsidR="00102191" w:rsidRPr="00850A64" w:rsidRDefault="00102191" w:rsidP="00EA254F">
            <w:pPr>
              <w:rPr>
                <w:rFonts w:ascii="Courier New" w:hAnsi="Courier New" w:cs="Courier New"/>
                <w:color w:val="000000"/>
                <w:sz w:val="20"/>
                <w:szCs w:val="20"/>
              </w:rPr>
            </w:pPr>
          </w:p>
        </w:tc>
        <w:tc>
          <w:tcPr>
            <w:tcW w:w="1908" w:type="dxa"/>
            <w:shd w:val="clear" w:color="auto" w:fill="auto"/>
          </w:tcPr>
          <w:p w:rsidR="00102191" w:rsidRDefault="00102191" w:rsidP="00EA26FC">
            <w:pPr>
              <w:rPr>
                <w:rFonts w:ascii="Courier New" w:hAnsi="Courier New" w:cs="Courier New"/>
                <w:color w:val="000000"/>
                <w:sz w:val="20"/>
                <w:szCs w:val="20"/>
              </w:rPr>
            </w:pPr>
          </w:p>
        </w:tc>
      </w:tr>
      <w:tr w:rsidR="00102191" w:rsidRPr="00850A64" w:rsidTr="00850A64">
        <w:tc>
          <w:tcPr>
            <w:tcW w:w="7668" w:type="dxa"/>
            <w:shd w:val="clear" w:color="auto" w:fill="auto"/>
          </w:tcPr>
          <w:p w:rsidR="00102191" w:rsidRPr="00850A64" w:rsidRDefault="00102191" w:rsidP="00126C95">
            <w:pPr>
              <w:rPr>
                <w:rFonts w:ascii="Courier New" w:hAnsi="Courier New" w:cs="Courier New"/>
                <w:b/>
                <w:color w:val="000000"/>
                <w:sz w:val="20"/>
                <w:szCs w:val="20"/>
              </w:rPr>
            </w:pPr>
            <w:r w:rsidRPr="00850A64">
              <w:rPr>
                <w:rFonts w:ascii="Courier New" w:hAnsi="Courier New" w:cs="Courier New"/>
                <w:b/>
                <w:color w:val="000000"/>
                <w:sz w:val="20"/>
                <w:szCs w:val="20"/>
              </w:rPr>
              <w:t>Divide by</w:t>
            </w:r>
            <w:r>
              <w:rPr>
                <w:rFonts w:ascii="Courier New" w:hAnsi="Courier New" w:cs="Courier New"/>
                <w:b/>
                <w:color w:val="000000"/>
                <w:sz w:val="20"/>
                <w:szCs w:val="20"/>
              </w:rPr>
              <w:t>:</w:t>
            </w:r>
            <w:r w:rsidRPr="00850A64">
              <w:rPr>
                <w:rFonts w:ascii="Courier New" w:hAnsi="Courier New" w:cs="Courier New"/>
                <w:b/>
                <w:color w:val="000000"/>
                <w:sz w:val="20"/>
                <w:szCs w:val="20"/>
              </w:rPr>
              <w:t xml:space="preserve"> Capitalization Rate </w:t>
            </w:r>
            <w:r>
              <w:rPr>
                <w:rFonts w:ascii="Courier New" w:hAnsi="Courier New" w:cs="Courier New"/>
                <w:b/>
                <w:color w:val="000000"/>
                <w:sz w:val="20"/>
                <w:szCs w:val="20"/>
              </w:rPr>
              <w:t>for Fiscal Year 201</w:t>
            </w:r>
            <w:r w:rsidR="00126C95">
              <w:rPr>
                <w:rFonts w:ascii="Courier New" w:hAnsi="Courier New" w:cs="Courier New"/>
                <w:b/>
                <w:color w:val="000000"/>
                <w:sz w:val="20"/>
                <w:szCs w:val="20"/>
              </w:rPr>
              <w:t>4</w:t>
            </w:r>
            <w:r>
              <w:rPr>
                <w:rFonts w:ascii="Courier New" w:hAnsi="Courier New" w:cs="Courier New"/>
                <w:b/>
                <w:color w:val="000000"/>
                <w:sz w:val="20"/>
                <w:szCs w:val="20"/>
              </w:rPr>
              <w:t xml:space="preserve"> </w:t>
            </w:r>
            <w:r w:rsidRPr="00850A64">
              <w:rPr>
                <w:rFonts w:ascii="Courier New" w:hAnsi="Courier New" w:cs="Courier New"/>
                <w:b/>
                <w:color w:val="000000"/>
                <w:sz w:val="20"/>
                <w:szCs w:val="20"/>
              </w:rPr>
              <w:t>– 8.5%</w:t>
            </w:r>
          </w:p>
        </w:tc>
        <w:tc>
          <w:tcPr>
            <w:tcW w:w="1908" w:type="dxa"/>
            <w:shd w:val="clear" w:color="auto" w:fill="auto"/>
          </w:tcPr>
          <w:p w:rsidR="00102191" w:rsidRDefault="00102191" w:rsidP="00EA26FC">
            <w:pPr>
              <w:rPr>
                <w:rFonts w:ascii="Courier New" w:hAnsi="Courier New" w:cs="Courier New"/>
                <w:color w:val="000000"/>
                <w:sz w:val="20"/>
                <w:szCs w:val="20"/>
              </w:rPr>
            </w:pPr>
          </w:p>
        </w:tc>
      </w:tr>
      <w:tr w:rsidR="00102191" w:rsidRPr="00850A64" w:rsidTr="00850A64">
        <w:tc>
          <w:tcPr>
            <w:tcW w:w="7668" w:type="dxa"/>
            <w:shd w:val="clear" w:color="auto" w:fill="auto"/>
          </w:tcPr>
          <w:p w:rsidR="00102191" w:rsidRPr="00850A64" w:rsidRDefault="00102191" w:rsidP="0028521C">
            <w:pPr>
              <w:rPr>
                <w:rFonts w:ascii="Courier New" w:hAnsi="Courier New" w:cs="Courier New"/>
                <w:b/>
                <w:color w:val="000000"/>
                <w:sz w:val="20"/>
                <w:szCs w:val="20"/>
              </w:rPr>
            </w:pPr>
          </w:p>
        </w:tc>
        <w:tc>
          <w:tcPr>
            <w:tcW w:w="1908" w:type="dxa"/>
            <w:shd w:val="clear" w:color="auto" w:fill="auto"/>
          </w:tcPr>
          <w:p w:rsidR="00102191" w:rsidRDefault="00102191" w:rsidP="00EA26FC">
            <w:pPr>
              <w:rPr>
                <w:rFonts w:ascii="Courier New" w:hAnsi="Courier New" w:cs="Courier New"/>
                <w:color w:val="000000"/>
                <w:sz w:val="20"/>
                <w:szCs w:val="20"/>
              </w:rPr>
            </w:pPr>
          </w:p>
        </w:tc>
      </w:tr>
      <w:tr w:rsidR="00102191" w:rsidRPr="00850A64" w:rsidTr="00850A64">
        <w:tc>
          <w:tcPr>
            <w:tcW w:w="7668" w:type="dxa"/>
            <w:shd w:val="clear" w:color="auto" w:fill="auto"/>
          </w:tcPr>
          <w:p w:rsidR="00102191" w:rsidRPr="00850A64" w:rsidRDefault="00102191" w:rsidP="00102191">
            <w:pPr>
              <w:rPr>
                <w:rFonts w:ascii="Courier New" w:hAnsi="Courier New" w:cs="Courier New"/>
                <w:b/>
                <w:color w:val="000000"/>
                <w:sz w:val="20"/>
                <w:szCs w:val="20"/>
              </w:rPr>
            </w:pPr>
            <w:r>
              <w:rPr>
                <w:rFonts w:ascii="Courier New" w:hAnsi="Courier New" w:cs="Courier New"/>
                <w:b/>
                <w:color w:val="000000"/>
                <w:sz w:val="20"/>
                <w:szCs w:val="20"/>
              </w:rPr>
              <w:t>Indicated</w:t>
            </w:r>
            <w:r w:rsidRPr="00850A64">
              <w:rPr>
                <w:rFonts w:ascii="Courier New" w:hAnsi="Courier New" w:cs="Courier New"/>
                <w:b/>
                <w:color w:val="000000"/>
                <w:sz w:val="20"/>
                <w:szCs w:val="20"/>
              </w:rPr>
              <w:t xml:space="preserve"> Value </w:t>
            </w:r>
            <w:r>
              <w:rPr>
                <w:rFonts w:ascii="Courier New" w:hAnsi="Courier New" w:cs="Courier New"/>
                <w:b/>
                <w:color w:val="000000"/>
                <w:sz w:val="20"/>
                <w:szCs w:val="20"/>
              </w:rPr>
              <w:t>(rounded) for Fiscal Year 2014</w:t>
            </w:r>
          </w:p>
        </w:tc>
        <w:tc>
          <w:tcPr>
            <w:tcW w:w="1908" w:type="dxa"/>
            <w:shd w:val="clear" w:color="auto" w:fill="auto"/>
          </w:tcPr>
          <w:p w:rsidR="00102191" w:rsidRPr="00850A64" w:rsidRDefault="00102191" w:rsidP="00102191">
            <w:pPr>
              <w:rPr>
                <w:rFonts w:ascii="Courier New" w:hAnsi="Courier New" w:cs="Courier New"/>
                <w:b/>
                <w:color w:val="000000"/>
                <w:sz w:val="20"/>
                <w:szCs w:val="20"/>
              </w:rPr>
            </w:pPr>
            <w:r w:rsidRPr="00850A64">
              <w:rPr>
                <w:rFonts w:ascii="Courier New" w:hAnsi="Courier New" w:cs="Courier New"/>
                <w:b/>
                <w:color w:val="000000"/>
                <w:sz w:val="20"/>
                <w:szCs w:val="20"/>
              </w:rPr>
              <w:t xml:space="preserve">  $ 2,</w:t>
            </w:r>
            <w:r>
              <w:rPr>
                <w:rFonts w:ascii="Courier New" w:hAnsi="Courier New" w:cs="Courier New"/>
                <w:b/>
                <w:color w:val="000000"/>
                <w:sz w:val="20"/>
                <w:szCs w:val="20"/>
              </w:rPr>
              <w:t>100</w:t>
            </w:r>
            <w:r w:rsidRPr="00850A64">
              <w:rPr>
                <w:rFonts w:ascii="Courier New" w:hAnsi="Courier New" w:cs="Courier New"/>
                <w:b/>
                <w:color w:val="000000"/>
                <w:sz w:val="20"/>
                <w:szCs w:val="20"/>
              </w:rPr>
              <w:t>,000</w:t>
            </w:r>
          </w:p>
        </w:tc>
      </w:tr>
    </w:tbl>
    <w:p w:rsidR="00EA254F" w:rsidRDefault="00EA254F" w:rsidP="0054205B">
      <w:pPr>
        <w:spacing w:line="480" w:lineRule="auto"/>
        <w:jc w:val="both"/>
        <w:rPr>
          <w:rFonts w:ascii="Courier New" w:hAnsi="Courier New" w:cs="Courier New"/>
          <w:b/>
        </w:rPr>
      </w:pPr>
    </w:p>
    <w:p w:rsidR="00946A7A" w:rsidRPr="001F192C" w:rsidRDefault="00215224" w:rsidP="001F192C">
      <w:pPr>
        <w:spacing w:line="480" w:lineRule="auto"/>
        <w:ind w:firstLine="720"/>
        <w:jc w:val="both"/>
        <w:rPr>
          <w:rFonts w:ascii="Courier New" w:hAnsi="Courier New" w:cs="Courier New"/>
        </w:rPr>
      </w:pPr>
      <w:r>
        <w:rPr>
          <w:rFonts w:ascii="Courier New" w:hAnsi="Courier New" w:cs="Courier New"/>
        </w:rPr>
        <w:t>In support of their assessment</w:t>
      </w:r>
      <w:r w:rsidR="00207A4D">
        <w:rPr>
          <w:rFonts w:ascii="Courier New" w:hAnsi="Courier New" w:cs="Courier New"/>
        </w:rPr>
        <w:t>s</w:t>
      </w:r>
      <w:r>
        <w:rPr>
          <w:rFonts w:ascii="Courier New" w:hAnsi="Courier New" w:cs="Courier New"/>
        </w:rPr>
        <w:t xml:space="preserve"> for </w:t>
      </w:r>
      <w:r w:rsidR="00207A4D">
        <w:rPr>
          <w:rFonts w:ascii="Courier New" w:hAnsi="Courier New" w:cs="Courier New"/>
        </w:rPr>
        <w:t>the fiscal</w:t>
      </w:r>
      <w:r>
        <w:rPr>
          <w:rFonts w:ascii="Courier New" w:hAnsi="Courier New" w:cs="Courier New"/>
        </w:rPr>
        <w:t xml:space="preserve"> year</w:t>
      </w:r>
      <w:r w:rsidR="00207A4D">
        <w:rPr>
          <w:rFonts w:ascii="Courier New" w:hAnsi="Courier New" w:cs="Courier New"/>
        </w:rPr>
        <w:t>s at issue</w:t>
      </w:r>
      <w:r>
        <w:rPr>
          <w:rFonts w:ascii="Courier New" w:hAnsi="Courier New" w:cs="Courier New"/>
        </w:rPr>
        <w:t>, t</w:t>
      </w:r>
      <w:r w:rsidR="00272DB9">
        <w:rPr>
          <w:rFonts w:ascii="Courier New" w:hAnsi="Courier New" w:cs="Courier New"/>
        </w:rPr>
        <w:t xml:space="preserve">he assessors </w:t>
      </w:r>
      <w:r>
        <w:rPr>
          <w:rFonts w:ascii="Courier New" w:hAnsi="Courier New" w:cs="Courier New"/>
        </w:rPr>
        <w:t xml:space="preserve">relied on the testimony </w:t>
      </w:r>
      <w:r w:rsidR="00C549CE">
        <w:rPr>
          <w:rFonts w:ascii="Courier New" w:hAnsi="Courier New" w:cs="Courier New"/>
        </w:rPr>
        <w:t>a</w:t>
      </w:r>
      <w:r w:rsidR="00272DB9">
        <w:rPr>
          <w:rFonts w:ascii="Courier New" w:hAnsi="Courier New" w:cs="Courier New"/>
        </w:rPr>
        <w:t>nd appraisal report of Jame</w:t>
      </w:r>
      <w:r w:rsidR="00C1371A">
        <w:rPr>
          <w:rFonts w:ascii="Courier New" w:hAnsi="Courier New" w:cs="Courier New"/>
        </w:rPr>
        <w:t>s</w:t>
      </w:r>
      <w:r w:rsidR="00272DB9">
        <w:rPr>
          <w:rFonts w:ascii="Courier New" w:hAnsi="Courier New" w:cs="Courier New"/>
        </w:rPr>
        <w:t xml:space="preserve"> R. Johnston, whom the Board qualified as a real </w:t>
      </w:r>
      <w:r w:rsidR="00272DB9">
        <w:rPr>
          <w:rFonts w:ascii="Courier New" w:hAnsi="Courier New" w:cs="Courier New"/>
        </w:rPr>
        <w:lastRenderedPageBreak/>
        <w:t>estate valuation</w:t>
      </w:r>
      <w:r w:rsidR="00C549CE">
        <w:rPr>
          <w:rFonts w:ascii="Courier New" w:hAnsi="Courier New" w:cs="Courier New"/>
        </w:rPr>
        <w:t xml:space="preserve"> expert</w:t>
      </w:r>
      <w:r w:rsidR="00272DB9">
        <w:rPr>
          <w:rFonts w:ascii="Courier New" w:hAnsi="Courier New" w:cs="Courier New"/>
        </w:rPr>
        <w:t xml:space="preserve">.  </w:t>
      </w:r>
      <w:r w:rsidR="004253F1">
        <w:rPr>
          <w:rFonts w:ascii="Courier New" w:hAnsi="Courier New" w:cs="Courier New"/>
        </w:rPr>
        <w:t xml:space="preserve">Like Mr. Wolff, </w:t>
      </w:r>
      <w:r w:rsidR="00F76AE9">
        <w:rPr>
          <w:rFonts w:ascii="Courier New" w:hAnsi="Courier New" w:cs="Courier New"/>
        </w:rPr>
        <w:t xml:space="preserve">Mr. Johnston </w:t>
      </w:r>
      <w:r w:rsidR="000D2056">
        <w:rPr>
          <w:rFonts w:ascii="Courier New" w:hAnsi="Courier New" w:cs="Courier New"/>
        </w:rPr>
        <w:t xml:space="preserve">found that the subject property’s highest-and-best use was its existing use and </w:t>
      </w:r>
      <w:r w:rsidR="004C0C70">
        <w:rPr>
          <w:rFonts w:ascii="Courier New" w:hAnsi="Courier New" w:cs="Courier New"/>
        </w:rPr>
        <w:t>de</w:t>
      </w:r>
      <w:r w:rsidR="004253F1">
        <w:rPr>
          <w:rFonts w:ascii="Courier New" w:hAnsi="Courier New" w:cs="Courier New"/>
        </w:rPr>
        <w:t>veloped his opi</w:t>
      </w:r>
      <w:r w:rsidR="004C0C70">
        <w:rPr>
          <w:rFonts w:ascii="Courier New" w:hAnsi="Courier New" w:cs="Courier New"/>
        </w:rPr>
        <w:t>nion of value</w:t>
      </w:r>
      <w:r w:rsidR="00272DB9">
        <w:rPr>
          <w:rFonts w:ascii="Courier New" w:hAnsi="Courier New" w:cs="Courier New"/>
        </w:rPr>
        <w:t xml:space="preserve"> using the income-capitalization approach.</w:t>
      </w:r>
      <w:r w:rsidR="004C0C70">
        <w:rPr>
          <w:rFonts w:ascii="Courier New" w:hAnsi="Courier New" w:cs="Courier New"/>
        </w:rPr>
        <w:t xml:space="preserve">  </w:t>
      </w:r>
      <w:r w:rsidR="00946A7A">
        <w:rPr>
          <w:rFonts w:ascii="Courier New" w:hAnsi="Courier New" w:cs="Courier New"/>
        </w:rPr>
        <w:t xml:space="preserve">First, </w:t>
      </w:r>
      <w:r w:rsidR="00D6372B">
        <w:rPr>
          <w:rFonts w:ascii="Courier New" w:hAnsi="Courier New" w:cs="Courier New"/>
        </w:rPr>
        <w:t xml:space="preserve">Mr. Johnston </w:t>
      </w:r>
      <w:r w:rsidR="00946A7A">
        <w:rPr>
          <w:rFonts w:ascii="Courier New" w:hAnsi="Courier New" w:cs="Courier New"/>
        </w:rPr>
        <w:t>d</w:t>
      </w:r>
      <w:r w:rsidR="00D6372B">
        <w:rPr>
          <w:rFonts w:ascii="Courier New" w:hAnsi="Courier New" w:cs="Courier New"/>
        </w:rPr>
        <w:t xml:space="preserve">etermined what he considered to be an appropriate market rent based on a review and analysis of competitive rentals in the subject market.  Specifically, Mr. Johnston relied on nine purportedly comparable warehouse </w:t>
      </w:r>
      <w:r w:rsidR="00F067D4">
        <w:rPr>
          <w:rFonts w:ascii="Courier New" w:hAnsi="Courier New" w:cs="Courier New"/>
        </w:rPr>
        <w:t>leases</w:t>
      </w:r>
      <w:r w:rsidR="00D6372B">
        <w:rPr>
          <w:rFonts w:ascii="Courier New" w:hAnsi="Courier New" w:cs="Courier New"/>
        </w:rPr>
        <w:t xml:space="preserve">, six of which were located </w:t>
      </w:r>
      <w:r w:rsidR="008C7CDF">
        <w:rPr>
          <w:rFonts w:ascii="Courier New" w:hAnsi="Courier New" w:cs="Courier New"/>
        </w:rPr>
        <w:t>less than one mile from the subject property at 80 Industrial Way</w:t>
      </w:r>
      <w:r w:rsidR="001F46A5">
        <w:rPr>
          <w:rFonts w:ascii="Courier New" w:hAnsi="Courier New" w:cs="Courier New"/>
        </w:rPr>
        <w:t xml:space="preserve">.  All of </w:t>
      </w:r>
      <w:r w:rsidR="007C6A2F">
        <w:rPr>
          <w:rFonts w:ascii="Courier New" w:hAnsi="Courier New" w:cs="Courier New"/>
        </w:rPr>
        <w:t xml:space="preserve">Mr. Johnston’s chosen </w:t>
      </w:r>
      <w:r w:rsidR="001F46A5">
        <w:rPr>
          <w:rFonts w:ascii="Courier New" w:hAnsi="Courier New" w:cs="Courier New"/>
        </w:rPr>
        <w:t>leases were on a triple-net basis</w:t>
      </w:r>
      <w:r w:rsidR="00D6372B">
        <w:rPr>
          <w:rFonts w:ascii="Courier New" w:hAnsi="Courier New" w:cs="Courier New"/>
        </w:rPr>
        <w:t xml:space="preserve"> with rents ranging from $</w:t>
      </w:r>
      <w:r w:rsidR="001F46A5">
        <w:rPr>
          <w:rFonts w:ascii="Courier New" w:hAnsi="Courier New" w:cs="Courier New"/>
        </w:rPr>
        <w:t>5.50</w:t>
      </w:r>
      <w:r w:rsidR="00D6372B">
        <w:rPr>
          <w:rFonts w:ascii="Courier New" w:hAnsi="Courier New" w:cs="Courier New"/>
        </w:rPr>
        <w:t xml:space="preserve"> to $</w:t>
      </w:r>
      <w:r w:rsidR="001F46A5">
        <w:rPr>
          <w:rFonts w:ascii="Courier New" w:hAnsi="Courier New" w:cs="Courier New"/>
        </w:rPr>
        <w:t>7.48</w:t>
      </w:r>
      <w:r w:rsidR="00D6372B">
        <w:rPr>
          <w:rFonts w:ascii="Courier New" w:hAnsi="Courier New" w:cs="Courier New"/>
        </w:rPr>
        <w:t xml:space="preserve"> per square foot</w:t>
      </w:r>
      <w:r w:rsidR="00D6372B" w:rsidRPr="003135C3">
        <w:rPr>
          <w:rFonts w:ascii="Courier New" w:hAnsi="Courier New" w:cs="Courier New"/>
        </w:rPr>
        <w:t>.</w:t>
      </w:r>
      <w:r w:rsidR="001F46A5">
        <w:rPr>
          <w:rFonts w:ascii="Courier New" w:hAnsi="Courier New" w:cs="Courier New"/>
        </w:rPr>
        <w:t xml:space="preserve">  Based on a review and analysis of </w:t>
      </w:r>
      <w:r w:rsidR="008C7CDF">
        <w:rPr>
          <w:rFonts w:ascii="Courier New" w:hAnsi="Courier New" w:cs="Courier New"/>
        </w:rPr>
        <w:t xml:space="preserve">rental rates, and also the subject property’s age, size, and condition, </w:t>
      </w:r>
      <w:r w:rsidR="001F46A5">
        <w:rPr>
          <w:rFonts w:ascii="Courier New" w:hAnsi="Courier New" w:cs="Courier New"/>
        </w:rPr>
        <w:t>Mr. Johnsto</w:t>
      </w:r>
      <w:r w:rsidR="00166859">
        <w:rPr>
          <w:rFonts w:ascii="Courier New" w:hAnsi="Courier New" w:cs="Courier New"/>
        </w:rPr>
        <w:t>n selected a market rent of $5.0</w:t>
      </w:r>
      <w:r w:rsidR="001F46A5">
        <w:rPr>
          <w:rFonts w:ascii="Courier New" w:hAnsi="Courier New" w:cs="Courier New"/>
        </w:rPr>
        <w:t xml:space="preserve">0 per square foot on a triple-net basis.  Applying this rate to the subject property’s net rentable area of </w:t>
      </w:r>
      <w:r w:rsidR="00166859">
        <w:rPr>
          <w:rFonts w:ascii="Courier New" w:hAnsi="Courier New" w:cs="Courier New"/>
        </w:rPr>
        <w:t>54,780</w:t>
      </w:r>
      <w:r w:rsidR="001F46A5">
        <w:rPr>
          <w:rFonts w:ascii="Courier New" w:hAnsi="Courier New" w:cs="Courier New"/>
        </w:rPr>
        <w:t xml:space="preserve"> square feet, Mr. </w:t>
      </w:r>
      <w:r w:rsidR="00AA6A24">
        <w:rPr>
          <w:rFonts w:ascii="Courier New" w:hAnsi="Courier New" w:cs="Courier New"/>
        </w:rPr>
        <w:t>Johnston</w:t>
      </w:r>
      <w:r w:rsidR="001F46A5">
        <w:rPr>
          <w:rFonts w:ascii="Courier New" w:hAnsi="Courier New" w:cs="Courier New"/>
        </w:rPr>
        <w:t xml:space="preserve"> obtained a </w:t>
      </w:r>
      <w:r w:rsidR="00AA6A24">
        <w:rPr>
          <w:rFonts w:ascii="Courier New" w:hAnsi="Courier New" w:cs="Courier New"/>
        </w:rPr>
        <w:t xml:space="preserve">stabilized </w:t>
      </w:r>
      <w:r w:rsidR="001F46A5">
        <w:rPr>
          <w:rFonts w:ascii="Courier New" w:hAnsi="Courier New" w:cs="Courier New"/>
        </w:rPr>
        <w:t>potential gross income of $</w:t>
      </w:r>
      <w:r w:rsidR="00AA6A24">
        <w:rPr>
          <w:rFonts w:ascii="Courier New" w:hAnsi="Courier New" w:cs="Courier New"/>
        </w:rPr>
        <w:t xml:space="preserve">273,900 for </w:t>
      </w:r>
      <w:r w:rsidR="00126C95">
        <w:rPr>
          <w:rFonts w:ascii="Courier New" w:hAnsi="Courier New" w:cs="Courier New"/>
        </w:rPr>
        <w:t xml:space="preserve">both of </w:t>
      </w:r>
      <w:r w:rsidR="00AA6A24">
        <w:rPr>
          <w:rFonts w:ascii="Courier New" w:hAnsi="Courier New" w:cs="Courier New"/>
        </w:rPr>
        <w:t>the fiscal years at issue</w:t>
      </w:r>
      <w:r w:rsidR="001F46A5">
        <w:rPr>
          <w:rFonts w:ascii="Courier New" w:hAnsi="Courier New" w:cs="Courier New"/>
        </w:rPr>
        <w:t>.</w:t>
      </w:r>
      <w:r w:rsidR="00EC33F4">
        <w:rPr>
          <w:rFonts w:ascii="Courier New" w:hAnsi="Courier New" w:cs="Courier New"/>
        </w:rPr>
        <w:t xml:space="preserve"> </w:t>
      </w:r>
      <w:r w:rsidR="004253F1">
        <w:rPr>
          <w:rFonts w:ascii="Courier New" w:hAnsi="Courier New" w:cs="Courier New"/>
        </w:rPr>
        <w:t xml:space="preserve"> </w:t>
      </w:r>
      <w:r w:rsidR="0043667D">
        <w:rPr>
          <w:rFonts w:ascii="Courier New" w:hAnsi="Courier New" w:cs="Courier New"/>
          <w:color w:val="333333"/>
          <w:shd w:val="clear" w:color="auto" w:fill="FFFFFF"/>
        </w:rPr>
        <w:t xml:space="preserve">Next, </w:t>
      </w:r>
      <w:r w:rsidR="007F196C">
        <w:rPr>
          <w:rFonts w:ascii="Courier New" w:hAnsi="Courier New" w:cs="Courier New"/>
          <w:color w:val="333333"/>
          <w:shd w:val="clear" w:color="auto" w:fill="FFFFFF"/>
        </w:rPr>
        <w:t xml:space="preserve">Mr. Johnston </w:t>
      </w:r>
      <w:r w:rsidR="0043667D">
        <w:rPr>
          <w:rFonts w:ascii="Courier New" w:hAnsi="Courier New" w:cs="Courier New"/>
          <w:color w:val="333333"/>
          <w:shd w:val="clear" w:color="auto" w:fill="FFFFFF"/>
        </w:rPr>
        <w:t xml:space="preserve">applied a vacancy rate of 10%, the same </w:t>
      </w:r>
      <w:r w:rsidR="00A27B31">
        <w:rPr>
          <w:rFonts w:ascii="Courier New" w:hAnsi="Courier New" w:cs="Courier New"/>
          <w:color w:val="333333"/>
          <w:shd w:val="clear" w:color="auto" w:fill="FFFFFF"/>
        </w:rPr>
        <w:t xml:space="preserve">rate used by </w:t>
      </w:r>
      <w:r w:rsidR="0043667D">
        <w:rPr>
          <w:rFonts w:ascii="Courier New" w:hAnsi="Courier New" w:cs="Courier New"/>
          <w:color w:val="333333"/>
          <w:shd w:val="clear" w:color="auto" w:fill="FFFFFF"/>
        </w:rPr>
        <w:t>the appellant’s expert</w:t>
      </w:r>
      <w:r w:rsidR="003A3D5A">
        <w:rPr>
          <w:rFonts w:ascii="Courier New" w:hAnsi="Courier New" w:cs="Courier New"/>
          <w:color w:val="333333"/>
          <w:shd w:val="clear" w:color="auto" w:fill="FFFFFF"/>
        </w:rPr>
        <w:t>, which res</w:t>
      </w:r>
      <w:r w:rsidR="001F46A5" w:rsidRPr="00E76A92">
        <w:rPr>
          <w:rFonts w:ascii="Courier New" w:hAnsi="Courier New" w:cs="Courier New"/>
          <w:color w:val="333333"/>
          <w:shd w:val="clear" w:color="auto" w:fill="FFFFFF"/>
        </w:rPr>
        <w:t xml:space="preserve">ulted in an effective gross income </w:t>
      </w:r>
      <w:r w:rsidR="001F46A5">
        <w:rPr>
          <w:rFonts w:ascii="Courier New" w:hAnsi="Courier New" w:cs="Courier New"/>
          <w:color w:val="333333"/>
          <w:shd w:val="clear" w:color="auto" w:fill="FFFFFF"/>
        </w:rPr>
        <w:t>of</w:t>
      </w:r>
      <w:r w:rsidR="001F46A5" w:rsidRPr="00E76A92">
        <w:rPr>
          <w:rFonts w:ascii="Courier New" w:hAnsi="Courier New" w:cs="Courier New"/>
          <w:color w:val="333333"/>
          <w:shd w:val="clear" w:color="auto" w:fill="FFFFFF"/>
        </w:rPr>
        <w:t xml:space="preserve"> $</w:t>
      </w:r>
      <w:r w:rsidR="00AA6A24">
        <w:rPr>
          <w:rFonts w:ascii="Courier New" w:hAnsi="Courier New" w:cs="Courier New"/>
          <w:color w:val="333333"/>
          <w:shd w:val="clear" w:color="auto" w:fill="FFFFFF"/>
        </w:rPr>
        <w:t>246,510</w:t>
      </w:r>
      <w:r w:rsidR="00126C95">
        <w:rPr>
          <w:rFonts w:ascii="Courier New" w:hAnsi="Courier New" w:cs="Courier New"/>
          <w:color w:val="333333"/>
          <w:shd w:val="clear" w:color="auto" w:fill="FFFFFF"/>
        </w:rPr>
        <w:t xml:space="preserve"> for both of the fiscal years at issue</w:t>
      </w:r>
      <w:r w:rsidR="001F46A5" w:rsidRPr="00E76A92">
        <w:rPr>
          <w:rFonts w:ascii="Courier New" w:hAnsi="Courier New" w:cs="Courier New"/>
          <w:color w:val="333333"/>
          <w:shd w:val="clear" w:color="auto" w:fill="FFFFFF"/>
        </w:rPr>
        <w:t>.</w:t>
      </w:r>
      <w:r w:rsidR="00946A7A">
        <w:rPr>
          <w:rFonts w:ascii="Courier New" w:hAnsi="Courier New" w:cs="Courier New"/>
          <w:color w:val="333333"/>
          <w:shd w:val="clear" w:color="auto" w:fill="FFFFFF"/>
        </w:rPr>
        <w:t xml:space="preserve">  </w:t>
      </w:r>
    </w:p>
    <w:p w:rsidR="00955817" w:rsidRDefault="00955817" w:rsidP="001F192C">
      <w:pPr>
        <w:spacing w:line="480" w:lineRule="auto"/>
        <w:ind w:firstLine="720"/>
        <w:jc w:val="both"/>
        <w:rPr>
          <w:rFonts w:ascii="Courier New" w:hAnsi="Courier New" w:cs="Courier New"/>
        </w:rPr>
      </w:pPr>
      <w:r w:rsidRPr="00E76A92">
        <w:rPr>
          <w:rFonts w:ascii="Courier New" w:hAnsi="Courier New" w:cs="Courier New"/>
          <w:color w:val="333333"/>
          <w:shd w:val="clear" w:color="auto" w:fill="FFFFFF"/>
        </w:rPr>
        <w:t xml:space="preserve">Mr. </w:t>
      </w:r>
      <w:r>
        <w:rPr>
          <w:rFonts w:ascii="Courier New" w:hAnsi="Courier New" w:cs="Courier New"/>
          <w:color w:val="333333"/>
          <w:shd w:val="clear" w:color="auto" w:fill="FFFFFF"/>
        </w:rPr>
        <w:t xml:space="preserve">Johnston </w:t>
      </w:r>
      <w:r w:rsidR="001F192C">
        <w:rPr>
          <w:rFonts w:ascii="Courier New" w:hAnsi="Courier New" w:cs="Courier New"/>
          <w:color w:val="333333"/>
          <w:shd w:val="clear" w:color="auto" w:fill="FFFFFF"/>
        </w:rPr>
        <w:t>then</w:t>
      </w:r>
      <w:r>
        <w:rPr>
          <w:rFonts w:ascii="Courier New" w:hAnsi="Courier New" w:cs="Courier New"/>
          <w:color w:val="333333"/>
          <w:shd w:val="clear" w:color="auto" w:fill="FFFFFF"/>
        </w:rPr>
        <w:t xml:space="preserve"> made allowances for </w:t>
      </w:r>
      <w:r w:rsidR="00A27B31">
        <w:rPr>
          <w:rFonts w:ascii="Courier New" w:hAnsi="Courier New" w:cs="Courier New"/>
          <w:color w:val="333333"/>
          <w:shd w:val="clear" w:color="auto" w:fill="FFFFFF"/>
        </w:rPr>
        <w:t>management</w:t>
      </w:r>
      <w:r>
        <w:rPr>
          <w:rFonts w:ascii="Courier New" w:hAnsi="Courier New" w:cs="Courier New"/>
          <w:color w:val="333333"/>
          <w:shd w:val="clear" w:color="auto" w:fill="FFFFFF"/>
        </w:rPr>
        <w:t xml:space="preserve"> expense</w:t>
      </w:r>
      <w:r w:rsidR="00126C95">
        <w:rPr>
          <w:rFonts w:ascii="Courier New" w:hAnsi="Courier New" w:cs="Courier New"/>
          <w:color w:val="333333"/>
          <w:shd w:val="clear" w:color="auto" w:fill="FFFFFF"/>
        </w:rPr>
        <w:t>s</w:t>
      </w:r>
      <w:r>
        <w:rPr>
          <w:rFonts w:ascii="Courier New" w:hAnsi="Courier New" w:cs="Courier New"/>
          <w:color w:val="333333"/>
          <w:shd w:val="clear" w:color="auto" w:fill="FFFFFF"/>
        </w:rPr>
        <w:t xml:space="preserve"> equal to 4</w:t>
      </w:r>
      <w:r w:rsidRPr="00E76A92">
        <w:rPr>
          <w:rFonts w:ascii="Courier New" w:hAnsi="Courier New" w:cs="Courier New"/>
          <w:color w:val="333333"/>
          <w:shd w:val="clear" w:color="auto" w:fill="FFFFFF"/>
        </w:rPr>
        <w:t xml:space="preserve">% of the </w:t>
      </w:r>
      <w:r>
        <w:rPr>
          <w:rFonts w:ascii="Courier New" w:hAnsi="Courier New" w:cs="Courier New"/>
          <w:color w:val="333333"/>
          <w:shd w:val="clear" w:color="auto" w:fill="FFFFFF"/>
        </w:rPr>
        <w:t xml:space="preserve">effective gross income and structural maintenance </w:t>
      </w:r>
      <w:r w:rsidR="00AA6A24">
        <w:rPr>
          <w:rFonts w:ascii="Courier New" w:hAnsi="Courier New" w:cs="Courier New"/>
          <w:color w:val="333333"/>
          <w:shd w:val="clear" w:color="auto" w:fill="FFFFFF"/>
        </w:rPr>
        <w:t xml:space="preserve">reserves </w:t>
      </w:r>
      <w:r w:rsidRPr="00E76A92">
        <w:rPr>
          <w:rFonts w:ascii="Courier New" w:hAnsi="Courier New" w:cs="Courier New"/>
          <w:color w:val="333333"/>
          <w:shd w:val="clear" w:color="auto" w:fill="FFFFFF"/>
        </w:rPr>
        <w:t xml:space="preserve">equal to </w:t>
      </w:r>
      <w:r>
        <w:rPr>
          <w:rFonts w:ascii="Courier New" w:hAnsi="Courier New" w:cs="Courier New"/>
          <w:color w:val="333333"/>
          <w:shd w:val="clear" w:color="auto" w:fill="FFFFFF"/>
        </w:rPr>
        <w:t xml:space="preserve">$0.20 per square foot, noting </w:t>
      </w:r>
      <w:r w:rsidR="002B4FEA">
        <w:rPr>
          <w:rFonts w:ascii="Courier New" w:hAnsi="Courier New" w:cs="Courier New"/>
          <w:color w:val="333333"/>
          <w:shd w:val="clear" w:color="auto" w:fill="FFFFFF"/>
        </w:rPr>
        <w:t xml:space="preserve">that </w:t>
      </w:r>
      <w:r>
        <w:rPr>
          <w:rFonts w:ascii="Courier New" w:hAnsi="Courier New" w:cs="Courier New"/>
          <w:color w:val="333333"/>
          <w:shd w:val="clear" w:color="auto" w:fill="FFFFFF"/>
        </w:rPr>
        <w:lastRenderedPageBreak/>
        <w:t>expenses for tenant improvements, commissions</w:t>
      </w:r>
      <w:r w:rsidR="00C1371A">
        <w:rPr>
          <w:rFonts w:ascii="Courier New" w:hAnsi="Courier New" w:cs="Courier New"/>
          <w:color w:val="333333"/>
          <w:shd w:val="clear" w:color="auto" w:fill="FFFFFF"/>
        </w:rPr>
        <w:t>,</w:t>
      </w:r>
      <w:r>
        <w:rPr>
          <w:rFonts w:ascii="Courier New" w:hAnsi="Courier New" w:cs="Courier New"/>
          <w:color w:val="333333"/>
          <w:shd w:val="clear" w:color="auto" w:fill="FFFFFF"/>
        </w:rPr>
        <w:t xml:space="preserve"> and reserves are subsumed in h</w:t>
      </w:r>
      <w:r w:rsidR="00F114C2">
        <w:rPr>
          <w:rFonts w:ascii="Courier New" w:hAnsi="Courier New" w:cs="Courier New"/>
          <w:color w:val="333333"/>
          <w:shd w:val="clear" w:color="auto" w:fill="FFFFFF"/>
        </w:rPr>
        <w:t>is</w:t>
      </w:r>
      <w:r>
        <w:rPr>
          <w:rFonts w:ascii="Courier New" w:hAnsi="Courier New" w:cs="Courier New"/>
          <w:color w:val="333333"/>
          <w:shd w:val="clear" w:color="auto" w:fill="FFFFFF"/>
        </w:rPr>
        <w:t xml:space="preserve"> capitalization rate. </w:t>
      </w:r>
      <w:r w:rsidR="001F192C">
        <w:rPr>
          <w:rFonts w:ascii="Courier New" w:hAnsi="Courier New" w:cs="Courier New"/>
          <w:color w:val="333333"/>
          <w:shd w:val="clear" w:color="auto" w:fill="FFFFFF"/>
        </w:rPr>
        <w:t xml:space="preserve"> </w:t>
      </w:r>
      <w:r>
        <w:rPr>
          <w:rFonts w:ascii="Courier New" w:hAnsi="Courier New" w:cs="Courier New"/>
          <w:color w:val="333333"/>
          <w:shd w:val="clear" w:color="auto" w:fill="FFFFFF"/>
        </w:rPr>
        <w:t xml:space="preserve">He deducted </w:t>
      </w:r>
      <w:r w:rsidR="00F114C2">
        <w:rPr>
          <w:rFonts w:ascii="Courier New" w:hAnsi="Courier New" w:cs="Courier New"/>
          <w:color w:val="333333"/>
          <w:shd w:val="clear" w:color="auto" w:fill="FFFFFF"/>
        </w:rPr>
        <w:t>his management</w:t>
      </w:r>
      <w:r>
        <w:rPr>
          <w:rFonts w:ascii="Courier New" w:hAnsi="Courier New" w:cs="Courier New"/>
          <w:color w:val="333333"/>
          <w:shd w:val="clear" w:color="auto" w:fill="FFFFFF"/>
        </w:rPr>
        <w:t xml:space="preserve"> expenses </w:t>
      </w:r>
      <w:r w:rsidR="00717F1E">
        <w:rPr>
          <w:rFonts w:ascii="Courier New" w:hAnsi="Courier New" w:cs="Courier New"/>
          <w:color w:val="333333"/>
          <w:shd w:val="clear" w:color="auto" w:fill="FFFFFF"/>
        </w:rPr>
        <w:t xml:space="preserve">and maintenance reserves </w:t>
      </w:r>
      <w:r>
        <w:rPr>
          <w:rFonts w:ascii="Courier New" w:hAnsi="Courier New" w:cs="Courier New"/>
          <w:color w:val="333333"/>
          <w:shd w:val="clear" w:color="auto" w:fill="FFFFFF"/>
        </w:rPr>
        <w:t>from his effective gross income to derive a</w:t>
      </w:r>
      <w:r>
        <w:rPr>
          <w:rStyle w:val="apple-converted-space"/>
          <w:rFonts w:ascii="Courier New" w:hAnsi="Courier New" w:cs="Courier New"/>
          <w:color w:val="333333"/>
          <w:shd w:val="clear" w:color="auto" w:fill="FFFFFF"/>
        </w:rPr>
        <w:t xml:space="preserve"> </w:t>
      </w:r>
      <w:r w:rsidR="00AA6A24">
        <w:rPr>
          <w:rStyle w:val="apple-converted-space"/>
          <w:rFonts w:ascii="Courier New" w:hAnsi="Courier New" w:cs="Courier New"/>
          <w:color w:val="333333"/>
          <w:shd w:val="clear" w:color="auto" w:fill="FFFFFF"/>
        </w:rPr>
        <w:t xml:space="preserve">stabilized </w:t>
      </w:r>
      <w:r w:rsidR="00AA6A24">
        <w:rPr>
          <w:rFonts w:ascii="Courier New" w:hAnsi="Courier New" w:cs="Courier New"/>
          <w:color w:val="333333"/>
          <w:shd w:val="clear" w:color="auto" w:fill="FFFFFF"/>
        </w:rPr>
        <w:t>net-operating income of $225,694</w:t>
      </w:r>
      <w:r w:rsidR="008C7CDF">
        <w:rPr>
          <w:rFonts w:ascii="Courier New" w:hAnsi="Courier New" w:cs="Courier New"/>
          <w:color w:val="333333"/>
          <w:shd w:val="clear" w:color="auto" w:fill="FFFFFF"/>
        </w:rPr>
        <w:t xml:space="preserve"> for </w:t>
      </w:r>
      <w:r w:rsidR="00AA7548">
        <w:rPr>
          <w:rFonts w:ascii="Courier New" w:hAnsi="Courier New" w:cs="Courier New"/>
          <w:color w:val="333333"/>
          <w:shd w:val="clear" w:color="auto" w:fill="FFFFFF"/>
        </w:rPr>
        <w:t xml:space="preserve">both of </w:t>
      </w:r>
      <w:r w:rsidR="008C7CDF">
        <w:rPr>
          <w:rFonts w:ascii="Courier New" w:hAnsi="Courier New" w:cs="Courier New"/>
          <w:color w:val="333333"/>
          <w:shd w:val="clear" w:color="auto" w:fill="FFFFFF"/>
        </w:rPr>
        <w:t>the fiscal years at issue</w:t>
      </w:r>
      <w:r>
        <w:rPr>
          <w:rFonts w:ascii="Courier New" w:hAnsi="Courier New" w:cs="Courier New"/>
          <w:color w:val="333333"/>
          <w:shd w:val="clear" w:color="auto" w:fill="FFFFFF"/>
        </w:rPr>
        <w:t>.</w:t>
      </w:r>
      <w:r>
        <w:rPr>
          <w:rFonts w:ascii="Courier New" w:hAnsi="Courier New" w:cs="Courier New"/>
        </w:rPr>
        <w:t xml:space="preserve">  </w:t>
      </w:r>
    </w:p>
    <w:p w:rsidR="00861EF0" w:rsidRDefault="008C7CDF" w:rsidP="006B382B">
      <w:pPr>
        <w:spacing w:line="480" w:lineRule="auto"/>
        <w:ind w:firstLine="720"/>
        <w:jc w:val="both"/>
        <w:rPr>
          <w:rFonts w:ascii="Courier New" w:hAnsi="Courier New" w:cs="Courier New"/>
        </w:rPr>
      </w:pPr>
      <w:r>
        <w:rPr>
          <w:rFonts w:ascii="Courier New" w:hAnsi="Courier New" w:cs="Courier New"/>
          <w:color w:val="333333"/>
          <w:shd w:val="clear" w:color="auto" w:fill="FFFFFF"/>
        </w:rPr>
        <w:t xml:space="preserve">Relying on both national surveys and a band-of-investment analysis for each of the fiscal years at issue, Mr. Johnston selected a capitalization rate of </w:t>
      </w:r>
      <w:r w:rsidR="002E55B9">
        <w:rPr>
          <w:rFonts w:ascii="Courier New" w:hAnsi="Courier New" w:cs="Courier New"/>
          <w:color w:val="333333"/>
          <w:shd w:val="clear" w:color="auto" w:fill="FFFFFF"/>
        </w:rPr>
        <w:t>9.0% for both of the fiscal years at issue.</w:t>
      </w:r>
      <w:r>
        <w:rPr>
          <w:rFonts w:ascii="Courier New" w:hAnsi="Courier New" w:cs="Courier New"/>
          <w:color w:val="333333"/>
          <w:shd w:val="clear" w:color="auto" w:fill="FFFFFF"/>
        </w:rPr>
        <w:t xml:space="preserve">  </w:t>
      </w:r>
      <w:r w:rsidR="00C549CE">
        <w:rPr>
          <w:rFonts w:ascii="Courier New" w:hAnsi="Courier New" w:cs="Courier New"/>
          <w:color w:val="333333"/>
          <w:shd w:val="clear" w:color="auto" w:fill="FFFFFF"/>
        </w:rPr>
        <w:t>Finally, a</w:t>
      </w:r>
      <w:r w:rsidR="001F46A5">
        <w:rPr>
          <w:rFonts w:ascii="Courier New" w:hAnsi="Courier New" w:cs="Courier New"/>
          <w:color w:val="333333"/>
          <w:shd w:val="clear" w:color="auto" w:fill="FFFFFF"/>
        </w:rPr>
        <w:t xml:space="preserve">pplying the </w:t>
      </w:r>
      <w:r w:rsidR="004224EF">
        <w:rPr>
          <w:rFonts w:ascii="Courier New" w:hAnsi="Courier New" w:cs="Courier New"/>
          <w:color w:val="333333"/>
          <w:shd w:val="clear" w:color="auto" w:fill="FFFFFF"/>
        </w:rPr>
        <w:t>9.0</w:t>
      </w:r>
      <w:r w:rsidR="001F46A5">
        <w:rPr>
          <w:rFonts w:ascii="Courier New" w:hAnsi="Courier New" w:cs="Courier New"/>
          <w:color w:val="333333"/>
          <w:shd w:val="clear" w:color="auto" w:fill="FFFFFF"/>
        </w:rPr>
        <w:t>% capitalization rate to the $</w:t>
      </w:r>
      <w:r w:rsidR="002E55B9">
        <w:rPr>
          <w:rFonts w:ascii="Courier New" w:hAnsi="Courier New" w:cs="Courier New"/>
          <w:color w:val="333333"/>
          <w:shd w:val="clear" w:color="auto" w:fill="FFFFFF"/>
        </w:rPr>
        <w:t>225,694</w:t>
      </w:r>
      <w:r w:rsidR="001F46A5">
        <w:rPr>
          <w:rFonts w:ascii="Courier New" w:hAnsi="Courier New" w:cs="Courier New"/>
          <w:color w:val="333333"/>
          <w:shd w:val="clear" w:color="auto" w:fill="FFFFFF"/>
        </w:rPr>
        <w:t xml:space="preserve"> net</w:t>
      </w:r>
      <w:r w:rsidR="00AA7548">
        <w:rPr>
          <w:rFonts w:ascii="Courier New" w:hAnsi="Courier New" w:cs="Courier New"/>
          <w:color w:val="333333"/>
          <w:shd w:val="clear" w:color="auto" w:fill="FFFFFF"/>
        </w:rPr>
        <w:t>-</w:t>
      </w:r>
      <w:r w:rsidR="001F46A5">
        <w:rPr>
          <w:rFonts w:ascii="Courier New" w:hAnsi="Courier New" w:cs="Courier New"/>
          <w:color w:val="333333"/>
          <w:shd w:val="clear" w:color="auto" w:fill="FFFFFF"/>
        </w:rPr>
        <w:t>operating income</w:t>
      </w:r>
      <w:r w:rsidR="00C549CE">
        <w:rPr>
          <w:rFonts w:ascii="Courier New" w:hAnsi="Courier New" w:cs="Courier New"/>
          <w:color w:val="333333"/>
          <w:shd w:val="clear" w:color="auto" w:fill="FFFFFF"/>
        </w:rPr>
        <w:t>, Mr. Johnston derive</w:t>
      </w:r>
      <w:r w:rsidR="00614242">
        <w:rPr>
          <w:rFonts w:ascii="Courier New" w:hAnsi="Courier New" w:cs="Courier New"/>
          <w:color w:val="333333"/>
          <w:shd w:val="clear" w:color="auto" w:fill="FFFFFF"/>
        </w:rPr>
        <w:t>d an indicated value of $</w:t>
      </w:r>
      <w:r w:rsidR="002E55B9">
        <w:rPr>
          <w:rFonts w:ascii="Courier New" w:hAnsi="Courier New" w:cs="Courier New"/>
          <w:color w:val="333333"/>
          <w:shd w:val="clear" w:color="auto" w:fill="FFFFFF"/>
        </w:rPr>
        <w:t>2,507,707</w:t>
      </w:r>
      <w:r w:rsidR="00C549CE">
        <w:rPr>
          <w:rFonts w:ascii="Courier New" w:hAnsi="Courier New" w:cs="Courier New"/>
          <w:color w:val="333333"/>
          <w:shd w:val="clear" w:color="auto" w:fill="FFFFFF"/>
        </w:rPr>
        <w:t>, rounded to</w:t>
      </w:r>
      <w:r w:rsidR="001F46A5">
        <w:rPr>
          <w:rFonts w:ascii="Courier New" w:hAnsi="Courier New" w:cs="Courier New"/>
          <w:color w:val="333333"/>
          <w:shd w:val="clear" w:color="auto" w:fill="FFFFFF"/>
        </w:rPr>
        <w:t xml:space="preserve"> $</w:t>
      </w:r>
      <w:r w:rsidR="002E55B9">
        <w:rPr>
          <w:rFonts w:ascii="Courier New" w:hAnsi="Courier New" w:cs="Courier New"/>
          <w:color w:val="333333"/>
          <w:shd w:val="clear" w:color="auto" w:fill="FFFFFF"/>
        </w:rPr>
        <w:t>2,510,000</w:t>
      </w:r>
      <w:r>
        <w:rPr>
          <w:rFonts w:ascii="Courier New" w:hAnsi="Courier New" w:cs="Courier New"/>
          <w:color w:val="333333"/>
          <w:shd w:val="clear" w:color="auto" w:fill="FFFFFF"/>
        </w:rPr>
        <w:t>,</w:t>
      </w:r>
      <w:r w:rsidR="004224EF">
        <w:rPr>
          <w:rFonts w:ascii="Courier New" w:hAnsi="Courier New" w:cs="Courier New"/>
          <w:color w:val="333333"/>
          <w:shd w:val="clear" w:color="auto" w:fill="FFFFFF"/>
        </w:rPr>
        <w:t xml:space="preserve"> for </w:t>
      </w:r>
      <w:r w:rsidR="00AA7548">
        <w:rPr>
          <w:rFonts w:ascii="Courier New" w:hAnsi="Courier New" w:cs="Courier New"/>
          <w:color w:val="333333"/>
          <w:shd w:val="clear" w:color="auto" w:fill="FFFFFF"/>
        </w:rPr>
        <w:t xml:space="preserve">both of </w:t>
      </w:r>
      <w:r w:rsidR="002E55B9">
        <w:rPr>
          <w:rFonts w:ascii="Courier New" w:hAnsi="Courier New" w:cs="Courier New"/>
          <w:color w:val="333333"/>
          <w:shd w:val="clear" w:color="auto" w:fill="FFFFFF"/>
        </w:rPr>
        <w:t>the fiscal years at issue</w:t>
      </w:r>
      <w:r w:rsidR="007A0A61">
        <w:rPr>
          <w:rFonts w:ascii="Courier New" w:hAnsi="Courier New" w:cs="Courier New"/>
          <w:color w:val="333333"/>
          <w:shd w:val="clear" w:color="auto" w:fill="FFFFFF"/>
        </w:rPr>
        <w:t>.</w:t>
      </w:r>
    </w:p>
    <w:p w:rsidR="001F46A5" w:rsidRDefault="001F46A5" w:rsidP="001F46A5">
      <w:pPr>
        <w:spacing w:line="480" w:lineRule="auto"/>
        <w:ind w:firstLine="720"/>
        <w:jc w:val="both"/>
        <w:rPr>
          <w:rFonts w:ascii="Courier New" w:hAnsi="Courier New" w:cs="Courier New"/>
        </w:rPr>
      </w:pPr>
      <w:r>
        <w:rPr>
          <w:rFonts w:ascii="Courier New" w:hAnsi="Courier New" w:cs="Courier New"/>
        </w:rPr>
        <w:t xml:space="preserve">Mr. </w:t>
      </w:r>
      <w:r w:rsidR="004224EF">
        <w:rPr>
          <w:rFonts w:ascii="Courier New" w:hAnsi="Courier New" w:cs="Courier New"/>
        </w:rPr>
        <w:t>Johnston’s inc</w:t>
      </w:r>
      <w:r>
        <w:rPr>
          <w:rFonts w:ascii="Courier New" w:hAnsi="Courier New" w:cs="Courier New"/>
        </w:rPr>
        <w:t xml:space="preserve">ome-capitalization analysis is </w:t>
      </w:r>
      <w:r w:rsidR="000D2056">
        <w:rPr>
          <w:rFonts w:ascii="Courier New" w:hAnsi="Courier New" w:cs="Courier New"/>
        </w:rPr>
        <w:t>summarized</w:t>
      </w:r>
      <w:r>
        <w:rPr>
          <w:rFonts w:ascii="Courier New" w:hAnsi="Courier New" w:cs="Courier New"/>
        </w:rPr>
        <w:t xml:space="preserve"> in the following table.</w:t>
      </w:r>
    </w:p>
    <w:p w:rsidR="00614242" w:rsidRDefault="00614242" w:rsidP="00F25A29">
      <w:pPr>
        <w:jc w:val="center"/>
        <w:rPr>
          <w:rFonts w:ascii="Courier New" w:hAnsi="Courier New" w:cs="Courier New"/>
          <w:b/>
          <w:color w:val="000000"/>
          <w:u w:val="single"/>
        </w:rPr>
      </w:pPr>
      <w:r>
        <w:rPr>
          <w:rFonts w:ascii="Courier New" w:hAnsi="Courier New" w:cs="Courier New"/>
          <w:b/>
          <w:color w:val="000000"/>
          <w:u w:val="single"/>
        </w:rPr>
        <w:t>Mr. Johnston’s Income-Capitalization Analys</w:t>
      </w:r>
      <w:r w:rsidR="00AA7548">
        <w:rPr>
          <w:rFonts w:ascii="Courier New" w:hAnsi="Courier New" w:cs="Courier New"/>
          <w:b/>
          <w:color w:val="000000"/>
          <w:u w:val="single"/>
        </w:rPr>
        <w:t>e</w:t>
      </w:r>
      <w:r>
        <w:rPr>
          <w:rFonts w:ascii="Courier New" w:hAnsi="Courier New" w:cs="Courier New"/>
          <w:b/>
          <w:color w:val="000000"/>
          <w:u w:val="single"/>
        </w:rPr>
        <w:t>s</w:t>
      </w:r>
      <w:r w:rsidR="002E55B9">
        <w:rPr>
          <w:rFonts w:ascii="Courier New" w:hAnsi="Courier New" w:cs="Courier New"/>
          <w:b/>
          <w:color w:val="000000"/>
          <w:u w:val="single"/>
        </w:rPr>
        <w:t xml:space="preserve"> for FY13 and FY14</w:t>
      </w:r>
    </w:p>
    <w:p w:rsidR="00614242" w:rsidRDefault="00614242" w:rsidP="00614242">
      <w:pPr>
        <w:ind w:firstLine="720"/>
        <w:jc w:val="center"/>
        <w:rPr>
          <w:rFonts w:ascii="Courier New" w:hAnsi="Courier New" w:cs="Courier New"/>
          <w:b/>
          <w:color w:val="000000"/>
          <w:u w:val="single"/>
        </w:rPr>
      </w:pPr>
    </w:p>
    <w:tbl>
      <w:tblPr>
        <w:tblW w:w="0" w:type="auto"/>
        <w:tblLayout w:type="fixed"/>
        <w:tblLook w:val="04A0" w:firstRow="1" w:lastRow="0" w:firstColumn="1" w:lastColumn="0" w:noHBand="0" w:noVBand="1"/>
      </w:tblPr>
      <w:tblGrid>
        <w:gridCol w:w="6228"/>
        <w:gridCol w:w="1260"/>
        <w:gridCol w:w="2088"/>
      </w:tblGrid>
      <w:tr w:rsidR="004224EF" w:rsidRPr="00850A64" w:rsidTr="00850A64">
        <w:tc>
          <w:tcPr>
            <w:tcW w:w="6228" w:type="dxa"/>
            <w:shd w:val="clear" w:color="auto" w:fill="auto"/>
          </w:tcPr>
          <w:p w:rsidR="004224EF" w:rsidRPr="00850A64" w:rsidRDefault="004224EF" w:rsidP="00850A64">
            <w:pPr>
              <w:jc w:val="both"/>
              <w:rPr>
                <w:rFonts w:ascii="Courier New" w:hAnsi="Courier New" w:cs="Courier New"/>
                <w:b/>
                <w:sz w:val="20"/>
                <w:szCs w:val="20"/>
                <w:u w:val="single"/>
              </w:rPr>
            </w:pPr>
            <w:r w:rsidRPr="00850A64">
              <w:rPr>
                <w:rFonts w:ascii="Courier New" w:hAnsi="Courier New" w:cs="Courier New"/>
                <w:b/>
                <w:sz w:val="20"/>
                <w:szCs w:val="20"/>
                <w:u w:val="single"/>
              </w:rPr>
              <w:t>INCOME</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sz w:val="20"/>
                <w:szCs w:val="20"/>
              </w:rPr>
            </w:pPr>
          </w:p>
        </w:tc>
      </w:tr>
      <w:tr w:rsidR="004224EF" w:rsidRPr="00850A64" w:rsidTr="00850A64">
        <w:tc>
          <w:tcPr>
            <w:tcW w:w="6228" w:type="dxa"/>
            <w:shd w:val="clear" w:color="auto" w:fill="auto"/>
          </w:tcPr>
          <w:p w:rsidR="004224EF" w:rsidRPr="00850A64" w:rsidRDefault="004224EF" w:rsidP="00614242">
            <w:pPr>
              <w:jc w:val="both"/>
              <w:rPr>
                <w:rFonts w:ascii="Courier New" w:hAnsi="Courier New" w:cs="Courier New"/>
                <w:sz w:val="20"/>
                <w:szCs w:val="20"/>
              </w:rPr>
            </w:pPr>
            <w:r w:rsidRPr="00850A64">
              <w:rPr>
                <w:rFonts w:ascii="Courier New" w:hAnsi="Courier New" w:cs="Courier New"/>
                <w:sz w:val="20"/>
                <w:szCs w:val="20"/>
              </w:rPr>
              <w:t xml:space="preserve">Rental </w:t>
            </w:r>
            <w:r w:rsidR="00A60447">
              <w:rPr>
                <w:rFonts w:ascii="Courier New" w:hAnsi="Courier New" w:cs="Courier New"/>
                <w:sz w:val="20"/>
                <w:szCs w:val="20"/>
              </w:rPr>
              <w:t>Income</w:t>
            </w:r>
            <w:r w:rsidR="00614242">
              <w:rPr>
                <w:rFonts w:ascii="Courier New" w:hAnsi="Courier New" w:cs="Courier New"/>
                <w:sz w:val="20"/>
                <w:szCs w:val="20"/>
              </w:rPr>
              <w:t xml:space="preserve"> </w:t>
            </w:r>
            <w:r w:rsidR="00B0456D">
              <w:rPr>
                <w:rFonts w:ascii="Courier New" w:hAnsi="Courier New" w:cs="Courier New"/>
                <w:sz w:val="20"/>
                <w:szCs w:val="20"/>
              </w:rPr>
              <w:t>–</w:t>
            </w:r>
            <w:r w:rsidR="00614242">
              <w:rPr>
                <w:rFonts w:ascii="Courier New" w:hAnsi="Courier New" w:cs="Courier New"/>
                <w:sz w:val="20"/>
                <w:szCs w:val="20"/>
              </w:rPr>
              <w:t xml:space="preserve"> </w:t>
            </w:r>
            <w:r w:rsidR="00B0456D">
              <w:rPr>
                <w:rFonts w:ascii="Courier New" w:hAnsi="Courier New" w:cs="Courier New"/>
                <w:sz w:val="20"/>
                <w:szCs w:val="20"/>
              </w:rPr>
              <w:t>54,780</w:t>
            </w:r>
            <w:r w:rsidR="002E55B9">
              <w:rPr>
                <w:rFonts w:ascii="Courier New" w:hAnsi="Courier New" w:cs="Courier New"/>
                <w:sz w:val="20"/>
                <w:szCs w:val="20"/>
              </w:rPr>
              <w:t xml:space="preserve"> square feet @ $5.0</w:t>
            </w:r>
            <w:r w:rsidRPr="00850A64">
              <w:rPr>
                <w:rFonts w:ascii="Courier New" w:hAnsi="Courier New" w:cs="Courier New"/>
                <w:sz w:val="20"/>
                <w:szCs w:val="20"/>
              </w:rPr>
              <w:t>0</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sz w:val="20"/>
                <w:szCs w:val="20"/>
              </w:rPr>
            </w:pPr>
          </w:p>
        </w:tc>
      </w:tr>
      <w:tr w:rsidR="004224EF" w:rsidRPr="00850A64" w:rsidTr="00850A64">
        <w:tc>
          <w:tcPr>
            <w:tcW w:w="6228" w:type="dxa"/>
            <w:shd w:val="clear" w:color="auto" w:fill="auto"/>
          </w:tcPr>
          <w:p w:rsidR="004224EF" w:rsidRPr="00850A64" w:rsidRDefault="004224EF" w:rsidP="00850A64">
            <w:pPr>
              <w:jc w:val="both"/>
              <w:rPr>
                <w:rFonts w:ascii="Courier New" w:hAnsi="Courier New" w:cs="Courier New"/>
                <w:b/>
                <w:sz w:val="20"/>
                <w:szCs w:val="20"/>
              </w:rPr>
            </w:pPr>
            <w:r w:rsidRPr="00850A64">
              <w:rPr>
                <w:rFonts w:ascii="Courier New" w:hAnsi="Courier New" w:cs="Courier New"/>
                <w:b/>
                <w:sz w:val="20"/>
                <w:szCs w:val="20"/>
              </w:rPr>
              <w:t>Potential Gross Income</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b/>
                <w:sz w:val="20"/>
                <w:szCs w:val="20"/>
              </w:rPr>
            </w:pPr>
            <w:r w:rsidRPr="00850A64">
              <w:rPr>
                <w:rFonts w:ascii="Courier New" w:hAnsi="Courier New" w:cs="Courier New"/>
                <w:b/>
                <w:sz w:val="20"/>
                <w:szCs w:val="20"/>
              </w:rPr>
              <w:t xml:space="preserve"> $ </w:t>
            </w:r>
            <w:r w:rsidR="007D079D" w:rsidRPr="00850A64">
              <w:rPr>
                <w:rFonts w:ascii="Courier New" w:hAnsi="Courier New" w:cs="Courier New"/>
                <w:b/>
                <w:sz w:val="20"/>
                <w:szCs w:val="20"/>
              </w:rPr>
              <w:t xml:space="preserve"> </w:t>
            </w:r>
            <w:r w:rsidR="00B0456D">
              <w:rPr>
                <w:rFonts w:ascii="Courier New" w:hAnsi="Courier New" w:cs="Courier New"/>
                <w:b/>
                <w:sz w:val="20"/>
                <w:szCs w:val="20"/>
              </w:rPr>
              <w:t>273,900</w:t>
            </w:r>
          </w:p>
        </w:tc>
      </w:tr>
      <w:tr w:rsidR="004224EF" w:rsidRPr="00850A64" w:rsidTr="00850A64">
        <w:tc>
          <w:tcPr>
            <w:tcW w:w="6228" w:type="dxa"/>
            <w:shd w:val="clear" w:color="auto" w:fill="auto"/>
          </w:tcPr>
          <w:p w:rsidR="004224EF" w:rsidRPr="00850A64" w:rsidRDefault="004224EF" w:rsidP="00614242">
            <w:pPr>
              <w:jc w:val="both"/>
              <w:rPr>
                <w:rFonts w:ascii="Courier New" w:hAnsi="Courier New" w:cs="Courier New"/>
                <w:sz w:val="20"/>
                <w:szCs w:val="20"/>
              </w:rPr>
            </w:pPr>
            <w:r w:rsidRPr="00850A64">
              <w:rPr>
                <w:rFonts w:ascii="Courier New" w:hAnsi="Courier New" w:cs="Courier New"/>
                <w:sz w:val="20"/>
                <w:szCs w:val="20"/>
              </w:rPr>
              <w:t xml:space="preserve">Vacancy </w:t>
            </w:r>
            <w:r w:rsidR="00614242">
              <w:rPr>
                <w:rFonts w:ascii="Courier New" w:hAnsi="Courier New" w:cs="Courier New"/>
                <w:sz w:val="20"/>
                <w:szCs w:val="20"/>
              </w:rPr>
              <w:t>and Collection Allowance (</w:t>
            </w:r>
            <w:r w:rsidRPr="00850A64">
              <w:rPr>
                <w:rFonts w:ascii="Courier New" w:hAnsi="Courier New" w:cs="Courier New"/>
                <w:sz w:val="20"/>
                <w:szCs w:val="20"/>
              </w:rPr>
              <w:t>10%</w:t>
            </w:r>
            <w:r w:rsidR="00614242">
              <w:rPr>
                <w:rFonts w:ascii="Courier New" w:hAnsi="Courier New" w:cs="Courier New"/>
                <w:sz w:val="20"/>
                <w:szCs w:val="20"/>
              </w:rPr>
              <w:t>)</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sz w:val="20"/>
                <w:szCs w:val="20"/>
              </w:rPr>
            </w:pPr>
            <w:r w:rsidRPr="00850A64">
              <w:rPr>
                <w:rFonts w:ascii="Courier New" w:hAnsi="Courier New" w:cs="Courier New"/>
                <w:sz w:val="20"/>
                <w:szCs w:val="20"/>
              </w:rPr>
              <w:t xml:space="preserve">($  </w:t>
            </w:r>
            <w:r w:rsidR="007D079D" w:rsidRPr="00850A64">
              <w:rPr>
                <w:rFonts w:ascii="Courier New" w:hAnsi="Courier New" w:cs="Courier New"/>
                <w:sz w:val="20"/>
                <w:szCs w:val="20"/>
              </w:rPr>
              <w:t xml:space="preserve"> </w:t>
            </w:r>
            <w:r w:rsidR="00B0456D">
              <w:rPr>
                <w:rFonts w:ascii="Courier New" w:hAnsi="Courier New" w:cs="Courier New"/>
                <w:sz w:val="20"/>
                <w:szCs w:val="20"/>
              </w:rPr>
              <w:t>27,390</w:t>
            </w:r>
            <w:r w:rsidRPr="00850A64">
              <w:rPr>
                <w:rFonts w:ascii="Courier New" w:hAnsi="Courier New" w:cs="Courier New"/>
                <w:sz w:val="20"/>
                <w:szCs w:val="20"/>
              </w:rPr>
              <w:t>)</w:t>
            </w:r>
          </w:p>
        </w:tc>
      </w:tr>
      <w:tr w:rsidR="004224EF" w:rsidRPr="00850A64" w:rsidTr="00850A64">
        <w:tc>
          <w:tcPr>
            <w:tcW w:w="6228" w:type="dxa"/>
            <w:shd w:val="clear" w:color="auto" w:fill="auto"/>
          </w:tcPr>
          <w:p w:rsidR="004224EF" w:rsidRPr="00850A64" w:rsidRDefault="004224EF" w:rsidP="00850A64">
            <w:pPr>
              <w:jc w:val="both"/>
              <w:rPr>
                <w:rFonts w:ascii="Courier New" w:hAnsi="Courier New" w:cs="Courier New"/>
                <w:b/>
                <w:sz w:val="20"/>
                <w:szCs w:val="20"/>
              </w:rPr>
            </w:pPr>
            <w:r w:rsidRPr="00850A64">
              <w:rPr>
                <w:rFonts w:ascii="Courier New" w:hAnsi="Courier New" w:cs="Courier New"/>
                <w:b/>
                <w:sz w:val="20"/>
                <w:szCs w:val="20"/>
              </w:rPr>
              <w:t>Effective Gross Income</w:t>
            </w:r>
            <w:r w:rsidR="00AA7548">
              <w:rPr>
                <w:rFonts w:ascii="Courier New" w:hAnsi="Courier New" w:cs="Courier New"/>
                <w:b/>
                <w:sz w:val="20"/>
                <w:szCs w:val="20"/>
              </w:rPr>
              <w:t xml:space="preserve"> (“EGI”)</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b/>
                <w:sz w:val="20"/>
                <w:szCs w:val="20"/>
              </w:rPr>
            </w:pPr>
            <w:r w:rsidRPr="00850A64">
              <w:rPr>
                <w:rFonts w:ascii="Courier New" w:hAnsi="Courier New" w:cs="Courier New"/>
                <w:b/>
                <w:sz w:val="20"/>
                <w:szCs w:val="20"/>
              </w:rPr>
              <w:t xml:space="preserve"> $ </w:t>
            </w:r>
            <w:r w:rsidR="007D079D" w:rsidRPr="00850A64">
              <w:rPr>
                <w:rFonts w:ascii="Courier New" w:hAnsi="Courier New" w:cs="Courier New"/>
                <w:b/>
                <w:sz w:val="20"/>
                <w:szCs w:val="20"/>
              </w:rPr>
              <w:t xml:space="preserve"> </w:t>
            </w:r>
            <w:r w:rsidR="00B0456D">
              <w:rPr>
                <w:rFonts w:ascii="Courier New" w:hAnsi="Courier New" w:cs="Courier New"/>
                <w:b/>
                <w:sz w:val="20"/>
                <w:szCs w:val="20"/>
              </w:rPr>
              <w:t>246,510</w:t>
            </w:r>
          </w:p>
        </w:tc>
      </w:tr>
      <w:tr w:rsidR="004224EF" w:rsidRPr="00850A64" w:rsidTr="00850A64">
        <w:tc>
          <w:tcPr>
            <w:tcW w:w="6228" w:type="dxa"/>
            <w:shd w:val="clear" w:color="auto" w:fill="auto"/>
          </w:tcPr>
          <w:p w:rsidR="004224EF" w:rsidRPr="00850A64" w:rsidRDefault="004224EF" w:rsidP="00850A64">
            <w:pPr>
              <w:jc w:val="both"/>
              <w:rPr>
                <w:rFonts w:ascii="Courier New" w:hAnsi="Courier New" w:cs="Courier New"/>
                <w:b/>
                <w:sz w:val="20"/>
                <w:szCs w:val="20"/>
              </w:rPr>
            </w:pP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b/>
                <w:sz w:val="20"/>
                <w:szCs w:val="20"/>
              </w:rPr>
            </w:pPr>
          </w:p>
        </w:tc>
      </w:tr>
      <w:tr w:rsidR="004224EF" w:rsidRPr="00850A64" w:rsidTr="00850A64">
        <w:tc>
          <w:tcPr>
            <w:tcW w:w="6228" w:type="dxa"/>
            <w:shd w:val="clear" w:color="auto" w:fill="auto"/>
          </w:tcPr>
          <w:p w:rsidR="004224EF" w:rsidRPr="00850A64" w:rsidRDefault="004224EF" w:rsidP="00850A64">
            <w:pPr>
              <w:jc w:val="both"/>
              <w:rPr>
                <w:rFonts w:ascii="Courier New" w:hAnsi="Courier New" w:cs="Courier New"/>
                <w:b/>
                <w:sz w:val="20"/>
                <w:szCs w:val="20"/>
                <w:u w:val="single"/>
              </w:rPr>
            </w:pPr>
            <w:r w:rsidRPr="00850A64">
              <w:rPr>
                <w:rFonts w:ascii="Courier New" w:hAnsi="Courier New" w:cs="Courier New"/>
                <w:b/>
                <w:sz w:val="20"/>
                <w:szCs w:val="20"/>
                <w:u w:val="single"/>
              </w:rPr>
              <w:t>EXPENSES</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b/>
                <w:sz w:val="20"/>
                <w:szCs w:val="20"/>
              </w:rPr>
            </w:pPr>
          </w:p>
        </w:tc>
      </w:tr>
      <w:tr w:rsidR="004224EF" w:rsidRPr="00850A64" w:rsidTr="00850A64">
        <w:tc>
          <w:tcPr>
            <w:tcW w:w="6228" w:type="dxa"/>
            <w:shd w:val="clear" w:color="auto" w:fill="auto"/>
          </w:tcPr>
          <w:p w:rsidR="004224EF" w:rsidRPr="00850A64" w:rsidRDefault="004224EF" w:rsidP="00850A64">
            <w:pPr>
              <w:jc w:val="both"/>
              <w:rPr>
                <w:rFonts w:ascii="Courier New" w:hAnsi="Courier New" w:cs="Courier New"/>
                <w:sz w:val="20"/>
                <w:szCs w:val="20"/>
              </w:rPr>
            </w:pPr>
            <w:r w:rsidRPr="00850A64">
              <w:rPr>
                <w:rFonts w:ascii="Courier New" w:hAnsi="Courier New" w:cs="Courier New"/>
                <w:sz w:val="20"/>
                <w:szCs w:val="20"/>
              </w:rPr>
              <w:t xml:space="preserve"> Operating </w:t>
            </w:r>
          </w:p>
        </w:tc>
        <w:tc>
          <w:tcPr>
            <w:tcW w:w="1260" w:type="dxa"/>
            <w:shd w:val="clear" w:color="auto" w:fill="auto"/>
          </w:tcPr>
          <w:p w:rsidR="004224EF" w:rsidRPr="00850A64" w:rsidRDefault="004224EF" w:rsidP="00850A64">
            <w:pPr>
              <w:jc w:val="both"/>
              <w:rPr>
                <w:rFonts w:ascii="Courier New" w:hAnsi="Courier New" w:cs="Courier New"/>
                <w:sz w:val="20"/>
                <w:szCs w:val="20"/>
              </w:rPr>
            </w:pPr>
          </w:p>
        </w:tc>
        <w:tc>
          <w:tcPr>
            <w:tcW w:w="2088" w:type="dxa"/>
            <w:shd w:val="clear" w:color="auto" w:fill="auto"/>
          </w:tcPr>
          <w:p w:rsidR="004224EF" w:rsidRPr="00850A64" w:rsidRDefault="004224EF" w:rsidP="00850A64">
            <w:pPr>
              <w:jc w:val="both"/>
              <w:rPr>
                <w:rFonts w:ascii="Courier New" w:hAnsi="Courier New" w:cs="Courier New"/>
                <w:b/>
                <w:sz w:val="20"/>
                <w:szCs w:val="20"/>
              </w:rPr>
            </w:pPr>
          </w:p>
        </w:tc>
      </w:tr>
      <w:tr w:rsidR="004224EF" w:rsidRPr="00850A64" w:rsidTr="00850A64">
        <w:tc>
          <w:tcPr>
            <w:tcW w:w="6228" w:type="dxa"/>
            <w:shd w:val="clear" w:color="auto" w:fill="auto"/>
          </w:tcPr>
          <w:p w:rsidR="007D079D" w:rsidRPr="00850A64" w:rsidRDefault="00A27B31" w:rsidP="007D079D">
            <w:pPr>
              <w:rPr>
                <w:rFonts w:ascii="Courier New" w:hAnsi="Courier New" w:cs="Courier New"/>
                <w:color w:val="000000"/>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Mgmt</w:t>
            </w:r>
            <w:proofErr w:type="spellEnd"/>
            <w:r>
              <w:rPr>
                <w:rFonts w:ascii="Courier New" w:hAnsi="Courier New" w:cs="Courier New"/>
                <w:color w:val="000000"/>
                <w:sz w:val="20"/>
                <w:szCs w:val="20"/>
              </w:rPr>
              <w:t xml:space="preserve">                 @ 4</w:t>
            </w:r>
            <w:r w:rsidR="00AD1988">
              <w:rPr>
                <w:rFonts w:ascii="Courier New" w:hAnsi="Courier New" w:cs="Courier New"/>
                <w:color w:val="000000"/>
                <w:sz w:val="20"/>
                <w:szCs w:val="20"/>
              </w:rPr>
              <w:t xml:space="preserve">% </w:t>
            </w:r>
            <w:r w:rsidR="007D079D" w:rsidRPr="00850A64">
              <w:rPr>
                <w:rFonts w:ascii="Courier New" w:hAnsi="Courier New" w:cs="Courier New"/>
                <w:color w:val="000000"/>
                <w:sz w:val="20"/>
                <w:szCs w:val="20"/>
              </w:rPr>
              <w:t>EGI</w:t>
            </w:r>
          </w:p>
          <w:p w:rsidR="004224EF" w:rsidRPr="00850A64" w:rsidRDefault="007D079D" w:rsidP="00AD1988">
            <w:pPr>
              <w:rPr>
                <w:rFonts w:ascii="Courier New" w:hAnsi="Courier New" w:cs="Courier New"/>
                <w:sz w:val="20"/>
                <w:szCs w:val="20"/>
              </w:rPr>
            </w:pPr>
            <w:r w:rsidRPr="00850A64">
              <w:rPr>
                <w:rFonts w:ascii="Courier New" w:hAnsi="Courier New" w:cs="Courier New"/>
                <w:color w:val="000000"/>
                <w:sz w:val="20"/>
                <w:szCs w:val="20"/>
              </w:rPr>
              <w:t xml:space="preserve">   </w:t>
            </w:r>
            <w:proofErr w:type="spellStart"/>
            <w:r w:rsidRPr="00850A64">
              <w:rPr>
                <w:rFonts w:ascii="Courier New" w:hAnsi="Courier New" w:cs="Courier New"/>
                <w:color w:val="000000"/>
                <w:sz w:val="20"/>
                <w:szCs w:val="20"/>
              </w:rPr>
              <w:t>Struc</w:t>
            </w:r>
            <w:proofErr w:type="spellEnd"/>
            <w:r w:rsidRPr="00850A64">
              <w:rPr>
                <w:rFonts w:ascii="Courier New" w:hAnsi="Courier New" w:cs="Courier New"/>
                <w:color w:val="000000"/>
                <w:sz w:val="20"/>
                <w:szCs w:val="20"/>
              </w:rPr>
              <w:t xml:space="preserve"> Main           @ $0.</w:t>
            </w:r>
            <w:r w:rsidR="00AD1988">
              <w:rPr>
                <w:rFonts w:ascii="Courier New" w:hAnsi="Courier New" w:cs="Courier New"/>
                <w:color w:val="000000"/>
                <w:sz w:val="20"/>
                <w:szCs w:val="20"/>
              </w:rPr>
              <w:t>20</w:t>
            </w:r>
            <w:r w:rsidRPr="00850A64">
              <w:rPr>
                <w:rFonts w:ascii="Courier New" w:hAnsi="Courier New" w:cs="Courier New"/>
                <w:color w:val="000000"/>
                <w:sz w:val="20"/>
                <w:szCs w:val="20"/>
              </w:rPr>
              <w:t xml:space="preserve"> </w:t>
            </w:r>
            <w:proofErr w:type="spellStart"/>
            <w:r w:rsidRPr="00850A64">
              <w:rPr>
                <w:rFonts w:ascii="Courier New" w:hAnsi="Courier New" w:cs="Courier New"/>
                <w:color w:val="000000"/>
                <w:sz w:val="20"/>
                <w:szCs w:val="20"/>
              </w:rPr>
              <w:t>psf</w:t>
            </w:r>
            <w:proofErr w:type="spellEnd"/>
          </w:p>
        </w:tc>
        <w:tc>
          <w:tcPr>
            <w:tcW w:w="1260" w:type="dxa"/>
            <w:shd w:val="clear" w:color="auto" w:fill="auto"/>
          </w:tcPr>
          <w:p w:rsidR="007D079D" w:rsidRPr="00850A64" w:rsidRDefault="00B0456D" w:rsidP="00850A64">
            <w:pPr>
              <w:jc w:val="both"/>
              <w:rPr>
                <w:rFonts w:ascii="Courier New" w:hAnsi="Courier New" w:cs="Courier New"/>
                <w:sz w:val="20"/>
                <w:szCs w:val="20"/>
              </w:rPr>
            </w:pPr>
            <w:r>
              <w:rPr>
                <w:rFonts w:ascii="Courier New" w:hAnsi="Courier New" w:cs="Courier New"/>
                <w:sz w:val="20"/>
                <w:szCs w:val="20"/>
              </w:rPr>
              <w:t>$ 9,860</w:t>
            </w:r>
          </w:p>
          <w:p w:rsidR="004224EF" w:rsidRPr="00850A64" w:rsidRDefault="00B0456D" w:rsidP="00850A64">
            <w:pPr>
              <w:jc w:val="both"/>
              <w:rPr>
                <w:rFonts w:ascii="Courier New" w:hAnsi="Courier New" w:cs="Courier New"/>
                <w:sz w:val="20"/>
                <w:szCs w:val="20"/>
              </w:rPr>
            </w:pPr>
            <w:r>
              <w:rPr>
                <w:rFonts w:ascii="Courier New" w:hAnsi="Courier New" w:cs="Courier New"/>
                <w:sz w:val="20"/>
                <w:szCs w:val="20"/>
              </w:rPr>
              <w:t>$10,956</w:t>
            </w:r>
            <w:r w:rsidR="004224EF" w:rsidRPr="00850A64">
              <w:rPr>
                <w:rFonts w:ascii="Courier New" w:hAnsi="Courier New" w:cs="Courier New"/>
                <w:sz w:val="20"/>
                <w:szCs w:val="20"/>
              </w:rPr>
              <w:t xml:space="preserve"> </w:t>
            </w:r>
          </w:p>
        </w:tc>
        <w:tc>
          <w:tcPr>
            <w:tcW w:w="2088" w:type="dxa"/>
            <w:shd w:val="clear" w:color="auto" w:fill="auto"/>
          </w:tcPr>
          <w:p w:rsidR="004224EF" w:rsidRPr="00850A64" w:rsidRDefault="004224EF" w:rsidP="00850A64">
            <w:pPr>
              <w:jc w:val="both"/>
              <w:rPr>
                <w:rFonts w:ascii="Courier New" w:hAnsi="Courier New" w:cs="Courier New"/>
                <w:b/>
                <w:sz w:val="20"/>
                <w:szCs w:val="20"/>
              </w:rPr>
            </w:pPr>
          </w:p>
        </w:tc>
      </w:tr>
      <w:tr w:rsidR="004224EF" w:rsidRPr="00AA7548" w:rsidTr="00850A64">
        <w:tc>
          <w:tcPr>
            <w:tcW w:w="6228" w:type="dxa"/>
            <w:shd w:val="clear" w:color="auto" w:fill="auto"/>
          </w:tcPr>
          <w:p w:rsidR="004224EF" w:rsidRPr="00AA7548" w:rsidRDefault="007D079D" w:rsidP="00850A64">
            <w:pPr>
              <w:jc w:val="both"/>
              <w:rPr>
                <w:rFonts w:ascii="Courier New" w:hAnsi="Courier New" w:cs="Courier New"/>
                <w:b/>
                <w:sz w:val="20"/>
                <w:szCs w:val="20"/>
              </w:rPr>
            </w:pPr>
            <w:r w:rsidRPr="00AA7548">
              <w:rPr>
                <w:rFonts w:ascii="Courier New" w:hAnsi="Courier New" w:cs="Courier New"/>
                <w:b/>
                <w:sz w:val="20"/>
                <w:szCs w:val="20"/>
              </w:rPr>
              <w:t>Total Expenses</w:t>
            </w:r>
          </w:p>
        </w:tc>
        <w:tc>
          <w:tcPr>
            <w:tcW w:w="1260" w:type="dxa"/>
            <w:shd w:val="clear" w:color="auto" w:fill="auto"/>
          </w:tcPr>
          <w:p w:rsidR="004224EF" w:rsidRPr="00AA7548" w:rsidRDefault="004224EF" w:rsidP="00850A64">
            <w:pPr>
              <w:jc w:val="both"/>
              <w:rPr>
                <w:rFonts w:ascii="Courier New" w:hAnsi="Courier New" w:cs="Courier New"/>
                <w:b/>
                <w:sz w:val="20"/>
                <w:szCs w:val="20"/>
              </w:rPr>
            </w:pPr>
          </w:p>
        </w:tc>
        <w:tc>
          <w:tcPr>
            <w:tcW w:w="2088" w:type="dxa"/>
            <w:shd w:val="clear" w:color="auto" w:fill="auto"/>
          </w:tcPr>
          <w:p w:rsidR="004224EF" w:rsidRPr="00AA7548" w:rsidRDefault="00614242" w:rsidP="00B0456D">
            <w:pPr>
              <w:jc w:val="both"/>
              <w:rPr>
                <w:rFonts w:ascii="Courier New" w:hAnsi="Courier New" w:cs="Courier New"/>
                <w:b/>
                <w:sz w:val="20"/>
                <w:szCs w:val="20"/>
              </w:rPr>
            </w:pPr>
            <w:r w:rsidRPr="00AA7548">
              <w:rPr>
                <w:rFonts w:ascii="Courier New" w:hAnsi="Courier New" w:cs="Courier New"/>
                <w:b/>
                <w:sz w:val="20"/>
                <w:szCs w:val="20"/>
              </w:rPr>
              <w:t>(</w:t>
            </w:r>
            <w:r w:rsidR="007D079D" w:rsidRPr="00AA7548">
              <w:rPr>
                <w:rFonts w:ascii="Courier New" w:hAnsi="Courier New" w:cs="Courier New"/>
                <w:b/>
                <w:sz w:val="20"/>
                <w:szCs w:val="20"/>
              </w:rPr>
              <w:t xml:space="preserve">$   </w:t>
            </w:r>
            <w:r w:rsidR="00B0456D" w:rsidRPr="00AA7548">
              <w:rPr>
                <w:rFonts w:ascii="Courier New" w:hAnsi="Courier New" w:cs="Courier New"/>
                <w:b/>
                <w:sz w:val="20"/>
                <w:szCs w:val="20"/>
              </w:rPr>
              <w:t>20,816</w:t>
            </w:r>
            <w:r w:rsidRPr="00AA7548">
              <w:rPr>
                <w:rFonts w:ascii="Courier New" w:hAnsi="Courier New" w:cs="Courier New"/>
                <w:b/>
                <w:sz w:val="20"/>
                <w:szCs w:val="20"/>
              </w:rPr>
              <w:t>)</w:t>
            </w:r>
          </w:p>
        </w:tc>
      </w:tr>
      <w:tr w:rsidR="007D079D" w:rsidRPr="00850A64" w:rsidTr="00850A64">
        <w:tc>
          <w:tcPr>
            <w:tcW w:w="6228" w:type="dxa"/>
            <w:shd w:val="clear" w:color="auto" w:fill="auto"/>
          </w:tcPr>
          <w:p w:rsidR="007D079D" w:rsidRPr="00850A64" w:rsidRDefault="007D079D" w:rsidP="00850A64">
            <w:pPr>
              <w:jc w:val="both"/>
              <w:rPr>
                <w:rFonts w:ascii="Courier New" w:hAnsi="Courier New" w:cs="Courier New"/>
                <w:b/>
                <w:sz w:val="20"/>
                <w:szCs w:val="20"/>
              </w:rPr>
            </w:pPr>
          </w:p>
        </w:tc>
        <w:tc>
          <w:tcPr>
            <w:tcW w:w="1260" w:type="dxa"/>
            <w:shd w:val="clear" w:color="auto" w:fill="auto"/>
          </w:tcPr>
          <w:p w:rsidR="007D079D" w:rsidRPr="00850A64" w:rsidRDefault="007D079D" w:rsidP="00850A64">
            <w:pPr>
              <w:jc w:val="both"/>
              <w:rPr>
                <w:rFonts w:ascii="Courier New" w:hAnsi="Courier New" w:cs="Courier New"/>
                <w:sz w:val="20"/>
                <w:szCs w:val="20"/>
              </w:rPr>
            </w:pPr>
          </w:p>
        </w:tc>
        <w:tc>
          <w:tcPr>
            <w:tcW w:w="2088" w:type="dxa"/>
            <w:shd w:val="clear" w:color="auto" w:fill="auto"/>
          </w:tcPr>
          <w:p w:rsidR="007D079D" w:rsidRPr="00850A64" w:rsidRDefault="007D079D" w:rsidP="00850A64">
            <w:pPr>
              <w:jc w:val="both"/>
              <w:rPr>
                <w:rFonts w:ascii="Courier New" w:hAnsi="Courier New" w:cs="Courier New"/>
                <w:b/>
                <w:sz w:val="20"/>
                <w:szCs w:val="20"/>
              </w:rPr>
            </w:pPr>
          </w:p>
        </w:tc>
      </w:tr>
      <w:tr w:rsidR="00614242" w:rsidRPr="00850A64" w:rsidTr="00850A64">
        <w:tc>
          <w:tcPr>
            <w:tcW w:w="6228" w:type="dxa"/>
            <w:shd w:val="clear" w:color="auto" w:fill="auto"/>
          </w:tcPr>
          <w:p w:rsidR="00614242" w:rsidRPr="00614242" w:rsidRDefault="00AA7548" w:rsidP="00850A64">
            <w:pPr>
              <w:jc w:val="both"/>
              <w:rPr>
                <w:rFonts w:ascii="Courier New" w:hAnsi="Courier New" w:cs="Courier New"/>
                <w:b/>
                <w:sz w:val="20"/>
                <w:szCs w:val="20"/>
              </w:rPr>
            </w:pPr>
            <w:r>
              <w:rPr>
                <w:rFonts w:ascii="Courier New" w:hAnsi="Courier New" w:cs="Courier New"/>
                <w:b/>
                <w:sz w:val="20"/>
                <w:szCs w:val="20"/>
              </w:rPr>
              <w:t>Net-</w:t>
            </w:r>
            <w:r w:rsidR="00614242" w:rsidRPr="00614242">
              <w:rPr>
                <w:rFonts w:ascii="Courier New" w:hAnsi="Courier New" w:cs="Courier New"/>
                <w:b/>
                <w:sz w:val="20"/>
                <w:szCs w:val="20"/>
              </w:rPr>
              <w:t>Operating Income</w:t>
            </w:r>
          </w:p>
        </w:tc>
        <w:tc>
          <w:tcPr>
            <w:tcW w:w="1260" w:type="dxa"/>
            <w:shd w:val="clear" w:color="auto" w:fill="auto"/>
          </w:tcPr>
          <w:p w:rsidR="00614242" w:rsidRPr="00850A64" w:rsidRDefault="00614242" w:rsidP="00850A64">
            <w:pPr>
              <w:jc w:val="both"/>
              <w:rPr>
                <w:rFonts w:ascii="Courier New" w:hAnsi="Courier New" w:cs="Courier New"/>
                <w:sz w:val="20"/>
                <w:szCs w:val="20"/>
              </w:rPr>
            </w:pPr>
          </w:p>
        </w:tc>
        <w:tc>
          <w:tcPr>
            <w:tcW w:w="2088" w:type="dxa"/>
            <w:shd w:val="clear" w:color="auto" w:fill="auto"/>
          </w:tcPr>
          <w:p w:rsidR="00614242" w:rsidRPr="00850A64" w:rsidRDefault="000D2056" w:rsidP="00850A64">
            <w:pPr>
              <w:jc w:val="both"/>
              <w:rPr>
                <w:rFonts w:ascii="Courier New" w:hAnsi="Courier New" w:cs="Courier New"/>
                <w:b/>
                <w:sz w:val="20"/>
                <w:szCs w:val="20"/>
              </w:rPr>
            </w:pPr>
            <w:r>
              <w:rPr>
                <w:rFonts w:ascii="Courier New" w:hAnsi="Courier New" w:cs="Courier New"/>
                <w:b/>
                <w:sz w:val="20"/>
                <w:szCs w:val="20"/>
              </w:rPr>
              <w:t xml:space="preserve"> $  225,694</w:t>
            </w:r>
          </w:p>
        </w:tc>
      </w:tr>
      <w:tr w:rsidR="00614242" w:rsidRPr="00850A64" w:rsidTr="00850A64">
        <w:tc>
          <w:tcPr>
            <w:tcW w:w="6228" w:type="dxa"/>
            <w:shd w:val="clear" w:color="auto" w:fill="auto"/>
          </w:tcPr>
          <w:p w:rsidR="00614242" w:rsidRPr="00614242" w:rsidRDefault="00614242" w:rsidP="00850A64">
            <w:pPr>
              <w:jc w:val="both"/>
              <w:rPr>
                <w:rFonts w:ascii="Courier New" w:hAnsi="Courier New" w:cs="Courier New"/>
                <w:b/>
                <w:sz w:val="20"/>
                <w:szCs w:val="20"/>
              </w:rPr>
            </w:pPr>
          </w:p>
        </w:tc>
        <w:tc>
          <w:tcPr>
            <w:tcW w:w="1260" w:type="dxa"/>
            <w:shd w:val="clear" w:color="auto" w:fill="auto"/>
          </w:tcPr>
          <w:p w:rsidR="00614242" w:rsidRPr="00850A64" w:rsidRDefault="00614242" w:rsidP="00850A64">
            <w:pPr>
              <w:jc w:val="both"/>
              <w:rPr>
                <w:rFonts w:ascii="Courier New" w:hAnsi="Courier New" w:cs="Courier New"/>
                <w:sz w:val="20"/>
                <w:szCs w:val="20"/>
              </w:rPr>
            </w:pPr>
          </w:p>
        </w:tc>
        <w:tc>
          <w:tcPr>
            <w:tcW w:w="2088" w:type="dxa"/>
            <w:shd w:val="clear" w:color="auto" w:fill="auto"/>
          </w:tcPr>
          <w:p w:rsidR="00614242" w:rsidRDefault="00614242" w:rsidP="00850A64">
            <w:pPr>
              <w:jc w:val="both"/>
              <w:rPr>
                <w:rFonts w:ascii="Courier New" w:hAnsi="Courier New" w:cs="Courier New"/>
                <w:b/>
                <w:sz w:val="20"/>
                <w:szCs w:val="20"/>
              </w:rPr>
            </w:pPr>
          </w:p>
        </w:tc>
      </w:tr>
      <w:tr w:rsidR="007D079D" w:rsidRPr="00850A64" w:rsidTr="00850A64">
        <w:tc>
          <w:tcPr>
            <w:tcW w:w="6228" w:type="dxa"/>
            <w:shd w:val="clear" w:color="auto" w:fill="auto"/>
          </w:tcPr>
          <w:p w:rsidR="007D079D" w:rsidRPr="00C92566" w:rsidRDefault="00AD1988" w:rsidP="00614242">
            <w:pPr>
              <w:jc w:val="both"/>
              <w:rPr>
                <w:rFonts w:ascii="Courier New" w:hAnsi="Courier New" w:cs="Courier New"/>
                <w:sz w:val="20"/>
                <w:szCs w:val="20"/>
              </w:rPr>
            </w:pPr>
            <w:r w:rsidRPr="00C92566">
              <w:rPr>
                <w:rFonts w:ascii="Courier New" w:hAnsi="Courier New" w:cs="Courier New"/>
                <w:sz w:val="20"/>
                <w:szCs w:val="20"/>
              </w:rPr>
              <w:t>Divide by Ca</w:t>
            </w:r>
            <w:r w:rsidR="007D079D" w:rsidRPr="00C92566">
              <w:rPr>
                <w:rFonts w:ascii="Courier New" w:hAnsi="Courier New" w:cs="Courier New"/>
                <w:sz w:val="20"/>
                <w:szCs w:val="20"/>
              </w:rPr>
              <w:t>pitalization Rate</w:t>
            </w:r>
            <w:r w:rsidR="00614242" w:rsidRPr="00C92566">
              <w:rPr>
                <w:rFonts w:ascii="Courier New" w:hAnsi="Courier New" w:cs="Courier New"/>
                <w:sz w:val="20"/>
                <w:szCs w:val="20"/>
              </w:rPr>
              <w:t xml:space="preserve"> – 9.0%</w:t>
            </w:r>
          </w:p>
        </w:tc>
        <w:tc>
          <w:tcPr>
            <w:tcW w:w="1260" w:type="dxa"/>
            <w:shd w:val="clear" w:color="auto" w:fill="auto"/>
          </w:tcPr>
          <w:p w:rsidR="007D079D" w:rsidRPr="00850A64" w:rsidRDefault="00614242" w:rsidP="00850A64">
            <w:pPr>
              <w:jc w:val="both"/>
              <w:rPr>
                <w:rFonts w:ascii="Courier New" w:hAnsi="Courier New" w:cs="Courier New"/>
                <w:sz w:val="20"/>
                <w:szCs w:val="20"/>
              </w:rPr>
            </w:pPr>
            <w:r>
              <w:rPr>
                <w:rFonts w:ascii="Courier New" w:hAnsi="Courier New" w:cs="Courier New"/>
                <w:sz w:val="20"/>
                <w:szCs w:val="20"/>
              </w:rPr>
              <w:t xml:space="preserve"> </w:t>
            </w:r>
          </w:p>
        </w:tc>
        <w:tc>
          <w:tcPr>
            <w:tcW w:w="2088" w:type="dxa"/>
            <w:shd w:val="clear" w:color="auto" w:fill="auto"/>
          </w:tcPr>
          <w:p w:rsidR="007D079D" w:rsidRPr="00850A64" w:rsidRDefault="007D079D" w:rsidP="00850A64">
            <w:pPr>
              <w:jc w:val="both"/>
              <w:rPr>
                <w:rFonts w:ascii="Courier New" w:hAnsi="Courier New" w:cs="Courier New"/>
                <w:b/>
                <w:sz w:val="20"/>
                <w:szCs w:val="20"/>
              </w:rPr>
            </w:pPr>
          </w:p>
        </w:tc>
      </w:tr>
      <w:tr w:rsidR="007D079D" w:rsidRPr="00850A64" w:rsidTr="00850A64">
        <w:tc>
          <w:tcPr>
            <w:tcW w:w="6228" w:type="dxa"/>
            <w:shd w:val="clear" w:color="auto" w:fill="auto"/>
          </w:tcPr>
          <w:p w:rsidR="007D079D" w:rsidRPr="00C92566" w:rsidRDefault="007D079D" w:rsidP="00850A64">
            <w:pPr>
              <w:jc w:val="both"/>
              <w:rPr>
                <w:rFonts w:ascii="Courier New" w:hAnsi="Courier New" w:cs="Courier New"/>
                <w:sz w:val="20"/>
                <w:szCs w:val="20"/>
              </w:rPr>
            </w:pPr>
          </w:p>
        </w:tc>
        <w:tc>
          <w:tcPr>
            <w:tcW w:w="1260" w:type="dxa"/>
            <w:shd w:val="clear" w:color="auto" w:fill="auto"/>
          </w:tcPr>
          <w:p w:rsidR="007D079D" w:rsidRPr="00850A64" w:rsidRDefault="007D079D" w:rsidP="00850A64">
            <w:pPr>
              <w:jc w:val="both"/>
              <w:rPr>
                <w:rFonts w:ascii="Courier New" w:hAnsi="Courier New" w:cs="Courier New"/>
                <w:sz w:val="20"/>
                <w:szCs w:val="20"/>
              </w:rPr>
            </w:pPr>
          </w:p>
        </w:tc>
        <w:tc>
          <w:tcPr>
            <w:tcW w:w="2088" w:type="dxa"/>
            <w:shd w:val="clear" w:color="auto" w:fill="auto"/>
          </w:tcPr>
          <w:p w:rsidR="007D079D" w:rsidRPr="00850A64" w:rsidRDefault="007D079D" w:rsidP="00850A64">
            <w:pPr>
              <w:jc w:val="both"/>
              <w:rPr>
                <w:rFonts w:ascii="Courier New" w:hAnsi="Courier New" w:cs="Courier New"/>
                <w:b/>
                <w:sz w:val="20"/>
                <w:szCs w:val="20"/>
              </w:rPr>
            </w:pPr>
          </w:p>
        </w:tc>
      </w:tr>
      <w:tr w:rsidR="00C549CE" w:rsidRPr="00AA7548" w:rsidTr="00850A64">
        <w:tc>
          <w:tcPr>
            <w:tcW w:w="6228" w:type="dxa"/>
            <w:shd w:val="clear" w:color="auto" w:fill="auto"/>
          </w:tcPr>
          <w:p w:rsidR="00C549CE" w:rsidRPr="00AA7548" w:rsidRDefault="00C549CE" w:rsidP="00850A64">
            <w:pPr>
              <w:jc w:val="both"/>
              <w:rPr>
                <w:rFonts w:ascii="Courier New" w:hAnsi="Courier New" w:cs="Courier New"/>
                <w:b/>
                <w:sz w:val="20"/>
                <w:szCs w:val="20"/>
              </w:rPr>
            </w:pPr>
            <w:r w:rsidRPr="00AA7548">
              <w:rPr>
                <w:rFonts w:ascii="Courier New" w:hAnsi="Courier New" w:cs="Courier New"/>
                <w:b/>
                <w:sz w:val="20"/>
                <w:szCs w:val="20"/>
              </w:rPr>
              <w:t>Indicated Value</w:t>
            </w:r>
            <w:r w:rsidR="00AD1988" w:rsidRPr="00AA7548">
              <w:rPr>
                <w:rFonts w:ascii="Courier New" w:hAnsi="Courier New" w:cs="Courier New"/>
                <w:b/>
                <w:sz w:val="20"/>
                <w:szCs w:val="20"/>
              </w:rPr>
              <w:t xml:space="preserve"> for Fiscal Year</w:t>
            </w:r>
            <w:r w:rsidR="00B0456D" w:rsidRPr="00AA7548">
              <w:rPr>
                <w:rFonts w:ascii="Courier New" w:hAnsi="Courier New" w:cs="Courier New"/>
                <w:b/>
                <w:sz w:val="20"/>
                <w:szCs w:val="20"/>
              </w:rPr>
              <w:t>s 2013 &amp;</w:t>
            </w:r>
            <w:r w:rsidR="00AD1988" w:rsidRPr="00AA7548">
              <w:rPr>
                <w:rFonts w:ascii="Courier New" w:hAnsi="Courier New" w:cs="Courier New"/>
                <w:b/>
                <w:sz w:val="20"/>
                <w:szCs w:val="20"/>
              </w:rPr>
              <w:t xml:space="preserve"> 2014</w:t>
            </w:r>
          </w:p>
        </w:tc>
        <w:tc>
          <w:tcPr>
            <w:tcW w:w="1260" w:type="dxa"/>
            <w:shd w:val="clear" w:color="auto" w:fill="auto"/>
          </w:tcPr>
          <w:p w:rsidR="00C549CE" w:rsidRPr="00AA7548" w:rsidRDefault="00C549CE" w:rsidP="00850A64">
            <w:pPr>
              <w:jc w:val="both"/>
              <w:rPr>
                <w:rFonts w:ascii="Courier New" w:hAnsi="Courier New" w:cs="Courier New"/>
                <w:b/>
                <w:sz w:val="20"/>
                <w:szCs w:val="20"/>
              </w:rPr>
            </w:pPr>
          </w:p>
        </w:tc>
        <w:tc>
          <w:tcPr>
            <w:tcW w:w="2088" w:type="dxa"/>
            <w:shd w:val="clear" w:color="auto" w:fill="auto"/>
          </w:tcPr>
          <w:p w:rsidR="00C549CE" w:rsidRPr="00AA7548" w:rsidRDefault="000D2056" w:rsidP="00850A64">
            <w:pPr>
              <w:jc w:val="both"/>
              <w:rPr>
                <w:rFonts w:ascii="Courier New" w:hAnsi="Courier New" w:cs="Courier New"/>
                <w:b/>
                <w:sz w:val="20"/>
                <w:szCs w:val="20"/>
              </w:rPr>
            </w:pPr>
            <w:r w:rsidRPr="00AA7548">
              <w:rPr>
                <w:rFonts w:ascii="Courier New" w:hAnsi="Courier New" w:cs="Courier New"/>
                <w:b/>
                <w:sz w:val="20"/>
                <w:szCs w:val="20"/>
              </w:rPr>
              <w:t xml:space="preserve"> $2</w:t>
            </w:r>
            <w:r w:rsidR="00A60447" w:rsidRPr="00AA7548">
              <w:rPr>
                <w:rFonts w:ascii="Courier New" w:hAnsi="Courier New" w:cs="Courier New"/>
                <w:b/>
                <w:sz w:val="20"/>
                <w:szCs w:val="20"/>
              </w:rPr>
              <w:t>,507,711</w:t>
            </w:r>
          </w:p>
        </w:tc>
      </w:tr>
      <w:tr w:rsidR="00C92566" w:rsidRPr="00850A64" w:rsidTr="00850A64">
        <w:tc>
          <w:tcPr>
            <w:tcW w:w="6228" w:type="dxa"/>
            <w:shd w:val="clear" w:color="auto" w:fill="auto"/>
          </w:tcPr>
          <w:p w:rsidR="00C92566" w:rsidRDefault="00C92566" w:rsidP="00850A64">
            <w:pPr>
              <w:jc w:val="both"/>
              <w:rPr>
                <w:rFonts w:ascii="Courier New" w:hAnsi="Courier New" w:cs="Courier New"/>
                <w:sz w:val="20"/>
                <w:szCs w:val="20"/>
              </w:rPr>
            </w:pPr>
          </w:p>
        </w:tc>
        <w:tc>
          <w:tcPr>
            <w:tcW w:w="1260" w:type="dxa"/>
            <w:shd w:val="clear" w:color="auto" w:fill="auto"/>
          </w:tcPr>
          <w:p w:rsidR="00C92566" w:rsidRPr="00850A64" w:rsidRDefault="00C92566" w:rsidP="00850A64">
            <w:pPr>
              <w:jc w:val="both"/>
              <w:rPr>
                <w:rFonts w:ascii="Courier New" w:hAnsi="Courier New" w:cs="Courier New"/>
                <w:sz w:val="20"/>
                <w:szCs w:val="20"/>
              </w:rPr>
            </w:pPr>
          </w:p>
        </w:tc>
        <w:tc>
          <w:tcPr>
            <w:tcW w:w="2088" w:type="dxa"/>
            <w:shd w:val="clear" w:color="auto" w:fill="auto"/>
          </w:tcPr>
          <w:p w:rsidR="00C92566" w:rsidRDefault="00C92566" w:rsidP="00850A64">
            <w:pPr>
              <w:jc w:val="both"/>
              <w:rPr>
                <w:rFonts w:ascii="Courier New" w:hAnsi="Courier New" w:cs="Courier New"/>
                <w:b/>
                <w:sz w:val="20"/>
                <w:szCs w:val="20"/>
              </w:rPr>
            </w:pPr>
          </w:p>
        </w:tc>
      </w:tr>
      <w:tr w:rsidR="007D079D" w:rsidRPr="00850A64" w:rsidTr="00850A64">
        <w:tc>
          <w:tcPr>
            <w:tcW w:w="6228" w:type="dxa"/>
            <w:shd w:val="clear" w:color="auto" w:fill="auto"/>
          </w:tcPr>
          <w:p w:rsidR="007D079D" w:rsidRPr="00850A64" w:rsidRDefault="007D079D" w:rsidP="00CE274B">
            <w:pPr>
              <w:jc w:val="both"/>
              <w:rPr>
                <w:rFonts w:ascii="Courier New" w:hAnsi="Courier New" w:cs="Courier New"/>
                <w:b/>
                <w:sz w:val="20"/>
                <w:szCs w:val="20"/>
              </w:rPr>
            </w:pPr>
            <w:r w:rsidRPr="00850A64">
              <w:rPr>
                <w:rFonts w:ascii="Courier New" w:hAnsi="Courier New" w:cs="Courier New"/>
                <w:b/>
                <w:sz w:val="20"/>
                <w:szCs w:val="20"/>
              </w:rPr>
              <w:t>Rounded Value</w:t>
            </w:r>
            <w:r w:rsidR="00AD1988">
              <w:rPr>
                <w:rFonts w:ascii="Courier New" w:hAnsi="Courier New" w:cs="Courier New"/>
                <w:b/>
                <w:sz w:val="20"/>
                <w:szCs w:val="20"/>
              </w:rPr>
              <w:t xml:space="preserve"> for Fiscal Year</w:t>
            </w:r>
            <w:r w:rsidR="00B0456D">
              <w:rPr>
                <w:rFonts w:ascii="Courier New" w:hAnsi="Courier New" w:cs="Courier New"/>
                <w:b/>
                <w:sz w:val="20"/>
                <w:szCs w:val="20"/>
              </w:rPr>
              <w:t>s 2013 &amp;</w:t>
            </w:r>
            <w:r w:rsidR="00AD1988">
              <w:rPr>
                <w:rFonts w:ascii="Courier New" w:hAnsi="Courier New" w:cs="Courier New"/>
                <w:b/>
                <w:sz w:val="20"/>
                <w:szCs w:val="20"/>
              </w:rPr>
              <w:t xml:space="preserve"> 2014</w:t>
            </w:r>
          </w:p>
        </w:tc>
        <w:tc>
          <w:tcPr>
            <w:tcW w:w="1260" w:type="dxa"/>
            <w:shd w:val="clear" w:color="auto" w:fill="auto"/>
          </w:tcPr>
          <w:p w:rsidR="007D079D" w:rsidRPr="00850A64" w:rsidRDefault="007D079D" w:rsidP="00CE274B">
            <w:pPr>
              <w:jc w:val="both"/>
              <w:rPr>
                <w:rFonts w:ascii="Courier New" w:hAnsi="Courier New" w:cs="Courier New"/>
                <w:sz w:val="20"/>
                <w:szCs w:val="20"/>
              </w:rPr>
            </w:pPr>
          </w:p>
        </w:tc>
        <w:tc>
          <w:tcPr>
            <w:tcW w:w="2088" w:type="dxa"/>
            <w:shd w:val="clear" w:color="auto" w:fill="auto"/>
          </w:tcPr>
          <w:p w:rsidR="007D079D" w:rsidRDefault="007D079D" w:rsidP="00B0456D">
            <w:pPr>
              <w:jc w:val="both"/>
              <w:rPr>
                <w:rFonts w:ascii="Courier New" w:hAnsi="Courier New" w:cs="Courier New"/>
                <w:b/>
                <w:sz w:val="20"/>
                <w:szCs w:val="20"/>
              </w:rPr>
            </w:pPr>
            <w:r w:rsidRPr="00850A64">
              <w:rPr>
                <w:rFonts w:ascii="Courier New" w:hAnsi="Courier New" w:cs="Courier New"/>
                <w:b/>
                <w:sz w:val="20"/>
                <w:szCs w:val="20"/>
              </w:rPr>
              <w:t xml:space="preserve"> $</w:t>
            </w:r>
            <w:r w:rsidR="00B0456D">
              <w:rPr>
                <w:rFonts w:ascii="Courier New" w:hAnsi="Courier New" w:cs="Courier New"/>
                <w:b/>
                <w:sz w:val="20"/>
                <w:szCs w:val="20"/>
              </w:rPr>
              <w:t>2,510</w:t>
            </w:r>
            <w:r w:rsidRPr="00850A64">
              <w:rPr>
                <w:rFonts w:ascii="Courier New" w:hAnsi="Courier New" w:cs="Courier New"/>
                <w:b/>
                <w:sz w:val="20"/>
                <w:szCs w:val="20"/>
              </w:rPr>
              <w:t>,000</w:t>
            </w:r>
          </w:p>
          <w:p w:rsidR="00861EF0" w:rsidRPr="00850A64" w:rsidRDefault="00861EF0" w:rsidP="00B0456D">
            <w:pPr>
              <w:jc w:val="both"/>
              <w:rPr>
                <w:rFonts w:ascii="Courier New" w:hAnsi="Courier New" w:cs="Courier New"/>
                <w:b/>
                <w:sz w:val="20"/>
                <w:szCs w:val="20"/>
              </w:rPr>
            </w:pPr>
          </w:p>
        </w:tc>
      </w:tr>
    </w:tbl>
    <w:p w:rsidR="000D0067" w:rsidRDefault="000D0067" w:rsidP="000D0067">
      <w:pPr>
        <w:ind w:firstLine="720"/>
        <w:jc w:val="both"/>
        <w:rPr>
          <w:rFonts w:ascii="Courier New" w:hAnsi="Courier New" w:cs="Courier New"/>
          <w:color w:val="333333"/>
          <w:shd w:val="clear" w:color="auto" w:fill="FFFFFF"/>
        </w:rPr>
      </w:pPr>
    </w:p>
    <w:p w:rsidR="00AD1988" w:rsidRDefault="00AD1988" w:rsidP="000D0067">
      <w:pPr>
        <w:spacing w:line="480" w:lineRule="auto"/>
        <w:ind w:firstLine="720"/>
        <w:jc w:val="both"/>
        <w:rPr>
          <w:rFonts w:ascii="Courier New" w:hAnsi="Courier New" w:cs="Courier New"/>
          <w:color w:val="333333"/>
          <w:shd w:val="clear" w:color="auto" w:fill="FFFFFF"/>
        </w:rPr>
      </w:pPr>
      <w:r w:rsidRPr="00DA4EE5">
        <w:rPr>
          <w:rFonts w:ascii="Courier New" w:hAnsi="Courier New" w:cs="Courier New"/>
          <w:color w:val="333333"/>
          <w:shd w:val="clear" w:color="auto" w:fill="FFFFFF"/>
        </w:rPr>
        <w:lastRenderedPageBreak/>
        <w:t xml:space="preserve">Based on all of the evidence, as well as reasonable inferences drawn therefrom, the Board </w:t>
      </w:r>
      <w:r w:rsidR="00E447E6">
        <w:rPr>
          <w:rFonts w:ascii="Courier New" w:hAnsi="Courier New" w:cs="Courier New"/>
          <w:color w:val="333333"/>
          <w:shd w:val="clear" w:color="auto" w:fill="FFFFFF"/>
        </w:rPr>
        <w:t xml:space="preserve">found that the appellant did not meet its burden of proving that the subject property was overvalued for </w:t>
      </w:r>
      <w:r w:rsidR="00542256">
        <w:rPr>
          <w:rFonts w:ascii="Courier New" w:hAnsi="Courier New" w:cs="Courier New"/>
          <w:color w:val="333333"/>
          <w:shd w:val="clear" w:color="auto" w:fill="FFFFFF"/>
        </w:rPr>
        <w:t xml:space="preserve">the </w:t>
      </w:r>
      <w:r w:rsidR="00E447E6">
        <w:rPr>
          <w:rFonts w:ascii="Courier New" w:hAnsi="Courier New" w:cs="Courier New"/>
          <w:color w:val="333333"/>
          <w:shd w:val="clear" w:color="auto" w:fill="FFFFFF"/>
        </w:rPr>
        <w:t>fiscal year</w:t>
      </w:r>
      <w:r w:rsidR="00542256">
        <w:rPr>
          <w:rFonts w:ascii="Courier New" w:hAnsi="Courier New" w:cs="Courier New"/>
          <w:color w:val="333333"/>
          <w:shd w:val="clear" w:color="auto" w:fill="FFFFFF"/>
        </w:rPr>
        <w:t>s at issue</w:t>
      </w:r>
      <w:r w:rsidR="00E447E6">
        <w:rPr>
          <w:rFonts w:ascii="Courier New" w:hAnsi="Courier New" w:cs="Courier New"/>
          <w:color w:val="333333"/>
          <w:shd w:val="clear" w:color="auto" w:fill="FFFFFF"/>
        </w:rPr>
        <w:t xml:space="preserve">.  The Board </w:t>
      </w:r>
      <w:r w:rsidRPr="00DA4EE5">
        <w:rPr>
          <w:rFonts w:ascii="Courier New" w:hAnsi="Courier New" w:cs="Courier New"/>
          <w:color w:val="333333"/>
          <w:shd w:val="clear" w:color="auto" w:fill="FFFFFF"/>
        </w:rPr>
        <w:t xml:space="preserve">agreed with </w:t>
      </w:r>
      <w:r>
        <w:rPr>
          <w:rFonts w:ascii="Courier New" w:hAnsi="Courier New" w:cs="Courier New"/>
          <w:color w:val="333333"/>
          <w:shd w:val="clear" w:color="auto" w:fill="FFFFFF"/>
        </w:rPr>
        <w:t xml:space="preserve">the parties </w:t>
      </w:r>
      <w:r w:rsidRPr="00DA4EE5">
        <w:rPr>
          <w:rFonts w:ascii="Courier New" w:hAnsi="Courier New" w:cs="Courier New"/>
          <w:color w:val="333333"/>
          <w:shd w:val="clear" w:color="auto" w:fill="FFFFFF"/>
        </w:rPr>
        <w:t>and concluded that the subject property</w:t>
      </w:r>
      <w:r w:rsidR="00AA7548">
        <w:rPr>
          <w:rFonts w:ascii="Courier New" w:hAnsi="Courier New" w:cs="Courier New"/>
          <w:color w:val="333333"/>
          <w:shd w:val="clear" w:color="auto" w:fill="FFFFFF"/>
        </w:rPr>
        <w:t>’s</w:t>
      </w:r>
      <w:r w:rsidR="008D3FF1">
        <w:rPr>
          <w:rFonts w:ascii="Courier New" w:hAnsi="Courier New" w:cs="Courier New"/>
          <w:color w:val="333333"/>
          <w:shd w:val="clear" w:color="auto" w:fill="FFFFFF"/>
        </w:rPr>
        <w:t xml:space="preserve"> highest-and-best use </w:t>
      </w:r>
      <w:r w:rsidRPr="00DA4EE5">
        <w:rPr>
          <w:rFonts w:ascii="Courier New" w:hAnsi="Courier New" w:cs="Courier New"/>
          <w:color w:val="333333"/>
          <w:shd w:val="clear" w:color="auto" w:fill="FFFFFF"/>
        </w:rPr>
        <w:t>was its continued use as an industrial use building</w:t>
      </w:r>
      <w:r w:rsidR="00E447E6">
        <w:rPr>
          <w:rFonts w:ascii="Courier New" w:hAnsi="Courier New" w:cs="Courier New"/>
          <w:color w:val="333333"/>
          <w:shd w:val="clear" w:color="auto" w:fill="FFFFFF"/>
        </w:rPr>
        <w:t xml:space="preserve"> and also </w:t>
      </w:r>
      <w:r w:rsidRPr="00DA4EE5">
        <w:rPr>
          <w:rFonts w:ascii="Courier New" w:hAnsi="Courier New" w:cs="Courier New"/>
          <w:color w:val="333333"/>
          <w:shd w:val="clear" w:color="auto" w:fill="FFFFFF"/>
        </w:rPr>
        <w:t xml:space="preserve">that </w:t>
      </w:r>
      <w:r w:rsidR="000F6DD5">
        <w:rPr>
          <w:rFonts w:ascii="Courier New" w:hAnsi="Courier New" w:cs="Courier New"/>
          <w:color w:val="333333"/>
          <w:shd w:val="clear" w:color="auto" w:fill="FFFFFF"/>
        </w:rPr>
        <w:t xml:space="preserve">an </w:t>
      </w:r>
      <w:r w:rsidRPr="00DA4EE5">
        <w:rPr>
          <w:rFonts w:ascii="Courier New" w:hAnsi="Courier New" w:cs="Courier New"/>
          <w:color w:val="333333"/>
          <w:shd w:val="clear" w:color="auto" w:fill="FFFFFF"/>
        </w:rPr>
        <w:t xml:space="preserve">income-capitalization methodology was the best approach to use to value the subject property for </w:t>
      </w:r>
      <w:r w:rsidR="00773B95">
        <w:rPr>
          <w:rFonts w:ascii="Courier New" w:hAnsi="Courier New" w:cs="Courier New"/>
          <w:color w:val="333333"/>
          <w:shd w:val="clear" w:color="auto" w:fill="FFFFFF"/>
        </w:rPr>
        <w:t xml:space="preserve">the </w:t>
      </w:r>
      <w:r w:rsidRPr="00DA4EE5">
        <w:rPr>
          <w:rFonts w:ascii="Courier New" w:hAnsi="Courier New" w:cs="Courier New"/>
          <w:color w:val="333333"/>
          <w:shd w:val="clear" w:color="auto" w:fill="FFFFFF"/>
        </w:rPr>
        <w:t>fiscal year</w:t>
      </w:r>
      <w:r w:rsidR="00773B95">
        <w:rPr>
          <w:rFonts w:ascii="Courier New" w:hAnsi="Courier New" w:cs="Courier New"/>
          <w:color w:val="333333"/>
          <w:shd w:val="clear" w:color="auto" w:fill="FFFFFF"/>
        </w:rPr>
        <w:t>s at issue</w:t>
      </w:r>
      <w:r w:rsidRPr="00DA4EE5">
        <w:rPr>
          <w:rFonts w:ascii="Courier New" w:hAnsi="Courier New" w:cs="Courier New"/>
          <w:color w:val="333333"/>
          <w:shd w:val="clear" w:color="auto" w:fill="FFFFFF"/>
        </w:rPr>
        <w:t>.</w:t>
      </w:r>
    </w:p>
    <w:p w:rsidR="000D0067" w:rsidRDefault="00AA7548" w:rsidP="00AD1988">
      <w:pPr>
        <w:spacing w:line="480" w:lineRule="auto"/>
        <w:ind w:firstLine="720"/>
        <w:jc w:val="both"/>
        <w:rPr>
          <w:rFonts w:ascii="Courier New" w:hAnsi="Courier New" w:cs="Courier New"/>
        </w:rPr>
      </w:pPr>
      <w:r>
        <w:rPr>
          <w:rFonts w:ascii="Courier New" w:hAnsi="Courier New" w:cs="Courier New"/>
          <w:color w:val="333333"/>
          <w:shd w:val="clear" w:color="auto" w:fill="FFFFFF"/>
        </w:rPr>
        <w:t>For the subject property’s</w:t>
      </w:r>
      <w:r w:rsidR="00B87E9A">
        <w:rPr>
          <w:rFonts w:ascii="Courier New" w:hAnsi="Courier New" w:cs="Courier New"/>
          <w:color w:val="333333"/>
          <w:shd w:val="clear" w:color="auto" w:fill="FFFFFF"/>
        </w:rPr>
        <w:t xml:space="preserve"> income, the Board found that Mr.</w:t>
      </w:r>
      <w:r w:rsidR="007A0A61">
        <w:rPr>
          <w:rFonts w:ascii="Courier New" w:hAnsi="Courier New" w:cs="Courier New"/>
          <w:color w:val="333333"/>
          <w:shd w:val="clear" w:color="auto" w:fill="FFFFFF"/>
        </w:rPr>
        <w:t> </w:t>
      </w:r>
      <w:r w:rsidR="00AD1988" w:rsidRPr="00DA4EE5">
        <w:rPr>
          <w:rFonts w:ascii="Courier New" w:hAnsi="Courier New" w:cs="Courier New"/>
          <w:color w:val="333333"/>
          <w:shd w:val="clear" w:color="auto" w:fill="FFFFFF"/>
        </w:rPr>
        <w:t>Wolff’s suggested rent of $</w:t>
      </w:r>
      <w:r w:rsidR="000F6DD5">
        <w:rPr>
          <w:rFonts w:ascii="Courier New" w:hAnsi="Courier New" w:cs="Courier New"/>
          <w:color w:val="333333"/>
          <w:shd w:val="clear" w:color="auto" w:fill="FFFFFF"/>
        </w:rPr>
        <w:t>4.00</w:t>
      </w:r>
      <w:r w:rsidR="00AD1988">
        <w:rPr>
          <w:rFonts w:ascii="Courier New" w:hAnsi="Courier New" w:cs="Courier New"/>
          <w:color w:val="333333"/>
          <w:shd w:val="clear" w:color="auto" w:fill="FFFFFF"/>
        </w:rPr>
        <w:t xml:space="preserve"> per</w:t>
      </w:r>
      <w:r w:rsidR="00614242">
        <w:rPr>
          <w:rFonts w:ascii="Courier New" w:hAnsi="Courier New" w:cs="Courier New"/>
          <w:color w:val="333333"/>
          <w:shd w:val="clear" w:color="auto" w:fill="FFFFFF"/>
        </w:rPr>
        <w:t xml:space="preserve"> </w:t>
      </w:r>
      <w:r w:rsidR="00AD1988">
        <w:rPr>
          <w:rFonts w:ascii="Courier New" w:hAnsi="Courier New" w:cs="Courier New"/>
          <w:color w:val="333333"/>
          <w:shd w:val="clear" w:color="auto" w:fill="FFFFFF"/>
        </w:rPr>
        <w:t>square</w:t>
      </w:r>
      <w:r w:rsidR="00614242">
        <w:rPr>
          <w:rFonts w:ascii="Courier New" w:hAnsi="Courier New" w:cs="Courier New"/>
          <w:color w:val="333333"/>
          <w:shd w:val="clear" w:color="auto" w:fill="FFFFFF"/>
        </w:rPr>
        <w:t xml:space="preserve"> </w:t>
      </w:r>
      <w:r w:rsidR="00AD1988">
        <w:rPr>
          <w:rFonts w:ascii="Courier New" w:hAnsi="Courier New" w:cs="Courier New"/>
          <w:color w:val="333333"/>
          <w:shd w:val="clear" w:color="auto" w:fill="FFFFFF"/>
        </w:rPr>
        <w:t>foot on a triple</w:t>
      </w:r>
      <w:r w:rsidR="00614242">
        <w:rPr>
          <w:rFonts w:ascii="Courier New" w:hAnsi="Courier New" w:cs="Courier New"/>
          <w:color w:val="333333"/>
          <w:shd w:val="clear" w:color="auto" w:fill="FFFFFF"/>
        </w:rPr>
        <w:t>-</w:t>
      </w:r>
      <w:r w:rsidR="00AD1988" w:rsidRPr="00DA4EE5">
        <w:rPr>
          <w:rFonts w:ascii="Courier New" w:hAnsi="Courier New" w:cs="Courier New"/>
          <w:color w:val="333333"/>
          <w:shd w:val="clear" w:color="auto" w:fill="FFFFFF"/>
        </w:rPr>
        <w:t>net basis</w:t>
      </w:r>
      <w:r w:rsidR="00AD1988">
        <w:rPr>
          <w:rFonts w:ascii="Courier New" w:hAnsi="Courier New" w:cs="Courier New"/>
          <w:color w:val="333333"/>
          <w:shd w:val="clear" w:color="auto" w:fill="FFFFFF"/>
        </w:rPr>
        <w:t xml:space="preserve"> </w:t>
      </w:r>
      <w:r w:rsidR="000732C5">
        <w:rPr>
          <w:rFonts w:ascii="Courier New" w:hAnsi="Courier New" w:cs="Courier New"/>
          <w:color w:val="333333"/>
          <w:shd w:val="clear" w:color="auto" w:fill="FFFFFF"/>
        </w:rPr>
        <w:t xml:space="preserve">was </w:t>
      </w:r>
      <w:r w:rsidR="00A60447">
        <w:rPr>
          <w:rFonts w:ascii="Courier New" w:hAnsi="Courier New" w:cs="Courier New"/>
          <w:color w:val="333333"/>
          <w:shd w:val="clear" w:color="auto" w:fill="FFFFFF"/>
        </w:rPr>
        <w:t xml:space="preserve">not well </w:t>
      </w:r>
      <w:r w:rsidR="000732C5">
        <w:rPr>
          <w:rFonts w:ascii="Courier New" w:hAnsi="Courier New" w:cs="Courier New"/>
          <w:color w:val="333333"/>
          <w:shd w:val="clear" w:color="auto" w:fill="FFFFFF"/>
        </w:rPr>
        <w:t xml:space="preserve">substantiated and </w:t>
      </w:r>
      <w:r w:rsidR="00AD1988">
        <w:rPr>
          <w:rFonts w:ascii="Courier New" w:hAnsi="Courier New" w:cs="Courier New"/>
          <w:color w:val="333333"/>
          <w:shd w:val="clear" w:color="auto" w:fill="FFFFFF"/>
        </w:rPr>
        <w:t xml:space="preserve">lacked credibility.  </w:t>
      </w:r>
      <w:r w:rsidR="00A60447">
        <w:rPr>
          <w:rFonts w:ascii="Courier New" w:hAnsi="Courier New" w:cs="Courier New"/>
          <w:color w:val="333333"/>
          <w:shd w:val="clear" w:color="auto" w:fill="FFFFFF"/>
        </w:rPr>
        <w:t>M</w:t>
      </w:r>
      <w:r w:rsidR="00A27B31">
        <w:rPr>
          <w:rFonts w:ascii="Courier New" w:hAnsi="Courier New" w:cs="Courier New"/>
          <w:color w:val="333333"/>
          <w:shd w:val="clear" w:color="auto" w:fill="FFFFFF"/>
        </w:rPr>
        <w:t xml:space="preserve">ost notably, </w:t>
      </w:r>
      <w:r w:rsidR="00AD1988" w:rsidRPr="00DA4EE5">
        <w:rPr>
          <w:rFonts w:ascii="Courier New" w:hAnsi="Courier New" w:cs="Courier New"/>
          <w:color w:val="333333"/>
          <w:shd w:val="clear" w:color="auto" w:fill="FFFFFF"/>
        </w:rPr>
        <w:t>Mr. Wolff</w:t>
      </w:r>
      <w:r w:rsidR="00A27B31">
        <w:rPr>
          <w:rFonts w:ascii="Courier New" w:hAnsi="Courier New" w:cs="Courier New"/>
          <w:color w:val="333333"/>
          <w:shd w:val="clear" w:color="auto" w:fill="FFFFFF"/>
        </w:rPr>
        <w:t xml:space="preserve"> f</w:t>
      </w:r>
      <w:r w:rsidR="00A27B31">
        <w:rPr>
          <w:rFonts w:ascii="Courier New" w:hAnsi="Courier New" w:cs="Courier New"/>
        </w:rPr>
        <w:t xml:space="preserve">ailed to include in his analysis </w:t>
      </w:r>
      <w:r w:rsidR="00B87E9A">
        <w:rPr>
          <w:rFonts w:ascii="Courier New" w:hAnsi="Courier New" w:cs="Courier New"/>
        </w:rPr>
        <w:t xml:space="preserve">any rents </w:t>
      </w:r>
      <w:r w:rsidR="00316496">
        <w:rPr>
          <w:rFonts w:ascii="Courier New" w:hAnsi="Courier New" w:cs="Courier New"/>
        </w:rPr>
        <w:t xml:space="preserve">from properties </w:t>
      </w:r>
      <w:r w:rsidR="00B87E9A">
        <w:rPr>
          <w:rFonts w:ascii="Courier New" w:hAnsi="Courier New" w:cs="Courier New"/>
        </w:rPr>
        <w:t xml:space="preserve">located in the industrial park </w:t>
      </w:r>
      <w:r w:rsidR="00B97C4E">
        <w:rPr>
          <w:rFonts w:ascii="Courier New" w:hAnsi="Courier New" w:cs="Courier New"/>
        </w:rPr>
        <w:t xml:space="preserve">located </w:t>
      </w:r>
      <w:r w:rsidR="00506A27">
        <w:rPr>
          <w:rFonts w:ascii="Courier New" w:hAnsi="Courier New" w:cs="Courier New"/>
        </w:rPr>
        <w:t xml:space="preserve">at 80 Industrial Way, </w:t>
      </w:r>
      <w:r w:rsidR="00B87E9A">
        <w:rPr>
          <w:rFonts w:ascii="Courier New" w:hAnsi="Courier New" w:cs="Courier New"/>
        </w:rPr>
        <w:t xml:space="preserve">less than one mile </w:t>
      </w:r>
      <w:r w:rsidR="00B97C4E">
        <w:rPr>
          <w:rFonts w:ascii="Courier New" w:hAnsi="Courier New" w:cs="Courier New"/>
        </w:rPr>
        <w:t xml:space="preserve">away </w:t>
      </w:r>
      <w:r w:rsidR="00B87E9A">
        <w:rPr>
          <w:rFonts w:ascii="Courier New" w:hAnsi="Courier New" w:cs="Courier New"/>
        </w:rPr>
        <w:t>from the subject property</w:t>
      </w:r>
      <w:r w:rsidR="00717F1E">
        <w:rPr>
          <w:rFonts w:ascii="Courier New" w:hAnsi="Courier New" w:cs="Courier New"/>
        </w:rPr>
        <w:t>; in comparison, Mr. Johnston cited six rents</w:t>
      </w:r>
      <w:r w:rsidR="007A6A15">
        <w:rPr>
          <w:rFonts w:ascii="Courier New" w:hAnsi="Courier New" w:cs="Courier New"/>
        </w:rPr>
        <w:t xml:space="preserve"> from </w:t>
      </w:r>
      <w:r w:rsidR="00506A27">
        <w:rPr>
          <w:rFonts w:ascii="Courier New" w:hAnsi="Courier New" w:cs="Courier New"/>
        </w:rPr>
        <w:t>80 Industrial Way</w:t>
      </w:r>
      <w:r w:rsidR="00B87E9A">
        <w:rPr>
          <w:rFonts w:ascii="Courier New" w:hAnsi="Courier New" w:cs="Courier New"/>
        </w:rPr>
        <w:t>.</w:t>
      </w:r>
      <w:r w:rsidR="00A27B31">
        <w:rPr>
          <w:rFonts w:ascii="Courier New" w:hAnsi="Courier New" w:cs="Courier New"/>
        </w:rPr>
        <w:t xml:space="preserve">  </w:t>
      </w:r>
      <w:r w:rsidR="00B97C4E">
        <w:rPr>
          <w:rFonts w:ascii="Courier New" w:hAnsi="Courier New" w:cs="Courier New"/>
        </w:rPr>
        <w:t>B</w:t>
      </w:r>
      <w:r w:rsidR="006F26F0">
        <w:rPr>
          <w:rFonts w:ascii="Courier New" w:hAnsi="Courier New" w:cs="Courier New"/>
        </w:rPr>
        <w:t>ased on the subject property’s location, condition</w:t>
      </w:r>
      <w:r w:rsidR="00614242">
        <w:rPr>
          <w:rFonts w:ascii="Courier New" w:hAnsi="Courier New" w:cs="Courier New"/>
        </w:rPr>
        <w:t>,</w:t>
      </w:r>
      <w:r w:rsidR="006F26F0">
        <w:rPr>
          <w:rFonts w:ascii="Courier New" w:hAnsi="Courier New" w:cs="Courier New"/>
        </w:rPr>
        <w:t xml:space="preserve"> and size, </w:t>
      </w:r>
      <w:r w:rsidR="00F76AE9">
        <w:rPr>
          <w:rFonts w:ascii="Courier New" w:hAnsi="Courier New" w:cs="Courier New"/>
        </w:rPr>
        <w:t>along with the dat</w:t>
      </w:r>
      <w:r w:rsidR="00EE5CFB">
        <w:rPr>
          <w:rFonts w:ascii="Courier New" w:hAnsi="Courier New" w:cs="Courier New"/>
        </w:rPr>
        <w:t>a</w:t>
      </w:r>
      <w:r w:rsidR="00F76AE9">
        <w:rPr>
          <w:rFonts w:ascii="Courier New" w:hAnsi="Courier New" w:cs="Courier New"/>
        </w:rPr>
        <w:t xml:space="preserve"> submitted by both real estate valuation experts, </w:t>
      </w:r>
      <w:r w:rsidR="006F26F0">
        <w:rPr>
          <w:rFonts w:ascii="Courier New" w:hAnsi="Courier New" w:cs="Courier New"/>
        </w:rPr>
        <w:t>the B</w:t>
      </w:r>
      <w:r w:rsidR="00AD1988">
        <w:rPr>
          <w:rFonts w:ascii="Courier New" w:hAnsi="Courier New" w:cs="Courier New"/>
        </w:rPr>
        <w:t xml:space="preserve">oard found that </w:t>
      </w:r>
      <w:r w:rsidR="003932F6">
        <w:rPr>
          <w:rFonts w:ascii="Courier New" w:hAnsi="Courier New" w:cs="Courier New"/>
        </w:rPr>
        <w:t xml:space="preserve">Mr. Johnston’s suggested </w:t>
      </w:r>
      <w:r w:rsidR="00AD1988">
        <w:rPr>
          <w:rFonts w:ascii="Courier New" w:hAnsi="Courier New" w:cs="Courier New"/>
        </w:rPr>
        <w:t>rent</w:t>
      </w:r>
      <w:r w:rsidR="006F26F0">
        <w:rPr>
          <w:rFonts w:ascii="Courier New" w:hAnsi="Courier New" w:cs="Courier New"/>
        </w:rPr>
        <w:t>al rate</w:t>
      </w:r>
      <w:r w:rsidR="00AD1988">
        <w:rPr>
          <w:rFonts w:ascii="Courier New" w:hAnsi="Courier New" w:cs="Courier New"/>
        </w:rPr>
        <w:t xml:space="preserve"> of $</w:t>
      </w:r>
      <w:r w:rsidR="00B87E9A">
        <w:rPr>
          <w:rFonts w:ascii="Courier New" w:hAnsi="Courier New" w:cs="Courier New"/>
        </w:rPr>
        <w:t>5.00</w:t>
      </w:r>
      <w:r w:rsidR="00AD1988">
        <w:rPr>
          <w:rFonts w:ascii="Courier New" w:hAnsi="Courier New" w:cs="Courier New"/>
        </w:rPr>
        <w:t xml:space="preserve"> per square foot on a triple-net basis</w:t>
      </w:r>
      <w:r w:rsidR="00F4229C">
        <w:rPr>
          <w:rFonts w:ascii="Courier New" w:hAnsi="Courier New" w:cs="Courier New"/>
        </w:rPr>
        <w:t xml:space="preserve"> </w:t>
      </w:r>
      <w:r w:rsidR="00AD1988">
        <w:rPr>
          <w:rFonts w:ascii="Courier New" w:hAnsi="Courier New" w:cs="Courier New"/>
        </w:rPr>
        <w:t>was appropriate.</w:t>
      </w:r>
      <w:r w:rsidR="00316496">
        <w:rPr>
          <w:rFonts w:ascii="Courier New" w:hAnsi="Courier New" w:cs="Courier New"/>
        </w:rPr>
        <w:t xml:space="preserve">  The Board then applied a vacancy rate of 10%, </w:t>
      </w:r>
      <w:r w:rsidR="00A60447">
        <w:rPr>
          <w:rFonts w:ascii="Courier New" w:hAnsi="Courier New" w:cs="Courier New"/>
        </w:rPr>
        <w:t>which was supported by the evidence and</w:t>
      </w:r>
      <w:r w:rsidR="00316496">
        <w:rPr>
          <w:rFonts w:ascii="Courier New" w:hAnsi="Courier New" w:cs="Courier New"/>
        </w:rPr>
        <w:t xml:space="preserve"> suggested by both parties</w:t>
      </w:r>
      <w:r w:rsidR="00A60447">
        <w:rPr>
          <w:rFonts w:ascii="Courier New" w:hAnsi="Courier New" w:cs="Courier New"/>
        </w:rPr>
        <w:t>’ rea</w:t>
      </w:r>
      <w:r w:rsidR="008D0E5D">
        <w:rPr>
          <w:rFonts w:ascii="Courier New" w:hAnsi="Courier New" w:cs="Courier New"/>
        </w:rPr>
        <w:t>l</w:t>
      </w:r>
      <w:r w:rsidR="00A60447">
        <w:rPr>
          <w:rFonts w:ascii="Courier New" w:hAnsi="Courier New" w:cs="Courier New"/>
        </w:rPr>
        <w:t xml:space="preserve"> estate valuation experts.</w:t>
      </w:r>
      <w:r w:rsidR="00AD1988">
        <w:rPr>
          <w:rFonts w:ascii="Courier New" w:hAnsi="Courier New" w:cs="Courier New"/>
        </w:rPr>
        <w:t xml:space="preserve"> </w:t>
      </w:r>
    </w:p>
    <w:p w:rsidR="00F25A29" w:rsidRDefault="007A6A15" w:rsidP="006B382B">
      <w:pPr>
        <w:spacing w:line="480" w:lineRule="auto"/>
        <w:ind w:firstLine="720"/>
        <w:jc w:val="both"/>
        <w:rPr>
          <w:rFonts w:ascii="Courier New" w:hAnsi="Courier New" w:cs="Courier New"/>
          <w:b/>
          <w:color w:val="000000"/>
          <w:u w:val="single"/>
        </w:rPr>
      </w:pPr>
      <w:r>
        <w:rPr>
          <w:rFonts w:ascii="Courier New" w:hAnsi="Courier New" w:cs="Courier New"/>
          <w:color w:val="373739"/>
          <w:szCs w:val="24"/>
          <w:shd w:val="clear" w:color="auto" w:fill="FFFFFF"/>
        </w:rPr>
        <w:lastRenderedPageBreak/>
        <w:t>T</w:t>
      </w:r>
      <w:r w:rsidR="00316496">
        <w:rPr>
          <w:rFonts w:ascii="Courier New" w:hAnsi="Courier New" w:cs="Courier New"/>
          <w:color w:val="373739"/>
          <w:szCs w:val="24"/>
          <w:shd w:val="clear" w:color="auto" w:fill="FFFFFF"/>
        </w:rPr>
        <w:t xml:space="preserve">he Board adopted </w:t>
      </w:r>
      <w:r w:rsidR="00AA7548">
        <w:rPr>
          <w:rFonts w:ascii="Courier New" w:hAnsi="Courier New" w:cs="Courier New"/>
          <w:color w:val="373739"/>
          <w:szCs w:val="24"/>
          <w:shd w:val="clear" w:color="auto" w:fill="FFFFFF"/>
        </w:rPr>
        <w:t>Mr. Wolff’s</w:t>
      </w:r>
      <w:r w:rsidR="00B97C4E" w:rsidRPr="00B97C4E">
        <w:rPr>
          <w:rFonts w:ascii="Courier New" w:hAnsi="Courier New" w:cs="Courier New"/>
          <w:color w:val="373739"/>
          <w:szCs w:val="24"/>
          <w:shd w:val="clear" w:color="auto" w:fill="FFFFFF"/>
        </w:rPr>
        <w:t xml:space="preserve"> percentages of operating expenses, with </w:t>
      </w:r>
      <w:r>
        <w:rPr>
          <w:rFonts w:ascii="Courier New" w:hAnsi="Courier New" w:cs="Courier New"/>
          <w:color w:val="373739"/>
          <w:szCs w:val="24"/>
          <w:shd w:val="clear" w:color="auto" w:fill="FFFFFF"/>
        </w:rPr>
        <w:t>one</w:t>
      </w:r>
      <w:r w:rsidR="00B97C4E" w:rsidRPr="00B97C4E">
        <w:rPr>
          <w:rFonts w:ascii="Courier New" w:hAnsi="Courier New" w:cs="Courier New"/>
          <w:color w:val="373739"/>
          <w:szCs w:val="24"/>
          <w:shd w:val="clear" w:color="auto" w:fill="FFFFFF"/>
        </w:rPr>
        <w:t xml:space="preserve"> minor adjustment.</w:t>
      </w:r>
      <w:r w:rsidR="00B97C4E">
        <w:rPr>
          <w:rStyle w:val="FootnoteReference"/>
          <w:rFonts w:ascii="Courier New" w:hAnsi="Courier New" w:cs="Courier New"/>
          <w:color w:val="373739"/>
          <w:szCs w:val="24"/>
          <w:shd w:val="clear" w:color="auto" w:fill="FFFFFF"/>
        </w:rPr>
        <w:footnoteReference w:id="2"/>
      </w:r>
      <w:r w:rsidR="00B97C4E" w:rsidRPr="00B97C4E">
        <w:rPr>
          <w:rStyle w:val="apple-converted-space"/>
          <w:rFonts w:ascii="Courier New" w:hAnsi="Courier New" w:cs="Courier New"/>
          <w:color w:val="373739"/>
          <w:szCs w:val="24"/>
          <w:shd w:val="clear" w:color="auto" w:fill="FFFFFF"/>
        </w:rPr>
        <w:t> </w:t>
      </w:r>
      <w:r w:rsidR="00B97C4E">
        <w:rPr>
          <w:rStyle w:val="apple-converted-space"/>
          <w:rFonts w:ascii="Courier New" w:hAnsi="Courier New" w:cs="Courier New"/>
          <w:color w:val="373739"/>
          <w:szCs w:val="24"/>
          <w:shd w:val="clear" w:color="auto" w:fill="FFFFFF"/>
        </w:rPr>
        <w:t xml:space="preserve"> </w:t>
      </w:r>
      <w:r w:rsidR="00CE274B">
        <w:rPr>
          <w:rFonts w:ascii="Courier New" w:hAnsi="Courier New" w:cs="Courier New"/>
        </w:rPr>
        <w:t>Finally, f</w:t>
      </w:r>
      <w:r w:rsidR="00AD1988">
        <w:rPr>
          <w:rFonts w:ascii="Courier New" w:hAnsi="Courier New" w:cs="Courier New"/>
        </w:rPr>
        <w:t>or its capitalization rate, the Board adopted Mr. Wolff’s underlying assumptions and analysis</w:t>
      </w:r>
      <w:r w:rsidR="007E5F84">
        <w:rPr>
          <w:rFonts w:ascii="Courier New" w:hAnsi="Courier New" w:cs="Courier New"/>
        </w:rPr>
        <w:t xml:space="preserve"> and </w:t>
      </w:r>
      <w:r w:rsidR="008D3FF1">
        <w:rPr>
          <w:rFonts w:ascii="Courier New" w:hAnsi="Courier New" w:cs="Courier New"/>
        </w:rPr>
        <w:t>ultimately h</w:t>
      </w:r>
      <w:r w:rsidR="007E5F84">
        <w:rPr>
          <w:rFonts w:ascii="Courier New" w:hAnsi="Courier New" w:cs="Courier New"/>
        </w:rPr>
        <w:t>is</w:t>
      </w:r>
      <w:r w:rsidR="00AD1988">
        <w:rPr>
          <w:rFonts w:ascii="Courier New" w:hAnsi="Courier New" w:cs="Courier New"/>
        </w:rPr>
        <w:t xml:space="preserve"> capitalization rate</w:t>
      </w:r>
      <w:r w:rsidR="00316496">
        <w:rPr>
          <w:rFonts w:ascii="Courier New" w:hAnsi="Courier New" w:cs="Courier New"/>
        </w:rPr>
        <w:t>s</w:t>
      </w:r>
      <w:r w:rsidR="00AD1988">
        <w:rPr>
          <w:rFonts w:ascii="Courier New" w:hAnsi="Courier New" w:cs="Courier New"/>
        </w:rPr>
        <w:t xml:space="preserve"> of 8.</w:t>
      </w:r>
      <w:r w:rsidR="00316496">
        <w:rPr>
          <w:rFonts w:ascii="Courier New" w:hAnsi="Courier New" w:cs="Courier New"/>
        </w:rPr>
        <w:t>0</w:t>
      </w:r>
      <w:r w:rsidR="00AD1988">
        <w:rPr>
          <w:rFonts w:ascii="Courier New" w:hAnsi="Courier New" w:cs="Courier New"/>
        </w:rPr>
        <w:t>% for fiscal year</w:t>
      </w:r>
      <w:r w:rsidR="007E5F84">
        <w:rPr>
          <w:rFonts w:ascii="Courier New" w:hAnsi="Courier New" w:cs="Courier New"/>
        </w:rPr>
        <w:t xml:space="preserve"> 201</w:t>
      </w:r>
      <w:r w:rsidR="00316496">
        <w:rPr>
          <w:rFonts w:ascii="Courier New" w:hAnsi="Courier New" w:cs="Courier New"/>
        </w:rPr>
        <w:t>3 and 8.5% for fiscal year 2014</w:t>
      </w:r>
      <w:r w:rsidR="00AD1988">
        <w:rPr>
          <w:rFonts w:ascii="Courier New" w:hAnsi="Courier New" w:cs="Courier New"/>
        </w:rPr>
        <w:t>.</w:t>
      </w:r>
      <w:r w:rsidR="00861EF0">
        <w:rPr>
          <w:rFonts w:ascii="Courier New" w:hAnsi="Courier New" w:cs="Courier New"/>
        </w:rPr>
        <w:t xml:space="preserve"> </w:t>
      </w:r>
      <w:r w:rsidR="00AD1988">
        <w:rPr>
          <w:rFonts w:ascii="Courier New" w:hAnsi="Courier New" w:cs="Courier New"/>
        </w:rPr>
        <w:t xml:space="preserve">The Board’s </w:t>
      </w:r>
      <w:r w:rsidR="007E5F84">
        <w:rPr>
          <w:rFonts w:ascii="Courier New" w:hAnsi="Courier New" w:cs="Courier New"/>
        </w:rPr>
        <w:t>analysis is contained in the following table.</w:t>
      </w:r>
    </w:p>
    <w:p w:rsidR="00316496" w:rsidRDefault="00B55D7E" w:rsidP="006B382B">
      <w:pPr>
        <w:jc w:val="center"/>
        <w:rPr>
          <w:rFonts w:ascii="Courier New" w:hAnsi="Courier New" w:cs="Courier New"/>
          <w:b/>
          <w:color w:val="000000"/>
          <w:u w:val="single"/>
        </w:rPr>
      </w:pPr>
      <w:r>
        <w:rPr>
          <w:rFonts w:ascii="Courier New" w:hAnsi="Courier New" w:cs="Courier New"/>
          <w:b/>
          <w:color w:val="000000"/>
          <w:u w:val="single"/>
        </w:rPr>
        <w:t xml:space="preserve">The </w:t>
      </w:r>
      <w:r w:rsidR="00A60447">
        <w:rPr>
          <w:rFonts w:ascii="Courier New" w:hAnsi="Courier New" w:cs="Courier New"/>
          <w:b/>
          <w:color w:val="000000"/>
          <w:u w:val="single"/>
        </w:rPr>
        <w:t>Board’s</w:t>
      </w:r>
      <w:r w:rsidR="00316496">
        <w:rPr>
          <w:rFonts w:ascii="Courier New" w:hAnsi="Courier New" w:cs="Courier New"/>
          <w:b/>
          <w:color w:val="000000"/>
          <w:u w:val="single"/>
        </w:rPr>
        <w:t xml:space="preserve"> Income-Capitalization Analysis for FY13 &amp; FY14</w:t>
      </w:r>
    </w:p>
    <w:p w:rsidR="007A0A61" w:rsidRDefault="007A0A61" w:rsidP="00316496">
      <w:pPr>
        <w:ind w:firstLine="720"/>
        <w:jc w:val="center"/>
        <w:rPr>
          <w:rFonts w:ascii="Courier New" w:hAnsi="Courier New" w:cs="Courier New"/>
          <w:b/>
          <w:color w:val="000000"/>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68"/>
        <w:gridCol w:w="1908"/>
      </w:tblGrid>
      <w:tr w:rsidR="00316496" w:rsidRPr="00850A64" w:rsidTr="00E52324">
        <w:tc>
          <w:tcPr>
            <w:tcW w:w="7668" w:type="dxa"/>
            <w:shd w:val="clear" w:color="auto" w:fill="auto"/>
          </w:tcPr>
          <w:p w:rsidR="00316496" w:rsidRPr="00850A64" w:rsidRDefault="00316496" w:rsidP="00476BD4">
            <w:pPr>
              <w:rPr>
                <w:rFonts w:ascii="Courier New" w:hAnsi="Courier New" w:cs="Courier New"/>
                <w:b/>
                <w:color w:val="000000"/>
                <w:sz w:val="20"/>
                <w:szCs w:val="20"/>
                <w:u w:val="single"/>
              </w:rPr>
            </w:pPr>
            <w:r w:rsidRPr="00850A64">
              <w:rPr>
                <w:rFonts w:ascii="Courier New" w:hAnsi="Courier New" w:cs="Courier New"/>
                <w:b/>
                <w:color w:val="000000"/>
                <w:sz w:val="20"/>
                <w:szCs w:val="20"/>
                <w:u w:val="single"/>
              </w:rPr>
              <w:t>INCOME</w:t>
            </w:r>
          </w:p>
          <w:p w:rsidR="00316496" w:rsidRPr="00850A64" w:rsidRDefault="00316496" w:rsidP="00476BD4">
            <w:pPr>
              <w:rPr>
                <w:rFonts w:ascii="Courier New" w:hAnsi="Courier New" w:cs="Courier New"/>
                <w:color w:val="000000"/>
                <w:sz w:val="20"/>
                <w:szCs w:val="20"/>
              </w:rPr>
            </w:pPr>
            <w:r w:rsidRPr="00850A64">
              <w:rPr>
                <w:rFonts w:ascii="Courier New" w:hAnsi="Courier New" w:cs="Courier New"/>
                <w:color w:val="000000"/>
                <w:sz w:val="20"/>
                <w:szCs w:val="20"/>
              </w:rPr>
              <w:t>Industrial Space</w:t>
            </w:r>
            <w:r>
              <w:rPr>
                <w:rFonts w:ascii="Courier New" w:hAnsi="Courier New" w:cs="Courier New"/>
                <w:color w:val="000000"/>
                <w:sz w:val="20"/>
                <w:szCs w:val="20"/>
              </w:rPr>
              <w:t xml:space="preserve"> –</w:t>
            </w:r>
            <w:r w:rsidRPr="00850A64">
              <w:rPr>
                <w:rFonts w:ascii="Courier New" w:hAnsi="Courier New" w:cs="Courier New"/>
                <w:color w:val="000000"/>
                <w:sz w:val="20"/>
                <w:szCs w:val="20"/>
              </w:rPr>
              <w:t xml:space="preserve"> </w:t>
            </w:r>
            <w:r>
              <w:rPr>
                <w:rFonts w:ascii="Courier New" w:hAnsi="Courier New" w:cs="Courier New"/>
                <w:color w:val="000000"/>
                <w:sz w:val="20"/>
                <w:szCs w:val="20"/>
              </w:rPr>
              <w:t>54,780 sq</w:t>
            </w:r>
            <w:r w:rsidRPr="00850A64">
              <w:rPr>
                <w:rFonts w:ascii="Courier New" w:hAnsi="Courier New" w:cs="Courier New"/>
                <w:color w:val="000000"/>
                <w:sz w:val="20"/>
                <w:szCs w:val="20"/>
              </w:rPr>
              <w:t>uare feet @ $</w:t>
            </w:r>
            <w:r>
              <w:rPr>
                <w:rFonts w:ascii="Courier New" w:hAnsi="Courier New" w:cs="Courier New"/>
                <w:color w:val="000000"/>
                <w:sz w:val="20"/>
                <w:szCs w:val="20"/>
              </w:rPr>
              <w:t>5</w:t>
            </w:r>
            <w:r w:rsidRPr="00850A64">
              <w:rPr>
                <w:rFonts w:ascii="Courier New" w:hAnsi="Courier New" w:cs="Courier New"/>
                <w:color w:val="000000"/>
                <w:sz w:val="20"/>
                <w:szCs w:val="20"/>
              </w:rPr>
              <w:t>.</w:t>
            </w:r>
            <w:r>
              <w:rPr>
                <w:rFonts w:ascii="Courier New" w:hAnsi="Courier New" w:cs="Courier New"/>
                <w:color w:val="000000"/>
                <w:sz w:val="20"/>
                <w:szCs w:val="20"/>
              </w:rPr>
              <w:t>00</w:t>
            </w:r>
            <w:r w:rsidRPr="00850A64">
              <w:rPr>
                <w:rFonts w:ascii="Courier New" w:hAnsi="Courier New" w:cs="Courier New"/>
                <w:color w:val="000000"/>
                <w:sz w:val="20"/>
                <w:szCs w:val="20"/>
              </w:rPr>
              <w:t xml:space="preserve"> </w:t>
            </w:r>
            <w:proofErr w:type="spellStart"/>
            <w:r w:rsidRPr="00850A64">
              <w:rPr>
                <w:rFonts w:ascii="Courier New" w:hAnsi="Courier New" w:cs="Courier New"/>
                <w:color w:val="000000"/>
                <w:sz w:val="20"/>
                <w:szCs w:val="20"/>
              </w:rPr>
              <w:t>psf</w:t>
            </w:r>
            <w:proofErr w:type="spellEnd"/>
            <w:r w:rsidRPr="00850A64">
              <w:rPr>
                <w:rFonts w:ascii="Courier New" w:hAnsi="Courier New" w:cs="Courier New"/>
                <w:color w:val="000000"/>
                <w:sz w:val="20"/>
                <w:szCs w:val="20"/>
              </w:rPr>
              <w:t xml:space="preserve"> </w:t>
            </w:r>
          </w:p>
        </w:tc>
        <w:tc>
          <w:tcPr>
            <w:tcW w:w="1908" w:type="dxa"/>
            <w:shd w:val="clear" w:color="auto" w:fill="auto"/>
          </w:tcPr>
          <w:p w:rsidR="00316496" w:rsidRPr="00850A64" w:rsidRDefault="00316496" w:rsidP="00476BD4">
            <w:pPr>
              <w:rPr>
                <w:rFonts w:ascii="Courier New" w:hAnsi="Courier New" w:cs="Courier New"/>
                <w:b/>
                <w:color w:val="000000"/>
                <w:sz w:val="20"/>
                <w:szCs w:val="20"/>
                <w:u w:val="single"/>
              </w:rPr>
            </w:pP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b/>
                <w:color w:val="000000"/>
                <w:sz w:val="20"/>
                <w:szCs w:val="20"/>
              </w:rPr>
            </w:pPr>
            <w:r w:rsidRPr="00850A64">
              <w:rPr>
                <w:rFonts w:ascii="Courier New" w:hAnsi="Courier New" w:cs="Courier New"/>
                <w:b/>
                <w:color w:val="000000"/>
                <w:sz w:val="20"/>
                <w:szCs w:val="20"/>
              </w:rPr>
              <w:t>Potential Gross Income (“PGI”)</w:t>
            </w:r>
          </w:p>
        </w:tc>
        <w:tc>
          <w:tcPr>
            <w:tcW w:w="1908" w:type="dxa"/>
            <w:shd w:val="clear" w:color="auto" w:fill="auto"/>
          </w:tcPr>
          <w:p w:rsidR="00316496" w:rsidRPr="00850A64" w:rsidRDefault="00316496" w:rsidP="00476BD4">
            <w:pPr>
              <w:rPr>
                <w:rFonts w:ascii="Courier New" w:hAnsi="Courier New" w:cs="Courier New"/>
                <w:b/>
                <w:color w:val="000000"/>
                <w:sz w:val="20"/>
                <w:szCs w:val="20"/>
              </w:rPr>
            </w:pPr>
            <w:r w:rsidRPr="00850A64">
              <w:rPr>
                <w:rFonts w:ascii="Courier New" w:hAnsi="Courier New" w:cs="Courier New"/>
                <w:b/>
                <w:color w:val="000000"/>
                <w:sz w:val="20"/>
                <w:szCs w:val="20"/>
              </w:rPr>
              <w:t xml:space="preserve">  $   </w:t>
            </w:r>
            <w:r>
              <w:rPr>
                <w:rFonts w:ascii="Courier New" w:hAnsi="Courier New" w:cs="Courier New"/>
                <w:b/>
                <w:color w:val="000000"/>
                <w:sz w:val="20"/>
                <w:szCs w:val="20"/>
              </w:rPr>
              <w:t>273,900</w:t>
            </w: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color w:val="000000"/>
                <w:sz w:val="20"/>
                <w:szCs w:val="20"/>
              </w:rPr>
            </w:pPr>
            <w:r w:rsidRPr="00850A64">
              <w:rPr>
                <w:rFonts w:ascii="Courier New" w:hAnsi="Courier New" w:cs="Courier New"/>
                <w:color w:val="000000"/>
                <w:sz w:val="20"/>
                <w:szCs w:val="20"/>
              </w:rPr>
              <w:t>Vacancy &amp; Collection Allowance (10%)</w:t>
            </w:r>
          </w:p>
        </w:tc>
        <w:tc>
          <w:tcPr>
            <w:tcW w:w="1908" w:type="dxa"/>
            <w:shd w:val="clear" w:color="auto" w:fill="auto"/>
          </w:tcPr>
          <w:p w:rsidR="00316496" w:rsidRPr="00850A64" w:rsidRDefault="00316496" w:rsidP="00476BD4">
            <w:pPr>
              <w:rPr>
                <w:rFonts w:ascii="Courier New" w:hAnsi="Courier New" w:cs="Courier New"/>
                <w:color w:val="000000"/>
                <w:sz w:val="20"/>
                <w:szCs w:val="20"/>
              </w:rPr>
            </w:pPr>
            <w:r w:rsidRPr="00850A64">
              <w:rPr>
                <w:rFonts w:ascii="Courier New" w:hAnsi="Courier New" w:cs="Courier New"/>
                <w:color w:val="000000"/>
                <w:sz w:val="20"/>
                <w:szCs w:val="20"/>
              </w:rPr>
              <w:t xml:space="preserve"> ($    </w:t>
            </w:r>
            <w:r>
              <w:rPr>
                <w:rFonts w:ascii="Courier New" w:hAnsi="Courier New" w:cs="Courier New"/>
                <w:color w:val="000000"/>
                <w:sz w:val="20"/>
                <w:szCs w:val="20"/>
              </w:rPr>
              <w:t>27,390</w:t>
            </w:r>
            <w:r w:rsidRPr="00850A64">
              <w:rPr>
                <w:rFonts w:ascii="Courier New" w:hAnsi="Courier New" w:cs="Courier New"/>
                <w:color w:val="000000"/>
                <w:sz w:val="20"/>
                <w:szCs w:val="20"/>
              </w:rPr>
              <w:t>)</w:t>
            </w: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b/>
                <w:color w:val="000000"/>
                <w:sz w:val="20"/>
                <w:szCs w:val="20"/>
              </w:rPr>
            </w:pPr>
            <w:r w:rsidRPr="00850A64">
              <w:rPr>
                <w:rFonts w:ascii="Courier New" w:hAnsi="Courier New" w:cs="Courier New"/>
                <w:b/>
                <w:color w:val="000000"/>
                <w:sz w:val="20"/>
                <w:szCs w:val="20"/>
              </w:rPr>
              <w:t>Effective Gross Income (“EGI”)</w:t>
            </w:r>
          </w:p>
        </w:tc>
        <w:tc>
          <w:tcPr>
            <w:tcW w:w="1908" w:type="dxa"/>
            <w:shd w:val="clear" w:color="auto" w:fill="auto"/>
          </w:tcPr>
          <w:p w:rsidR="00316496" w:rsidRPr="00850A64" w:rsidRDefault="00316496" w:rsidP="00476BD4">
            <w:pPr>
              <w:rPr>
                <w:rFonts w:ascii="Courier New" w:hAnsi="Courier New" w:cs="Courier New"/>
                <w:b/>
                <w:color w:val="000000"/>
                <w:sz w:val="20"/>
                <w:szCs w:val="20"/>
              </w:rPr>
            </w:pPr>
            <w:r w:rsidRPr="00850A64">
              <w:rPr>
                <w:rFonts w:ascii="Courier New" w:hAnsi="Courier New" w:cs="Courier New"/>
                <w:b/>
                <w:color w:val="000000"/>
                <w:sz w:val="20"/>
                <w:szCs w:val="20"/>
              </w:rPr>
              <w:t xml:space="preserve">  $ </w:t>
            </w:r>
            <w:r>
              <w:rPr>
                <w:rFonts w:ascii="Courier New" w:hAnsi="Courier New" w:cs="Courier New"/>
                <w:b/>
                <w:color w:val="000000"/>
                <w:sz w:val="20"/>
                <w:szCs w:val="20"/>
              </w:rPr>
              <w:t xml:space="preserve">  246,510</w:t>
            </w: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b/>
                <w:color w:val="000000"/>
                <w:sz w:val="20"/>
                <w:szCs w:val="20"/>
              </w:rPr>
            </w:pPr>
          </w:p>
        </w:tc>
        <w:tc>
          <w:tcPr>
            <w:tcW w:w="1908" w:type="dxa"/>
            <w:shd w:val="clear" w:color="auto" w:fill="auto"/>
          </w:tcPr>
          <w:p w:rsidR="00316496" w:rsidRPr="00850A64" w:rsidRDefault="00316496" w:rsidP="00476BD4">
            <w:pPr>
              <w:jc w:val="right"/>
              <w:rPr>
                <w:rFonts w:ascii="Courier New" w:hAnsi="Courier New" w:cs="Courier New"/>
                <w:b/>
                <w:color w:val="000000"/>
                <w:sz w:val="20"/>
                <w:szCs w:val="20"/>
              </w:rPr>
            </w:pP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b/>
                <w:color w:val="000000"/>
                <w:sz w:val="20"/>
                <w:szCs w:val="20"/>
                <w:u w:val="single"/>
              </w:rPr>
            </w:pPr>
            <w:r w:rsidRPr="00850A64">
              <w:rPr>
                <w:rFonts w:ascii="Courier New" w:hAnsi="Courier New" w:cs="Courier New"/>
                <w:b/>
                <w:color w:val="000000"/>
                <w:sz w:val="20"/>
                <w:szCs w:val="20"/>
                <w:u w:val="single"/>
              </w:rPr>
              <w:t>EXPENSES</w:t>
            </w:r>
          </w:p>
        </w:tc>
        <w:tc>
          <w:tcPr>
            <w:tcW w:w="1908" w:type="dxa"/>
            <w:shd w:val="clear" w:color="auto" w:fill="auto"/>
          </w:tcPr>
          <w:p w:rsidR="00316496" w:rsidRPr="00850A64" w:rsidRDefault="00316496" w:rsidP="00476BD4">
            <w:pPr>
              <w:jc w:val="right"/>
              <w:rPr>
                <w:rFonts w:ascii="Courier New" w:hAnsi="Courier New" w:cs="Courier New"/>
                <w:b/>
                <w:color w:val="000000"/>
                <w:sz w:val="20"/>
                <w:szCs w:val="20"/>
              </w:rPr>
            </w:pP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color w:val="000000"/>
                <w:sz w:val="20"/>
                <w:szCs w:val="20"/>
              </w:rPr>
            </w:pPr>
            <w:r w:rsidRPr="00850A64">
              <w:rPr>
                <w:rFonts w:ascii="Courier New" w:hAnsi="Courier New" w:cs="Courier New"/>
                <w:color w:val="000000"/>
                <w:sz w:val="20"/>
                <w:szCs w:val="20"/>
              </w:rPr>
              <w:t xml:space="preserve">  Management Fee          </w:t>
            </w:r>
            <w:r>
              <w:rPr>
                <w:rFonts w:ascii="Courier New" w:hAnsi="Courier New" w:cs="Courier New"/>
                <w:color w:val="000000"/>
                <w:sz w:val="20"/>
                <w:szCs w:val="20"/>
              </w:rPr>
              <w:t>$ 12,326</w:t>
            </w:r>
            <w:r w:rsidRPr="00850A64">
              <w:rPr>
                <w:rFonts w:ascii="Courier New" w:hAnsi="Courier New" w:cs="Courier New"/>
                <w:color w:val="000000"/>
                <w:sz w:val="20"/>
                <w:szCs w:val="20"/>
              </w:rPr>
              <w:t xml:space="preserve">   @ 5% of EGI</w:t>
            </w:r>
          </w:p>
          <w:p w:rsidR="00316496" w:rsidRPr="00850A64" w:rsidRDefault="00316496" w:rsidP="00476BD4">
            <w:pPr>
              <w:rPr>
                <w:rFonts w:ascii="Courier New" w:hAnsi="Courier New" w:cs="Courier New"/>
                <w:color w:val="000000"/>
                <w:sz w:val="20"/>
                <w:szCs w:val="20"/>
              </w:rPr>
            </w:pPr>
            <w:r w:rsidRPr="00850A64">
              <w:rPr>
                <w:rFonts w:ascii="Courier New" w:hAnsi="Courier New" w:cs="Courier New"/>
                <w:color w:val="000000"/>
                <w:sz w:val="20"/>
                <w:szCs w:val="20"/>
              </w:rPr>
              <w:t xml:space="preserve">  Replacement Reserves    </w:t>
            </w:r>
            <w:r>
              <w:rPr>
                <w:rFonts w:ascii="Courier New" w:hAnsi="Courier New" w:cs="Courier New"/>
                <w:color w:val="000000"/>
                <w:sz w:val="20"/>
                <w:szCs w:val="20"/>
              </w:rPr>
              <w:t>$  8,217</w:t>
            </w:r>
            <w:r w:rsidRPr="00850A64">
              <w:rPr>
                <w:rFonts w:ascii="Courier New" w:hAnsi="Courier New" w:cs="Courier New"/>
                <w:color w:val="000000"/>
                <w:sz w:val="20"/>
                <w:szCs w:val="20"/>
              </w:rPr>
              <w:t xml:space="preserve">   @ </w:t>
            </w:r>
            <w:r>
              <w:rPr>
                <w:rFonts w:ascii="Courier New" w:hAnsi="Courier New" w:cs="Courier New"/>
                <w:color w:val="000000"/>
                <w:sz w:val="20"/>
                <w:szCs w:val="20"/>
              </w:rPr>
              <w:t>3% of</w:t>
            </w:r>
            <w:r w:rsidRPr="00850A64">
              <w:rPr>
                <w:rFonts w:ascii="Courier New" w:hAnsi="Courier New" w:cs="Courier New"/>
                <w:color w:val="000000"/>
                <w:sz w:val="20"/>
                <w:szCs w:val="20"/>
              </w:rPr>
              <w:t xml:space="preserve"> </w:t>
            </w:r>
            <w:r>
              <w:rPr>
                <w:rFonts w:ascii="Courier New" w:hAnsi="Courier New" w:cs="Courier New"/>
                <w:color w:val="000000"/>
                <w:sz w:val="20"/>
                <w:szCs w:val="20"/>
              </w:rPr>
              <w:t>PGI</w:t>
            </w:r>
          </w:p>
          <w:p w:rsidR="00316496" w:rsidRPr="00850A64" w:rsidRDefault="00316496" w:rsidP="00476BD4">
            <w:pPr>
              <w:rPr>
                <w:rFonts w:ascii="Courier New" w:hAnsi="Courier New" w:cs="Courier New"/>
                <w:color w:val="000000"/>
                <w:sz w:val="20"/>
                <w:szCs w:val="20"/>
              </w:rPr>
            </w:pPr>
            <w:r w:rsidRPr="00850A64">
              <w:rPr>
                <w:rFonts w:ascii="Courier New" w:hAnsi="Courier New" w:cs="Courier New"/>
                <w:color w:val="000000"/>
                <w:sz w:val="20"/>
                <w:szCs w:val="20"/>
              </w:rPr>
              <w:t xml:space="preserve">  Commissions             </w:t>
            </w:r>
            <w:r>
              <w:rPr>
                <w:rFonts w:ascii="Courier New" w:hAnsi="Courier New" w:cs="Courier New"/>
                <w:color w:val="000000"/>
                <w:sz w:val="20"/>
                <w:szCs w:val="20"/>
              </w:rPr>
              <w:t xml:space="preserve">$  </w:t>
            </w:r>
            <w:r w:rsidR="000D0067">
              <w:rPr>
                <w:rFonts w:ascii="Courier New" w:hAnsi="Courier New" w:cs="Courier New"/>
                <w:color w:val="000000"/>
                <w:sz w:val="20"/>
                <w:szCs w:val="20"/>
              </w:rPr>
              <w:t>2,465</w:t>
            </w:r>
            <w:r w:rsidRPr="00850A64">
              <w:rPr>
                <w:rFonts w:ascii="Courier New" w:hAnsi="Courier New" w:cs="Courier New"/>
                <w:color w:val="000000"/>
                <w:sz w:val="20"/>
                <w:szCs w:val="20"/>
              </w:rPr>
              <w:t xml:space="preserve">   @ 1% of </w:t>
            </w:r>
            <w:r>
              <w:rPr>
                <w:rFonts w:ascii="Courier New" w:hAnsi="Courier New" w:cs="Courier New"/>
                <w:color w:val="000000"/>
                <w:sz w:val="20"/>
                <w:szCs w:val="20"/>
              </w:rPr>
              <w:t>E</w:t>
            </w:r>
            <w:r w:rsidRPr="00850A64">
              <w:rPr>
                <w:rFonts w:ascii="Courier New" w:hAnsi="Courier New" w:cs="Courier New"/>
                <w:color w:val="000000"/>
                <w:sz w:val="20"/>
                <w:szCs w:val="20"/>
              </w:rPr>
              <w:t>GI</w:t>
            </w:r>
          </w:p>
          <w:p w:rsidR="00316496" w:rsidRPr="00AA7548" w:rsidRDefault="00316496" w:rsidP="00476BD4">
            <w:pPr>
              <w:rPr>
                <w:rFonts w:ascii="Courier New" w:hAnsi="Courier New" w:cs="Courier New"/>
                <w:b/>
                <w:color w:val="000000"/>
                <w:sz w:val="20"/>
                <w:szCs w:val="20"/>
              </w:rPr>
            </w:pPr>
            <w:r w:rsidRPr="00AA7548">
              <w:rPr>
                <w:rFonts w:ascii="Courier New" w:hAnsi="Courier New" w:cs="Courier New"/>
                <w:b/>
                <w:color w:val="000000"/>
                <w:sz w:val="20"/>
                <w:szCs w:val="20"/>
              </w:rPr>
              <w:t>Total Expenses</w:t>
            </w:r>
          </w:p>
        </w:tc>
        <w:tc>
          <w:tcPr>
            <w:tcW w:w="1908" w:type="dxa"/>
            <w:shd w:val="clear" w:color="auto" w:fill="auto"/>
          </w:tcPr>
          <w:p w:rsidR="00316496" w:rsidRPr="00E52324" w:rsidRDefault="00316496" w:rsidP="00476BD4">
            <w:pPr>
              <w:jc w:val="right"/>
              <w:rPr>
                <w:rFonts w:ascii="Courier New" w:hAnsi="Courier New" w:cs="Courier New"/>
                <w:color w:val="000000"/>
                <w:sz w:val="20"/>
                <w:szCs w:val="20"/>
              </w:rPr>
            </w:pPr>
          </w:p>
          <w:p w:rsidR="00316496" w:rsidRPr="00E52324" w:rsidRDefault="00316496" w:rsidP="00476BD4">
            <w:pPr>
              <w:jc w:val="right"/>
              <w:rPr>
                <w:rFonts w:ascii="Courier New" w:hAnsi="Courier New" w:cs="Courier New"/>
                <w:color w:val="000000"/>
                <w:sz w:val="20"/>
                <w:szCs w:val="20"/>
              </w:rPr>
            </w:pPr>
          </w:p>
          <w:p w:rsidR="00316496" w:rsidRPr="00E52324" w:rsidRDefault="00316496" w:rsidP="00476BD4">
            <w:pPr>
              <w:jc w:val="right"/>
              <w:rPr>
                <w:rFonts w:ascii="Courier New" w:hAnsi="Courier New" w:cs="Courier New"/>
                <w:color w:val="000000"/>
                <w:sz w:val="20"/>
                <w:szCs w:val="20"/>
              </w:rPr>
            </w:pPr>
          </w:p>
          <w:p w:rsidR="00316496" w:rsidRPr="00AA7548" w:rsidRDefault="00316496" w:rsidP="00476BD4">
            <w:pPr>
              <w:rPr>
                <w:rFonts w:ascii="Courier New" w:hAnsi="Courier New" w:cs="Courier New"/>
                <w:b/>
                <w:color w:val="000000"/>
                <w:sz w:val="20"/>
                <w:szCs w:val="20"/>
              </w:rPr>
            </w:pPr>
            <w:r w:rsidRPr="00E52324">
              <w:rPr>
                <w:rFonts w:ascii="Courier New" w:hAnsi="Courier New" w:cs="Courier New"/>
                <w:color w:val="000000"/>
                <w:sz w:val="20"/>
                <w:szCs w:val="20"/>
              </w:rPr>
              <w:t xml:space="preserve"> </w:t>
            </w:r>
            <w:r w:rsidRPr="00AA7548">
              <w:rPr>
                <w:rFonts w:ascii="Courier New" w:hAnsi="Courier New" w:cs="Courier New"/>
                <w:b/>
                <w:color w:val="000000"/>
                <w:sz w:val="20"/>
                <w:szCs w:val="20"/>
              </w:rPr>
              <w:t>($    2</w:t>
            </w:r>
            <w:r w:rsidR="000D0067" w:rsidRPr="00AA7548">
              <w:rPr>
                <w:rFonts w:ascii="Courier New" w:hAnsi="Courier New" w:cs="Courier New"/>
                <w:b/>
                <w:color w:val="000000"/>
                <w:sz w:val="20"/>
                <w:szCs w:val="20"/>
              </w:rPr>
              <w:t>3,008</w:t>
            </w:r>
            <w:r w:rsidRPr="00AA7548">
              <w:rPr>
                <w:rFonts w:ascii="Courier New" w:hAnsi="Courier New" w:cs="Courier New"/>
                <w:b/>
                <w:color w:val="000000"/>
                <w:sz w:val="20"/>
                <w:szCs w:val="20"/>
              </w:rPr>
              <w:t>)</w:t>
            </w: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color w:val="000000"/>
                <w:sz w:val="20"/>
                <w:szCs w:val="20"/>
              </w:rPr>
            </w:pPr>
          </w:p>
        </w:tc>
        <w:tc>
          <w:tcPr>
            <w:tcW w:w="1908" w:type="dxa"/>
            <w:shd w:val="clear" w:color="auto" w:fill="auto"/>
          </w:tcPr>
          <w:p w:rsidR="00316496" w:rsidRPr="00850A64" w:rsidRDefault="00316496" w:rsidP="00476BD4">
            <w:pPr>
              <w:jc w:val="right"/>
              <w:rPr>
                <w:rFonts w:ascii="Courier New" w:hAnsi="Courier New" w:cs="Courier New"/>
                <w:b/>
                <w:color w:val="000000"/>
                <w:sz w:val="20"/>
                <w:szCs w:val="20"/>
              </w:rPr>
            </w:pPr>
          </w:p>
        </w:tc>
      </w:tr>
      <w:tr w:rsidR="00316496" w:rsidRPr="00850A64" w:rsidTr="00E52324">
        <w:tc>
          <w:tcPr>
            <w:tcW w:w="7668" w:type="dxa"/>
            <w:shd w:val="clear" w:color="auto" w:fill="auto"/>
          </w:tcPr>
          <w:p w:rsidR="00316496" w:rsidRPr="00850A64" w:rsidRDefault="00316496" w:rsidP="00476BD4">
            <w:pPr>
              <w:rPr>
                <w:rFonts w:ascii="Courier New" w:hAnsi="Courier New" w:cs="Courier New"/>
                <w:b/>
                <w:color w:val="000000"/>
                <w:sz w:val="20"/>
                <w:szCs w:val="20"/>
              </w:rPr>
            </w:pPr>
            <w:r w:rsidRPr="00850A64">
              <w:rPr>
                <w:rFonts w:ascii="Courier New" w:hAnsi="Courier New" w:cs="Courier New"/>
                <w:b/>
                <w:color w:val="000000"/>
                <w:sz w:val="20"/>
                <w:szCs w:val="20"/>
              </w:rPr>
              <w:t>Net Operating Income (“NOI”)</w:t>
            </w:r>
          </w:p>
        </w:tc>
        <w:tc>
          <w:tcPr>
            <w:tcW w:w="1908" w:type="dxa"/>
            <w:shd w:val="clear" w:color="auto" w:fill="auto"/>
          </w:tcPr>
          <w:p w:rsidR="00316496" w:rsidRPr="00850A64" w:rsidRDefault="00316496" w:rsidP="00476BD4">
            <w:pPr>
              <w:rPr>
                <w:rFonts w:ascii="Courier New" w:hAnsi="Courier New" w:cs="Courier New"/>
                <w:b/>
                <w:color w:val="000000"/>
                <w:sz w:val="20"/>
                <w:szCs w:val="20"/>
              </w:rPr>
            </w:pPr>
            <w:r w:rsidRPr="00850A64">
              <w:rPr>
                <w:rFonts w:ascii="Courier New" w:hAnsi="Courier New" w:cs="Courier New"/>
                <w:b/>
                <w:color w:val="000000"/>
                <w:sz w:val="20"/>
                <w:szCs w:val="20"/>
              </w:rPr>
              <w:t xml:space="preserve">  $   </w:t>
            </w:r>
            <w:r>
              <w:rPr>
                <w:rFonts w:ascii="Courier New" w:hAnsi="Courier New" w:cs="Courier New"/>
                <w:b/>
                <w:color w:val="000000"/>
                <w:sz w:val="20"/>
                <w:szCs w:val="20"/>
              </w:rPr>
              <w:t>2</w:t>
            </w:r>
            <w:r w:rsidR="000D0067">
              <w:rPr>
                <w:rFonts w:ascii="Courier New" w:hAnsi="Courier New" w:cs="Courier New"/>
                <w:b/>
                <w:color w:val="000000"/>
                <w:sz w:val="20"/>
                <w:szCs w:val="20"/>
              </w:rPr>
              <w:t>23,502</w:t>
            </w:r>
          </w:p>
        </w:tc>
      </w:tr>
      <w:tr w:rsidR="00A60447" w:rsidRPr="00850A64" w:rsidTr="00E52324">
        <w:tc>
          <w:tcPr>
            <w:tcW w:w="7668" w:type="dxa"/>
            <w:shd w:val="clear" w:color="auto" w:fill="auto"/>
          </w:tcPr>
          <w:p w:rsidR="00A60447" w:rsidRPr="00850A64" w:rsidRDefault="00A60447" w:rsidP="00476BD4">
            <w:pPr>
              <w:rPr>
                <w:rFonts w:ascii="Courier New" w:hAnsi="Courier New" w:cs="Courier New"/>
                <w:b/>
                <w:color w:val="000000"/>
                <w:sz w:val="20"/>
                <w:szCs w:val="20"/>
              </w:rPr>
            </w:pPr>
          </w:p>
        </w:tc>
        <w:tc>
          <w:tcPr>
            <w:tcW w:w="1908" w:type="dxa"/>
            <w:shd w:val="clear" w:color="auto" w:fill="auto"/>
          </w:tcPr>
          <w:p w:rsidR="00A60447" w:rsidRPr="00850A64" w:rsidRDefault="00A60447" w:rsidP="00476BD4">
            <w:pPr>
              <w:rPr>
                <w:rFonts w:ascii="Courier New" w:hAnsi="Courier New" w:cs="Courier New"/>
                <w:b/>
                <w:color w:val="000000"/>
                <w:sz w:val="20"/>
                <w:szCs w:val="20"/>
              </w:rPr>
            </w:pPr>
          </w:p>
        </w:tc>
      </w:tr>
      <w:tr w:rsidR="00A60447" w:rsidRPr="00850A64" w:rsidTr="00E52324">
        <w:tc>
          <w:tcPr>
            <w:tcW w:w="7668" w:type="dxa"/>
            <w:shd w:val="clear" w:color="auto" w:fill="auto"/>
          </w:tcPr>
          <w:p w:rsidR="00A60447" w:rsidRPr="00E52324" w:rsidRDefault="00A60447" w:rsidP="009716CA">
            <w:pPr>
              <w:rPr>
                <w:rFonts w:ascii="Courier New" w:hAnsi="Courier New" w:cs="Courier New"/>
                <w:color w:val="000000"/>
                <w:sz w:val="20"/>
                <w:szCs w:val="20"/>
              </w:rPr>
            </w:pPr>
            <w:r w:rsidRPr="00E52324">
              <w:rPr>
                <w:rFonts w:ascii="Courier New" w:hAnsi="Courier New" w:cs="Courier New"/>
                <w:color w:val="000000"/>
                <w:sz w:val="20"/>
                <w:szCs w:val="20"/>
              </w:rPr>
              <w:t>Divide by: Capitalization Rate for Fiscal Year 2013 – 8.0%</w:t>
            </w:r>
          </w:p>
        </w:tc>
        <w:tc>
          <w:tcPr>
            <w:tcW w:w="1908" w:type="dxa"/>
            <w:shd w:val="clear" w:color="auto" w:fill="auto"/>
          </w:tcPr>
          <w:p w:rsidR="00A60447" w:rsidRPr="00850A64" w:rsidRDefault="00A60447" w:rsidP="009716CA">
            <w:pPr>
              <w:jc w:val="center"/>
              <w:rPr>
                <w:rFonts w:ascii="Courier New" w:hAnsi="Courier New" w:cs="Courier New"/>
                <w:b/>
                <w:color w:val="000000"/>
                <w:sz w:val="20"/>
                <w:szCs w:val="20"/>
              </w:rPr>
            </w:pPr>
            <w:r w:rsidRPr="00850A64">
              <w:rPr>
                <w:rFonts w:ascii="Courier New" w:hAnsi="Courier New" w:cs="Courier New"/>
                <w:b/>
                <w:color w:val="000000"/>
                <w:sz w:val="20"/>
                <w:szCs w:val="20"/>
              </w:rPr>
              <w:t xml:space="preserve"> </w:t>
            </w:r>
          </w:p>
        </w:tc>
      </w:tr>
      <w:tr w:rsidR="00A60447" w:rsidRPr="00850A64" w:rsidTr="00E52324">
        <w:tc>
          <w:tcPr>
            <w:tcW w:w="7668" w:type="dxa"/>
            <w:shd w:val="clear" w:color="auto" w:fill="auto"/>
          </w:tcPr>
          <w:p w:rsidR="00A60447" w:rsidRPr="00850A64" w:rsidRDefault="00A60447" w:rsidP="009716CA">
            <w:pPr>
              <w:rPr>
                <w:rFonts w:ascii="Courier New" w:hAnsi="Courier New" w:cs="Courier New"/>
                <w:b/>
                <w:color w:val="000000"/>
                <w:sz w:val="20"/>
                <w:szCs w:val="20"/>
              </w:rPr>
            </w:pPr>
          </w:p>
        </w:tc>
        <w:tc>
          <w:tcPr>
            <w:tcW w:w="1908" w:type="dxa"/>
            <w:shd w:val="clear" w:color="auto" w:fill="auto"/>
          </w:tcPr>
          <w:p w:rsidR="00A60447" w:rsidRPr="00850A64" w:rsidRDefault="00A60447" w:rsidP="009716CA">
            <w:pPr>
              <w:jc w:val="center"/>
              <w:rPr>
                <w:rFonts w:ascii="Courier New" w:hAnsi="Courier New" w:cs="Courier New"/>
                <w:b/>
                <w:color w:val="000000"/>
                <w:sz w:val="20"/>
                <w:szCs w:val="20"/>
              </w:rPr>
            </w:pPr>
          </w:p>
        </w:tc>
      </w:tr>
      <w:tr w:rsidR="00A60447" w:rsidRPr="00AA7548" w:rsidTr="00E52324">
        <w:tc>
          <w:tcPr>
            <w:tcW w:w="7668" w:type="dxa"/>
            <w:shd w:val="clear" w:color="auto" w:fill="auto"/>
          </w:tcPr>
          <w:p w:rsidR="00A60447" w:rsidRPr="00AA7548" w:rsidRDefault="00A60447" w:rsidP="009716CA">
            <w:pPr>
              <w:rPr>
                <w:rFonts w:ascii="Courier New" w:hAnsi="Courier New" w:cs="Courier New"/>
                <w:b/>
                <w:color w:val="000000"/>
                <w:sz w:val="20"/>
                <w:szCs w:val="20"/>
              </w:rPr>
            </w:pPr>
            <w:r w:rsidRPr="00AA7548">
              <w:rPr>
                <w:rFonts w:ascii="Courier New" w:hAnsi="Courier New" w:cs="Courier New"/>
                <w:b/>
                <w:color w:val="000000"/>
                <w:sz w:val="20"/>
                <w:szCs w:val="20"/>
              </w:rPr>
              <w:t>Indicated Value for Fiscal Year 2013</w:t>
            </w:r>
          </w:p>
        </w:tc>
        <w:tc>
          <w:tcPr>
            <w:tcW w:w="1908" w:type="dxa"/>
            <w:shd w:val="clear" w:color="auto" w:fill="auto"/>
          </w:tcPr>
          <w:p w:rsidR="00A60447" w:rsidRPr="00AA7548" w:rsidRDefault="00A60447" w:rsidP="009716CA">
            <w:pPr>
              <w:rPr>
                <w:rFonts w:ascii="Courier New" w:hAnsi="Courier New" w:cs="Courier New"/>
                <w:b/>
                <w:color w:val="000000"/>
                <w:sz w:val="20"/>
                <w:szCs w:val="20"/>
              </w:rPr>
            </w:pPr>
            <w:r w:rsidRPr="00AA7548">
              <w:rPr>
                <w:rFonts w:ascii="Courier New" w:hAnsi="Courier New" w:cs="Courier New"/>
                <w:b/>
                <w:color w:val="000000"/>
                <w:sz w:val="20"/>
                <w:szCs w:val="20"/>
              </w:rPr>
              <w:t xml:space="preserve">  $ 2,793,775</w:t>
            </w:r>
          </w:p>
        </w:tc>
      </w:tr>
      <w:tr w:rsidR="00A60447" w:rsidRPr="00850A64" w:rsidTr="00E52324">
        <w:tc>
          <w:tcPr>
            <w:tcW w:w="7668" w:type="dxa"/>
            <w:shd w:val="clear" w:color="auto" w:fill="auto"/>
          </w:tcPr>
          <w:p w:rsidR="00A60447" w:rsidRDefault="00A60447" w:rsidP="009716CA">
            <w:pPr>
              <w:rPr>
                <w:rFonts w:ascii="Courier New" w:hAnsi="Courier New" w:cs="Courier New"/>
                <w:b/>
                <w:color w:val="000000"/>
                <w:sz w:val="20"/>
                <w:szCs w:val="20"/>
              </w:rPr>
            </w:pPr>
            <w:r>
              <w:rPr>
                <w:rFonts w:ascii="Courier New" w:hAnsi="Courier New" w:cs="Courier New"/>
                <w:b/>
                <w:color w:val="000000"/>
                <w:sz w:val="20"/>
                <w:szCs w:val="20"/>
              </w:rPr>
              <w:t>Rounded Value for Fiscal Year 2013</w:t>
            </w:r>
          </w:p>
        </w:tc>
        <w:tc>
          <w:tcPr>
            <w:tcW w:w="1908" w:type="dxa"/>
            <w:shd w:val="clear" w:color="auto" w:fill="auto"/>
          </w:tcPr>
          <w:p w:rsidR="00A60447" w:rsidRDefault="00A60447" w:rsidP="009716CA">
            <w:pPr>
              <w:rPr>
                <w:rFonts w:ascii="Courier New" w:hAnsi="Courier New" w:cs="Courier New"/>
                <w:b/>
                <w:color w:val="000000"/>
                <w:sz w:val="20"/>
                <w:szCs w:val="20"/>
              </w:rPr>
            </w:pPr>
            <w:r>
              <w:rPr>
                <w:rFonts w:ascii="Courier New" w:hAnsi="Courier New" w:cs="Courier New"/>
                <w:b/>
                <w:color w:val="000000"/>
                <w:sz w:val="20"/>
                <w:szCs w:val="20"/>
              </w:rPr>
              <w:t xml:space="preserve">  $ 2,800,000</w:t>
            </w:r>
          </w:p>
        </w:tc>
      </w:tr>
      <w:tr w:rsidR="00A60447" w:rsidRPr="00850A64" w:rsidTr="00E52324">
        <w:tc>
          <w:tcPr>
            <w:tcW w:w="7668" w:type="dxa"/>
            <w:shd w:val="clear" w:color="auto" w:fill="auto"/>
          </w:tcPr>
          <w:p w:rsidR="00A60447" w:rsidRDefault="00A60447" w:rsidP="009716CA">
            <w:pPr>
              <w:rPr>
                <w:rFonts w:ascii="Courier New" w:hAnsi="Courier New" w:cs="Courier New"/>
                <w:b/>
                <w:color w:val="000000"/>
                <w:sz w:val="20"/>
                <w:szCs w:val="20"/>
              </w:rPr>
            </w:pPr>
          </w:p>
        </w:tc>
        <w:tc>
          <w:tcPr>
            <w:tcW w:w="1908" w:type="dxa"/>
            <w:shd w:val="clear" w:color="auto" w:fill="auto"/>
          </w:tcPr>
          <w:p w:rsidR="00A60447" w:rsidRDefault="00A60447" w:rsidP="009716CA">
            <w:pPr>
              <w:rPr>
                <w:rFonts w:ascii="Courier New" w:hAnsi="Courier New" w:cs="Courier New"/>
                <w:b/>
                <w:color w:val="000000"/>
                <w:sz w:val="20"/>
                <w:szCs w:val="20"/>
              </w:rPr>
            </w:pPr>
          </w:p>
        </w:tc>
      </w:tr>
      <w:tr w:rsidR="00A60447" w:rsidRPr="00850A64" w:rsidTr="00E52324">
        <w:tc>
          <w:tcPr>
            <w:tcW w:w="7668" w:type="dxa"/>
            <w:shd w:val="clear" w:color="auto" w:fill="auto"/>
          </w:tcPr>
          <w:p w:rsidR="00A60447" w:rsidRPr="00E52324" w:rsidRDefault="00A60447" w:rsidP="009716CA">
            <w:pPr>
              <w:rPr>
                <w:rFonts w:ascii="Courier New" w:hAnsi="Courier New" w:cs="Courier New"/>
                <w:color w:val="000000"/>
                <w:sz w:val="20"/>
                <w:szCs w:val="20"/>
              </w:rPr>
            </w:pPr>
            <w:r w:rsidRPr="00E52324">
              <w:rPr>
                <w:rFonts w:ascii="Courier New" w:hAnsi="Courier New" w:cs="Courier New"/>
                <w:color w:val="000000"/>
                <w:sz w:val="20"/>
                <w:szCs w:val="20"/>
              </w:rPr>
              <w:t>Divide by: Capitali</w:t>
            </w:r>
            <w:r>
              <w:rPr>
                <w:rFonts w:ascii="Courier New" w:hAnsi="Courier New" w:cs="Courier New"/>
                <w:color w:val="000000"/>
                <w:sz w:val="20"/>
                <w:szCs w:val="20"/>
              </w:rPr>
              <w:t>zation Rate for Fiscal Year 2014</w:t>
            </w:r>
            <w:r w:rsidRPr="00E52324">
              <w:rPr>
                <w:rFonts w:ascii="Courier New" w:hAnsi="Courier New" w:cs="Courier New"/>
                <w:color w:val="000000"/>
                <w:sz w:val="20"/>
                <w:szCs w:val="20"/>
              </w:rPr>
              <w:t xml:space="preserve"> – 8.5%</w:t>
            </w:r>
          </w:p>
        </w:tc>
        <w:tc>
          <w:tcPr>
            <w:tcW w:w="1908" w:type="dxa"/>
            <w:shd w:val="clear" w:color="auto" w:fill="auto"/>
          </w:tcPr>
          <w:p w:rsidR="00A60447" w:rsidRDefault="00A60447" w:rsidP="009716CA">
            <w:pPr>
              <w:rPr>
                <w:rFonts w:ascii="Courier New" w:hAnsi="Courier New" w:cs="Courier New"/>
                <w:color w:val="000000"/>
                <w:sz w:val="20"/>
                <w:szCs w:val="20"/>
              </w:rPr>
            </w:pPr>
          </w:p>
        </w:tc>
      </w:tr>
      <w:tr w:rsidR="00A60447" w:rsidRPr="00850A64" w:rsidTr="00E52324">
        <w:tc>
          <w:tcPr>
            <w:tcW w:w="7668" w:type="dxa"/>
            <w:shd w:val="clear" w:color="auto" w:fill="auto"/>
          </w:tcPr>
          <w:p w:rsidR="00A60447" w:rsidRPr="00850A64" w:rsidRDefault="00A60447" w:rsidP="009716CA">
            <w:pPr>
              <w:rPr>
                <w:rFonts w:ascii="Courier New" w:hAnsi="Courier New" w:cs="Courier New"/>
                <w:b/>
                <w:color w:val="000000"/>
                <w:sz w:val="20"/>
                <w:szCs w:val="20"/>
              </w:rPr>
            </w:pPr>
          </w:p>
        </w:tc>
        <w:tc>
          <w:tcPr>
            <w:tcW w:w="1908" w:type="dxa"/>
            <w:shd w:val="clear" w:color="auto" w:fill="auto"/>
          </w:tcPr>
          <w:p w:rsidR="00A60447" w:rsidRDefault="00A60447" w:rsidP="009716CA">
            <w:pPr>
              <w:rPr>
                <w:rFonts w:ascii="Courier New" w:hAnsi="Courier New" w:cs="Courier New"/>
                <w:color w:val="000000"/>
                <w:sz w:val="20"/>
                <w:szCs w:val="20"/>
              </w:rPr>
            </w:pPr>
          </w:p>
        </w:tc>
      </w:tr>
      <w:tr w:rsidR="00A60447" w:rsidRPr="00AA7548" w:rsidTr="00E52324">
        <w:tc>
          <w:tcPr>
            <w:tcW w:w="7668" w:type="dxa"/>
            <w:shd w:val="clear" w:color="auto" w:fill="auto"/>
          </w:tcPr>
          <w:p w:rsidR="00A60447" w:rsidRPr="00AA7548" w:rsidRDefault="00A60447" w:rsidP="009716CA">
            <w:pPr>
              <w:rPr>
                <w:rFonts w:ascii="Courier New" w:hAnsi="Courier New" w:cs="Courier New"/>
                <w:b/>
                <w:color w:val="000000"/>
                <w:sz w:val="20"/>
                <w:szCs w:val="20"/>
              </w:rPr>
            </w:pPr>
            <w:r w:rsidRPr="00AA7548">
              <w:rPr>
                <w:rFonts w:ascii="Courier New" w:hAnsi="Courier New" w:cs="Courier New"/>
                <w:b/>
                <w:color w:val="000000"/>
                <w:sz w:val="20"/>
                <w:szCs w:val="20"/>
              </w:rPr>
              <w:t>Indicated Value for Fiscal Year 2014</w:t>
            </w:r>
          </w:p>
        </w:tc>
        <w:tc>
          <w:tcPr>
            <w:tcW w:w="1908" w:type="dxa"/>
            <w:shd w:val="clear" w:color="auto" w:fill="auto"/>
          </w:tcPr>
          <w:p w:rsidR="00A60447" w:rsidRPr="00AA7548" w:rsidRDefault="00A60447" w:rsidP="009716CA">
            <w:pPr>
              <w:rPr>
                <w:rFonts w:ascii="Courier New" w:hAnsi="Courier New" w:cs="Courier New"/>
                <w:b/>
                <w:color w:val="000000"/>
                <w:sz w:val="20"/>
                <w:szCs w:val="20"/>
              </w:rPr>
            </w:pPr>
            <w:r w:rsidRPr="00AA7548">
              <w:rPr>
                <w:rFonts w:ascii="Courier New" w:hAnsi="Courier New" w:cs="Courier New"/>
                <w:b/>
                <w:color w:val="000000"/>
                <w:sz w:val="20"/>
                <w:szCs w:val="20"/>
              </w:rPr>
              <w:t xml:space="preserve">  $ 2,629,435</w:t>
            </w:r>
          </w:p>
        </w:tc>
      </w:tr>
      <w:tr w:rsidR="00A60447" w:rsidRPr="00850A64" w:rsidTr="00E52324">
        <w:tc>
          <w:tcPr>
            <w:tcW w:w="7668" w:type="dxa"/>
            <w:shd w:val="clear" w:color="auto" w:fill="auto"/>
          </w:tcPr>
          <w:p w:rsidR="00A60447" w:rsidRDefault="00A60447" w:rsidP="00F370E3">
            <w:pPr>
              <w:spacing w:line="276" w:lineRule="auto"/>
              <w:rPr>
                <w:rFonts w:ascii="Courier New" w:hAnsi="Courier New" w:cs="Courier New"/>
                <w:b/>
                <w:color w:val="000000"/>
                <w:sz w:val="20"/>
                <w:szCs w:val="20"/>
              </w:rPr>
            </w:pPr>
            <w:r>
              <w:rPr>
                <w:rFonts w:ascii="Courier New" w:hAnsi="Courier New" w:cs="Courier New"/>
                <w:b/>
                <w:color w:val="000000"/>
                <w:sz w:val="20"/>
                <w:szCs w:val="20"/>
              </w:rPr>
              <w:t>Rounded Value for Fiscal Year 2014</w:t>
            </w:r>
          </w:p>
        </w:tc>
        <w:tc>
          <w:tcPr>
            <w:tcW w:w="1908" w:type="dxa"/>
            <w:shd w:val="clear" w:color="auto" w:fill="auto"/>
          </w:tcPr>
          <w:p w:rsidR="00A60447" w:rsidRDefault="00A60447" w:rsidP="00F370E3">
            <w:pPr>
              <w:spacing w:line="276" w:lineRule="auto"/>
              <w:rPr>
                <w:rFonts w:ascii="Courier New" w:hAnsi="Courier New" w:cs="Courier New"/>
                <w:b/>
                <w:color w:val="000000"/>
                <w:sz w:val="20"/>
                <w:szCs w:val="20"/>
              </w:rPr>
            </w:pPr>
            <w:r>
              <w:rPr>
                <w:rFonts w:ascii="Courier New" w:hAnsi="Courier New" w:cs="Courier New"/>
                <w:b/>
                <w:color w:val="000000"/>
                <w:sz w:val="20"/>
                <w:szCs w:val="20"/>
              </w:rPr>
              <w:t xml:space="preserve">  $ 2,630,000</w:t>
            </w:r>
          </w:p>
        </w:tc>
      </w:tr>
    </w:tbl>
    <w:p w:rsidR="00E52324" w:rsidRDefault="00E52324" w:rsidP="00F370E3">
      <w:pPr>
        <w:spacing w:line="276" w:lineRule="auto"/>
        <w:jc w:val="center"/>
        <w:rPr>
          <w:rFonts w:ascii="Courier New" w:hAnsi="Courier New" w:cs="Courier New"/>
          <w:b/>
          <w:sz w:val="22"/>
          <w:u w:val="single"/>
        </w:rPr>
      </w:pPr>
    </w:p>
    <w:p w:rsidR="00E52324" w:rsidRDefault="00E52324" w:rsidP="00E52324">
      <w:pPr>
        <w:spacing w:line="480" w:lineRule="auto"/>
        <w:ind w:firstLine="720"/>
        <w:jc w:val="both"/>
        <w:rPr>
          <w:rFonts w:ascii="Courier New" w:hAnsi="Courier New" w:cs="Courier New"/>
        </w:rPr>
      </w:pPr>
      <w:r>
        <w:rPr>
          <w:rFonts w:ascii="Courier New" w:hAnsi="Courier New" w:cs="Courier New"/>
        </w:rPr>
        <w:t xml:space="preserve">On this basis, the Board found and ruled that the appellant failed to meet its burden of proving that the subject property’s assessments of $2,387,200 and $2,387,400 for fiscal years 2013 </w:t>
      </w:r>
      <w:r>
        <w:rPr>
          <w:rFonts w:ascii="Courier New" w:hAnsi="Courier New" w:cs="Courier New"/>
        </w:rPr>
        <w:lastRenderedPageBreak/>
        <w:t xml:space="preserve">and 2014, respectively, exceeded the subject property’s fair cash values for the corresponding years.  </w:t>
      </w:r>
    </w:p>
    <w:p w:rsidR="00861EF0" w:rsidRPr="00E52324" w:rsidRDefault="00861EF0" w:rsidP="00E52324">
      <w:pPr>
        <w:spacing w:line="480" w:lineRule="auto"/>
        <w:ind w:firstLine="720"/>
        <w:jc w:val="both"/>
        <w:rPr>
          <w:rFonts w:ascii="Courier New" w:hAnsi="Courier New" w:cs="Courier New"/>
          <w:sz w:val="22"/>
        </w:rPr>
      </w:pPr>
    </w:p>
    <w:p w:rsidR="0060020F" w:rsidRDefault="0060020F" w:rsidP="0060020F">
      <w:pPr>
        <w:spacing w:line="480" w:lineRule="auto"/>
        <w:jc w:val="center"/>
        <w:rPr>
          <w:rFonts w:ascii="Courier New" w:hAnsi="Courier New" w:cs="Courier New"/>
          <w:b/>
        </w:rPr>
      </w:pPr>
      <w:r>
        <w:rPr>
          <w:rFonts w:ascii="Courier New" w:hAnsi="Courier New" w:cs="Courier New"/>
          <w:b/>
        </w:rPr>
        <w:t>OPINION</w:t>
      </w:r>
    </w:p>
    <w:p w:rsidR="0054205B" w:rsidRPr="009F344E" w:rsidRDefault="0054205B" w:rsidP="0060020F">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w:t>
      </w:r>
      <w:proofErr w:type="gramStart"/>
      <w:r w:rsidRPr="009F344E">
        <w:rPr>
          <w:rFonts w:ascii="Courier New" w:hAnsi="Courier New" w:cs="Courier New"/>
        </w:rPr>
        <w:t>G.L. c. 59, § 38.</w:t>
      </w:r>
      <w:proofErr w:type="gramEnd"/>
      <w:r w:rsidRPr="009F344E">
        <w:rPr>
          <w:rFonts w:ascii="Courier New" w:hAnsi="Courier New" w:cs="Courier New"/>
        </w:rPr>
        <w:t xml:space="preserve">  Fair cash value is defined as the price on which a willing seller and a willing buyer in a free and open market will agree if both of them are fully informed and under no compulsion.  </w:t>
      </w:r>
      <w:proofErr w:type="gramStart"/>
      <w:r w:rsidRPr="009F344E">
        <w:rPr>
          <w:rFonts w:ascii="Courier New" w:hAnsi="Courier New" w:cs="Courier New"/>
          <w:b/>
          <w:bCs/>
          <w:i/>
          <w:iCs/>
        </w:rPr>
        <w:t>Boston Gas Co. v. Assessors of Boston</w:t>
      </w:r>
      <w:r w:rsidRPr="009F344E">
        <w:rPr>
          <w:rFonts w:ascii="Courier New" w:hAnsi="Courier New" w:cs="Courier New"/>
        </w:rPr>
        <w:t>, 334 Mass. 549, 566 (1956).</w:t>
      </w:r>
      <w:proofErr w:type="gramEnd"/>
    </w:p>
    <w:p w:rsidR="0054205B" w:rsidRDefault="0054205B" w:rsidP="0054205B">
      <w:pPr>
        <w:spacing w:line="480" w:lineRule="auto"/>
        <w:ind w:firstLine="720"/>
        <w:jc w:val="both"/>
        <w:rPr>
          <w:rFonts w:ascii="Courier New" w:hAnsi="Courier New" w:cs="Courier New"/>
        </w:rPr>
      </w:pPr>
      <w:r>
        <w:rPr>
          <w:rFonts w:ascii="Courier New" w:hAnsi="Courier New" w:cs="Courier New"/>
        </w:rPr>
        <w:t>The appellant</w:t>
      </w:r>
      <w:r w:rsidRPr="009F344E">
        <w:rPr>
          <w:rFonts w:ascii="Courier New" w:hAnsi="Courier New" w:cs="Courier New"/>
        </w:rPr>
        <w:t xml:space="preserve"> ha</w:t>
      </w:r>
      <w:r>
        <w:rPr>
          <w:rFonts w:ascii="Courier New" w:hAnsi="Courier New" w:cs="Courier New"/>
        </w:rPr>
        <w:t>s</w:t>
      </w:r>
      <w:r w:rsidRPr="009F344E">
        <w:rPr>
          <w:rFonts w:ascii="Courier New" w:hAnsi="Courier New" w:cs="Courier New"/>
        </w:rPr>
        <w:t xml:space="preserve"> the burden of proving that the property has a lower value than that assessed.</w:t>
      </w:r>
      <w:r>
        <w:rPr>
          <w:rFonts w:ascii="Courier New" w:hAnsi="Courier New" w:cs="Courier New"/>
        </w:rPr>
        <w:t xml:space="preserve"> </w:t>
      </w:r>
      <w:r w:rsidRPr="009F344E">
        <w:rPr>
          <w:rFonts w:ascii="Courier New" w:hAnsi="Courier New" w:cs="Courier New"/>
        </w:rPr>
        <w:t xml:space="preserve"> “‘The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w:t>
      </w:r>
      <w:r>
        <w:rPr>
          <w:rFonts w:ascii="Courier New" w:hAnsi="Courier New" w:cs="Courier New"/>
        </w:rPr>
        <w:t xml:space="preserve"> </w:t>
      </w:r>
      <w:r w:rsidRPr="009F344E">
        <w:rPr>
          <w:rFonts w:ascii="Courier New" w:hAnsi="Courier New" w:cs="Courier New"/>
        </w:rPr>
        <w:t xml:space="preserve"> </w:t>
      </w:r>
      <w:proofErr w:type="spellStart"/>
      <w:r w:rsidRPr="009F344E">
        <w:rPr>
          <w:rFonts w:ascii="Courier New" w:hAnsi="Courier New" w:cs="Courier New"/>
          <w:b/>
          <w:bCs/>
          <w:i/>
          <w:iCs/>
        </w:rPr>
        <w:t>Schlaiker</w:t>
      </w:r>
      <w:proofErr w:type="spellEnd"/>
      <w:r w:rsidRPr="009F344E">
        <w:rPr>
          <w:rFonts w:ascii="Courier New" w:hAnsi="Courier New" w:cs="Courier New"/>
          <w:b/>
          <w:bCs/>
          <w:i/>
          <w:iCs/>
        </w:rPr>
        <w:t xml:space="preserve"> v. Assessors of Great Barrington</w:t>
      </w:r>
      <w:r w:rsidRPr="009F344E">
        <w:rPr>
          <w:rFonts w:ascii="Courier New" w:hAnsi="Courier New" w:cs="Courier New"/>
        </w:rPr>
        <w:t xml:space="preserve">, 365 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sidRPr="009F344E">
        <w:rPr>
          <w:rFonts w:ascii="Courier New" w:hAnsi="Courier New" w:cs="Courier New"/>
        </w:rPr>
        <w:t xml:space="preserve"> “[T]he board is entitled to ‘presume that the valuation made by the assessors [is] valid unless the taxpayers . . . </w:t>
      </w:r>
      <w:proofErr w:type="spellStart"/>
      <w:r w:rsidRPr="009F344E">
        <w:rPr>
          <w:rFonts w:ascii="Courier New" w:hAnsi="Courier New" w:cs="Courier New"/>
        </w:rPr>
        <w:t>prov</w:t>
      </w:r>
      <w:proofErr w:type="spellEnd"/>
      <w:r w:rsidRPr="009F344E">
        <w:rPr>
          <w:rFonts w:ascii="Courier New" w:hAnsi="Courier New" w:cs="Courier New"/>
        </w:rPr>
        <w:t xml:space="preserve">[e] the contrary.’” </w:t>
      </w:r>
      <w:r w:rsidRPr="009F344E">
        <w:rPr>
          <w:rFonts w:ascii="Courier New" w:hAnsi="Courier New" w:cs="Courier New"/>
          <w:b/>
          <w:bCs/>
          <w:i/>
          <w:iCs/>
        </w:rPr>
        <w:t>General Electric Co. v. Assessors of Lynn</w:t>
      </w:r>
      <w:r w:rsidRPr="009F344E">
        <w:rPr>
          <w:rFonts w:ascii="Courier New" w:hAnsi="Courier New" w:cs="Courier New"/>
        </w:rPr>
        <w:t>, 393</w:t>
      </w:r>
      <w:r>
        <w:rPr>
          <w:rFonts w:ascii="Courier New" w:hAnsi="Courier New" w:cs="Courier New"/>
        </w:rPr>
        <w:t> </w:t>
      </w:r>
      <w:r w:rsidRPr="009F344E">
        <w:rPr>
          <w:rFonts w:ascii="Courier New" w:hAnsi="Courier New" w:cs="Courier New"/>
        </w:rPr>
        <w:t xml:space="preserve">Mass. 591, 598 (1984) (quoting </w:t>
      </w:r>
      <w:proofErr w:type="spellStart"/>
      <w:r w:rsidRPr="009F344E">
        <w:rPr>
          <w:rFonts w:ascii="Courier New" w:hAnsi="Courier New" w:cs="Courier New"/>
          <w:b/>
          <w:bCs/>
          <w:i/>
          <w:iCs/>
        </w:rPr>
        <w:t>Schlaiker</w:t>
      </w:r>
      <w:proofErr w:type="spellEnd"/>
      <w:r w:rsidRPr="009F344E">
        <w:rPr>
          <w:rFonts w:ascii="Courier New" w:hAnsi="Courier New" w:cs="Courier New"/>
        </w:rPr>
        <w:t xml:space="preserve">, 365 Mass. at 245).  </w:t>
      </w:r>
    </w:p>
    <w:p w:rsidR="0054205B" w:rsidRPr="00BD4221" w:rsidRDefault="0054205B" w:rsidP="0054205B">
      <w:pPr>
        <w:spacing w:line="480" w:lineRule="auto"/>
        <w:ind w:firstLine="720"/>
        <w:jc w:val="both"/>
        <w:rPr>
          <w:rFonts w:ascii="Courier New" w:hAnsi="Courier New" w:cs="Courier New"/>
        </w:rPr>
      </w:pPr>
      <w:r>
        <w:rPr>
          <w:rFonts w:ascii="Courier New" w:hAnsi="Courier New" w:cs="Courier New"/>
        </w:rPr>
        <w:t>In determining fair cash</w:t>
      </w:r>
      <w:r w:rsidRPr="005451E8">
        <w:rPr>
          <w:rFonts w:ascii="Courier New" w:hAnsi="Courier New" w:cs="Courier New"/>
        </w:rPr>
        <w:t xml:space="preserve"> value, all uses to which the property was or could reasonably be adapted on the relevant assessment dates should be considered.  </w:t>
      </w:r>
      <w:r w:rsidRPr="005451E8">
        <w:rPr>
          <w:rFonts w:ascii="Courier New" w:hAnsi="Courier New" w:cs="Courier New"/>
          <w:b/>
          <w:bCs/>
          <w:i/>
          <w:iCs/>
        </w:rPr>
        <w:t>Irving Saunders Trust v. Assessors of Boston</w:t>
      </w:r>
      <w:r w:rsidRPr="005451E8">
        <w:rPr>
          <w:rFonts w:ascii="Courier New" w:hAnsi="Courier New" w:cs="Courier New"/>
        </w:rPr>
        <w:t>, 26 Mass. App. Ct.</w:t>
      </w:r>
      <w:r>
        <w:rPr>
          <w:rFonts w:ascii="Courier New" w:hAnsi="Courier New" w:cs="Courier New"/>
        </w:rPr>
        <w:t xml:space="preserve"> 838, 843 (1989).  The </w:t>
      </w:r>
      <w:r>
        <w:rPr>
          <w:rFonts w:ascii="Courier New" w:hAnsi="Courier New" w:cs="Courier New"/>
        </w:rPr>
        <w:lastRenderedPageBreak/>
        <w:t>goal</w:t>
      </w:r>
      <w:r w:rsidRPr="005451E8">
        <w:rPr>
          <w:rFonts w:ascii="Courier New" w:hAnsi="Courier New" w:cs="Courier New"/>
        </w:rPr>
        <w:t xml:space="preserve"> is to ascertain the maximum value of the property for any legitimate and reasonable use.  </w:t>
      </w:r>
      <w:r w:rsidRPr="005451E8">
        <w:rPr>
          <w:rFonts w:ascii="Courier New" w:hAnsi="Courier New" w:cs="Courier New"/>
          <w:b/>
          <w:bCs/>
          <w:i/>
          <w:iCs/>
        </w:rPr>
        <w:t>Id.</w:t>
      </w:r>
      <w:r w:rsidRPr="005451E8">
        <w:rPr>
          <w:rFonts w:ascii="Courier New" w:hAnsi="Courier New" w:cs="Courier New"/>
        </w:rPr>
        <w:t xml:space="preserve">  If th</w:t>
      </w:r>
      <w:r>
        <w:rPr>
          <w:rFonts w:ascii="Courier New" w:hAnsi="Courier New" w:cs="Courier New"/>
        </w:rPr>
        <w:t>e property is particularly well-</w:t>
      </w:r>
      <w:r w:rsidRPr="005451E8">
        <w:rPr>
          <w:rFonts w:ascii="Courier New" w:hAnsi="Courier New" w:cs="Courier New"/>
        </w:rPr>
        <w:t xml:space="preserve">suited for a certain use that is not prohibited, then that use may be reflected in an estimate of its fair market value.  </w:t>
      </w:r>
      <w:proofErr w:type="gramStart"/>
      <w:r w:rsidRPr="005451E8">
        <w:rPr>
          <w:rFonts w:ascii="Courier New" w:hAnsi="Courier New" w:cs="Courier New"/>
          <w:b/>
          <w:bCs/>
          <w:i/>
          <w:iCs/>
        </w:rPr>
        <w:t>Colonial Acres, Inc. v. North Reading</w:t>
      </w:r>
      <w:r w:rsidRPr="005451E8">
        <w:rPr>
          <w:rFonts w:ascii="Courier New" w:hAnsi="Courier New" w:cs="Courier New"/>
        </w:rPr>
        <w:t>, 3</w:t>
      </w:r>
      <w:r>
        <w:rPr>
          <w:rFonts w:ascii="Courier New" w:hAnsi="Courier New" w:cs="Courier New"/>
        </w:rPr>
        <w:t> </w:t>
      </w:r>
      <w:r w:rsidRPr="005451E8">
        <w:rPr>
          <w:rFonts w:ascii="Courier New" w:hAnsi="Courier New" w:cs="Courier New"/>
        </w:rPr>
        <w:t>Mass. App. Ct. 384, 386 (1975).</w:t>
      </w:r>
      <w:proofErr w:type="gramEnd"/>
      <w:r w:rsidRPr="005451E8">
        <w:rPr>
          <w:rFonts w:ascii="Courier New" w:hAnsi="Courier New" w:cs="Courier New"/>
        </w:rPr>
        <w:t xml:space="preserve"> </w:t>
      </w:r>
      <w:r>
        <w:rPr>
          <w:rFonts w:ascii="Courier New" w:hAnsi="Courier New" w:cs="Courier New"/>
        </w:rPr>
        <w:t xml:space="preserve"> “In determining the property’s highest and best use, consideration should be given to the purpose for which the property is adapted.”  </w:t>
      </w:r>
      <w:r>
        <w:rPr>
          <w:rFonts w:ascii="Courier New" w:hAnsi="Courier New" w:cs="Courier New"/>
          <w:b/>
          <w:bCs/>
          <w:i/>
          <w:iCs/>
        </w:rPr>
        <w:t>Peterson v. Assessors of Boston</w:t>
      </w:r>
      <w:r>
        <w:rPr>
          <w:rFonts w:ascii="Courier New" w:hAnsi="Courier New" w:cs="Courier New"/>
        </w:rPr>
        <w:t xml:space="preserve">, Mass. ATB Findings of Fact and Reports 2002-573, 617 (citing </w:t>
      </w:r>
      <w:r w:rsidRPr="00924286">
        <w:rPr>
          <w:rFonts w:ascii="Courier New" w:hAnsi="Courier New" w:cs="Courier New"/>
          <w:smallCaps/>
        </w:rPr>
        <w:t>Appraisal Institute, The Appraisal of Real Estate</w:t>
      </w:r>
      <w:r>
        <w:rPr>
          <w:rFonts w:ascii="Courier New" w:hAnsi="Courier New" w:cs="Courier New"/>
        </w:rPr>
        <w:t xml:space="preserve"> 315-316 (12</w:t>
      </w:r>
      <w:r w:rsidRPr="00924286">
        <w:rPr>
          <w:rFonts w:ascii="Courier New" w:hAnsi="Courier New" w:cs="Courier New"/>
          <w:vertAlign w:val="superscript"/>
        </w:rPr>
        <w:t>th</w:t>
      </w:r>
      <w:r>
        <w:rPr>
          <w:rFonts w:ascii="Courier New" w:hAnsi="Courier New" w:cs="Courier New"/>
        </w:rPr>
        <w:t xml:space="preserve"> ed., 2001)), </w:t>
      </w:r>
      <w:r w:rsidRPr="00AE6E8E">
        <w:rPr>
          <w:rFonts w:ascii="Courier New" w:hAnsi="Courier New" w:cs="Courier New"/>
          <w:i/>
          <w:iCs/>
        </w:rPr>
        <w:t>aff’d</w:t>
      </w:r>
      <w:r>
        <w:rPr>
          <w:rFonts w:ascii="Courier New" w:hAnsi="Courier New" w:cs="Courier New"/>
        </w:rPr>
        <w:t xml:space="preserve">, 62 Mass. App. Ct. 428 (2004).  </w:t>
      </w:r>
      <w:r w:rsidR="00040236">
        <w:rPr>
          <w:rFonts w:ascii="Courier New" w:hAnsi="Courier New" w:cs="Courier New"/>
        </w:rPr>
        <w:t>T</w:t>
      </w:r>
      <w:r>
        <w:rPr>
          <w:rFonts w:ascii="Courier New" w:hAnsi="Courier New" w:cs="Courier New"/>
        </w:rPr>
        <w:t xml:space="preserve">he Board agreed </w:t>
      </w:r>
      <w:r w:rsidR="00EE5CFB">
        <w:rPr>
          <w:rFonts w:ascii="Courier New" w:hAnsi="Courier New" w:cs="Courier New"/>
        </w:rPr>
        <w:t xml:space="preserve">with the parties’ real estate valuation </w:t>
      </w:r>
      <w:proofErr w:type="gramStart"/>
      <w:r w:rsidR="00EE5CFB">
        <w:rPr>
          <w:rFonts w:ascii="Courier New" w:hAnsi="Courier New" w:cs="Courier New"/>
        </w:rPr>
        <w:t xml:space="preserve">experts </w:t>
      </w:r>
      <w:r>
        <w:rPr>
          <w:rFonts w:ascii="Courier New" w:hAnsi="Courier New" w:cs="Courier New"/>
        </w:rPr>
        <w:t>that the highest-and-</w:t>
      </w:r>
      <w:r w:rsidRPr="005451E8">
        <w:rPr>
          <w:rFonts w:ascii="Courier New" w:hAnsi="Courier New" w:cs="Courier New"/>
        </w:rPr>
        <w:t xml:space="preserve">best use of the subject property </w:t>
      </w:r>
      <w:r w:rsidR="00A60447">
        <w:rPr>
          <w:rFonts w:ascii="Courier New" w:hAnsi="Courier New" w:cs="Courier New"/>
        </w:rPr>
        <w:t>for</w:t>
      </w:r>
      <w:r w:rsidRPr="005451E8">
        <w:rPr>
          <w:rFonts w:ascii="Courier New" w:hAnsi="Courier New" w:cs="Courier New"/>
        </w:rPr>
        <w:t xml:space="preserve"> the fiscal</w:t>
      </w:r>
      <w:r>
        <w:rPr>
          <w:rFonts w:ascii="Courier New" w:hAnsi="Courier New" w:cs="Courier New"/>
        </w:rPr>
        <w:t xml:space="preserve"> year</w:t>
      </w:r>
      <w:r w:rsidR="00A60447">
        <w:rPr>
          <w:rFonts w:ascii="Courier New" w:hAnsi="Courier New" w:cs="Courier New"/>
        </w:rPr>
        <w:t>s at issue</w:t>
      </w:r>
      <w:r w:rsidR="00EE5CFB">
        <w:rPr>
          <w:rFonts w:ascii="Courier New" w:hAnsi="Courier New" w:cs="Courier New"/>
        </w:rPr>
        <w:t xml:space="preserve"> wa</w:t>
      </w:r>
      <w:r w:rsidRPr="005451E8">
        <w:rPr>
          <w:rFonts w:ascii="Courier New" w:hAnsi="Courier New" w:cs="Courier New"/>
        </w:rPr>
        <w:t>s</w:t>
      </w:r>
      <w:proofErr w:type="gramEnd"/>
      <w:r>
        <w:rPr>
          <w:rFonts w:ascii="Courier New" w:hAnsi="Courier New" w:cs="Courier New"/>
        </w:rPr>
        <w:t xml:space="preserve"> </w:t>
      </w:r>
      <w:r w:rsidRPr="005451E8">
        <w:rPr>
          <w:rFonts w:ascii="Courier New" w:hAnsi="Courier New" w:cs="Courier New"/>
        </w:rPr>
        <w:t>its exi</w:t>
      </w:r>
      <w:r>
        <w:rPr>
          <w:rFonts w:ascii="Courier New" w:hAnsi="Courier New" w:cs="Courier New"/>
        </w:rPr>
        <w:t>sting use as an industrial warehouse</w:t>
      </w:r>
      <w:r w:rsidRPr="000B65EE">
        <w:rPr>
          <w:rFonts w:ascii="Courier New" w:hAnsi="Courier New" w:cs="Courier New"/>
        </w:rPr>
        <w:t xml:space="preserve"> property</w:t>
      </w:r>
      <w:r>
        <w:rPr>
          <w:rFonts w:ascii="Courier New" w:hAnsi="Courier New" w:cs="Courier New"/>
        </w:rPr>
        <w:t xml:space="preserve"> containing some related or ancillary office space</w:t>
      </w:r>
      <w:r w:rsidRPr="000B65EE">
        <w:rPr>
          <w:rFonts w:ascii="Courier New" w:hAnsi="Courier New" w:cs="Courier New"/>
        </w:rPr>
        <w:t>.</w:t>
      </w:r>
      <w:r>
        <w:rPr>
          <w:rFonts w:ascii="Courier New" w:hAnsi="Courier New" w:cs="Courier New"/>
        </w:rPr>
        <w:t xml:space="preserve"> </w:t>
      </w:r>
      <w:r w:rsidRPr="00BD4221">
        <w:rPr>
          <w:rFonts w:ascii="Courier New" w:hAnsi="Courier New" w:cs="Courier New"/>
        </w:rPr>
        <w:t xml:space="preserve">           </w:t>
      </w:r>
    </w:p>
    <w:p w:rsidR="0054205B" w:rsidRDefault="0054205B" w:rsidP="0054205B">
      <w:pPr>
        <w:spacing w:line="480" w:lineRule="auto"/>
        <w:ind w:firstLine="720"/>
        <w:jc w:val="both"/>
        <w:rPr>
          <w:rFonts w:ascii="Courier New" w:hAnsi="Courier New" w:cs="Courier New"/>
        </w:rPr>
      </w:pPr>
      <w:r w:rsidRPr="00BD4221">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reproduction.  </w:t>
      </w:r>
      <w:proofErr w:type="spellStart"/>
      <w:proofErr w:type="gramStart"/>
      <w:r w:rsidRPr="00BD4221">
        <w:rPr>
          <w:rFonts w:ascii="Courier New" w:hAnsi="Courier New" w:cs="Courier New"/>
          <w:b/>
          <w:bCs/>
          <w:i/>
          <w:iCs/>
        </w:rPr>
        <w:t>Correia</w:t>
      </w:r>
      <w:proofErr w:type="spellEnd"/>
      <w:r w:rsidRPr="00BD4221">
        <w:rPr>
          <w:rFonts w:ascii="Courier New" w:hAnsi="Courier New" w:cs="Courier New"/>
          <w:b/>
          <w:bCs/>
          <w:i/>
          <w:iCs/>
        </w:rPr>
        <w:t xml:space="preserve"> v.</w:t>
      </w:r>
      <w:proofErr w:type="gramEnd"/>
      <w:r w:rsidRPr="00BD4221">
        <w:rPr>
          <w:rFonts w:ascii="Courier New" w:hAnsi="Courier New" w:cs="Courier New"/>
          <w:b/>
          <w:bCs/>
          <w:i/>
          <w:iCs/>
        </w:rPr>
        <w:t xml:space="preserve"> </w:t>
      </w:r>
      <w:proofErr w:type="gramStart"/>
      <w:r w:rsidRPr="00BD4221">
        <w:rPr>
          <w:rFonts w:ascii="Courier New" w:hAnsi="Courier New" w:cs="Courier New"/>
          <w:b/>
          <w:bCs/>
          <w:i/>
          <w:iCs/>
        </w:rPr>
        <w:t>New Bedford Redevelopment Authority,</w:t>
      </w:r>
      <w:r w:rsidRPr="00BD4221">
        <w:rPr>
          <w:rFonts w:ascii="Courier New" w:hAnsi="Courier New" w:cs="Courier New"/>
        </w:rPr>
        <w:t xml:space="preserve"> 375 Mass. 360, 362 (1978).</w:t>
      </w:r>
      <w:proofErr w:type="gramEnd"/>
      <w:r w:rsidRPr="00BD4221">
        <w:rPr>
          <w:rFonts w:ascii="Courier New" w:hAnsi="Courier New" w:cs="Courier New"/>
        </w:rPr>
        <w:t xml:space="preserve"> </w:t>
      </w:r>
      <w:r>
        <w:rPr>
          <w:rFonts w:ascii="Courier New" w:hAnsi="Courier New" w:cs="Courier New"/>
        </w:rPr>
        <w:t xml:space="preserve"> </w:t>
      </w:r>
      <w:r w:rsidRPr="005451E8">
        <w:rPr>
          <w:rFonts w:ascii="Courier New" w:hAnsi="Courier New" w:cs="Courier New"/>
        </w:rPr>
        <w:t>The use of the income-capitalization approach is a</w:t>
      </w:r>
      <w:r>
        <w:rPr>
          <w:rFonts w:ascii="Courier New" w:hAnsi="Courier New" w:cs="Courier New"/>
        </w:rPr>
        <w:t xml:space="preserve">ppropriate when reliable market-sales </w:t>
      </w:r>
      <w:r w:rsidRPr="005451E8">
        <w:rPr>
          <w:rFonts w:ascii="Courier New" w:hAnsi="Courier New" w:cs="Courier New"/>
        </w:rPr>
        <w:t xml:space="preserve">data are not available.  </w:t>
      </w:r>
      <w:proofErr w:type="gramStart"/>
      <w:r w:rsidRPr="005451E8">
        <w:rPr>
          <w:rFonts w:ascii="Courier New" w:hAnsi="Courier New" w:cs="Courier New"/>
          <w:b/>
          <w:bCs/>
          <w:i/>
          <w:iCs/>
        </w:rPr>
        <w:t>Assessors of Weymouth v. Tammy Brook Co.,</w:t>
      </w:r>
      <w:r w:rsidRPr="005451E8">
        <w:rPr>
          <w:rFonts w:ascii="Courier New" w:hAnsi="Courier New" w:cs="Courier New"/>
        </w:rPr>
        <w:t xml:space="preserve"> 368 Mass. 810, 811 (1975); </w:t>
      </w:r>
      <w:r w:rsidRPr="005451E8">
        <w:rPr>
          <w:rFonts w:ascii="Courier New" w:hAnsi="Courier New" w:cs="Courier New"/>
          <w:b/>
          <w:bCs/>
          <w:i/>
          <w:iCs/>
        </w:rPr>
        <w:t xml:space="preserve">Assessors of </w:t>
      </w:r>
      <w:r w:rsidRPr="005451E8">
        <w:rPr>
          <w:rFonts w:ascii="Courier New" w:hAnsi="Courier New" w:cs="Courier New"/>
          <w:b/>
          <w:bCs/>
          <w:i/>
          <w:iCs/>
        </w:rPr>
        <w:lastRenderedPageBreak/>
        <w:t>Lynnfield v.</w:t>
      </w:r>
      <w:proofErr w:type="gramEnd"/>
      <w:r w:rsidRPr="005451E8">
        <w:rPr>
          <w:rFonts w:ascii="Courier New" w:hAnsi="Courier New" w:cs="Courier New"/>
          <w:b/>
          <w:bCs/>
          <w:i/>
          <w:iCs/>
        </w:rPr>
        <w:t xml:space="preserve"> New England Oyster House,</w:t>
      </w:r>
      <w:r>
        <w:rPr>
          <w:rFonts w:ascii="Courier New" w:hAnsi="Courier New" w:cs="Courier New"/>
        </w:rPr>
        <w:t xml:space="preserve"> 362 Mass. 696, 701-</w:t>
      </w:r>
      <w:r w:rsidRPr="005451E8">
        <w:rPr>
          <w:rFonts w:ascii="Courier New" w:hAnsi="Courier New" w:cs="Courier New"/>
        </w:rPr>
        <w:t xml:space="preserve">02 (1972); </w:t>
      </w:r>
      <w:r w:rsidRPr="005451E8">
        <w:rPr>
          <w:rFonts w:ascii="Courier New" w:hAnsi="Courier New" w:cs="Courier New"/>
          <w:b/>
          <w:bCs/>
          <w:i/>
          <w:iCs/>
        </w:rPr>
        <w:t>Assessors of Quincy v. Boston Consolidated Gas Co.,</w:t>
      </w:r>
      <w:r w:rsidRPr="005451E8">
        <w:rPr>
          <w:rFonts w:ascii="Courier New" w:hAnsi="Courier New" w:cs="Courier New"/>
        </w:rPr>
        <w:t xml:space="preserve"> 309</w:t>
      </w:r>
      <w:r>
        <w:rPr>
          <w:rFonts w:ascii="Courier New" w:hAnsi="Courier New" w:cs="Courier New"/>
        </w:rPr>
        <w:t> </w:t>
      </w:r>
      <w:r w:rsidRPr="005451E8">
        <w:rPr>
          <w:rFonts w:ascii="Courier New" w:hAnsi="Courier New" w:cs="Courier New"/>
        </w:rPr>
        <w:t xml:space="preserve">Mass. 60, 67 (1941).  It is also </w:t>
      </w:r>
      <w:r>
        <w:rPr>
          <w:rFonts w:ascii="Courier New" w:hAnsi="Courier New" w:cs="Courier New"/>
        </w:rPr>
        <w:t xml:space="preserve">recognized as </w:t>
      </w:r>
      <w:r w:rsidRPr="005451E8">
        <w:rPr>
          <w:rFonts w:ascii="Courier New" w:hAnsi="Courier New" w:cs="Courier New"/>
        </w:rPr>
        <w:t xml:space="preserve">an appropriate technique to use for valuing income-producing property.  </w:t>
      </w:r>
      <w:r w:rsidRPr="006C7758">
        <w:rPr>
          <w:rFonts w:ascii="Courier New" w:hAnsi="Courier New" w:cs="Courier New"/>
          <w:b/>
          <w:bCs/>
          <w:i/>
          <w:iCs/>
        </w:rPr>
        <w:t xml:space="preserve">Taunton Redevelopment Associates v. Assessors of Taunton, </w:t>
      </w:r>
      <w:r w:rsidRPr="006C7758">
        <w:rPr>
          <w:rFonts w:ascii="Courier New" w:hAnsi="Courier New" w:cs="Courier New"/>
        </w:rPr>
        <w:t>393 Mass. 293, 295 (1984)</w:t>
      </w:r>
      <w:r w:rsidRPr="005451E8">
        <w:rPr>
          <w:rFonts w:ascii="Courier New" w:hAnsi="Courier New" w:cs="Courier New"/>
        </w:rPr>
        <w:t xml:space="preserve">.  </w:t>
      </w:r>
      <w:r w:rsidR="003932F6">
        <w:rPr>
          <w:rFonts w:ascii="Courier New" w:hAnsi="Courier New" w:cs="Courier New"/>
        </w:rPr>
        <w:t>T</w:t>
      </w:r>
      <w:r w:rsidRPr="005451E8">
        <w:rPr>
          <w:rFonts w:ascii="Courier New" w:hAnsi="Courier New" w:cs="Courier New"/>
        </w:rPr>
        <w:t xml:space="preserve">he Board </w:t>
      </w:r>
      <w:r>
        <w:rPr>
          <w:rFonts w:ascii="Courier New" w:hAnsi="Courier New" w:cs="Courier New"/>
        </w:rPr>
        <w:t>agreed with both parties</w:t>
      </w:r>
      <w:r w:rsidR="00366BBE">
        <w:rPr>
          <w:rFonts w:ascii="Courier New" w:hAnsi="Courier New" w:cs="Courier New"/>
        </w:rPr>
        <w:t>’</w:t>
      </w:r>
      <w:r>
        <w:rPr>
          <w:rFonts w:ascii="Courier New" w:hAnsi="Courier New" w:cs="Courier New"/>
        </w:rPr>
        <w:t xml:space="preserve"> </w:t>
      </w:r>
      <w:r w:rsidR="00EE5CFB">
        <w:rPr>
          <w:rFonts w:ascii="Courier New" w:hAnsi="Courier New" w:cs="Courier New"/>
        </w:rPr>
        <w:t>real estate valuation experts that the</w:t>
      </w:r>
      <w:r w:rsidRPr="005451E8">
        <w:rPr>
          <w:rFonts w:ascii="Courier New" w:hAnsi="Courier New" w:cs="Courier New"/>
        </w:rPr>
        <w:t xml:space="preserve"> income-capitalization approach</w:t>
      </w:r>
      <w:r>
        <w:rPr>
          <w:rFonts w:ascii="Courier New" w:hAnsi="Courier New" w:cs="Courier New"/>
        </w:rPr>
        <w:t xml:space="preserve"> was the most appropriate method to value the subject prope</w:t>
      </w:r>
      <w:r w:rsidR="003932F6">
        <w:rPr>
          <w:rFonts w:ascii="Courier New" w:hAnsi="Courier New" w:cs="Courier New"/>
        </w:rPr>
        <w:t xml:space="preserve">rty for </w:t>
      </w:r>
      <w:r w:rsidR="00AA7548">
        <w:rPr>
          <w:rFonts w:ascii="Courier New" w:hAnsi="Courier New" w:cs="Courier New"/>
        </w:rPr>
        <w:t xml:space="preserve">the </w:t>
      </w:r>
      <w:r w:rsidR="003932F6">
        <w:rPr>
          <w:rFonts w:ascii="Courier New" w:hAnsi="Courier New" w:cs="Courier New"/>
        </w:rPr>
        <w:t>fiscal years at issue</w:t>
      </w:r>
      <w:r w:rsidRPr="005451E8">
        <w:rPr>
          <w:rFonts w:ascii="Courier New" w:hAnsi="Courier New" w:cs="Courier New"/>
        </w:rPr>
        <w:t>.</w:t>
      </w:r>
      <w:r w:rsidRPr="00BD4221">
        <w:rPr>
          <w:rFonts w:ascii="Courier New" w:hAnsi="Courier New" w:cs="Courier New"/>
        </w:rPr>
        <w:t xml:space="preserve"> </w:t>
      </w:r>
    </w:p>
    <w:p w:rsidR="0054205B" w:rsidRDefault="0054205B" w:rsidP="0054205B">
      <w:pPr>
        <w:spacing w:line="480" w:lineRule="auto"/>
        <w:ind w:firstLine="720"/>
        <w:jc w:val="both"/>
        <w:rPr>
          <w:rFonts w:ascii="Courier New" w:hAnsi="Courier New" w:cs="Courier New"/>
        </w:rPr>
      </w:pPr>
      <w:r>
        <w:rPr>
          <w:rFonts w:ascii="Courier New" w:hAnsi="Courier New" w:cs="Courier New"/>
        </w:rPr>
        <w:t xml:space="preserve">“The direct capitalization of income method analyzes the property’s capacity to generate income over a one-year period and converts the capacity into an indication of fair cash value by capitalizing the income at a rate determined to be appropriate for the investment risk involved.”  </w:t>
      </w:r>
      <w:proofErr w:type="gramStart"/>
      <w:r w:rsidRPr="005E0B08">
        <w:rPr>
          <w:rFonts w:ascii="Courier New" w:hAnsi="Courier New" w:cs="Courier New"/>
          <w:b/>
          <w:i/>
        </w:rPr>
        <w:t>Oly</w:t>
      </w:r>
      <w:r>
        <w:rPr>
          <w:rFonts w:ascii="Courier New" w:hAnsi="Courier New" w:cs="Courier New"/>
          <w:b/>
          <w:i/>
        </w:rPr>
        <w:t>mpia &amp; York State</w:t>
      </w:r>
      <w:r w:rsidRPr="005E0B08">
        <w:rPr>
          <w:rFonts w:ascii="Courier New" w:hAnsi="Courier New" w:cs="Courier New"/>
          <w:b/>
          <w:i/>
        </w:rPr>
        <w:t xml:space="preserve"> Street Co.</w:t>
      </w:r>
      <w:r>
        <w:rPr>
          <w:rFonts w:ascii="Courier New" w:hAnsi="Courier New" w:cs="Courier New"/>
          <w:b/>
          <w:i/>
        </w:rPr>
        <w:t xml:space="preserve"> v. Assessors of Boston</w:t>
      </w:r>
      <w:r>
        <w:rPr>
          <w:rFonts w:ascii="Courier New" w:hAnsi="Courier New" w:cs="Courier New"/>
        </w:rPr>
        <w:t>, 428 Mass. 236, 239 (1998).</w:t>
      </w:r>
      <w:proofErr w:type="gramEnd"/>
      <w:r>
        <w:rPr>
          <w:rFonts w:ascii="Courier New" w:hAnsi="Courier New" w:cs="Courier New"/>
        </w:rPr>
        <w:t xml:space="preserve">  “It is the net income that a property </w:t>
      </w:r>
      <w:r w:rsidRPr="0055776A">
        <w:rPr>
          <w:rFonts w:ascii="Courier New" w:hAnsi="Courier New" w:cs="Courier New"/>
          <w:i/>
        </w:rPr>
        <w:t>should</w:t>
      </w:r>
      <w:r>
        <w:rPr>
          <w:rFonts w:ascii="Courier New" w:hAnsi="Courier New" w:cs="Courier New"/>
        </w:rPr>
        <w:t xml:space="preserve"> be earning, not necessarily what it actually earns, </w:t>
      </w:r>
      <w:proofErr w:type="gramStart"/>
      <w:r>
        <w:rPr>
          <w:rFonts w:ascii="Courier New" w:hAnsi="Courier New" w:cs="Courier New"/>
        </w:rPr>
        <w:t>that</w:t>
      </w:r>
      <w:proofErr w:type="gramEnd"/>
      <w:r>
        <w:rPr>
          <w:rFonts w:ascii="Courier New" w:hAnsi="Courier New" w:cs="Courier New"/>
        </w:rPr>
        <w:t xml:space="preserve"> is the figure that should be capitalized.”  </w:t>
      </w:r>
      <w:proofErr w:type="gramStart"/>
      <w:r w:rsidRPr="0055776A">
        <w:rPr>
          <w:rFonts w:ascii="Courier New" w:hAnsi="Courier New" w:cs="Courier New"/>
          <w:b/>
          <w:i/>
        </w:rPr>
        <w:t>Peterson</w:t>
      </w:r>
      <w:r>
        <w:rPr>
          <w:rFonts w:ascii="Courier New" w:hAnsi="Courier New" w:cs="Courier New"/>
          <w:b/>
          <w:i/>
        </w:rPr>
        <w:t xml:space="preserve"> v. Assessors of Boston</w:t>
      </w:r>
      <w:r>
        <w:rPr>
          <w:rFonts w:ascii="Courier New" w:hAnsi="Courier New" w:cs="Courier New"/>
        </w:rPr>
        <w:t xml:space="preserve">, </w:t>
      </w:r>
      <w:r w:rsidR="00AA7548">
        <w:rPr>
          <w:rFonts w:ascii="Courier New" w:hAnsi="Courier New" w:cs="Courier New"/>
        </w:rPr>
        <w:t>62 Mass. App. Ct. 428, 436 (2004</w:t>
      </w:r>
      <w:r>
        <w:rPr>
          <w:rFonts w:ascii="Courier New" w:hAnsi="Courier New" w:cs="Courier New"/>
        </w:rPr>
        <w:t>) (emphasis in original).</w:t>
      </w:r>
      <w:proofErr w:type="gramEnd"/>
      <w:r>
        <w:rPr>
          <w:rFonts w:ascii="Courier New" w:hAnsi="Courier New" w:cs="Courier New"/>
        </w:rPr>
        <w:t xml:space="preserve">  Accordingly, t</w:t>
      </w:r>
      <w:r w:rsidRPr="005451E8">
        <w:rPr>
          <w:rFonts w:ascii="Courier New" w:hAnsi="Courier New" w:cs="Courier New"/>
        </w:rPr>
        <w:t xml:space="preserve">he income stream used in the income-capitalization method must reflect the property’s earning capacity or economic rental value.  </w:t>
      </w:r>
      <w:proofErr w:type="gramStart"/>
      <w:r w:rsidRPr="005451E8">
        <w:rPr>
          <w:rFonts w:ascii="Courier New" w:hAnsi="Courier New" w:cs="Courier New"/>
          <w:b/>
          <w:bCs/>
          <w:i/>
          <w:iCs/>
        </w:rPr>
        <w:t>Pepsi-Cola Bot</w:t>
      </w:r>
      <w:r>
        <w:rPr>
          <w:rFonts w:ascii="Courier New" w:hAnsi="Courier New" w:cs="Courier New"/>
          <w:b/>
          <w:bCs/>
          <w:i/>
          <w:iCs/>
        </w:rPr>
        <w:t>tling Co. v. Assessors of Boston</w:t>
      </w:r>
      <w:r w:rsidRPr="005451E8">
        <w:rPr>
          <w:rFonts w:ascii="Courier New" w:hAnsi="Courier New" w:cs="Courier New"/>
          <w:b/>
          <w:bCs/>
          <w:i/>
          <w:iCs/>
        </w:rPr>
        <w:t xml:space="preserve">, </w:t>
      </w:r>
      <w:r w:rsidRPr="005451E8">
        <w:rPr>
          <w:rFonts w:ascii="Courier New" w:hAnsi="Courier New" w:cs="Courier New"/>
        </w:rPr>
        <w:t>397</w:t>
      </w:r>
      <w:r>
        <w:rPr>
          <w:rFonts w:ascii="Courier New" w:hAnsi="Courier New" w:cs="Courier New"/>
        </w:rPr>
        <w:t> </w:t>
      </w:r>
      <w:r w:rsidRPr="005451E8">
        <w:rPr>
          <w:rFonts w:ascii="Courier New" w:hAnsi="Courier New" w:cs="Courier New"/>
        </w:rPr>
        <w:t xml:space="preserve">Mass. </w:t>
      </w:r>
      <w:r>
        <w:rPr>
          <w:rFonts w:ascii="Courier New" w:hAnsi="Courier New" w:cs="Courier New"/>
        </w:rPr>
        <w:t xml:space="preserve">447, </w:t>
      </w:r>
      <w:r w:rsidRPr="005451E8">
        <w:rPr>
          <w:rFonts w:ascii="Courier New" w:hAnsi="Courier New" w:cs="Courier New"/>
        </w:rPr>
        <w:t>451</w:t>
      </w:r>
      <w:r>
        <w:rPr>
          <w:rFonts w:ascii="Courier New" w:hAnsi="Courier New" w:cs="Courier New"/>
        </w:rPr>
        <w:t xml:space="preserve"> (1986)</w:t>
      </w:r>
      <w:r w:rsidRPr="005451E8">
        <w:rPr>
          <w:rFonts w:ascii="Courier New" w:hAnsi="Courier New" w:cs="Courier New"/>
        </w:rPr>
        <w:t>.</w:t>
      </w:r>
      <w:proofErr w:type="gramEnd"/>
      <w:r w:rsidRPr="005451E8">
        <w:rPr>
          <w:rFonts w:ascii="Courier New" w:hAnsi="Courier New" w:cs="Courier New"/>
        </w:rPr>
        <w:t xml:space="preserve">  Imputing rental income to the subject property based on fair market rentals from </w:t>
      </w:r>
      <w:r w:rsidRPr="005451E8">
        <w:rPr>
          <w:rFonts w:ascii="Courier New" w:hAnsi="Courier New" w:cs="Courier New"/>
        </w:rPr>
        <w:lastRenderedPageBreak/>
        <w:t xml:space="preserve">comparable properties is evidence of value if, once adjusted, they are indicative of the subject property’s earning capacity.  </w:t>
      </w:r>
      <w:proofErr w:type="gramStart"/>
      <w:r w:rsidRPr="005451E8">
        <w:rPr>
          <w:rFonts w:ascii="Courier New" w:hAnsi="Courier New" w:cs="Courier New"/>
          <w:i/>
          <w:iCs/>
        </w:rPr>
        <w:t xml:space="preserve">See </w:t>
      </w:r>
      <w:proofErr w:type="spellStart"/>
      <w:r w:rsidRPr="005451E8">
        <w:rPr>
          <w:rFonts w:ascii="Courier New" w:hAnsi="Courier New" w:cs="Courier New"/>
          <w:b/>
          <w:bCs/>
          <w:i/>
          <w:iCs/>
        </w:rPr>
        <w:t>Correia</w:t>
      </w:r>
      <w:proofErr w:type="spellEnd"/>
      <w:r w:rsidRPr="005451E8">
        <w:rPr>
          <w:rFonts w:ascii="Courier New" w:hAnsi="Courier New" w:cs="Courier New"/>
          <w:b/>
          <w:bCs/>
          <w:i/>
          <w:iCs/>
        </w:rPr>
        <w:t xml:space="preserve"> v.</w:t>
      </w:r>
      <w:proofErr w:type="gramEnd"/>
      <w:r w:rsidRPr="005451E8">
        <w:rPr>
          <w:rFonts w:ascii="Courier New" w:hAnsi="Courier New" w:cs="Courier New"/>
          <w:b/>
          <w:bCs/>
          <w:i/>
          <w:iCs/>
        </w:rPr>
        <w:t xml:space="preserve"> New Bedford Redevelopment Auth.</w:t>
      </w:r>
      <w:r w:rsidRPr="005451E8">
        <w:rPr>
          <w:rFonts w:ascii="Courier New" w:hAnsi="Courier New" w:cs="Courier New"/>
        </w:rPr>
        <w:t xml:space="preserve">, 5 Mass. App. Ct. 289, 293-94 (1977), </w:t>
      </w:r>
      <w:proofErr w:type="spellStart"/>
      <w:r w:rsidRPr="005451E8">
        <w:rPr>
          <w:rFonts w:ascii="Courier New" w:hAnsi="Courier New" w:cs="Courier New"/>
          <w:i/>
          <w:iCs/>
        </w:rPr>
        <w:t>rev’d</w:t>
      </w:r>
      <w:proofErr w:type="spellEnd"/>
      <w:r w:rsidRPr="005451E8">
        <w:rPr>
          <w:rFonts w:ascii="Courier New" w:hAnsi="Courier New" w:cs="Courier New"/>
          <w:i/>
          <w:iCs/>
        </w:rPr>
        <w:t xml:space="preserve"> on other grounds,</w:t>
      </w:r>
      <w:r w:rsidRPr="005451E8">
        <w:rPr>
          <w:rFonts w:ascii="Courier New" w:hAnsi="Courier New" w:cs="Courier New"/>
        </w:rPr>
        <w:t xml:space="preserve"> 375 Mass. 360 (1978); </w:t>
      </w:r>
      <w:r w:rsidRPr="005451E8">
        <w:rPr>
          <w:rFonts w:ascii="Courier New" w:hAnsi="Courier New" w:cs="Courier New"/>
          <w:b/>
          <w:bCs/>
          <w:i/>
          <w:iCs/>
        </w:rPr>
        <w:t>Library Services, Inc. v. Malden Redevelopment Auth.</w:t>
      </w:r>
      <w:r w:rsidRPr="005451E8">
        <w:rPr>
          <w:rFonts w:ascii="Courier New" w:hAnsi="Courier New" w:cs="Courier New"/>
        </w:rPr>
        <w:t>, 9</w:t>
      </w:r>
      <w:r w:rsidR="00744702">
        <w:rPr>
          <w:rFonts w:ascii="Courier New" w:hAnsi="Courier New" w:cs="Courier New"/>
        </w:rPr>
        <w:t> </w:t>
      </w:r>
      <w:r w:rsidRPr="005451E8">
        <w:rPr>
          <w:rFonts w:ascii="Courier New" w:hAnsi="Courier New" w:cs="Courier New"/>
        </w:rPr>
        <w:t>Mass. App. Ct. 877, 878 (1980</w:t>
      </w:r>
      <w:proofErr w:type="gramStart"/>
      <w:r w:rsidRPr="005451E8">
        <w:rPr>
          <w:rFonts w:ascii="Courier New" w:hAnsi="Courier New" w:cs="Courier New"/>
        </w:rPr>
        <w:t>)(</w:t>
      </w:r>
      <w:proofErr w:type="gramEnd"/>
      <w:r w:rsidRPr="005451E8">
        <w:rPr>
          <w:rFonts w:ascii="Courier New" w:hAnsi="Courier New" w:cs="Courier New"/>
        </w:rPr>
        <w:t xml:space="preserve">rescript). </w:t>
      </w:r>
    </w:p>
    <w:p w:rsidR="0054205B" w:rsidRDefault="00EE5CFB" w:rsidP="0054205B">
      <w:pPr>
        <w:spacing w:line="480" w:lineRule="auto"/>
        <w:ind w:firstLine="720"/>
        <w:jc w:val="both"/>
        <w:rPr>
          <w:rFonts w:ascii="Courier New" w:hAnsi="Courier New" w:cs="Courier New"/>
        </w:rPr>
      </w:pPr>
      <w:r>
        <w:rPr>
          <w:rFonts w:ascii="Courier New" w:hAnsi="Courier New" w:cs="Courier New"/>
        </w:rPr>
        <w:t>For the fiscal year</w:t>
      </w:r>
      <w:r w:rsidR="003932F6">
        <w:rPr>
          <w:rFonts w:ascii="Courier New" w:hAnsi="Courier New" w:cs="Courier New"/>
        </w:rPr>
        <w:t>s at issue</w:t>
      </w:r>
      <w:r w:rsidR="0054205B">
        <w:rPr>
          <w:rFonts w:ascii="Courier New" w:hAnsi="Courier New" w:cs="Courier New"/>
        </w:rPr>
        <w:t xml:space="preserve">, the Board </w:t>
      </w:r>
      <w:r w:rsidR="005545AC">
        <w:rPr>
          <w:rFonts w:ascii="Courier New" w:hAnsi="Courier New" w:cs="Courier New"/>
        </w:rPr>
        <w:t>found that Mr.</w:t>
      </w:r>
      <w:r w:rsidR="00744702">
        <w:rPr>
          <w:rFonts w:ascii="Courier New" w:hAnsi="Courier New" w:cs="Courier New"/>
        </w:rPr>
        <w:t> </w:t>
      </w:r>
      <w:r w:rsidR="005545AC">
        <w:rPr>
          <w:rFonts w:ascii="Courier New" w:hAnsi="Courier New" w:cs="Courier New"/>
        </w:rPr>
        <w:t>Wolff’s suggested rental rate of $</w:t>
      </w:r>
      <w:r w:rsidR="003932F6">
        <w:rPr>
          <w:rFonts w:ascii="Courier New" w:hAnsi="Courier New" w:cs="Courier New"/>
        </w:rPr>
        <w:t>4.00</w:t>
      </w:r>
      <w:r w:rsidR="005545AC">
        <w:rPr>
          <w:rFonts w:ascii="Courier New" w:hAnsi="Courier New" w:cs="Courier New"/>
        </w:rPr>
        <w:t xml:space="preserve"> per square foot was </w:t>
      </w:r>
      <w:r w:rsidR="00A60447">
        <w:rPr>
          <w:rFonts w:ascii="Courier New" w:hAnsi="Courier New" w:cs="Courier New"/>
        </w:rPr>
        <w:t>not well su</w:t>
      </w:r>
      <w:r w:rsidR="00040236">
        <w:rPr>
          <w:rFonts w:ascii="Courier New" w:hAnsi="Courier New" w:cs="Courier New"/>
        </w:rPr>
        <w:t>bstantiated</w:t>
      </w:r>
      <w:r w:rsidR="00A60447">
        <w:rPr>
          <w:rFonts w:ascii="Courier New" w:hAnsi="Courier New" w:cs="Courier New"/>
        </w:rPr>
        <w:t xml:space="preserve"> an</w:t>
      </w:r>
      <w:r w:rsidR="005545AC">
        <w:rPr>
          <w:rFonts w:ascii="Courier New" w:hAnsi="Courier New" w:cs="Courier New"/>
        </w:rPr>
        <w:t xml:space="preserve">d </w:t>
      </w:r>
      <w:r w:rsidR="003932F6">
        <w:rPr>
          <w:rFonts w:ascii="Courier New" w:hAnsi="Courier New" w:cs="Courier New"/>
        </w:rPr>
        <w:t>instead found that Mr. Johnston’s suggested rental rate of $5.00 per square foot on a triple-net basis was more appropriate</w:t>
      </w:r>
      <w:r w:rsidR="00040236">
        <w:rPr>
          <w:rFonts w:ascii="Courier New" w:hAnsi="Courier New" w:cs="Courier New"/>
        </w:rPr>
        <w:t xml:space="preserve"> and supported by the record</w:t>
      </w:r>
      <w:r w:rsidR="003932F6">
        <w:rPr>
          <w:rFonts w:ascii="Courier New" w:hAnsi="Courier New" w:cs="Courier New"/>
        </w:rPr>
        <w:t xml:space="preserve">.  </w:t>
      </w:r>
      <w:r w:rsidR="0054205B">
        <w:rPr>
          <w:rFonts w:ascii="Courier New" w:hAnsi="Courier New" w:cs="Courier New"/>
        </w:rPr>
        <w:t xml:space="preserve">Next, the Board </w:t>
      </w:r>
      <w:r w:rsidR="003D6659">
        <w:rPr>
          <w:rFonts w:ascii="Courier New" w:hAnsi="Courier New" w:cs="Courier New"/>
        </w:rPr>
        <w:t xml:space="preserve">found that the parties’ suggested </w:t>
      </w:r>
      <w:r w:rsidR="0054205B">
        <w:rPr>
          <w:rFonts w:ascii="Courier New" w:hAnsi="Courier New" w:cs="Courier New"/>
        </w:rPr>
        <w:t xml:space="preserve">vacancy allowance </w:t>
      </w:r>
      <w:r w:rsidR="003D6659">
        <w:rPr>
          <w:rFonts w:ascii="Courier New" w:hAnsi="Courier New" w:cs="Courier New"/>
        </w:rPr>
        <w:t>of 1</w:t>
      </w:r>
      <w:r w:rsidR="0054205B">
        <w:rPr>
          <w:rFonts w:ascii="Courier New" w:hAnsi="Courier New" w:cs="Courier New"/>
        </w:rPr>
        <w:t xml:space="preserve">0% </w:t>
      </w:r>
      <w:r w:rsidR="003D6659">
        <w:rPr>
          <w:rFonts w:ascii="Courier New" w:hAnsi="Courier New" w:cs="Courier New"/>
        </w:rPr>
        <w:t xml:space="preserve">was </w:t>
      </w:r>
      <w:r w:rsidR="0054205B">
        <w:rPr>
          <w:rFonts w:ascii="Courier New" w:hAnsi="Courier New" w:cs="Courier New"/>
        </w:rPr>
        <w:t xml:space="preserve">reasonable and well supported.  </w:t>
      </w:r>
    </w:p>
    <w:p w:rsidR="00130801" w:rsidRPr="006B382B" w:rsidRDefault="0054205B" w:rsidP="006B382B">
      <w:pPr>
        <w:spacing w:line="480" w:lineRule="auto"/>
        <w:ind w:firstLine="720"/>
        <w:jc w:val="both"/>
        <w:rPr>
          <w:rFonts w:ascii="Courier New" w:hAnsi="Courier New" w:cs="Courier New"/>
          <w:bCs/>
          <w:iCs/>
        </w:rPr>
      </w:pPr>
      <w:r w:rsidRPr="005451E8">
        <w:rPr>
          <w:rFonts w:ascii="Courier New" w:hAnsi="Courier New" w:cs="Courier New"/>
        </w:rPr>
        <w:t xml:space="preserve">After accounting for vacancy and rent losses, the net-operating income is obtained by deducting the landlord’s appropriate expenses.  </w:t>
      </w:r>
      <w:r w:rsidRPr="005451E8">
        <w:rPr>
          <w:rFonts w:ascii="Courier New" w:hAnsi="Courier New" w:cs="Courier New"/>
          <w:b/>
          <w:bCs/>
          <w:i/>
          <w:iCs/>
        </w:rPr>
        <w:t>General E</w:t>
      </w:r>
      <w:r>
        <w:rPr>
          <w:rFonts w:ascii="Courier New" w:hAnsi="Courier New" w:cs="Courier New"/>
          <w:b/>
          <w:bCs/>
          <w:i/>
          <w:iCs/>
        </w:rPr>
        <w:t>lectric Co.</w:t>
      </w:r>
      <w:r w:rsidRPr="005451E8">
        <w:rPr>
          <w:rFonts w:ascii="Courier New" w:hAnsi="Courier New" w:cs="Courier New"/>
          <w:b/>
          <w:bCs/>
          <w:i/>
          <w:iCs/>
        </w:rPr>
        <w:t>,</w:t>
      </w:r>
      <w:r>
        <w:rPr>
          <w:rFonts w:ascii="Courier New" w:hAnsi="Courier New" w:cs="Courier New"/>
        </w:rPr>
        <w:t xml:space="preserve"> 393 Mass. at 610</w:t>
      </w:r>
      <w:r w:rsidRPr="005451E8">
        <w:rPr>
          <w:rFonts w:ascii="Courier New" w:hAnsi="Courier New" w:cs="Courier New"/>
        </w:rPr>
        <w:t xml:space="preserve">.  The expenses should also reflect the market.  </w:t>
      </w:r>
      <w:r w:rsidRPr="005451E8">
        <w:rPr>
          <w:rFonts w:ascii="Courier New" w:hAnsi="Courier New" w:cs="Courier New"/>
          <w:b/>
          <w:bCs/>
          <w:i/>
          <w:iCs/>
        </w:rPr>
        <w:t>Id.</w:t>
      </w:r>
      <w:r>
        <w:rPr>
          <w:rFonts w:ascii="Courier New" w:hAnsi="Courier New" w:cs="Courier New"/>
          <w:b/>
          <w:bCs/>
          <w:i/>
          <w:iCs/>
        </w:rPr>
        <w:t xml:space="preserve">; </w:t>
      </w:r>
      <w:r>
        <w:rPr>
          <w:rFonts w:ascii="Courier New" w:hAnsi="Courier New" w:cs="Courier New"/>
          <w:bCs/>
          <w:i/>
          <w:iCs/>
        </w:rPr>
        <w:t xml:space="preserve">see </w:t>
      </w:r>
      <w:r>
        <w:rPr>
          <w:rFonts w:ascii="Courier New" w:hAnsi="Courier New" w:cs="Courier New"/>
          <w:b/>
          <w:bCs/>
          <w:i/>
          <w:iCs/>
        </w:rPr>
        <w:t>Olympia &amp; York State Street Co.</w:t>
      </w:r>
      <w:r>
        <w:rPr>
          <w:rFonts w:ascii="Courier New" w:hAnsi="Courier New" w:cs="Courier New"/>
          <w:bCs/>
          <w:iCs/>
        </w:rPr>
        <w:t xml:space="preserve">, 428 Mass. at 239, 245.  </w:t>
      </w:r>
      <w:r w:rsidR="0030788E">
        <w:rPr>
          <w:rFonts w:ascii="Courier New" w:hAnsi="Courier New" w:cs="Courier New"/>
          <w:bCs/>
          <w:iCs/>
        </w:rPr>
        <w:t>T</w:t>
      </w:r>
      <w:r>
        <w:rPr>
          <w:rFonts w:ascii="Courier New" w:hAnsi="Courier New" w:cs="Courier New"/>
          <w:bCs/>
          <w:iCs/>
        </w:rPr>
        <w:t xml:space="preserve">he Board </w:t>
      </w:r>
      <w:r w:rsidR="0030788E">
        <w:rPr>
          <w:rFonts w:ascii="Courier New" w:hAnsi="Courier New" w:cs="Courier New"/>
          <w:bCs/>
          <w:iCs/>
        </w:rPr>
        <w:t xml:space="preserve">adopted </w:t>
      </w:r>
      <w:r>
        <w:rPr>
          <w:rFonts w:ascii="Courier New" w:hAnsi="Courier New" w:cs="Courier New"/>
        </w:rPr>
        <w:t xml:space="preserve">Mr. Wolff’s </w:t>
      </w:r>
      <w:r w:rsidR="0030788E">
        <w:rPr>
          <w:rFonts w:ascii="Courier New" w:hAnsi="Courier New" w:cs="Courier New"/>
        </w:rPr>
        <w:t>expenses for landlord operating expenses</w:t>
      </w:r>
      <w:r w:rsidR="006D5FC9">
        <w:rPr>
          <w:rFonts w:ascii="Courier New" w:hAnsi="Courier New" w:cs="Courier New"/>
        </w:rPr>
        <w:t xml:space="preserve"> with a</w:t>
      </w:r>
      <w:r w:rsidR="007A0A61">
        <w:rPr>
          <w:rFonts w:ascii="Courier New" w:hAnsi="Courier New" w:cs="Courier New"/>
        </w:rPr>
        <w:t> </w:t>
      </w:r>
      <w:r w:rsidR="00717F1E">
        <w:rPr>
          <w:rFonts w:ascii="Courier New" w:hAnsi="Courier New" w:cs="Courier New"/>
        </w:rPr>
        <w:t>minor adjustment to his commission expense</w:t>
      </w:r>
      <w:r w:rsidR="0030788E">
        <w:rPr>
          <w:rFonts w:ascii="Courier New" w:hAnsi="Courier New" w:cs="Courier New"/>
        </w:rPr>
        <w:t xml:space="preserve">, finding </w:t>
      </w:r>
      <w:r w:rsidR="006B382B">
        <w:rPr>
          <w:rFonts w:ascii="Courier New" w:hAnsi="Courier New" w:cs="Courier New"/>
        </w:rPr>
        <w:t>these expenses</w:t>
      </w:r>
      <w:r w:rsidR="0030788E">
        <w:rPr>
          <w:rFonts w:ascii="Courier New" w:hAnsi="Courier New" w:cs="Courier New"/>
        </w:rPr>
        <w:t xml:space="preserve"> to be reasonable and well supported, to arrive at the </w:t>
      </w:r>
      <w:r w:rsidR="0030788E">
        <w:rPr>
          <w:rFonts w:ascii="Courier New" w:hAnsi="Courier New" w:cs="Courier New"/>
        </w:rPr>
        <w:lastRenderedPageBreak/>
        <w:t>subject property’s net-operating income for the fiscal years at issue.</w:t>
      </w:r>
      <w:r w:rsidR="006B382B">
        <w:rPr>
          <w:rStyle w:val="FootnoteReference"/>
          <w:rFonts w:ascii="Courier New" w:hAnsi="Courier New" w:cs="Courier New"/>
        </w:rPr>
        <w:footnoteReference w:id="3"/>
      </w:r>
      <w:r w:rsidR="00130801">
        <w:rPr>
          <w:rFonts w:ascii="Courier New" w:hAnsi="Courier New" w:cs="Courier New"/>
        </w:rPr>
        <w:t xml:space="preserve">  </w:t>
      </w:r>
    </w:p>
    <w:p w:rsidR="00D07B99" w:rsidRDefault="0054205B" w:rsidP="0054205B">
      <w:pPr>
        <w:spacing w:line="480" w:lineRule="auto"/>
        <w:ind w:firstLine="720"/>
        <w:jc w:val="both"/>
        <w:rPr>
          <w:rFonts w:ascii="Courier New" w:hAnsi="Courier New" w:cs="Courier New"/>
        </w:rPr>
      </w:pPr>
      <w:r>
        <w:rPr>
          <w:rFonts w:ascii="Courier New" w:hAnsi="Courier New" w:cs="Courier New"/>
        </w:rPr>
        <w:t xml:space="preserve">The capitalization rate should reflect the return on investment necessary to attract investment capital.  </w:t>
      </w:r>
      <w:proofErr w:type="gramStart"/>
      <w:r>
        <w:rPr>
          <w:rFonts w:ascii="Courier New" w:hAnsi="Courier New" w:cs="Courier New"/>
          <w:b/>
          <w:bCs/>
          <w:i/>
          <w:iCs/>
        </w:rPr>
        <w:t>Taunton Redevelopment Associates,</w:t>
      </w:r>
      <w:r>
        <w:rPr>
          <w:rFonts w:ascii="Courier New" w:hAnsi="Courier New" w:cs="Courier New"/>
        </w:rPr>
        <w:t xml:space="preserve"> 393 Mass. at 295.</w:t>
      </w:r>
      <w:proofErr w:type="gramEnd"/>
      <w:r>
        <w:rPr>
          <w:rFonts w:ascii="Courier New" w:hAnsi="Courier New" w:cs="Courier New"/>
        </w:rPr>
        <w:t xml:space="preserve">  Based on the evidence presented, the Board found that Mr. Wolff’s </w:t>
      </w:r>
      <w:r w:rsidR="00D07B99">
        <w:rPr>
          <w:rFonts w:ascii="Courier New" w:hAnsi="Courier New" w:cs="Courier New"/>
        </w:rPr>
        <w:t>cap</w:t>
      </w:r>
      <w:r>
        <w:rPr>
          <w:rFonts w:ascii="Courier New" w:hAnsi="Courier New" w:cs="Courier New"/>
        </w:rPr>
        <w:t>italization rate</w:t>
      </w:r>
      <w:r w:rsidR="0030788E">
        <w:rPr>
          <w:rFonts w:ascii="Courier New" w:hAnsi="Courier New" w:cs="Courier New"/>
        </w:rPr>
        <w:t>s</w:t>
      </w:r>
      <w:r>
        <w:rPr>
          <w:rFonts w:ascii="Courier New" w:hAnsi="Courier New" w:cs="Courier New"/>
        </w:rPr>
        <w:t xml:space="preserve"> of </w:t>
      </w:r>
      <w:r w:rsidR="0030788E">
        <w:rPr>
          <w:rFonts w:ascii="Courier New" w:hAnsi="Courier New" w:cs="Courier New"/>
        </w:rPr>
        <w:t>8.0</w:t>
      </w:r>
      <w:r>
        <w:rPr>
          <w:rFonts w:ascii="Courier New" w:hAnsi="Courier New" w:cs="Courier New"/>
        </w:rPr>
        <w:t>%</w:t>
      </w:r>
      <w:r w:rsidR="00CC5ADD">
        <w:rPr>
          <w:rFonts w:ascii="Courier New" w:hAnsi="Courier New" w:cs="Courier New"/>
        </w:rPr>
        <w:t xml:space="preserve"> </w:t>
      </w:r>
      <w:r w:rsidR="0030788E">
        <w:rPr>
          <w:rFonts w:ascii="Courier New" w:hAnsi="Courier New" w:cs="Courier New"/>
        </w:rPr>
        <w:t xml:space="preserve">for fiscal year 2013 and 8.5% for fiscal year 2014 were </w:t>
      </w:r>
      <w:r w:rsidR="00CC5ADD">
        <w:rPr>
          <w:rFonts w:ascii="Courier New" w:hAnsi="Courier New" w:cs="Courier New"/>
        </w:rPr>
        <w:t>appropriate</w:t>
      </w:r>
      <w:r w:rsidR="00D07B99">
        <w:rPr>
          <w:rFonts w:ascii="Courier New" w:hAnsi="Courier New" w:cs="Courier New"/>
        </w:rPr>
        <w:t xml:space="preserve">.  </w:t>
      </w:r>
    </w:p>
    <w:p w:rsidR="00861EF0" w:rsidRDefault="0054205B" w:rsidP="006B382B">
      <w:pPr>
        <w:spacing w:line="480" w:lineRule="auto"/>
        <w:ind w:firstLine="720"/>
        <w:jc w:val="both"/>
        <w:rPr>
          <w:rFonts w:ascii="Courier New" w:hAnsi="Courier New"/>
        </w:rPr>
      </w:pPr>
      <w:r w:rsidRPr="00192E5B">
        <w:rPr>
          <w:rFonts w:ascii="Courier New" w:hAnsi="Courier New" w:cs="Courier New"/>
        </w:rPr>
        <w:t>The Board is not required to believe the testimony of any particular witness or to adopt any particular method of valuation that an expert witness suggests.  Rather, the Board can accept those portions of the evidence that the Board determines have more convincing weight</w:t>
      </w:r>
      <w:r>
        <w:rPr>
          <w:rFonts w:ascii="Courier New" w:hAnsi="Courier New" w:cs="Courier New"/>
        </w:rPr>
        <w:t>, and form its own independent judgment of fair market value</w:t>
      </w:r>
      <w:r w:rsidRPr="00192E5B">
        <w:rPr>
          <w:rFonts w:ascii="Courier New" w:hAnsi="Courier New" w:cs="Courier New"/>
        </w:rPr>
        <w:t xml:space="preserve">.  </w:t>
      </w:r>
      <w:r>
        <w:rPr>
          <w:rFonts w:ascii="Courier New" w:hAnsi="Courier New"/>
          <w:b/>
          <w:i/>
        </w:rPr>
        <w:t xml:space="preserve">Foxboro Associates v. Board of Assessors of </w:t>
      </w:r>
      <w:proofErr w:type="spellStart"/>
      <w:r>
        <w:rPr>
          <w:rFonts w:ascii="Courier New" w:hAnsi="Courier New"/>
          <w:b/>
          <w:i/>
        </w:rPr>
        <w:t>Foxborough</w:t>
      </w:r>
      <w:proofErr w:type="spellEnd"/>
      <w:r>
        <w:rPr>
          <w:rFonts w:ascii="Courier New" w:hAnsi="Courier New"/>
        </w:rPr>
        <w:t>, 385 Mass. 679, 683 (1982)</w:t>
      </w:r>
      <w:r w:rsidRPr="00192E5B">
        <w:rPr>
          <w:rFonts w:ascii="Courier New" w:hAnsi="Courier New" w:cs="Courier New"/>
        </w:rPr>
        <w:t xml:space="preserve">; </w:t>
      </w:r>
      <w:r>
        <w:rPr>
          <w:rFonts w:ascii="Courier New" w:hAnsi="Courier New"/>
          <w:b/>
          <w:i/>
        </w:rPr>
        <w:t>New Boston Garden Corp. v. Board of Assessors of Boston</w:t>
      </w:r>
      <w:r>
        <w:rPr>
          <w:rFonts w:ascii="Courier New" w:hAnsi="Courier New"/>
        </w:rPr>
        <w:t>, 383 Mass. 456, 473 (1981)</w:t>
      </w:r>
      <w:r w:rsidRPr="00192E5B">
        <w:rPr>
          <w:rFonts w:ascii="Courier New" w:hAnsi="Courier New" w:cs="Courier New"/>
        </w:rPr>
        <w:t xml:space="preserve">; </w:t>
      </w:r>
      <w:r w:rsidR="00366BBE">
        <w:rPr>
          <w:rFonts w:ascii="Courier New" w:hAnsi="Courier New"/>
          <w:b/>
          <w:i/>
        </w:rPr>
        <w:t xml:space="preserve">New England Oyster House, </w:t>
      </w:r>
      <w:r w:rsidR="007A6A15">
        <w:rPr>
          <w:rFonts w:ascii="Courier New" w:hAnsi="Courier New"/>
        </w:rPr>
        <w:t>362</w:t>
      </w:r>
      <w:r w:rsidR="00366BBE">
        <w:rPr>
          <w:rFonts w:ascii="Courier New" w:hAnsi="Courier New"/>
        </w:rPr>
        <w:t xml:space="preserve"> Mass. </w:t>
      </w:r>
      <w:r>
        <w:rPr>
          <w:rFonts w:ascii="Courier New" w:hAnsi="Courier New"/>
        </w:rPr>
        <w:t>at 701-02</w:t>
      </w:r>
      <w:r>
        <w:rPr>
          <w:rFonts w:ascii="Courier New" w:hAnsi="Courier New" w:cs="Courier New"/>
        </w:rPr>
        <w:t xml:space="preserve">; </w:t>
      </w:r>
      <w:r w:rsidRPr="006223B0">
        <w:rPr>
          <w:rFonts w:ascii="Courier New" w:hAnsi="Courier New" w:cs="Courier New"/>
          <w:b/>
          <w:i/>
        </w:rPr>
        <w:t>General Electric Co.</w:t>
      </w:r>
      <w:r w:rsidRPr="00192E5B">
        <w:rPr>
          <w:rFonts w:ascii="Courier New" w:hAnsi="Courier New" w:cs="Courier New"/>
          <w:i/>
        </w:rPr>
        <w:t xml:space="preserve">, </w:t>
      </w:r>
      <w:r w:rsidRPr="00192E5B">
        <w:rPr>
          <w:rFonts w:ascii="Courier New" w:hAnsi="Courier New" w:cs="Courier New"/>
        </w:rPr>
        <w:t xml:space="preserve">393 Mass. at 605; </w:t>
      </w:r>
      <w:r w:rsidRPr="006223B0">
        <w:rPr>
          <w:rFonts w:ascii="Courier New" w:hAnsi="Courier New" w:cs="Courier New"/>
          <w:b/>
          <w:i/>
        </w:rPr>
        <w:t>North American Philips Lighting Corp. v. Assessors of Lynn</w:t>
      </w:r>
      <w:r w:rsidRPr="00192E5B">
        <w:rPr>
          <w:rFonts w:ascii="Courier New" w:hAnsi="Courier New" w:cs="Courier New"/>
        </w:rPr>
        <w:t xml:space="preserve">, 392 Mass. </w:t>
      </w:r>
      <w:r w:rsidRPr="00192E5B">
        <w:rPr>
          <w:rFonts w:ascii="Courier New" w:hAnsi="Courier New" w:cs="Courier New"/>
        </w:rPr>
        <w:lastRenderedPageBreak/>
        <w:t>296, 300 (1984).</w:t>
      </w:r>
      <w:r>
        <w:rPr>
          <w:rFonts w:ascii="Courier New" w:hAnsi="Courier New" w:cs="Courier New"/>
        </w:rPr>
        <w:t xml:space="preserve">  </w:t>
      </w:r>
      <w:r w:rsidRPr="005451E8">
        <w:rPr>
          <w:rFonts w:ascii="Courier New" w:hAnsi="Courier New" w:cs="Courier New"/>
        </w:rPr>
        <w:t>In evaluating the evidence before it</w:t>
      </w:r>
      <w:r>
        <w:rPr>
          <w:rFonts w:ascii="Courier New" w:hAnsi="Courier New" w:cs="Courier New"/>
        </w:rPr>
        <w:t xml:space="preserve"> in th</w:t>
      </w:r>
      <w:r w:rsidR="004A751C">
        <w:rPr>
          <w:rFonts w:ascii="Courier New" w:hAnsi="Courier New" w:cs="Courier New"/>
        </w:rPr>
        <w:t>e</w:t>
      </w:r>
      <w:r w:rsidR="00D07B99">
        <w:rPr>
          <w:rFonts w:ascii="Courier New" w:hAnsi="Courier New" w:cs="Courier New"/>
        </w:rPr>
        <w:t>s</w:t>
      </w:r>
      <w:r w:rsidR="004A751C">
        <w:rPr>
          <w:rFonts w:ascii="Courier New" w:hAnsi="Courier New" w:cs="Courier New"/>
        </w:rPr>
        <w:t>e</w:t>
      </w:r>
      <w:r w:rsidR="00D07B99">
        <w:rPr>
          <w:rFonts w:ascii="Courier New" w:hAnsi="Courier New" w:cs="Courier New"/>
        </w:rPr>
        <w:t xml:space="preserve"> appeal</w:t>
      </w:r>
      <w:r w:rsidR="004A751C">
        <w:rPr>
          <w:rFonts w:ascii="Courier New" w:hAnsi="Courier New" w:cs="Courier New"/>
        </w:rPr>
        <w:t>s</w:t>
      </w:r>
      <w:r w:rsidR="00D07B99">
        <w:rPr>
          <w:rFonts w:ascii="Courier New" w:hAnsi="Courier New" w:cs="Courier New"/>
        </w:rPr>
        <w:t>,</w:t>
      </w:r>
      <w:r w:rsidRPr="005451E8">
        <w:rPr>
          <w:rFonts w:ascii="Courier New" w:hAnsi="Courier New" w:cs="Courier New"/>
        </w:rPr>
        <w:t xml:space="preserve"> the Board selected among the various elements of value and </w:t>
      </w:r>
      <w:r>
        <w:rPr>
          <w:rFonts w:ascii="Courier New" w:hAnsi="Courier New" w:cs="Courier New"/>
        </w:rPr>
        <w:t xml:space="preserve">appropriately </w:t>
      </w:r>
      <w:r w:rsidRPr="005451E8">
        <w:rPr>
          <w:rFonts w:ascii="Courier New" w:hAnsi="Courier New" w:cs="Courier New"/>
        </w:rPr>
        <w:t xml:space="preserve">formed its own independent judgment of fair cash value.  </w:t>
      </w:r>
      <w:proofErr w:type="gramStart"/>
      <w:r w:rsidRPr="005451E8">
        <w:rPr>
          <w:rFonts w:ascii="Courier New" w:hAnsi="Courier New" w:cs="Courier New"/>
          <w:b/>
          <w:bCs/>
          <w:i/>
          <w:iCs/>
        </w:rPr>
        <w:t>Gener</w:t>
      </w:r>
      <w:r>
        <w:rPr>
          <w:rFonts w:ascii="Courier New" w:hAnsi="Courier New" w:cs="Courier New"/>
          <w:b/>
          <w:bCs/>
          <w:i/>
          <w:iCs/>
        </w:rPr>
        <w:t>al Electric Co.</w:t>
      </w:r>
      <w:r w:rsidRPr="005451E8">
        <w:rPr>
          <w:rFonts w:ascii="Courier New" w:hAnsi="Courier New" w:cs="Courier New"/>
          <w:b/>
          <w:bCs/>
          <w:i/>
          <w:iCs/>
        </w:rPr>
        <w:t>,</w:t>
      </w:r>
      <w:r w:rsidRPr="005451E8">
        <w:rPr>
          <w:rFonts w:ascii="Courier New" w:hAnsi="Courier New" w:cs="Courier New"/>
        </w:rPr>
        <w:t xml:space="preserve"> 393 Mass. at 605; </w:t>
      </w:r>
      <w:r w:rsidRPr="005451E8">
        <w:rPr>
          <w:rFonts w:ascii="Courier New" w:hAnsi="Courier New" w:cs="Courier New"/>
          <w:b/>
          <w:bCs/>
          <w:i/>
          <w:iCs/>
        </w:rPr>
        <w:t>North American Philips Lighting Corp.,</w:t>
      </w:r>
      <w:r w:rsidRPr="005451E8">
        <w:rPr>
          <w:rFonts w:ascii="Courier New" w:hAnsi="Courier New" w:cs="Courier New"/>
        </w:rPr>
        <w:t xml:space="preserve"> 392 Mass</w:t>
      </w:r>
      <w:r>
        <w:rPr>
          <w:rFonts w:ascii="Courier New" w:hAnsi="Courier New" w:cs="Courier New"/>
        </w:rPr>
        <w:t>. at 300</w:t>
      </w:r>
      <w:r w:rsidRPr="005451E8">
        <w:rPr>
          <w:rFonts w:ascii="Courier New" w:hAnsi="Courier New" w:cs="Courier New"/>
        </w:rPr>
        <w:t>.</w:t>
      </w:r>
      <w:proofErr w:type="gramEnd"/>
      <w:r>
        <w:rPr>
          <w:rFonts w:ascii="Courier New" w:hAnsi="Courier New" w:cs="Courier New"/>
        </w:rPr>
        <w:t xml:space="preserve">  </w:t>
      </w:r>
      <w:r>
        <w:rPr>
          <w:rFonts w:ascii="Courier New" w:hAnsi="Courier New"/>
        </w:rPr>
        <w:t>“The credibility of witnesses, the weight of the evidence, and inferences to be drawn from the evidence are matters for the Board.</w:t>
      </w:r>
      <w:r w:rsidR="00366BBE">
        <w:rPr>
          <w:rFonts w:ascii="Courier New" w:hAnsi="Courier New"/>
        </w:rPr>
        <w:t>”</w:t>
      </w:r>
      <w:r>
        <w:rPr>
          <w:rFonts w:ascii="Courier New" w:hAnsi="Courier New"/>
        </w:rPr>
        <w:t xml:space="preserve">  </w:t>
      </w:r>
      <w:proofErr w:type="spellStart"/>
      <w:proofErr w:type="gramStart"/>
      <w:r>
        <w:rPr>
          <w:rFonts w:ascii="Courier New" w:hAnsi="Courier New"/>
          <w:b/>
          <w:i/>
        </w:rPr>
        <w:t>Cummington</w:t>
      </w:r>
      <w:proofErr w:type="spellEnd"/>
      <w:r>
        <w:rPr>
          <w:rFonts w:ascii="Courier New" w:hAnsi="Courier New"/>
          <w:b/>
          <w:i/>
        </w:rPr>
        <w:t xml:space="preserve"> School of the Arts, Inc. v. Assessors of </w:t>
      </w:r>
      <w:proofErr w:type="spellStart"/>
      <w:r>
        <w:rPr>
          <w:rFonts w:ascii="Courier New" w:hAnsi="Courier New"/>
          <w:b/>
          <w:i/>
        </w:rPr>
        <w:t>Cummington</w:t>
      </w:r>
      <w:proofErr w:type="spellEnd"/>
      <w:r>
        <w:rPr>
          <w:rFonts w:ascii="Courier New" w:hAnsi="Courier New"/>
          <w:b/>
          <w:i/>
        </w:rPr>
        <w:t>,</w:t>
      </w:r>
      <w:r>
        <w:rPr>
          <w:rFonts w:ascii="Courier New" w:hAnsi="Courier New"/>
        </w:rPr>
        <w:t xml:space="preserve"> 373 Mass. 597, 605 (1977).</w:t>
      </w:r>
      <w:proofErr w:type="gramEnd"/>
    </w:p>
    <w:p w:rsidR="0054205B" w:rsidRDefault="0054205B" w:rsidP="0054205B">
      <w:pPr>
        <w:spacing w:line="480" w:lineRule="auto"/>
        <w:ind w:firstLine="720"/>
        <w:jc w:val="both"/>
        <w:rPr>
          <w:rFonts w:ascii="Courier New" w:hAnsi="Courier New" w:cs="Courier New"/>
        </w:rPr>
      </w:pPr>
      <w:r>
        <w:rPr>
          <w:rFonts w:ascii="Courier New" w:hAnsi="Courier New" w:cs="Courier New"/>
        </w:rPr>
        <w:t>On th</w:t>
      </w:r>
      <w:r w:rsidR="004A751C">
        <w:rPr>
          <w:rFonts w:ascii="Courier New" w:hAnsi="Courier New" w:cs="Courier New"/>
        </w:rPr>
        <w:t>is</w:t>
      </w:r>
      <w:r>
        <w:rPr>
          <w:rFonts w:ascii="Courier New" w:hAnsi="Courier New" w:cs="Courier New"/>
        </w:rPr>
        <w:t xml:space="preserve"> basis, the Board found and ruled that the </w:t>
      </w:r>
      <w:r w:rsidR="00D07B99">
        <w:rPr>
          <w:rFonts w:ascii="Courier New" w:hAnsi="Courier New" w:cs="Courier New"/>
        </w:rPr>
        <w:t>subject property was not o</w:t>
      </w:r>
      <w:r>
        <w:rPr>
          <w:rFonts w:ascii="Courier New" w:hAnsi="Courier New" w:cs="Courier New"/>
        </w:rPr>
        <w:t xml:space="preserve">vervalued for </w:t>
      </w:r>
      <w:r w:rsidR="0030788E">
        <w:rPr>
          <w:rFonts w:ascii="Courier New" w:hAnsi="Courier New" w:cs="Courier New"/>
        </w:rPr>
        <w:t xml:space="preserve">the </w:t>
      </w:r>
      <w:r>
        <w:rPr>
          <w:rFonts w:ascii="Courier New" w:hAnsi="Courier New" w:cs="Courier New"/>
        </w:rPr>
        <w:t>fiscal year</w:t>
      </w:r>
      <w:r w:rsidR="0030788E">
        <w:rPr>
          <w:rFonts w:ascii="Courier New" w:hAnsi="Courier New" w:cs="Courier New"/>
        </w:rPr>
        <w:t>s</w:t>
      </w:r>
      <w:r>
        <w:rPr>
          <w:rFonts w:ascii="Courier New" w:hAnsi="Courier New" w:cs="Courier New"/>
        </w:rPr>
        <w:t xml:space="preserve"> </w:t>
      </w:r>
      <w:r w:rsidR="0030788E">
        <w:rPr>
          <w:rFonts w:ascii="Courier New" w:hAnsi="Courier New" w:cs="Courier New"/>
        </w:rPr>
        <w:t>at issue an</w:t>
      </w:r>
      <w:r>
        <w:rPr>
          <w:rFonts w:ascii="Courier New" w:hAnsi="Courier New" w:cs="Courier New"/>
        </w:rPr>
        <w:t>d therefore issued a decision f</w:t>
      </w:r>
      <w:r w:rsidR="0030788E">
        <w:rPr>
          <w:rFonts w:ascii="Courier New" w:hAnsi="Courier New" w:cs="Courier New"/>
        </w:rPr>
        <w:t>or the appellee in these appeals</w:t>
      </w:r>
      <w:r>
        <w:rPr>
          <w:rFonts w:ascii="Courier New" w:hAnsi="Courier New" w:cs="Courier New"/>
        </w:rPr>
        <w:t>.</w:t>
      </w:r>
    </w:p>
    <w:p w:rsidR="0054205B" w:rsidRDefault="0054205B" w:rsidP="0054205B">
      <w:pPr>
        <w:ind w:left="2880" w:firstLine="720"/>
        <w:jc w:val="both"/>
        <w:rPr>
          <w:rFonts w:ascii="Courier New" w:hAnsi="Courier New" w:cs="Courier New"/>
          <w:b/>
        </w:rPr>
      </w:pPr>
    </w:p>
    <w:p w:rsidR="0054205B" w:rsidRDefault="0054205B" w:rsidP="0054205B">
      <w:pPr>
        <w:ind w:left="2880" w:firstLine="720"/>
        <w:jc w:val="both"/>
        <w:rPr>
          <w:rFonts w:ascii="Courier New" w:hAnsi="Courier New" w:cs="Courier New"/>
          <w:b/>
        </w:rPr>
      </w:pPr>
    </w:p>
    <w:p w:rsidR="0054205B" w:rsidRDefault="0054205B" w:rsidP="0054205B">
      <w:pPr>
        <w:ind w:left="2880" w:firstLine="720"/>
        <w:jc w:val="both"/>
        <w:rPr>
          <w:rFonts w:ascii="Courier New" w:hAnsi="Courier New" w:cs="Courier New"/>
          <w:b/>
        </w:rPr>
      </w:pPr>
      <w:r w:rsidRPr="006C660D">
        <w:rPr>
          <w:rFonts w:ascii="Courier New" w:hAnsi="Courier New" w:cs="Courier New"/>
          <w:b/>
        </w:rPr>
        <w:t> </w:t>
      </w:r>
      <w:r>
        <w:rPr>
          <w:rFonts w:ascii="Courier New" w:hAnsi="Courier New" w:cs="Courier New"/>
          <w:b/>
        </w:rPr>
        <w:t xml:space="preserve">  </w:t>
      </w:r>
      <w:r w:rsidRPr="006C660D">
        <w:rPr>
          <w:rFonts w:ascii="Courier New" w:hAnsi="Courier New" w:cs="Courier New"/>
          <w:b/>
        </w:rPr>
        <w:t>THE APPELLATE TAX BOARD</w:t>
      </w:r>
    </w:p>
    <w:p w:rsidR="0054205B" w:rsidRDefault="0054205B" w:rsidP="0054205B">
      <w:pPr>
        <w:ind w:left="2880" w:firstLine="720"/>
        <w:jc w:val="both"/>
        <w:rPr>
          <w:rFonts w:ascii="Courier New" w:hAnsi="Courier New" w:cs="Courier New"/>
          <w:b/>
        </w:rPr>
      </w:pPr>
    </w:p>
    <w:p w:rsidR="0054205B" w:rsidRDefault="0054205B" w:rsidP="0054205B">
      <w:pPr>
        <w:ind w:left="2880" w:firstLine="720"/>
        <w:jc w:val="both"/>
        <w:rPr>
          <w:rFonts w:ascii="Courier New" w:hAnsi="Courier New" w:cs="Courier New"/>
          <w:b/>
        </w:rPr>
      </w:pPr>
    </w:p>
    <w:p w:rsidR="0054205B" w:rsidRDefault="0054205B" w:rsidP="0054205B">
      <w:pPr>
        <w:ind w:left="2880" w:firstLine="720"/>
        <w:jc w:val="both"/>
        <w:rPr>
          <w:rFonts w:ascii="Courier New" w:hAnsi="Courier New" w:cs="Courier New"/>
          <w:b/>
        </w:rPr>
      </w:pPr>
    </w:p>
    <w:p w:rsidR="0054205B" w:rsidRPr="006C660D" w:rsidRDefault="0054205B" w:rsidP="0054205B">
      <w:pPr>
        <w:ind w:left="2880" w:firstLine="720"/>
        <w:jc w:val="both"/>
        <w:rPr>
          <w:rFonts w:ascii="Courier New" w:hAnsi="Courier New" w:cs="Courier New"/>
          <w:b/>
        </w:rPr>
      </w:pPr>
    </w:p>
    <w:p w:rsidR="0054205B" w:rsidRPr="002E6D85" w:rsidRDefault="0054205B" w:rsidP="0054205B">
      <w:pPr>
        <w:ind w:left="3315"/>
        <w:jc w:val="both"/>
        <w:rPr>
          <w:rFonts w:ascii="Courier New" w:hAnsi="Courier New" w:cs="Courier New"/>
          <w:b/>
        </w:rPr>
      </w:pPr>
      <w:r>
        <w:rPr>
          <w:rFonts w:ascii="Courier New" w:hAnsi="Courier New" w:cs="Courier New"/>
          <w:b/>
        </w:rPr>
        <w:tab/>
      </w:r>
      <w:r w:rsidRPr="002E6D85">
        <w:rPr>
          <w:rFonts w:ascii="Courier New" w:hAnsi="Courier New" w:cs="Courier New"/>
          <w:b/>
        </w:rPr>
        <w:t>By:</w:t>
      </w:r>
      <w:r w:rsidRPr="002E6D85">
        <w:rPr>
          <w:rFonts w:ascii="Courier New" w:hAnsi="Courier New" w:cs="Courier New"/>
          <w:b/>
          <w:u w:val="single"/>
        </w:rPr>
        <w:tab/>
        <w:t>_____</w:t>
      </w:r>
      <w:r w:rsidRPr="002E6D85">
        <w:rPr>
          <w:rFonts w:ascii="Courier New" w:hAnsi="Courier New" w:cs="Courier New"/>
          <w:b/>
          <w:u w:val="single"/>
        </w:rPr>
        <w:tab/>
        <w:t>   __________________</w:t>
      </w:r>
      <w:r w:rsidR="002F0D01">
        <w:rPr>
          <w:rFonts w:ascii="Courier New" w:hAnsi="Courier New" w:cs="Courier New"/>
          <w:b/>
          <w:u w:val="single"/>
        </w:rPr>
        <w:t>___</w:t>
      </w:r>
      <w:r w:rsidRPr="002E6D85">
        <w:rPr>
          <w:rFonts w:ascii="Courier New" w:hAnsi="Courier New" w:cs="Courier New"/>
          <w:b/>
        </w:rPr>
        <w:tab/>
        <w:t xml:space="preserve">       </w:t>
      </w:r>
    </w:p>
    <w:p w:rsidR="0054205B" w:rsidRPr="006C660D" w:rsidRDefault="0054205B" w:rsidP="0054205B">
      <w:pPr>
        <w:ind w:left="3315" w:firstLine="285"/>
        <w:jc w:val="both"/>
        <w:rPr>
          <w:rFonts w:ascii="Courier New" w:hAnsi="Courier New" w:cs="Courier New"/>
          <w:b/>
        </w:rPr>
      </w:pPr>
      <w:r w:rsidRPr="002E6D85">
        <w:rPr>
          <w:rFonts w:ascii="Courier New" w:hAnsi="Courier New" w:cs="Courier New"/>
          <w:b/>
        </w:rPr>
        <w:t xml:space="preserve">   Thomas W. Hammond, Jr., Chairman</w:t>
      </w:r>
      <w:r w:rsidRPr="006C660D">
        <w:rPr>
          <w:rFonts w:ascii="Courier New" w:hAnsi="Courier New" w:cs="Courier New"/>
          <w:b/>
        </w:rPr>
        <w:t xml:space="preserve"> </w:t>
      </w:r>
    </w:p>
    <w:p w:rsidR="0054205B" w:rsidRPr="006C660D" w:rsidRDefault="0054205B" w:rsidP="0054205B">
      <w:pPr>
        <w:jc w:val="both"/>
        <w:rPr>
          <w:rFonts w:ascii="Courier New" w:hAnsi="Courier New" w:cs="Courier New"/>
          <w:b/>
        </w:rPr>
      </w:pPr>
    </w:p>
    <w:p w:rsidR="0054205B" w:rsidRDefault="0054205B" w:rsidP="0054205B">
      <w:pPr>
        <w:jc w:val="both"/>
        <w:rPr>
          <w:rFonts w:ascii="Courier New" w:hAnsi="Courier New" w:cs="Courier New"/>
          <w:b/>
        </w:rPr>
      </w:pPr>
    </w:p>
    <w:p w:rsidR="0077354B" w:rsidRDefault="0077354B" w:rsidP="0077354B">
      <w:pPr>
        <w:jc w:val="both"/>
        <w:rPr>
          <w:rFonts w:ascii="Courier New" w:hAnsi="Courier New" w:cs="Courier New"/>
          <w:b/>
        </w:rPr>
      </w:pPr>
    </w:p>
    <w:p w:rsidR="00861EF0" w:rsidRDefault="00861EF0" w:rsidP="0077354B">
      <w:pPr>
        <w:jc w:val="both"/>
        <w:rPr>
          <w:rFonts w:ascii="Courier New" w:hAnsi="Courier New" w:cs="Courier New"/>
          <w:b/>
        </w:rPr>
      </w:pPr>
    </w:p>
    <w:p w:rsidR="002F0D01" w:rsidRDefault="002F0D01" w:rsidP="002F0D01">
      <w:pPr>
        <w:jc w:val="both"/>
        <w:rPr>
          <w:rFonts w:ascii="Courier New" w:hAnsi="Courier New" w:cs="Courier New"/>
          <w:b/>
        </w:rPr>
      </w:pPr>
      <w:r w:rsidRPr="002E6D85">
        <w:rPr>
          <w:rFonts w:ascii="Courier New" w:hAnsi="Courier New" w:cs="Courier New"/>
          <w:b/>
        </w:rPr>
        <w:t>A true copy,</w:t>
      </w:r>
    </w:p>
    <w:p w:rsidR="002F0D01" w:rsidRPr="002E6D85" w:rsidRDefault="002F0D01" w:rsidP="002F0D01">
      <w:pPr>
        <w:jc w:val="both"/>
        <w:rPr>
          <w:rFonts w:ascii="Courier New" w:hAnsi="Courier New" w:cs="Courier New"/>
          <w:b/>
        </w:rPr>
      </w:pPr>
    </w:p>
    <w:p w:rsidR="002F0D01" w:rsidRPr="002E6D85" w:rsidRDefault="002F0D01" w:rsidP="002F0D01">
      <w:pPr>
        <w:jc w:val="both"/>
        <w:rPr>
          <w:rFonts w:ascii="Courier New" w:hAnsi="Courier New" w:cs="Courier New"/>
          <w:b/>
        </w:rPr>
      </w:pPr>
    </w:p>
    <w:p w:rsidR="002F0D01" w:rsidRPr="002E6D85" w:rsidRDefault="002F0D01" w:rsidP="002F0D01">
      <w:pPr>
        <w:jc w:val="both"/>
        <w:rPr>
          <w:rFonts w:ascii="Courier New" w:hAnsi="Courier New" w:cs="Courier New"/>
          <w:b/>
        </w:rPr>
      </w:pPr>
    </w:p>
    <w:p w:rsidR="002F0D01" w:rsidRPr="002E6D85" w:rsidRDefault="002F0D01" w:rsidP="002F0D01">
      <w:pPr>
        <w:jc w:val="both"/>
        <w:rPr>
          <w:rFonts w:ascii="Courier New" w:hAnsi="Courier New" w:cs="Courier New"/>
          <w:b/>
          <w:u w:val="single"/>
        </w:rPr>
      </w:pPr>
      <w:r w:rsidRPr="002E6D85">
        <w:rPr>
          <w:rFonts w:ascii="Courier New" w:hAnsi="Courier New" w:cs="Courier New"/>
          <w:b/>
        </w:rPr>
        <w:t>Attest:</w:t>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t>__</w:t>
      </w:r>
      <w:r>
        <w:rPr>
          <w:rFonts w:ascii="Courier New" w:hAnsi="Courier New" w:cs="Courier New"/>
          <w:b/>
          <w:u w:val="single"/>
        </w:rPr>
        <w:t>____</w:t>
      </w:r>
      <w:r w:rsidRPr="002E6D85">
        <w:rPr>
          <w:rFonts w:ascii="Courier New" w:hAnsi="Courier New" w:cs="Courier New"/>
          <w:b/>
          <w:u w:val="single"/>
        </w:rPr>
        <w:t>___</w:t>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t>__</w:t>
      </w:r>
    </w:p>
    <w:p w:rsidR="002F0D01" w:rsidRPr="002E6D85" w:rsidRDefault="002F0D01" w:rsidP="002F0D01">
      <w:pPr>
        <w:jc w:val="both"/>
        <w:rPr>
          <w:rFonts w:ascii="Courier New" w:hAnsi="Courier New" w:cs="Courier New"/>
          <w:b/>
        </w:rPr>
      </w:pPr>
      <w:r w:rsidRPr="002E6D85">
        <w:rPr>
          <w:rFonts w:ascii="Courier New" w:hAnsi="Courier New" w:cs="Courier New"/>
          <w:b/>
        </w:rPr>
        <w:tab/>
        <w:t xml:space="preserve">  Clerk of the Board</w:t>
      </w:r>
    </w:p>
    <w:p w:rsidR="002F0D01" w:rsidRPr="002E6D85" w:rsidRDefault="002F0D01" w:rsidP="002F0D01">
      <w:pPr>
        <w:spacing w:line="480" w:lineRule="auto"/>
        <w:jc w:val="both"/>
        <w:rPr>
          <w:rFonts w:ascii="Courier New" w:hAnsi="Courier New" w:cs="Courier New"/>
          <w:b/>
        </w:rPr>
      </w:pPr>
    </w:p>
    <w:p w:rsidR="002F0D01" w:rsidRDefault="002F0D01" w:rsidP="002F0D01">
      <w:pPr>
        <w:jc w:val="both"/>
        <w:rPr>
          <w:rFonts w:ascii="Courier New" w:hAnsi="Courier New" w:cs="Courier New"/>
          <w:b/>
        </w:rPr>
      </w:pPr>
    </w:p>
    <w:p w:rsidR="00861EF0" w:rsidRDefault="00861EF0" w:rsidP="0077354B">
      <w:pPr>
        <w:jc w:val="both"/>
        <w:rPr>
          <w:rFonts w:ascii="Courier New" w:hAnsi="Courier New" w:cs="Courier New"/>
          <w:b/>
        </w:rPr>
      </w:pPr>
    </w:p>
    <w:sectPr w:rsidR="00861EF0" w:rsidSect="002F0D01">
      <w:footerReference w:type="default" r:id="rId9"/>
      <w:pgSz w:w="12240" w:h="15840"/>
      <w:pgMar w:top="1440" w:right="1440" w:bottom="1440" w:left="1440" w:header="720" w:footer="432" w:gutter="0"/>
      <w:pgNumType w:start="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96" w:rsidRDefault="00E63596" w:rsidP="005D7D66">
      <w:r>
        <w:separator/>
      </w:r>
    </w:p>
  </w:endnote>
  <w:endnote w:type="continuationSeparator" w:id="0">
    <w:p w:rsidR="00E63596" w:rsidRDefault="00E63596" w:rsidP="005D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8A6" w:rsidRPr="002F0D01" w:rsidRDefault="002F0D01" w:rsidP="002F0D01">
    <w:pPr>
      <w:pStyle w:val="Footer"/>
      <w:jc w:val="center"/>
      <w:rPr>
        <w:rFonts w:ascii="Courier New" w:hAnsi="Courier New" w:cs="Courier New"/>
        <w:b/>
      </w:rPr>
    </w:pPr>
    <w:r w:rsidRPr="002F0D01">
      <w:rPr>
        <w:rFonts w:ascii="Courier New" w:hAnsi="Courier New" w:cs="Courier New"/>
        <w:b/>
      </w:rPr>
      <w:t>ATB 2018-</w:t>
    </w:r>
    <w:r w:rsidR="00C308A6" w:rsidRPr="002F0D01">
      <w:rPr>
        <w:rFonts w:ascii="Courier New" w:hAnsi="Courier New" w:cs="Courier New"/>
        <w:b/>
      </w:rPr>
      <w:fldChar w:fldCharType="begin"/>
    </w:r>
    <w:r w:rsidR="00C308A6" w:rsidRPr="002F0D01">
      <w:rPr>
        <w:rFonts w:ascii="Courier New" w:hAnsi="Courier New" w:cs="Courier New"/>
        <w:b/>
      </w:rPr>
      <w:instrText xml:space="preserve"> PAGE   \* MERGEFORMAT </w:instrText>
    </w:r>
    <w:r w:rsidR="00C308A6" w:rsidRPr="002F0D01">
      <w:rPr>
        <w:rFonts w:ascii="Courier New" w:hAnsi="Courier New" w:cs="Courier New"/>
        <w:b/>
      </w:rPr>
      <w:fldChar w:fldCharType="separate"/>
    </w:r>
    <w:r w:rsidR="00F6702F">
      <w:rPr>
        <w:rFonts w:ascii="Courier New" w:hAnsi="Courier New" w:cs="Courier New"/>
        <w:b/>
        <w:noProof/>
      </w:rPr>
      <w:t>72</w:t>
    </w:r>
    <w:r w:rsidR="00C308A6" w:rsidRPr="002F0D01">
      <w:rPr>
        <w:rFonts w:ascii="Courier New" w:hAnsi="Courier New" w:cs="Courier New"/>
        <w:b/>
        <w:noProof/>
      </w:rPr>
      <w:fldChar w:fldCharType="end"/>
    </w:r>
  </w:p>
  <w:p w:rsidR="00C308A6" w:rsidRDefault="00C30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96" w:rsidRDefault="00E63596" w:rsidP="005D7D66">
      <w:r>
        <w:separator/>
      </w:r>
    </w:p>
  </w:footnote>
  <w:footnote w:type="continuationSeparator" w:id="0">
    <w:p w:rsidR="00E63596" w:rsidRDefault="00E63596" w:rsidP="005D7D66">
      <w:r>
        <w:continuationSeparator/>
      </w:r>
    </w:p>
  </w:footnote>
  <w:footnote w:id="1">
    <w:p w:rsidR="0054205B" w:rsidRPr="00F91EC9" w:rsidRDefault="0054205B" w:rsidP="0054205B">
      <w:pPr>
        <w:pStyle w:val="FootnoteText"/>
        <w:jc w:val="both"/>
      </w:pPr>
      <w:r w:rsidRPr="00F91EC9">
        <w:rPr>
          <w:rStyle w:val="FootnoteReference"/>
          <w:rFonts w:ascii="Courier New" w:hAnsi="Courier New" w:cs="Courier New"/>
        </w:rPr>
        <w:footnoteRef/>
      </w:r>
      <w:r w:rsidRPr="00F91EC9">
        <w:rPr>
          <w:rFonts w:ascii="Courier New" w:hAnsi="Courier New" w:cs="Courier New"/>
        </w:rPr>
        <w:t> </w:t>
      </w:r>
      <w:r w:rsidRPr="00F91EC9">
        <w:rPr>
          <w:rFonts w:ascii="Courier New" w:hAnsi="Courier New" w:cs="Courier New"/>
          <w:color w:val="333333"/>
          <w:shd w:val="clear" w:color="auto" w:fill="FFFFFF"/>
        </w:rPr>
        <w:t xml:space="preserve">While Mr. Wolff included in his appraisal report </w:t>
      </w:r>
      <w:r w:rsidR="00D12993">
        <w:rPr>
          <w:rFonts w:ascii="Courier New" w:hAnsi="Courier New" w:cs="Courier New"/>
          <w:color w:val="333333"/>
          <w:shd w:val="clear" w:color="auto" w:fill="FFFFFF"/>
        </w:rPr>
        <w:t xml:space="preserve">a </w:t>
      </w:r>
      <w:r w:rsidRPr="00F91EC9">
        <w:rPr>
          <w:rFonts w:ascii="Courier New" w:hAnsi="Courier New" w:cs="Courier New"/>
          <w:color w:val="333333"/>
          <w:shd w:val="clear" w:color="auto" w:fill="FFFFFF"/>
        </w:rPr>
        <w:t>sales-comp</w:t>
      </w:r>
      <w:r w:rsidR="006D2770">
        <w:rPr>
          <w:rFonts w:ascii="Courier New" w:hAnsi="Courier New" w:cs="Courier New"/>
          <w:color w:val="333333"/>
          <w:shd w:val="clear" w:color="auto" w:fill="FFFFFF"/>
        </w:rPr>
        <w:t>arison analys</w:t>
      </w:r>
      <w:r w:rsidR="00D12993">
        <w:rPr>
          <w:rFonts w:ascii="Courier New" w:hAnsi="Courier New" w:cs="Courier New"/>
          <w:color w:val="333333"/>
          <w:shd w:val="clear" w:color="auto" w:fill="FFFFFF"/>
        </w:rPr>
        <w:t>i</w:t>
      </w:r>
      <w:r w:rsidR="006D2770">
        <w:rPr>
          <w:rFonts w:ascii="Courier New" w:hAnsi="Courier New" w:cs="Courier New"/>
          <w:color w:val="333333"/>
          <w:shd w:val="clear" w:color="auto" w:fill="FFFFFF"/>
        </w:rPr>
        <w:t xml:space="preserve">s for </w:t>
      </w:r>
      <w:r w:rsidR="00D12993">
        <w:rPr>
          <w:rFonts w:ascii="Courier New" w:hAnsi="Courier New" w:cs="Courier New"/>
          <w:color w:val="333333"/>
          <w:shd w:val="clear" w:color="auto" w:fill="FFFFFF"/>
        </w:rPr>
        <w:t xml:space="preserve">both of </w:t>
      </w:r>
      <w:r w:rsidR="00F9696F">
        <w:rPr>
          <w:rFonts w:ascii="Courier New" w:hAnsi="Courier New" w:cs="Courier New"/>
          <w:color w:val="333333"/>
          <w:shd w:val="clear" w:color="auto" w:fill="FFFFFF"/>
        </w:rPr>
        <w:t>the f</w:t>
      </w:r>
      <w:r w:rsidRPr="00F91EC9">
        <w:rPr>
          <w:rFonts w:ascii="Courier New" w:hAnsi="Courier New" w:cs="Courier New"/>
          <w:color w:val="333333"/>
          <w:shd w:val="clear" w:color="auto" w:fill="FFFFFF"/>
        </w:rPr>
        <w:t>iscal year</w:t>
      </w:r>
      <w:r w:rsidR="00F9696F">
        <w:rPr>
          <w:rFonts w:ascii="Courier New" w:hAnsi="Courier New" w:cs="Courier New"/>
          <w:color w:val="333333"/>
          <w:shd w:val="clear" w:color="auto" w:fill="FFFFFF"/>
        </w:rPr>
        <w:t>s at issue</w:t>
      </w:r>
      <w:r w:rsidRPr="00F91EC9">
        <w:rPr>
          <w:rFonts w:ascii="Courier New" w:hAnsi="Courier New" w:cs="Courier New"/>
          <w:color w:val="333333"/>
          <w:shd w:val="clear" w:color="auto" w:fill="FFFFFF"/>
        </w:rPr>
        <w:t>, he did not testify about this method, except to say that he did not rely on th</w:t>
      </w:r>
      <w:r>
        <w:rPr>
          <w:rFonts w:ascii="Courier New" w:hAnsi="Courier New" w:cs="Courier New"/>
          <w:color w:val="333333"/>
          <w:shd w:val="clear" w:color="auto" w:fill="FFFFFF"/>
        </w:rPr>
        <w:t>e sales-comparison approach</w:t>
      </w:r>
      <w:r w:rsidR="00F9696F">
        <w:rPr>
          <w:rFonts w:ascii="Courier New" w:hAnsi="Courier New" w:cs="Courier New"/>
          <w:color w:val="333333"/>
          <w:shd w:val="clear" w:color="auto" w:fill="FFFFFF"/>
        </w:rPr>
        <w:t>es</w:t>
      </w:r>
      <w:r>
        <w:rPr>
          <w:rFonts w:ascii="Courier New" w:hAnsi="Courier New" w:cs="Courier New"/>
          <w:color w:val="333333"/>
          <w:shd w:val="clear" w:color="auto" w:fill="FFFFFF"/>
        </w:rPr>
        <w:t xml:space="preserve"> or </w:t>
      </w:r>
      <w:r w:rsidR="00EA254F">
        <w:rPr>
          <w:rFonts w:ascii="Courier New" w:hAnsi="Courier New" w:cs="Courier New"/>
          <w:color w:val="333333"/>
          <w:shd w:val="clear" w:color="auto" w:fill="FFFFFF"/>
        </w:rPr>
        <w:t>the value</w:t>
      </w:r>
      <w:r w:rsidR="00F9696F">
        <w:rPr>
          <w:rFonts w:ascii="Courier New" w:hAnsi="Courier New" w:cs="Courier New"/>
          <w:color w:val="333333"/>
          <w:shd w:val="clear" w:color="auto" w:fill="FFFFFF"/>
        </w:rPr>
        <w:t>s</w:t>
      </w:r>
      <w:r w:rsidRPr="00F91EC9">
        <w:rPr>
          <w:rFonts w:ascii="Courier New" w:hAnsi="Courier New" w:cs="Courier New"/>
          <w:color w:val="333333"/>
          <w:shd w:val="clear" w:color="auto" w:fill="FFFFFF"/>
        </w:rPr>
        <w:t xml:space="preserve"> derived from t</w:t>
      </w:r>
      <w:r w:rsidR="00F9696F">
        <w:rPr>
          <w:rFonts w:ascii="Courier New" w:hAnsi="Courier New" w:cs="Courier New"/>
          <w:color w:val="333333"/>
          <w:shd w:val="clear" w:color="auto" w:fill="FFFFFF"/>
        </w:rPr>
        <w:t>hem</w:t>
      </w:r>
      <w:r w:rsidRPr="00F91EC9">
        <w:rPr>
          <w:rFonts w:ascii="Courier New" w:hAnsi="Courier New" w:cs="Courier New"/>
          <w:color w:val="333333"/>
          <w:shd w:val="clear" w:color="auto" w:fill="FFFFFF"/>
        </w:rPr>
        <w:t>. The Board, therefore, gave no weight to Mr. Wolff's sales-comparison approach</w:t>
      </w:r>
      <w:r w:rsidR="00F9696F">
        <w:rPr>
          <w:rFonts w:ascii="Courier New" w:hAnsi="Courier New" w:cs="Courier New"/>
          <w:color w:val="333333"/>
          <w:shd w:val="clear" w:color="auto" w:fill="FFFFFF"/>
        </w:rPr>
        <w:t>es</w:t>
      </w:r>
      <w:r w:rsidRPr="00F91EC9">
        <w:rPr>
          <w:rFonts w:ascii="Courier New" w:hAnsi="Courier New" w:cs="Courier New"/>
          <w:color w:val="333333"/>
          <w:shd w:val="clear" w:color="auto" w:fill="FFFFFF"/>
        </w:rPr>
        <w:t xml:space="preserve"> or to the estimate</w:t>
      </w:r>
      <w:r w:rsidR="00F9696F">
        <w:rPr>
          <w:rFonts w:ascii="Courier New" w:hAnsi="Courier New" w:cs="Courier New"/>
          <w:color w:val="333333"/>
          <w:shd w:val="clear" w:color="auto" w:fill="FFFFFF"/>
        </w:rPr>
        <w:t>s</w:t>
      </w:r>
      <w:r w:rsidRPr="00F91EC9">
        <w:rPr>
          <w:rFonts w:ascii="Courier New" w:hAnsi="Courier New" w:cs="Courier New"/>
          <w:color w:val="333333"/>
          <w:shd w:val="clear" w:color="auto" w:fill="FFFFFF"/>
        </w:rPr>
        <w:t xml:space="preserve"> of value obtained from </w:t>
      </w:r>
      <w:r w:rsidR="00F9696F">
        <w:rPr>
          <w:rFonts w:ascii="Courier New" w:hAnsi="Courier New" w:cs="Courier New"/>
          <w:color w:val="333333"/>
          <w:shd w:val="clear" w:color="auto" w:fill="FFFFFF"/>
        </w:rPr>
        <w:t>them</w:t>
      </w:r>
      <w:r w:rsidRPr="00F91EC9">
        <w:rPr>
          <w:rFonts w:ascii="Courier New" w:hAnsi="Courier New" w:cs="Courier New"/>
          <w:color w:val="333333"/>
          <w:shd w:val="clear" w:color="auto" w:fill="FFFFFF"/>
        </w:rPr>
        <w:t>. </w:t>
      </w:r>
    </w:p>
  </w:footnote>
  <w:footnote w:id="2">
    <w:p w:rsidR="00316496" w:rsidRDefault="00B97C4E" w:rsidP="00316496">
      <w:pPr>
        <w:jc w:val="both"/>
        <w:rPr>
          <w:rFonts w:ascii="Courier New" w:eastAsia="Times New Roman" w:hAnsi="Courier New" w:cs="Courier New"/>
          <w:szCs w:val="24"/>
        </w:rPr>
      </w:pPr>
      <w:r w:rsidRPr="007A0A61">
        <w:rPr>
          <w:rStyle w:val="FootnoteReference"/>
          <w:rFonts w:ascii="Courier New" w:hAnsi="Courier New" w:cs="Courier New"/>
          <w:sz w:val="20"/>
          <w:szCs w:val="20"/>
        </w:rPr>
        <w:footnoteRef/>
      </w:r>
      <w:r>
        <w:t xml:space="preserve"> </w:t>
      </w:r>
      <w:r w:rsidR="007A0A61">
        <w:t xml:space="preserve">   </w:t>
      </w:r>
      <w:r w:rsidRPr="008D0E5D">
        <w:rPr>
          <w:rFonts w:ascii="Courier New" w:eastAsia="Times New Roman" w:hAnsi="Courier New" w:cs="Courier New"/>
          <w:sz w:val="20"/>
          <w:szCs w:val="20"/>
        </w:rPr>
        <w:t xml:space="preserve">While Mr. Wolff calculated his </w:t>
      </w:r>
      <w:proofErr w:type="gramStart"/>
      <w:r w:rsidR="007A0A61" w:rsidRPr="008D0E5D">
        <w:rPr>
          <w:rFonts w:ascii="Courier New" w:eastAsia="Times New Roman" w:hAnsi="Courier New" w:cs="Courier New"/>
          <w:sz w:val="20"/>
          <w:szCs w:val="20"/>
        </w:rPr>
        <w:t>commissions</w:t>
      </w:r>
      <w:proofErr w:type="gramEnd"/>
      <w:r w:rsidRPr="008D0E5D">
        <w:rPr>
          <w:rFonts w:ascii="Courier New" w:eastAsia="Times New Roman" w:hAnsi="Courier New" w:cs="Courier New"/>
          <w:sz w:val="20"/>
          <w:szCs w:val="20"/>
        </w:rPr>
        <w:t xml:space="preserve"> expense as a </w:t>
      </w:r>
      <w:r w:rsidR="000D0067" w:rsidRPr="008D0E5D">
        <w:rPr>
          <w:rFonts w:ascii="Courier New" w:eastAsia="Times New Roman" w:hAnsi="Courier New" w:cs="Courier New"/>
          <w:sz w:val="20"/>
          <w:szCs w:val="20"/>
        </w:rPr>
        <w:t xml:space="preserve">percentage of </w:t>
      </w:r>
      <w:r w:rsidRPr="008D0E5D">
        <w:rPr>
          <w:rFonts w:ascii="Courier New" w:eastAsia="Times New Roman" w:hAnsi="Courier New" w:cs="Courier New"/>
          <w:sz w:val="20"/>
          <w:szCs w:val="20"/>
        </w:rPr>
        <w:t xml:space="preserve">PGI, the Board calculated this expense as a </w:t>
      </w:r>
      <w:r w:rsidR="000D0067" w:rsidRPr="008D0E5D">
        <w:rPr>
          <w:rFonts w:ascii="Courier New" w:eastAsia="Times New Roman" w:hAnsi="Courier New" w:cs="Courier New"/>
          <w:sz w:val="20"/>
          <w:szCs w:val="20"/>
        </w:rPr>
        <w:t xml:space="preserve">percentage of </w:t>
      </w:r>
      <w:r w:rsidRPr="008D0E5D">
        <w:rPr>
          <w:rFonts w:ascii="Courier New" w:eastAsia="Times New Roman" w:hAnsi="Courier New" w:cs="Courier New"/>
          <w:sz w:val="20"/>
          <w:szCs w:val="20"/>
        </w:rPr>
        <w:t>EGI.</w:t>
      </w:r>
    </w:p>
    <w:p w:rsidR="00B97C4E" w:rsidRPr="00B97C4E" w:rsidRDefault="00B97C4E" w:rsidP="00316496">
      <w:pPr>
        <w:jc w:val="both"/>
        <w:rPr>
          <w:rFonts w:eastAsia="Times New Roman"/>
          <w:szCs w:val="24"/>
        </w:rPr>
      </w:pPr>
      <w:r w:rsidRPr="00316496">
        <w:rPr>
          <w:rFonts w:ascii="Courier New" w:eastAsia="Times New Roman" w:hAnsi="Courier New" w:cs="Courier New"/>
          <w:szCs w:val="24"/>
        </w:rPr>
        <w:br/>
      </w:r>
      <w:r w:rsidRPr="00B97C4E">
        <w:rPr>
          <w:rFonts w:eastAsia="Times New Roman"/>
          <w:szCs w:val="24"/>
        </w:rPr>
        <w:br/>
      </w:r>
    </w:p>
    <w:p w:rsidR="00B97C4E" w:rsidRDefault="00B97C4E">
      <w:pPr>
        <w:pStyle w:val="FootnoteText"/>
      </w:pPr>
    </w:p>
  </w:footnote>
  <w:footnote w:id="3">
    <w:p w:rsidR="006B382B" w:rsidRDefault="006B382B" w:rsidP="006B382B">
      <w:pPr>
        <w:pStyle w:val="FootnoteText"/>
        <w:jc w:val="both"/>
      </w:pPr>
      <w:r w:rsidRPr="007A0A61">
        <w:rPr>
          <w:rStyle w:val="FootnoteReference"/>
          <w:rFonts w:ascii="Courier New" w:hAnsi="Courier New" w:cs="Courier New"/>
        </w:rPr>
        <w:footnoteRef/>
      </w:r>
      <w:r w:rsidRPr="007A0A61">
        <w:rPr>
          <w:rFonts w:ascii="Courier New" w:hAnsi="Courier New" w:cs="Courier New"/>
        </w:rPr>
        <w:t xml:space="preserve"> </w:t>
      </w:r>
      <w:r>
        <w:rPr>
          <w:rFonts w:ascii="Courier New" w:hAnsi="Courier New" w:cs="Courier New"/>
        </w:rPr>
        <w:t xml:space="preserve">Although Mr. Wolff recommended a leasing commission expense of 1% of PGI, the Board found that this cost should more properly be calculated as a percentage of EGI, which is the Board’s preferred methodology when not calculating this expense on a per-square-foot basis.  </w:t>
      </w:r>
      <w:r>
        <w:rPr>
          <w:rFonts w:ascii="Courier New" w:hAnsi="Courier New" w:cs="Courier New"/>
          <w:i/>
        </w:rPr>
        <w:t xml:space="preserve">See, e.g., </w:t>
      </w:r>
      <w:r w:rsidRPr="00A31EE7">
        <w:rPr>
          <w:rFonts w:ascii="Courier New" w:hAnsi="Courier New" w:cs="Courier New"/>
          <w:b/>
          <w:i/>
        </w:rPr>
        <w:t>Star Margit</w:t>
      </w:r>
      <w:r>
        <w:rPr>
          <w:rFonts w:ascii="Courier New" w:hAnsi="Courier New" w:cs="Courier New"/>
          <w:b/>
          <w:i/>
        </w:rPr>
        <w:t xml:space="preserve"> ETR v. Assessors of Woburn</w:t>
      </w:r>
      <w:r>
        <w:rPr>
          <w:rFonts w:ascii="Courier New" w:hAnsi="Courier New" w:cs="Courier New"/>
        </w:rPr>
        <w:t xml:space="preserve">, Mass. ATB Findings of Fact and Reports 2016-461, 473; </w:t>
      </w:r>
      <w:r>
        <w:rPr>
          <w:rFonts w:ascii="Courier New" w:hAnsi="Courier New" w:cs="Courier New"/>
          <w:b/>
          <w:i/>
        </w:rPr>
        <w:t>Benjamin Electric Supply Co., Inc. v. Assessors of Worcester</w:t>
      </w:r>
      <w:r>
        <w:rPr>
          <w:rFonts w:ascii="Courier New" w:hAnsi="Courier New" w:cs="Courier New"/>
        </w:rPr>
        <w:t xml:space="preserve">, Mass. ATB Findings of Fact and Reports 2001-788, 794-98 (adopting the assessors income-capitalization methodology that includes a leasing commission expense </w:t>
      </w:r>
      <w:r w:rsidRPr="00E56A82">
        <w:rPr>
          <w:rFonts w:ascii="Courier New" w:hAnsi="Courier New" w:cs="Courier New"/>
        </w:rPr>
        <w:t xml:space="preserve">of 5% of EGI).  The Board noted that leasing commissions are dependent on occupancy </w:t>
      </w:r>
      <w:r>
        <w:rPr>
          <w:rFonts w:ascii="Courier New" w:hAnsi="Courier New" w:cs="Courier New"/>
        </w:rPr>
        <w:t xml:space="preserve">and are therefore </w:t>
      </w:r>
      <w:r w:rsidRPr="00E56A82">
        <w:rPr>
          <w:rFonts w:ascii="Courier New" w:hAnsi="Courier New" w:cs="Courier New"/>
        </w:rPr>
        <w:t>variable as opposed to fixed expenses.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D20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81377"/>
    <w:multiLevelType w:val="hybridMultilevel"/>
    <w:tmpl w:val="0F78DD6E"/>
    <w:lvl w:ilvl="0" w:tplc="2D00A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517A2"/>
    <w:multiLevelType w:val="hybridMultilevel"/>
    <w:tmpl w:val="F74E0A94"/>
    <w:lvl w:ilvl="0" w:tplc="681C6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90C17"/>
    <w:multiLevelType w:val="hybridMultilevel"/>
    <w:tmpl w:val="32A44A3C"/>
    <w:lvl w:ilvl="0" w:tplc="4FD87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E1312"/>
    <w:multiLevelType w:val="hybridMultilevel"/>
    <w:tmpl w:val="FBA6C2F2"/>
    <w:lvl w:ilvl="0" w:tplc="418C0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E7CEA"/>
    <w:multiLevelType w:val="hybridMultilevel"/>
    <w:tmpl w:val="5614CD9E"/>
    <w:lvl w:ilvl="0" w:tplc="ACA00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511CBB"/>
    <w:multiLevelType w:val="hybridMultilevel"/>
    <w:tmpl w:val="30687894"/>
    <w:lvl w:ilvl="0" w:tplc="219EF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F17033"/>
    <w:multiLevelType w:val="hybridMultilevel"/>
    <w:tmpl w:val="EC703740"/>
    <w:lvl w:ilvl="0" w:tplc="A4B08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746DC"/>
    <w:multiLevelType w:val="hybridMultilevel"/>
    <w:tmpl w:val="38F2F73A"/>
    <w:lvl w:ilvl="0" w:tplc="1BD28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30AC5"/>
    <w:multiLevelType w:val="hybridMultilevel"/>
    <w:tmpl w:val="85C08000"/>
    <w:lvl w:ilvl="0" w:tplc="511E3E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667E4"/>
    <w:multiLevelType w:val="hybridMultilevel"/>
    <w:tmpl w:val="6D1AFD12"/>
    <w:lvl w:ilvl="0" w:tplc="1D5A7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86100C"/>
    <w:multiLevelType w:val="hybridMultilevel"/>
    <w:tmpl w:val="23AE0C20"/>
    <w:lvl w:ilvl="0" w:tplc="AA78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1"/>
  </w:num>
  <w:num w:numId="4">
    <w:abstractNumId w:val="5"/>
  </w:num>
  <w:num w:numId="5">
    <w:abstractNumId w:val="4"/>
  </w:num>
  <w:num w:numId="6">
    <w:abstractNumId w:val="8"/>
  </w:num>
  <w:num w:numId="7">
    <w:abstractNumId w:val="10"/>
  </w:num>
  <w:num w:numId="8">
    <w:abstractNumId w:val="6"/>
  </w:num>
  <w:num w:numId="9">
    <w:abstractNumId w:val="7"/>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66"/>
    <w:rsid w:val="00004286"/>
    <w:rsid w:val="00004908"/>
    <w:rsid w:val="000070F5"/>
    <w:rsid w:val="00012473"/>
    <w:rsid w:val="000156F5"/>
    <w:rsid w:val="0001578A"/>
    <w:rsid w:val="000201A0"/>
    <w:rsid w:val="00025018"/>
    <w:rsid w:val="0002641C"/>
    <w:rsid w:val="0002744E"/>
    <w:rsid w:val="000330AB"/>
    <w:rsid w:val="00040236"/>
    <w:rsid w:val="000411D4"/>
    <w:rsid w:val="00041455"/>
    <w:rsid w:val="00047A10"/>
    <w:rsid w:val="000505AE"/>
    <w:rsid w:val="00055B61"/>
    <w:rsid w:val="00066084"/>
    <w:rsid w:val="000673B2"/>
    <w:rsid w:val="000732C5"/>
    <w:rsid w:val="00074A99"/>
    <w:rsid w:val="00077DBE"/>
    <w:rsid w:val="00085B64"/>
    <w:rsid w:val="00087BFA"/>
    <w:rsid w:val="00090B65"/>
    <w:rsid w:val="00092B31"/>
    <w:rsid w:val="0009683F"/>
    <w:rsid w:val="000A3C92"/>
    <w:rsid w:val="000A54F0"/>
    <w:rsid w:val="000B0A01"/>
    <w:rsid w:val="000B3645"/>
    <w:rsid w:val="000B3ADE"/>
    <w:rsid w:val="000B521C"/>
    <w:rsid w:val="000B5A59"/>
    <w:rsid w:val="000C59B9"/>
    <w:rsid w:val="000C5FB1"/>
    <w:rsid w:val="000C78EC"/>
    <w:rsid w:val="000D0067"/>
    <w:rsid w:val="000D2056"/>
    <w:rsid w:val="000D425B"/>
    <w:rsid w:val="000D48E3"/>
    <w:rsid w:val="000D48F0"/>
    <w:rsid w:val="000D6CD0"/>
    <w:rsid w:val="000E1A0E"/>
    <w:rsid w:val="000E2252"/>
    <w:rsid w:val="000E5C2A"/>
    <w:rsid w:val="000F0432"/>
    <w:rsid w:val="000F2766"/>
    <w:rsid w:val="000F44D8"/>
    <w:rsid w:val="000F58ED"/>
    <w:rsid w:val="000F5D53"/>
    <w:rsid w:val="000F6DD5"/>
    <w:rsid w:val="00102191"/>
    <w:rsid w:val="00102640"/>
    <w:rsid w:val="001162CB"/>
    <w:rsid w:val="00116C81"/>
    <w:rsid w:val="001215E3"/>
    <w:rsid w:val="0012316D"/>
    <w:rsid w:val="00126098"/>
    <w:rsid w:val="00126C95"/>
    <w:rsid w:val="00130801"/>
    <w:rsid w:val="00140CBC"/>
    <w:rsid w:val="00142BD7"/>
    <w:rsid w:val="00143D60"/>
    <w:rsid w:val="00144DBD"/>
    <w:rsid w:val="00145C95"/>
    <w:rsid w:val="00146F30"/>
    <w:rsid w:val="00166859"/>
    <w:rsid w:val="00167DE6"/>
    <w:rsid w:val="001702C3"/>
    <w:rsid w:val="00171C9D"/>
    <w:rsid w:val="001733BF"/>
    <w:rsid w:val="00176143"/>
    <w:rsid w:val="001769F3"/>
    <w:rsid w:val="00181AF6"/>
    <w:rsid w:val="00187AE7"/>
    <w:rsid w:val="00190CCD"/>
    <w:rsid w:val="001B5017"/>
    <w:rsid w:val="001C0396"/>
    <w:rsid w:val="001C22AD"/>
    <w:rsid w:val="001C3227"/>
    <w:rsid w:val="001C6D06"/>
    <w:rsid w:val="001C753E"/>
    <w:rsid w:val="001D24CE"/>
    <w:rsid w:val="001D33CC"/>
    <w:rsid w:val="001D698E"/>
    <w:rsid w:val="001D7BD6"/>
    <w:rsid w:val="001F135A"/>
    <w:rsid w:val="001F192C"/>
    <w:rsid w:val="001F2C38"/>
    <w:rsid w:val="001F4495"/>
    <w:rsid w:val="001F46A5"/>
    <w:rsid w:val="001F4E6A"/>
    <w:rsid w:val="00202417"/>
    <w:rsid w:val="00204DD9"/>
    <w:rsid w:val="00206A1F"/>
    <w:rsid w:val="00206AE1"/>
    <w:rsid w:val="00207A4D"/>
    <w:rsid w:val="00207A87"/>
    <w:rsid w:val="00210146"/>
    <w:rsid w:val="002120D5"/>
    <w:rsid w:val="00212510"/>
    <w:rsid w:val="0021465B"/>
    <w:rsid w:val="00215224"/>
    <w:rsid w:val="00216C5E"/>
    <w:rsid w:val="0022377B"/>
    <w:rsid w:val="0022634F"/>
    <w:rsid w:val="00233A10"/>
    <w:rsid w:val="002353A8"/>
    <w:rsid w:val="002364A0"/>
    <w:rsid w:val="002478C6"/>
    <w:rsid w:val="00252C3F"/>
    <w:rsid w:val="0025302F"/>
    <w:rsid w:val="00257C8E"/>
    <w:rsid w:val="00261F38"/>
    <w:rsid w:val="00267AC1"/>
    <w:rsid w:val="00272DB9"/>
    <w:rsid w:val="00273B02"/>
    <w:rsid w:val="00274F1E"/>
    <w:rsid w:val="002841E1"/>
    <w:rsid w:val="0028521C"/>
    <w:rsid w:val="002852F1"/>
    <w:rsid w:val="00285AB9"/>
    <w:rsid w:val="002863B5"/>
    <w:rsid w:val="00286A64"/>
    <w:rsid w:val="00286D68"/>
    <w:rsid w:val="00287880"/>
    <w:rsid w:val="00293F6E"/>
    <w:rsid w:val="0029572F"/>
    <w:rsid w:val="00295E5A"/>
    <w:rsid w:val="002A504D"/>
    <w:rsid w:val="002A7997"/>
    <w:rsid w:val="002B095A"/>
    <w:rsid w:val="002B0C10"/>
    <w:rsid w:val="002B20EE"/>
    <w:rsid w:val="002B3AD7"/>
    <w:rsid w:val="002B3C19"/>
    <w:rsid w:val="002B4FEA"/>
    <w:rsid w:val="002B7C75"/>
    <w:rsid w:val="002C1FE1"/>
    <w:rsid w:val="002C4C4D"/>
    <w:rsid w:val="002C6FB7"/>
    <w:rsid w:val="002D605A"/>
    <w:rsid w:val="002D7845"/>
    <w:rsid w:val="002E0387"/>
    <w:rsid w:val="002E55B9"/>
    <w:rsid w:val="002E6D85"/>
    <w:rsid w:val="002F0D01"/>
    <w:rsid w:val="002F4A79"/>
    <w:rsid w:val="002F75EA"/>
    <w:rsid w:val="002F78D8"/>
    <w:rsid w:val="003009F7"/>
    <w:rsid w:val="00301128"/>
    <w:rsid w:val="00301784"/>
    <w:rsid w:val="0030247B"/>
    <w:rsid w:val="00304ACB"/>
    <w:rsid w:val="003057CE"/>
    <w:rsid w:val="00306EA1"/>
    <w:rsid w:val="0030788E"/>
    <w:rsid w:val="00316496"/>
    <w:rsid w:val="003221A9"/>
    <w:rsid w:val="00323AAB"/>
    <w:rsid w:val="00325A6A"/>
    <w:rsid w:val="00326780"/>
    <w:rsid w:val="00327489"/>
    <w:rsid w:val="00327AEE"/>
    <w:rsid w:val="00335A71"/>
    <w:rsid w:val="003413B3"/>
    <w:rsid w:val="003450B4"/>
    <w:rsid w:val="00347327"/>
    <w:rsid w:val="00347A62"/>
    <w:rsid w:val="00356F66"/>
    <w:rsid w:val="00366799"/>
    <w:rsid w:val="00366BBE"/>
    <w:rsid w:val="003707E4"/>
    <w:rsid w:val="003738C8"/>
    <w:rsid w:val="00377238"/>
    <w:rsid w:val="003779E9"/>
    <w:rsid w:val="00380C96"/>
    <w:rsid w:val="00383BFE"/>
    <w:rsid w:val="003904F1"/>
    <w:rsid w:val="003932F6"/>
    <w:rsid w:val="00393937"/>
    <w:rsid w:val="00393A99"/>
    <w:rsid w:val="0039566C"/>
    <w:rsid w:val="003962EE"/>
    <w:rsid w:val="0039686B"/>
    <w:rsid w:val="00397FFA"/>
    <w:rsid w:val="003A0739"/>
    <w:rsid w:val="003A2F6A"/>
    <w:rsid w:val="003A3058"/>
    <w:rsid w:val="003A33A4"/>
    <w:rsid w:val="003A3A17"/>
    <w:rsid w:val="003A3D5A"/>
    <w:rsid w:val="003A66FB"/>
    <w:rsid w:val="003B31EF"/>
    <w:rsid w:val="003B4190"/>
    <w:rsid w:val="003B51D5"/>
    <w:rsid w:val="003B59BD"/>
    <w:rsid w:val="003B6446"/>
    <w:rsid w:val="003B6FD0"/>
    <w:rsid w:val="003C1CFF"/>
    <w:rsid w:val="003D12BA"/>
    <w:rsid w:val="003D5BFE"/>
    <w:rsid w:val="003D6659"/>
    <w:rsid w:val="003D79A7"/>
    <w:rsid w:val="003E03A8"/>
    <w:rsid w:val="003E16BF"/>
    <w:rsid w:val="003E4D4B"/>
    <w:rsid w:val="003E50A0"/>
    <w:rsid w:val="003E623D"/>
    <w:rsid w:val="003F1847"/>
    <w:rsid w:val="003F2D56"/>
    <w:rsid w:val="00410459"/>
    <w:rsid w:val="0041077F"/>
    <w:rsid w:val="00412B96"/>
    <w:rsid w:val="00415711"/>
    <w:rsid w:val="00415BE0"/>
    <w:rsid w:val="004224EF"/>
    <w:rsid w:val="004253F1"/>
    <w:rsid w:val="00425533"/>
    <w:rsid w:val="00426EBC"/>
    <w:rsid w:val="00430958"/>
    <w:rsid w:val="004310F2"/>
    <w:rsid w:val="0043667D"/>
    <w:rsid w:val="004376B3"/>
    <w:rsid w:val="00445502"/>
    <w:rsid w:val="004526E1"/>
    <w:rsid w:val="00452BE1"/>
    <w:rsid w:val="00457AA7"/>
    <w:rsid w:val="00464CDA"/>
    <w:rsid w:val="004671C9"/>
    <w:rsid w:val="004701F9"/>
    <w:rsid w:val="00475516"/>
    <w:rsid w:val="00476BD4"/>
    <w:rsid w:val="00480F15"/>
    <w:rsid w:val="00485CAF"/>
    <w:rsid w:val="00495DC7"/>
    <w:rsid w:val="004A0E0D"/>
    <w:rsid w:val="004A37AA"/>
    <w:rsid w:val="004A5802"/>
    <w:rsid w:val="004A751C"/>
    <w:rsid w:val="004B0AAC"/>
    <w:rsid w:val="004B2008"/>
    <w:rsid w:val="004C0C70"/>
    <w:rsid w:val="004C0E53"/>
    <w:rsid w:val="004C10A7"/>
    <w:rsid w:val="004D4B89"/>
    <w:rsid w:val="004D5B1F"/>
    <w:rsid w:val="004E0B1B"/>
    <w:rsid w:val="004E44FE"/>
    <w:rsid w:val="004E6AF5"/>
    <w:rsid w:val="004E7354"/>
    <w:rsid w:val="004F259A"/>
    <w:rsid w:val="00501A54"/>
    <w:rsid w:val="00501EE2"/>
    <w:rsid w:val="00503613"/>
    <w:rsid w:val="00506A27"/>
    <w:rsid w:val="00522B2F"/>
    <w:rsid w:val="00525BF8"/>
    <w:rsid w:val="00526A96"/>
    <w:rsid w:val="0053164B"/>
    <w:rsid w:val="0053291C"/>
    <w:rsid w:val="00532B3F"/>
    <w:rsid w:val="0054205B"/>
    <w:rsid w:val="00542256"/>
    <w:rsid w:val="00543E08"/>
    <w:rsid w:val="00546B87"/>
    <w:rsid w:val="0055203A"/>
    <w:rsid w:val="005545AC"/>
    <w:rsid w:val="00555ED9"/>
    <w:rsid w:val="00562C49"/>
    <w:rsid w:val="00564A19"/>
    <w:rsid w:val="00593FBC"/>
    <w:rsid w:val="005A01DA"/>
    <w:rsid w:val="005A410A"/>
    <w:rsid w:val="005A425C"/>
    <w:rsid w:val="005A4896"/>
    <w:rsid w:val="005A4FE6"/>
    <w:rsid w:val="005A62E6"/>
    <w:rsid w:val="005B23C6"/>
    <w:rsid w:val="005B5027"/>
    <w:rsid w:val="005B7D36"/>
    <w:rsid w:val="005C3095"/>
    <w:rsid w:val="005C3604"/>
    <w:rsid w:val="005C6190"/>
    <w:rsid w:val="005C6CBA"/>
    <w:rsid w:val="005C7E52"/>
    <w:rsid w:val="005D021F"/>
    <w:rsid w:val="005D02A9"/>
    <w:rsid w:val="005D04F1"/>
    <w:rsid w:val="005D066A"/>
    <w:rsid w:val="005D2FBA"/>
    <w:rsid w:val="005D6819"/>
    <w:rsid w:val="005D7D66"/>
    <w:rsid w:val="005E3117"/>
    <w:rsid w:val="005E4C01"/>
    <w:rsid w:val="005E7186"/>
    <w:rsid w:val="005F699A"/>
    <w:rsid w:val="0060020F"/>
    <w:rsid w:val="006016CD"/>
    <w:rsid w:val="0060188C"/>
    <w:rsid w:val="00601E0B"/>
    <w:rsid w:val="00602678"/>
    <w:rsid w:val="00604A4D"/>
    <w:rsid w:val="00606F41"/>
    <w:rsid w:val="00607EBE"/>
    <w:rsid w:val="006103DC"/>
    <w:rsid w:val="0061120F"/>
    <w:rsid w:val="006124AC"/>
    <w:rsid w:val="00614242"/>
    <w:rsid w:val="0063091F"/>
    <w:rsid w:val="0063357B"/>
    <w:rsid w:val="00634424"/>
    <w:rsid w:val="00634FF4"/>
    <w:rsid w:val="00637394"/>
    <w:rsid w:val="00646935"/>
    <w:rsid w:val="00651E8F"/>
    <w:rsid w:val="0065658B"/>
    <w:rsid w:val="006611D6"/>
    <w:rsid w:val="00662EDE"/>
    <w:rsid w:val="00663AA8"/>
    <w:rsid w:val="00665F8D"/>
    <w:rsid w:val="006660A3"/>
    <w:rsid w:val="006716AF"/>
    <w:rsid w:val="00675E50"/>
    <w:rsid w:val="00675ECC"/>
    <w:rsid w:val="00687EAE"/>
    <w:rsid w:val="00692F54"/>
    <w:rsid w:val="00696F05"/>
    <w:rsid w:val="00697CE8"/>
    <w:rsid w:val="006A2756"/>
    <w:rsid w:val="006A2FB5"/>
    <w:rsid w:val="006A6BED"/>
    <w:rsid w:val="006A702C"/>
    <w:rsid w:val="006A7E26"/>
    <w:rsid w:val="006B06A9"/>
    <w:rsid w:val="006B2BDD"/>
    <w:rsid w:val="006B382B"/>
    <w:rsid w:val="006B6C7F"/>
    <w:rsid w:val="006B7ECF"/>
    <w:rsid w:val="006C2244"/>
    <w:rsid w:val="006C27AE"/>
    <w:rsid w:val="006D2770"/>
    <w:rsid w:val="006D2E12"/>
    <w:rsid w:val="006D3C52"/>
    <w:rsid w:val="006D5FC9"/>
    <w:rsid w:val="006D6AF2"/>
    <w:rsid w:val="006E4353"/>
    <w:rsid w:val="006E4384"/>
    <w:rsid w:val="006E5E40"/>
    <w:rsid w:val="006F0578"/>
    <w:rsid w:val="006F1190"/>
    <w:rsid w:val="006F26F0"/>
    <w:rsid w:val="006F5ABD"/>
    <w:rsid w:val="006F66AC"/>
    <w:rsid w:val="006F7605"/>
    <w:rsid w:val="006F7D9B"/>
    <w:rsid w:val="007018D2"/>
    <w:rsid w:val="00703DBF"/>
    <w:rsid w:val="007076E7"/>
    <w:rsid w:val="00711F22"/>
    <w:rsid w:val="00713E6A"/>
    <w:rsid w:val="00717F1E"/>
    <w:rsid w:val="007239A0"/>
    <w:rsid w:val="007263F1"/>
    <w:rsid w:val="00730A35"/>
    <w:rsid w:val="00741AAF"/>
    <w:rsid w:val="00744702"/>
    <w:rsid w:val="0074777B"/>
    <w:rsid w:val="0075712E"/>
    <w:rsid w:val="0075755E"/>
    <w:rsid w:val="0076249F"/>
    <w:rsid w:val="007651B2"/>
    <w:rsid w:val="007661F2"/>
    <w:rsid w:val="00770A2F"/>
    <w:rsid w:val="00772D50"/>
    <w:rsid w:val="0077354B"/>
    <w:rsid w:val="00773B95"/>
    <w:rsid w:val="00774D73"/>
    <w:rsid w:val="00775E20"/>
    <w:rsid w:val="00781803"/>
    <w:rsid w:val="0078626F"/>
    <w:rsid w:val="00793A1A"/>
    <w:rsid w:val="00796C6B"/>
    <w:rsid w:val="007A0A61"/>
    <w:rsid w:val="007A0D26"/>
    <w:rsid w:val="007A6A15"/>
    <w:rsid w:val="007B0590"/>
    <w:rsid w:val="007B372A"/>
    <w:rsid w:val="007C2C1B"/>
    <w:rsid w:val="007C5E2D"/>
    <w:rsid w:val="007C6A2F"/>
    <w:rsid w:val="007D079D"/>
    <w:rsid w:val="007D5AFD"/>
    <w:rsid w:val="007D636E"/>
    <w:rsid w:val="007E01EF"/>
    <w:rsid w:val="007E47C6"/>
    <w:rsid w:val="007E5F84"/>
    <w:rsid w:val="007E61ED"/>
    <w:rsid w:val="007F196C"/>
    <w:rsid w:val="007F48D4"/>
    <w:rsid w:val="007F4B3A"/>
    <w:rsid w:val="007F5CB9"/>
    <w:rsid w:val="007F654B"/>
    <w:rsid w:val="00800BE0"/>
    <w:rsid w:val="00802DBC"/>
    <w:rsid w:val="008056E0"/>
    <w:rsid w:val="00811811"/>
    <w:rsid w:val="0082034E"/>
    <w:rsid w:val="00822EA0"/>
    <w:rsid w:val="008239B2"/>
    <w:rsid w:val="00823DDB"/>
    <w:rsid w:val="00826020"/>
    <w:rsid w:val="00830EC0"/>
    <w:rsid w:val="0083202F"/>
    <w:rsid w:val="0084107C"/>
    <w:rsid w:val="00844EAB"/>
    <w:rsid w:val="00847FF2"/>
    <w:rsid w:val="00850A64"/>
    <w:rsid w:val="00851A2E"/>
    <w:rsid w:val="0086195F"/>
    <w:rsid w:val="00861EF0"/>
    <w:rsid w:val="0086480A"/>
    <w:rsid w:val="00867CA3"/>
    <w:rsid w:val="00885018"/>
    <w:rsid w:val="008909A3"/>
    <w:rsid w:val="00892751"/>
    <w:rsid w:val="00897FB3"/>
    <w:rsid w:val="008A22AF"/>
    <w:rsid w:val="008A2D2D"/>
    <w:rsid w:val="008A4251"/>
    <w:rsid w:val="008B047A"/>
    <w:rsid w:val="008C342C"/>
    <w:rsid w:val="008C5717"/>
    <w:rsid w:val="008C7CDF"/>
    <w:rsid w:val="008D0020"/>
    <w:rsid w:val="008D0E5D"/>
    <w:rsid w:val="008D1B44"/>
    <w:rsid w:val="008D1C5E"/>
    <w:rsid w:val="008D2ED3"/>
    <w:rsid w:val="008D3FF1"/>
    <w:rsid w:val="008D6DC0"/>
    <w:rsid w:val="008E191F"/>
    <w:rsid w:val="008E65F0"/>
    <w:rsid w:val="008F7713"/>
    <w:rsid w:val="009032F1"/>
    <w:rsid w:val="00905F04"/>
    <w:rsid w:val="00906F85"/>
    <w:rsid w:val="00907070"/>
    <w:rsid w:val="0090737D"/>
    <w:rsid w:val="00911615"/>
    <w:rsid w:val="00914117"/>
    <w:rsid w:val="0091634A"/>
    <w:rsid w:val="00923FEC"/>
    <w:rsid w:val="0092643D"/>
    <w:rsid w:val="00934532"/>
    <w:rsid w:val="00942816"/>
    <w:rsid w:val="00946A7A"/>
    <w:rsid w:val="00954694"/>
    <w:rsid w:val="00955111"/>
    <w:rsid w:val="00955817"/>
    <w:rsid w:val="00956DC5"/>
    <w:rsid w:val="009665DC"/>
    <w:rsid w:val="009716CA"/>
    <w:rsid w:val="00971B12"/>
    <w:rsid w:val="00974194"/>
    <w:rsid w:val="0097548C"/>
    <w:rsid w:val="00976D7E"/>
    <w:rsid w:val="00980FD0"/>
    <w:rsid w:val="009836F1"/>
    <w:rsid w:val="00990178"/>
    <w:rsid w:val="0099352D"/>
    <w:rsid w:val="0099756B"/>
    <w:rsid w:val="009A2697"/>
    <w:rsid w:val="009B135D"/>
    <w:rsid w:val="009B1BA7"/>
    <w:rsid w:val="009B255F"/>
    <w:rsid w:val="009B2FC2"/>
    <w:rsid w:val="009B3B0B"/>
    <w:rsid w:val="009B57F7"/>
    <w:rsid w:val="009C498E"/>
    <w:rsid w:val="009C5E4B"/>
    <w:rsid w:val="009D549A"/>
    <w:rsid w:val="009D616E"/>
    <w:rsid w:val="009E5CD1"/>
    <w:rsid w:val="009E65F2"/>
    <w:rsid w:val="009F0519"/>
    <w:rsid w:val="009F6C06"/>
    <w:rsid w:val="009F77DE"/>
    <w:rsid w:val="00A04442"/>
    <w:rsid w:val="00A04C57"/>
    <w:rsid w:val="00A10EA7"/>
    <w:rsid w:val="00A11844"/>
    <w:rsid w:val="00A120CE"/>
    <w:rsid w:val="00A12A76"/>
    <w:rsid w:val="00A136E6"/>
    <w:rsid w:val="00A13821"/>
    <w:rsid w:val="00A14021"/>
    <w:rsid w:val="00A159DD"/>
    <w:rsid w:val="00A211E5"/>
    <w:rsid w:val="00A25648"/>
    <w:rsid w:val="00A27B31"/>
    <w:rsid w:val="00A30DA3"/>
    <w:rsid w:val="00A347E1"/>
    <w:rsid w:val="00A36B37"/>
    <w:rsid w:val="00A46EA0"/>
    <w:rsid w:val="00A53517"/>
    <w:rsid w:val="00A5450F"/>
    <w:rsid w:val="00A55FED"/>
    <w:rsid w:val="00A60447"/>
    <w:rsid w:val="00A633B0"/>
    <w:rsid w:val="00A723AB"/>
    <w:rsid w:val="00A82B21"/>
    <w:rsid w:val="00A83C26"/>
    <w:rsid w:val="00A8432E"/>
    <w:rsid w:val="00A93742"/>
    <w:rsid w:val="00A94BDF"/>
    <w:rsid w:val="00AA2A3C"/>
    <w:rsid w:val="00AA6A24"/>
    <w:rsid w:val="00AA7548"/>
    <w:rsid w:val="00AB00BB"/>
    <w:rsid w:val="00AB5A63"/>
    <w:rsid w:val="00AD1988"/>
    <w:rsid w:val="00AD1E3B"/>
    <w:rsid w:val="00AD2CE0"/>
    <w:rsid w:val="00AD3C91"/>
    <w:rsid w:val="00AD5552"/>
    <w:rsid w:val="00AD77C2"/>
    <w:rsid w:val="00AE18F9"/>
    <w:rsid w:val="00AE5425"/>
    <w:rsid w:val="00AE6C0B"/>
    <w:rsid w:val="00AF0E37"/>
    <w:rsid w:val="00AF1D28"/>
    <w:rsid w:val="00AF409A"/>
    <w:rsid w:val="00AF4D72"/>
    <w:rsid w:val="00AF59BB"/>
    <w:rsid w:val="00B0138C"/>
    <w:rsid w:val="00B0263F"/>
    <w:rsid w:val="00B04086"/>
    <w:rsid w:val="00B0456D"/>
    <w:rsid w:val="00B07B8E"/>
    <w:rsid w:val="00B07F5F"/>
    <w:rsid w:val="00B118A0"/>
    <w:rsid w:val="00B12F45"/>
    <w:rsid w:val="00B14DA8"/>
    <w:rsid w:val="00B17F3E"/>
    <w:rsid w:val="00B22358"/>
    <w:rsid w:val="00B2294F"/>
    <w:rsid w:val="00B27DC4"/>
    <w:rsid w:val="00B33BEC"/>
    <w:rsid w:val="00B33CDE"/>
    <w:rsid w:val="00B4023F"/>
    <w:rsid w:val="00B414F8"/>
    <w:rsid w:val="00B55D7E"/>
    <w:rsid w:val="00B5768C"/>
    <w:rsid w:val="00B603FA"/>
    <w:rsid w:val="00B64107"/>
    <w:rsid w:val="00B65DC0"/>
    <w:rsid w:val="00B6675B"/>
    <w:rsid w:val="00B6683E"/>
    <w:rsid w:val="00B6746C"/>
    <w:rsid w:val="00B713C8"/>
    <w:rsid w:val="00B752E6"/>
    <w:rsid w:val="00B76B81"/>
    <w:rsid w:val="00B81FE5"/>
    <w:rsid w:val="00B84D60"/>
    <w:rsid w:val="00B87E9A"/>
    <w:rsid w:val="00B96AD3"/>
    <w:rsid w:val="00B97C4E"/>
    <w:rsid w:val="00BA1A68"/>
    <w:rsid w:val="00BA4F1A"/>
    <w:rsid w:val="00BB20B1"/>
    <w:rsid w:val="00BB3E87"/>
    <w:rsid w:val="00BB73B0"/>
    <w:rsid w:val="00BC01A2"/>
    <w:rsid w:val="00BC37D2"/>
    <w:rsid w:val="00BC6526"/>
    <w:rsid w:val="00BD73F7"/>
    <w:rsid w:val="00BE05F2"/>
    <w:rsid w:val="00BE224D"/>
    <w:rsid w:val="00BE2DE3"/>
    <w:rsid w:val="00BE32B5"/>
    <w:rsid w:val="00BE6708"/>
    <w:rsid w:val="00BE7EC0"/>
    <w:rsid w:val="00BF33E0"/>
    <w:rsid w:val="00BF4E3D"/>
    <w:rsid w:val="00BF4F3D"/>
    <w:rsid w:val="00BF5B4A"/>
    <w:rsid w:val="00BF66F0"/>
    <w:rsid w:val="00C1371A"/>
    <w:rsid w:val="00C14331"/>
    <w:rsid w:val="00C20BFE"/>
    <w:rsid w:val="00C2605E"/>
    <w:rsid w:val="00C2638E"/>
    <w:rsid w:val="00C308A6"/>
    <w:rsid w:val="00C378C6"/>
    <w:rsid w:val="00C41994"/>
    <w:rsid w:val="00C46770"/>
    <w:rsid w:val="00C5174F"/>
    <w:rsid w:val="00C549CE"/>
    <w:rsid w:val="00C54EC9"/>
    <w:rsid w:val="00C571EF"/>
    <w:rsid w:val="00C63E49"/>
    <w:rsid w:val="00C66422"/>
    <w:rsid w:val="00C7195E"/>
    <w:rsid w:val="00C71E39"/>
    <w:rsid w:val="00C74390"/>
    <w:rsid w:val="00C751EF"/>
    <w:rsid w:val="00C769B8"/>
    <w:rsid w:val="00C81F26"/>
    <w:rsid w:val="00C85EA2"/>
    <w:rsid w:val="00C86922"/>
    <w:rsid w:val="00C872CF"/>
    <w:rsid w:val="00C87B11"/>
    <w:rsid w:val="00C92566"/>
    <w:rsid w:val="00C965D2"/>
    <w:rsid w:val="00C96EF9"/>
    <w:rsid w:val="00CA37BD"/>
    <w:rsid w:val="00CA76BF"/>
    <w:rsid w:val="00CB1E7D"/>
    <w:rsid w:val="00CB38BB"/>
    <w:rsid w:val="00CB5235"/>
    <w:rsid w:val="00CC0734"/>
    <w:rsid w:val="00CC0D26"/>
    <w:rsid w:val="00CC10D8"/>
    <w:rsid w:val="00CC2EB5"/>
    <w:rsid w:val="00CC5ADD"/>
    <w:rsid w:val="00CE0896"/>
    <w:rsid w:val="00CE274B"/>
    <w:rsid w:val="00CE4324"/>
    <w:rsid w:val="00CE4D74"/>
    <w:rsid w:val="00CE7C26"/>
    <w:rsid w:val="00CF3F70"/>
    <w:rsid w:val="00CF5166"/>
    <w:rsid w:val="00D00F54"/>
    <w:rsid w:val="00D04CCF"/>
    <w:rsid w:val="00D07533"/>
    <w:rsid w:val="00D07B99"/>
    <w:rsid w:val="00D10EAE"/>
    <w:rsid w:val="00D11369"/>
    <w:rsid w:val="00D12993"/>
    <w:rsid w:val="00D138FE"/>
    <w:rsid w:val="00D14793"/>
    <w:rsid w:val="00D17BCB"/>
    <w:rsid w:val="00D20CDA"/>
    <w:rsid w:val="00D23F8B"/>
    <w:rsid w:val="00D2527A"/>
    <w:rsid w:val="00D25E65"/>
    <w:rsid w:val="00D27A37"/>
    <w:rsid w:val="00D34FBF"/>
    <w:rsid w:val="00D35217"/>
    <w:rsid w:val="00D37C4A"/>
    <w:rsid w:val="00D42DFB"/>
    <w:rsid w:val="00D501F0"/>
    <w:rsid w:val="00D54F36"/>
    <w:rsid w:val="00D5502A"/>
    <w:rsid w:val="00D572BD"/>
    <w:rsid w:val="00D62D68"/>
    <w:rsid w:val="00D6372B"/>
    <w:rsid w:val="00D66ED7"/>
    <w:rsid w:val="00D70511"/>
    <w:rsid w:val="00D73C4A"/>
    <w:rsid w:val="00D7561C"/>
    <w:rsid w:val="00D772C8"/>
    <w:rsid w:val="00D812FF"/>
    <w:rsid w:val="00D8232B"/>
    <w:rsid w:val="00D83B26"/>
    <w:rsid w:val="00D90747"/>
    <w:rsid w:val="00D93552"/>
    <w:rsid w:val="00D95617"/>
    <w:rsid w:val="00D960E1"/>
    <w:rsid w:val="00D96911"/>
    <w:rsid w:val="00D96D71"/>
    <w:rsid w:val="00D97589"/>
    <w:rsid w:val="00DA1858"/>
    <w:rsid w:val="00DA2FEC"/>
    <w:rsid w:val="00DA4A90"/>
    <w:rsid w:val="00DB3240"/>
    <w:rsid w:val="00DB3DBB"/>
    <w:rsid w:val="00DC16D9"/>
    <w:rsid w:val="00DC4D1B"/>
    <w:rsid w:val="00DC5273"/>
    <w:rsid w:val="00DC7CAB"/>
    <w:rsid w:val="00DE0B48"/>
    <w:rsid w:val="00DE3018"/>
    <w:rsid w:val="00DE3143"/>
    <w:rsid w:val="00DE6C94"/>
    <w:rsid w:val="00DF034B"/>
    <w:rsid w:val="00DF5705"/>
    <w:rsid w:val="00DF7052"/>
    <w:rsid w:val="00DF7DF8"/>
    <w:rsid w:val="00E01101"/>
    <w:rsid w:val="00E03EE7"/>
    <w:rsid w:val="00E052D9"/>
    <w:rsid w:val="00E058B1"/>
    <w:rsid w:val="00E05A25"/>
    <w:rsid w:val="00E07CF6"/>
    <w:rsid w:val="00E1413C"/>
    <w:rsid w:val="00E144E9"/>
    <w:rsid w:val="00E2328E"/>
    <w:rsid w:val="00E30481"/>
    <w:rsid w:val="00E352A3"/>
    <w:rsid w:val="00E375D6"/>
    <w:rsid w:val="00E40EB0"/>
    <w:rsid w:val="00E4131F"/>
    <w:rsid w:val="00E43AE6"/>
    <w:rsid w:val="00E447E6"/>
    <w:rsid w:val="00E52324"/>
    <w:rsid w:val="00E52992"/>
    <w:rsid w:val="00E52B04"/>
    <w:rsid w:val="00E6157B"/>
    <w:rsid w:val="00E61F25"/>
    <w:rsid w:val="00E63596"/>
    <w:rsid w:val="00E646EF"/>
    <w:rsid w:val="00E67FC2"/>
    <w:rsid w:val="00E71074"/>
    <w:rsid w:val="00E76426"/>
    <w:rsid w:val="00E854DE"/>
    <w:rsid w:val="00E90367"/>
    <w:rsid w:val="00E903EF"/>
    <w:rsid w:val="00E908F1"/>
    <w:rsid w:val="00E90DA8"/>
    <w:rsid w:val="00E9247C"/>
    <w:rsid w:val="00E93691"/>
    <w:rsid w:val="00EA254F"/>
    <w:rsid w:val="00EA26FC"/>
    <w:rsid w:val="00EA3F62"/>
    <w:rsid w:val="00EA77E3"/>
    <w:rsid w:val="00EC33F4"/>
    <w:rsid w:val="00EC4403"/>
    <w:rsid w:val="00EC57F8"/>
    <w:rsid w:val="00ED0539"/>
    <w:rsid w:val="00ED6690"/>
    <w:rsid w:val="00EE5CFB"/>
    <w:rsid w:val="00EE77FA"/>
    <w:rsid w:val="00F0023A"/>
    <w:rsid w:val="00F0393B"/>
    <w:rsid w:val="00F067D4"/>
    <w:rsid w:val="00F114C2"/>
    <w:rsid w:val="00F122B2"/>
    <w:rsid w:val="00F219B9"/>
    <w:rsid w:val="00F23141"/>
    <w:rsid w:val="00F253CD"/>
    <w:rsid w:val="00F25A29"/>
    <w:rsid w:val="00F33DCD"/>
    <w:rsid w:val="00F370E3"/>
    <w:rsid w:val="00F40EFF"/>
    <w:rsid w:val="00F4229C"/>
    <w:rsid w:val="00F439A2"/>
    <w:rsid w:val="00F5084B"/>
    <w:rsid w:val="00F50B74"/>
    <w:rsid w:val="00F5517D"/>
    <w:rsid w:val="00F5636C"/>
    <w:rsid w:val="00F65448"/>
    <w:rsid w:val="00F6702F"/>
    <w:rsid w:val="00F67445"/>
    <w:rsid w:val="00F70134"/>
    <w:rsid w:val="00F70137"/>
    <w:rsid w:val="00F73FF4"/>
    <w:rsid w:val="00F76AE9"/>
    <w:rsid w:val="00F806DF"/>
    <w:rsid w:val="00F81C9C"/>
    <w:rsid w:val="00F82EF2"/>
    <w:rsid w:val="00F83163"/>
    <w:rsid w:val="00F8587D"/>
    <w:rsid w:val="00F9046F"/>
    <w:rsid w:val="00F912BD"/>
    <w:rsid w:val="00F912D3"/>
    <w:rsid w:val="00F92170"/>
    <w:rsid w:val="00F92E06"/>
    <w:rsid w:val="00F94F86"/>
    <w:rsid w:val="00F9696F"/>
    <w:rsid w:val="00FA0112"/>
    <w:rsid w:val="00FA51AE"/>
    <w:rsid w:val="00FA6695"/>
    <w:rsid w:val="00FB7F2B"/>
    <w:rsid w:val="00FC087A"/>
    <w:rsid w:val="00FC5346"/>
    <w:rsid w:val="00FC57AE"/>
    <w:rsid w:val="00FD0EC9"/>
    <w:rsid w:val="00FD6E03"/>
    <w:rsid w:val="00FE34E6"/>
    <w:rsid w:val="00FE3A9C"/>
    <w:rsid w:val="00FE73D6"/>
    <w:rsid w:val="00FF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66"/>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D7D66"/>
    <w:pPr>
      <w:ind w:left="720"/>
      <w:contextualSpacing/>
    </w:pPr>
  </w:style>
  <w:style w:type="paragraph" w:styleId="FootnoteText">
    <w:name w:val="footnote text"/>
    <w:basedOn w:val="Normal"/>
    <w:link w:val="FootnoteTextChar"/>
    <w:uiPriority w:val="99"/>
    <w:unhideWhenUsed/>
    <w:rsid w:val="005D7D66"/>
    <w:rPr>
      <w:sz w:val="20"/>
      <w:szCs w:val="20"/>
    </w:rPr>
  </w:style>
  <w:style w:type="character" w:customStyle="1" w:styleId="FootnoteTextChar">
    <w:name w:val="Footnote Text Char"/>
    <w:link w:val="FootnoteText"/>
    <w:uiPriority w:val="99"/>
    <w:rsid w:val="005D7D66"/>
    <w:rPr>
      <w:rFonts w:ascii="Times New Roman" w:hAnsi="Times New Roman"/>
      <w:sz w:val="20"/>
      <w:szCs w:val="20"/>
    </w:rPr>
  </w:style>
  <w:style w:type="character" w:styleId="FootnoteReference">
    <w:name w:val="footnote reference"/>
    <w:uiPriority w:val="99"/>
    <w:unhideWhenUsed/>
    <w:rsid w:val="005D7D66"/>
    <w:rPr>
      <w:vertAlign w:val="superscript"/>
    </w:rPr>
  </w:style>
  <w:style w:type="paragraph" w:styleId="Header">
    <w:name w:val="header"/>
    <w:basedOn w:val="Normal"/>
    <w:link w:val="HeaderChar"/>
    <w:uiPriority w:val="99"/>
    <w:unhideWhenUsed/>
    <w:rsid w:val="00CA37BD"/>
    <w:pPr>
      <w:tabs>
        <w:tab w:val="center" w:pos="4680"/>
        <w:tab w:val="right" w:pos="9360"/>
      </w:tabs>
    </w:pPr>
  </w:style>
  <w:style w:type="character" w:customStyle="1" w:styleId="HeaderChar">
    <w:name w:val="Header Char"/>
    <w:link w:val="Header"/>
    <w:uiPriority w:val="99"/>
    <w:rsid w:val="00CA37BD"/>
    <w:rPr>
      <w:rFonts w:ascii="Times New Roman" w:hAnsi="Times New Roman"/>
      <w:sz w:val="24"/>
    </w:rPr>
  </w:style>
  <w:style w:type="paragraph" w:styleId="Footer">
    <w:name w:val="footer"/>
    <w:basedOn w:val="Normal"/>
    <w:link w:val="FooterChar"/>
    <w:uiPriority w:val="99"/>
    <w:unhideWhenUsed/>
    <w:rsid w:val="00CA37BD"/>
    <w:pPr>
      <w:tabs>
        <w:tab w:val="center" w:pos="4680"/>
        <w:tab w:val="right" w:pos="9360"/>
      </w:tabs>
    </w:pPr>
  </w:style>
  <w:style w:type="character" w:customStyle="1" w:styleId="FooterChar">
    <w:name w:val="Footer Char"/>
    <w:link w:val="Footer"/>
    <w:uiPriority w:val="99"/>
    <w:rsid w:val="00CA37BD"/>
    <w:rPr>
      <w:rFonts w:ascii="Times New Roman" w:hAnsi="Times New Roman"/>
      <w:sz w:val="24"/>
    </w:rPr>
  </w:style>
  <w:style w:type="table" w:styleId="TableGrid">
    <w:name w:val="Table Grid"/>
    <w:basedOn w:val="TableNormal"/>
    <w:uiPriority w:val="59"/>
    <w:rsid w:val="0014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6A9"/>
    <w:rPr>
      <w:rFonts w:ascii="Tahoma" w:hAnsi="Tahoma" w:cs="Tahoma"/>
      <w:sz w:val="16"/>
      <w:szCs w:val="16"/>
    </w:rPr>
  </w:style>
  <w:style w:type="character" w:customStyle="1" w:styleId="BalloonTextChar">
    <w:name w:val="Balloon Text Char"/>
    <w:link w:val="BalloonText"/>
    <w:uiPriority w:val="99"/>
    <w:semiHidden/>
    <w:rsid w:val="006B06A9"/>
    <w:rPr>
      <w:rFonts w:ascii="Tahoma" w:hAnsi="Tahoma" w:cs="Tahoma"/>
      <w:sz w:val="16"/>
      <w:szCs w:val="16"/>
    </w:rPr>
  </w:style>
  <w:style w:type="character" w:customStyle="1" w:styleId="term">
    <w:name w:val="term"/>
    <w:rsid w:val="006A2756"/>
  </w:style>
  <w:style w:type="character" w:customStyle="1" w:styleId="apple-converted-space">
    <w:name w:val="apple-converted-space"/>
    <w:rsid w:val="006A2756"/>
  </w:style>
  <w:style w:type="character" w:styleId="Emphasis">
    <w:name w:val="Emphasis"/>
    <w:uiPriority w:val="20"/>
    <w:qFormat/>
    <w:rsid w:val="00066084"/>
    <w:rPr>
      <w:i/>
      <w:iCs/>
    </w:rPr>
  </w:style>
  <w:style w:type="character" w:customStyle="1" w:styleId="pmterms1">
    <w:name w:val="pmterms1"/>
    <w:rsid w:val="00306EA1"/>
  </w:style>
  <w:style w:type="character" w:styleId="Hyperlink">
    <w:name w:val="Hyperlink"/>
    <w:uiPriority w:val="99"/>
    <w:semiHidden/>
    <w:unhideWhenUsed/>
    <w:rsid w:val="004104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66"/>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D7D66"/>
    <w:pPr>
      <w:ind w:left="720"/>
      <w:contextualSpacing/>
    </w:pPr>
  </w:style>
  <w:style w:type="paragraph" w:styleId="FootnoteText">
    <w:name w:val="footnote text"/>
    <w:basedOn w:val="Normal"/>
    <w:link w:val="FootnoteTextChar"/>
    <w:uiPriority w:val="99"/>
    <w:unhideWhenUsed/>
    <w:rsid w:val="005D7D66"/>
    <w:rPr>
      <w:sz w:val="20"/>
      <w:szCs w:val="20"/>
    </w:rPr>
  </w:style>
  <w:style w:type="character" w:customStyle="1" w:styleId="FootnoteTextChar">
    <w:name w:val="Footnote Text Char"/>
    <w:link w:val="FootnoteText"/>
    <w:uiPriority w:val="99"/>
    <w:rsid w:val="005D7D66"/>
    <w:rPr>
      <w:rFonts w:ascii="Times New Roman" w:hAnsi="Times New Roman"/>
      <w:sz w:val="20"/>
      <w:szCs w:val="20"/>
    </w:rPr>
  </w:style>
  <w:style w:type="character" w:styleId="FootnoteReference">
    <w:name w:val="footnote reference"/>
    <w:uiPriority w:val="99"/>
    <w:unhideWhenUsed/>
    <w:rsid w:val="005D7D66"/>
    <w:rPr>
      <w:vertAlign w:val="superscript"/>
    </w:rPr>
  </w:style>
  <w:style w:type="paragraph" w:styleId="Header">
    <w:name w:val="header"/>
    <w:basedOn w:val="Normal"/>
    <w:link w:val="HeaderChar"/>
    <w:uiPriority w:val="99"/>
    <w:unhideWhenUsed/>
    <w:rsid w:val="00CA37BD"/>
    <w:pPr>
      <w:tabs>
        <w:tab w:val="center" w:pos="4680"/>
        <w:tab w:val="right" w:pos="9360"/>
      </w:tabs>
    </w:pPr>
  </w:style>
  <w:style w:type="character" w:customStyle="1" w:styleId="HeaderChar">
    <w:name w:val="Header Char"/>
    <w:link w:val="Header"/>
    <w:uiPriority w:val="99"/>
    <w:rsid w:val="00CA37BD"/>
    <w:rPr>
      <w:rFonts w:ascii="Times New Roman" w:hAnsi="Times New Roman"/>
      <w:sz w:val="24"/>
    </w:rPr>
  </w:style>
  <w:style w:type="paragraph" w:styleId="Footer">
    <w:name w:val="footer"/>
    <w:basedOn w:val="Normal"/>
    <w:link w:val="FooterChar"/>
    <w:uiPriority w:val="99"/>
    <w:unhideWhenUsed/>
    <w:rsid w:val="00CA37BD"/>
    <w:pPr>
      <w:tabs>
        <w:tab w:val="center" w:pos="4680"/>
        <w:tab w:val="right" w:pos="9360"/>
      </w:tabs>
    </w:pPr>
  </w:style>
  <w:style w:type="character" w:customStyle="1" w:styleId="FooterChar">
    <w:name w:val="Footer Char"/>
    <w:link w:val="Footer"/>
    <w:uiPriority w:val="99"/>
    <w:rsid w:val="00CA37BD"/>
    <w:rPr>
      <w:rFonts w:ascii="Times New Roman" w:hAnsi="Times New Roman"/>
      <w:sz w:val="24"/>
    </w:rPr>
  </w:style>
  <w:style w:type="table" w:styleId="TableGrid">
    <w:name w:val="Table Grid"/>
    <w:basedOn w:val="TableNormal"/>
    <w:uiPriority w:val="59"/>
    <w:rsid w:val="0014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6A9"/>
    <w:rPr>
      <w:rFonts w:ascii="Tahoma" w:hAnsi="Tahoma" w:cs="Tahoma"/>
      <w:sz w:val="16"/>
      <w:szCs w:val="16"/>
    </w:rPr>
  </w:style>
  <w:style w:type="character" w:customStyle="1" w:styleId="BalloonTextChar">
    <w:name w:val="Balloon Text Char"/>
    <w:link w:val="BalloonText"/>
    <w:uiPriority w:val="99"/>
    <w:semiHidden/>
    <w:rsid w:val="006B06A9"/>
    <w:rPr>
      <w:rFonts w:ascii="Tahoma" w:hAnsi="Tahoma" w:cs="Tahoma"/>
      <w:sz w:val="16"/>
      <w:szCs w:val="16"/>
    </w:rPr>
  </w:style>
  <w:style w:type="character" w:customStyle="1" w:styleId="term">
    <w:name w:val="term"/>
    <w:rsid w:val="006A2756"/>
  </w:style>
  <w:style w:type="character" w:customStyle="1" w:styleId="apple-converted-space">
    <w:name w:val="apple-converted-space"/>
    <w:rsid w:val="006A2756"/>
  </w:style>
  <w:style w:type="character" w:styleId="Emphasis">
    <w:name w:val="Emphasis"/>
    <w:uiPriority w:val="20"/>
    <w:qFormat/>
    <w:rsid w:val="00066084"/>
    <w:rPr>
      <w:i/>
      <w:iCs/>
    </w:rPr>
  </w:style>
  <w:style w:type="character" w:customStyle="1" w:styleId="pmterms1">
    <w:name w:val="pmterms1"/>
    <w:rsid w:val="00306EA1"/>
  </w:style>
  <w:style w:type="character" w:styleId="Hyperlink">
    <w:name w:val="Hyperlink"/>
    <w:uiPriority w:val="99"/>
    <w:semiHidden/>
    <w:unhideWhenUsed/>
    <w:rsid w:val="00410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60214">
      <w:bodyDiv w:val="1"/>
      <w:marLeft w:val="0"/>
      <w:marRight w:val="0"/>
      <w:marTop w:val="0"/>
      <w:marBottom w:val="0"/>
      <w:divBdr>
        <w:top w:val="none" w:sz="0" w:space="0" w:color="auto"/>
        <w:left w:val="none" w:sz="0" w:space="0" w:color="auto"/>
        <w:bottom w:val="none" w:sz="0" w:space="0" w:color="auto"/>
        <w:right w:val="none" w:sz="0" w:space="0" w:color="auto"/>
      </w:divBdr>
    </w:div>
    <w:div w:id="1236206555">
      <w:bodyDiv w:val="1"/>
      <w:marLeft w:val="0"/>
      <w:marRight w:val="0"/>
      <w:marTop w:val="0"/>
      <w:marBottom w:val="0"/>
      <w:divBdr>
        <w:top w:val="none" w:sz="0" w:space="0" w:color="auto"/>
        <w:left w:val="none" w:sz="0" w:space="0" w:color="auto"/>
        <w:bottom w:val="none" w:sz="0" w:space="0" w:color="auto"/>
        <w:right w:val="none" w:sz="0" w:space="0" w:color="auto"/>
      </w:divBdr>
    </w:div>
    <w:div w:id="1465930219">
      <w:bodyDiv w:val="1"/>
      <w:marLeft w:val="0"/>
      <w:marRight w:val="0"/>
      <w:marTop w:val="0"/>
      <w:marBottom w:val="0"/>
      <w:divBdr>
        <w:top w:val="none" w:sz="0" w:space="0" w:color="auto"/>
        <w:left w:val="none" w:sz="0" w:space="0" w:color="auto"/>
        <w:bottom w:val="none" w:sz="0" w:space="0" w:color="auto"/>
        <w:right w:val="none" w:sz="0" w:space="0" w:color="auto"/>
      </w:divBdr>
    </w:div>
    <w:div w:id="1770612620">
      <w:bodyDiv w:val="1"/>
      <w:marLeft w:val="0"/>
      <w:marRight w:val="0"/>
      <w:marTop w:val="0"/>
      <w:marBottom w:val="0"/>
      <w:divBdr>
        <w:top w:val="none" w:sz="0" w:space="0" w:color="auto"/>
        <w:left w:val="none" w:sz="0" w:space="0" w:color="auto"/>
        <w:bottom w:val="none" w:sz="0" w:space="0" w:color="auto"/>
        <w:right w:val="none" w:sz="0" w:space="0" w:color="auto"/>
      </w:divBdr>
      <w:divsChild>
        <w:div w:id="264848905">
          <w:marLeft w:val="0"/>
          <w:marRight w:val="0"/>
          <w:marTop w:val="0"/>
          <w:marBottom w:val="0"/>
          <w:divBdr>
            <w:top w:val="none" w:sz="0" w:space="0" w:color="auto"/>
            <w:left w:val="none" w:sz="0" w:space="0" w:color="auto"/>
            <w:bottom w:val="none" w:sz="0" w:space="0" w:color="auto"/>
            <w:right w:val="none" w:sz="0" w:space="0" w:color="auto"/>
          </w:divBdr>
        </w:div>
      </w:divsChild>
    </w:div>
    <w:div w:id="1895776788">
      <w:bodyDiv w:val="1"/>
      <w:marLeft w:val="0"/>
      <w:marRight w:val="0"/>
      <w:marTop w:val="0"/>
      <w:marBottom w:val="0"/>
      <w:divBdr>
        <w:top w:val="none" w:sz="0" w:space="0" w:color="auto"/>
        <w:left w:val="none" w:sz="0" w:space="0" w:color="auto"/>
        <w:bottom w:val="none" w:sz="0" w:space="0" w:color="auto"/>
        <w:right w:val="none" w:sz="0" w:space="0" w:color="auto"/>
      </w:divBdr>
    </w:div>
    <w:div w:id="19441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415-C661-44F6-8D7A-73C2F382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Saint-Amour, Judith (ATB)</dc:creator>
  <cp:lastModifiedBy>ANF</cp:lastModifiedBy>
  <cp:revision>4</cp:revision>
  <cp:lastPrinted>2018-03-23T13:46:00Z</cp:lastPrinted>
  <dcterms:created xsi:type="dcterms:W3CDTF">2018-03-23T13:45:00Z</dcterms:created>
  <dcterms:modified xsi:type="dcterms:W3CDTF">2018-03-23T13:46:00Z</dcterms:modified>
</cp:coreProperties>
</file>