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BBA1" w14:textId="07305C56" w:rsidR="00467056" w:rsidRDefault="00965CA3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John </w:t>
      </w:r>
      <w:r>
        <w:rPr>
          <w:rFonts w:ascii="Tahoma"/>
          <w:color w:val="0000FF"/>
          <w:spacing w:val="-2"/>
          <w:sz w:val="15"/>
          <w:u w:val="single" w:color="0000FF"/>
        </w:rPr>
        <w:t>Rossman</w:t>
      </w:r>
    </w:p>
    <w:p w14:paraId="5F1BE761" w14:textId="77777777" w:rsidR="00467056" w:rsidRDefault="00965CA3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4C88508D" w14:textId="77777777" w:rsidR="00467056" w:rsidRDefault="00965CA3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Subject: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105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CMR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130,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Hospital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Licensure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Vaccination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Requirements</w:t>
      </w:r>
    </w:p>
    <w:p w14:paraId="248702AC" w14:textId="77777777" w:rsidR="00467056" w:rsidRDefault="00965CA3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7:06:57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6A7E44F7" w14:textId="77777777" w:rsidR="00467056" w:rsidRDefault="00965CA3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949254" wp14:editId="37BE5DBC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83190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EB823" wp14:editId="3E8ACB17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6D9E09EB" w14:textId="77777777" w:rsidR="00467056" w:rsidRDefault="00965CA3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EB82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6D9E09EB" w14:textId="77777777" w:rsidR="00467056" w:rsidRDefault="00965CA3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28B8B0" w14:textId="77777777" w:rsidR="00467056" w:rsidRDefault="00467056">
      <w:pPr>
        <w:pStyle w:val="BodyText"/>
        <w:spacing w:before="5"/>
        <w:rPr>
          <w:rFonts w:ascii="Tahoma"/>
          <w:sz w:val="10"/>
        </w:rPr>
      </w:pPr>
    </w:p>
    <w:p w14:paraId="7A41DC33" w14:textId="77777777" w:rsidR="00467056" w:rsidRDefault="00965CA3">
      <w:pPr>
        <w:pStyle w:val="BodyText"/>
        <w:ind w:left="100"/>
      </w:pPr>
      <w:r>
        <w:rPr>
          <w:spacing w:val="-2"/>
        </w:rPr>
        <w:t>Hello,</w:t>
      </w:r>
    </w:p>
    <w:p w14:paraId="4BA98D6F" w14:textId="77777777" w:rsidR="00467056" w:rsidRDefault="00467056">
      <w:pPr>
        <w:pStyle w:val="BodyText"/>
        <w:spacing w:before="1"/>
        <w:rPr>
          <w:sz w:val="22"/>
        </w:rPr>
      </w:pPr>
    </w:p>
    <w:p w14:paraId="42A3AD5F" w14:textId="77777777" w:rsidR="00467056" w:rsidRDefault="00965CA3">
      <w:pPr>
        <w:pStyle w:val="BodyText"/>
        <w:spacing w:line="235" w:lineRule="auto"/>
        <w:ind w:left="100" w:right="161"/>
      </w:pPr>
      <w:r>
        <w:t>I hope this message finds you well</w:t>
      </w:r>
      <w:proofErr w:type="gramStart"/>
      <w:r>
        <w:t xml:space="preserve">. </w:t>
      </w:r>
      <w:proofErr w:type="gramEnd"/>
      <w:r>
        <w:t>I am writing to express my concerns about the proposed changes that would require all healthcare personnel to be vaccinated against COVID-19 and influenza</w:t>
      </w:r>
      <w:proofErr w:type="gramStart"/>
      <w:r>
        <w:t>.</w:t>
      </w:r>
      <w:r>
        <w:t xml:space="preserve"> </w:t>
      </w:r>
      <w:proofErr w:type="gramEnd"/>
      <w:r>
        <w:t>While I understand the intention behind these changes is to ensure the safety and well-being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patients,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need to be considered before implementing such a mandate.</w:t>
      </w:r>
    </w:p>
    <w:p w14:paraId="1C3EEB62" w14:textId="77777777" w:rsidR="00467056" w:rsidRDefault="00467056">
      <w:pPr>
        <w:pStyle w:val="BodyText"/>
        <w:spacing w:before="4"/>
        <w:rPr>
          <w:sz w:val="23"/>
        </w:rPr>
      </w:pPr>
    </w:p>
    <w:p w14:paraId="34D8C839" w14:textId="77777777" w:rsidR="00467056" w:rsidRDefault="00965CA3">
      <w:pPr>
        <w:pStyle w:val="BodyText"/>
        <w:spacing w:line="235" w:lineRule="auto"/>
        <w:ind w:left="100" w:right="161"/>
      </w:pPr>
      <w:r>
        <w:t>Firstly, it is important to acknowledge the current shortage of healthcare workers that our hospitals are facing</w:t>
      </w:r>
      <w:proofErr w:type="gramStart"/>
      <w:r>
        <w:t xml:space="preserve">. </w:t>
      </w:r>
      <w:proofErr w:type="gramEnd"/>
      <w:r>
        <w:t>The healthcare industry is already grappling with a significant deficit of personne</w:t>
      </w:r>
      <w:r>
        <w:t>l, and this proposed mandate could potentially exacerbate the situation</w:t>
      </w:r>
      <w:proofErr w:type="gramStart"/>
      <w:r>
        <w:t xml:space="preserve">. </w:t>
      </w:r>
      <w:proofErr w:type="gramEnd"/>
      <w:r>
        <w:t>Many healthcare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vaccination requirement, further straining our already limited resources</w:t>
      </w:r>
      <w:proofErr w:type="gramStart"/>
      <w:r>
        <w:t xml:space="preserve">. </w:t>
      </w:r>
      <w:proofErr w:type="gramEnd"/>
      <w:r>
        <w:t xml:space="preserve">This could lead to a </w:t>
      </w:r>
      <w:r>
        <w:t>decrease in the quality of care provided to patients due to understaffing.</w:t>
      </w:r>
    </w:p>
    <w:p w14:paraId="7B860054" w14:textId="77777777" w:rsidR="00467056" w:rsidRDefault="00467056">
      <w:pPr>
        <w:pStyle w:val="BodyText"/>
        <w:spacing w:before="2"/>
        <w:rPr>
          <w:sz w:val="23"/>
        </w:rPr>
      </w:pPr>
    </w:p>
    <w:p w14:paraId="5EC79D9C" w14:textId="77777777" w:rsidR="00467056" w:rsidRDefault="00965CA3">
      <w:pPr>
        <w:pStyle w:val="BodyText"/>
        <w:spacing w:line="235" w:lineRule="auto"/>
        <w:ind w:left="100" w:right="115"/>
      </w:pPr>
      <w:r>
        <w:t>Secondly, the definition of "fully vaccinated" against COVID-19 seems to be a moving target</w:t>
      </w:r>
      <w:proofErr w:type="gramStart"/>
      <w:r>
        <w:t xml:space="preserve">. </w:t>
      </w:r>
      <w:proofErr w:type="gramEnd"/>
      <w:r>
        <w:t>Initially,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vaccination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doses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Pfizer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Moderna</w:t>
      </w:r>
      <w:r>
        <w:rPr>
          <w:spacing w:val="-3"/>
        </w:rPr>
        <w:t xml:space="preserve"> </w:t>
      </w:r>
      <w:r>
        <w:t>vaccine, or one dose of the Johnson &amp; Johnson vaccine</w:t>
      </w:r>
      <w:proofErr w:type="gramStart"/>
      <w:r>
        <w:t xml:space="preserve">. </w:t>
      </w:r>
      <w:proofErr w:type="gramEnd"/>
      <w:r>
        <w:t>However, with the introduction of booster shots, this definition is changing</w:t>
      </w:r>
      <w:proofErr w:type="gramStart"/>
      <w:r>
        <w:t xml:space="preserve">. </w:t>
      </w:r>
      <w:proofErr w:type="gramEnd"/>
      <w:r>
        <w:t>It is unclear how many additional doses will be required in the future to maintain the status of being "fully vaccinated"</w:t>
      </w:r>
      <w:proofErr w:type="gramStart"/>
      <w:r>
        <w:t>.</w:t>
      </w:r>
      <w:r>
        <w:t xml:space="preserve"> </w:t>
      </w:r>
      <w:proofErr w:type="gramEnd"/>
      <w:r>
        <w:t>This lack of clarity can create confusion and resistance among healthcare workers.</w:t>
      </w:r>
    </w:p>
    <w:p w14:paraId="2AF656B2" w14:textId="77777777" w:rsidR="00467056" w:rsidRDefault="00467056">
      <w:pPr>
        <w:pStyle w:val="BodyText"/>
        <w:spacing w:before="3"/>
        <w:rPr>
          <w:sz w:val="23"/>
        </w:rPr>
      </w:pPr>
    </w:p>
    <w:p w14:paraId="4768A927" w14:textId="77777777" w:rsidR="00467056" w:rsidRDefault="00965CA3">
      <w:pPr>
        <w:pStyle w:val="BodyText"/>
        <w:spacing w:line="235" w:lineRule="auto"/>
        <w:ind w:left="100" w:right="196"/>
      </w:pPr>
      <w:r>
        <w:t>Furthermore, there is limited high-quality, randomized controlled trial (RCT) data demonstrating the benefits of COVID-19 booster shots for individuals in the average healthcare</w:t>
      </w:r>
      <w:r>
        <w:rPr>
          <w:spacing w:val="-4"/>
        </w:rPr>
        <w:t xml:space="preserve"> </w:t>
      </w:r>
      <w:r>
        <w:t>worker's</w:t>
      </w:r>
      <w:r>
        <w:rPr>
          <w:spacing w:val="-5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range</w:t>
      </w:r>
      <w:proofErr w:type="gramStart"/>
      <w:r>
        <w:t>.</w:t>
      </w:r>
      <w:r>
        <w:rPr>
          <w:spacing w:val="-4"/>
        </w:rPr>
        <w:t xml:space="preserve"> </w:t>
      </w:r>
      <w:proofErr w:type="gramEnd"/>
      <w:r>
        <w:t>Without</w:t>
      </w:r>
      <w:r>
        <w:rPr>
          <w:spacing w:val="-4"/>
        </w:rPr>
        <w:t xml:space="preserve"> </w:t>
      </w:r>
      <w:r>
        <w:t>robust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effic</w:t>
      </w:r>
      <w:r>
        <w:t>acy of these additional doses, it is</w:t>
      </w:r>
      <w:r>
        <w:rPr>
          <w:spacing w:val="-1"/>
        </w:rPr>
        <w:t xml:space="preserve"> </w:t>
      </w:r>
      <w:r>
        <w:t>difficult to justify making them a requirement for employment in the healthcare field.</w:t>
      </w:r>
    </w:p>
    <w:p w14:paraId="152E29BE" w14:textId="77777777" w:rsidR="00467056" w:rsidRDefault="00467056">
      <w:pPr>
        <w:pStyle w:val="BodyText"/>
        <w:spacing w:before="3"/>
        <w:rPr>
          <w:sz w:val="23"/>
        </w:rPr>
      </w:pPr>
    </w:p>
    <w:p w14:paraId="27041912" w14:textId="77777777" w:rsidR="00467056" w:rsidRDefault="00965CA3">
      <w:pPr>
        <w:pStyle w:val="BodyText"/>
        <w:spacing w:line="235" w:lineRule="auto"/>
        <w:ind w:left="100" w:right="196"/>
      </w:pPr>
      <w:r>
        <w:t>In</w:t>
      </w:r>
      <w:r>
        <w:rPr>
          <w:spacing w:val="-3"/>
        </w:rPr>
        <w:t xml:space="preserve"> </w:t>
      </w:r>
      <w:r>
        <w:t>conclusion,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utmost</w:t>
      </w:r>
      <w:r>
        <w:rPr>
          <w:spacing w:val="-3"/>
        </w:rPr>
        <w:t xml:space="preserve"> </w:t>
      </w:r>
      <w:r>
        <w:t>importance, it is crucial to consider the potential ramifications of implementing a vaccination mandate</w:t>
      </w:r>
      <w:proofErr w:type="gramStart"/>
      <w:r>
        <w:t xml:space="preserve">. </w:t>
      </w:r>
      <w:proofErr w:type="gramEnd"/>
      <w:r>
        <w:t>I urge you to consider these points and engage in a dialogue with healthcare professionals before finalizing any decisions.</w:t>
      </w:r>
    </w:p>
    <w:p w14:paraId="6342801C" w14:textId="77777777" w:rsidR="00467056" w:rsidRDefault="00467056">
      <w:pPr>
        <w:pStyle w:val="BodyText"/>
        <w:spacing w:before="4"/>
        <w:rPr>
          <w:sz w:val="23"/>
        </w:rPr>
      </w:pPr>
    </w:p>
    <w:p w14:paraId="09399156" w14:textId="77777777" w:rsidR="00467056" w:rsidRDefault="00965CA3">
      <w:pPr>
        <w:pStyle w:val="BodyText"/>
        <w:spacing w:line="235" w:lineRule="auto"/>
        <w:ind w:left="100" w:right="219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</w:t>
      </w:r>
      <w:r>
        <w:t>d</w:t>
      </w:r>
      <w:r>
        <w:rPr>
          <w:spacing w:val="-3"/>
        </w:rPr>
        <w:t xml:space="preserve"> </w:t>
      </w:r>
      <w:r>
        <w:t>consideration</w:t>
      </w:r>
      <w:proofErr w:type="gramStart"/>
      <w:r>
        <w:t>.</w:t>
      </w:r>
      <w:r>
        <w:rPr>
          <w:spacing w:val="-3"/>
        </w:rPr>
        <w:t xml:space="preserve"> </w:t>
      </w:r>
      <w:proofErr w:type="gramEnd"/>
      <w:r>
        <w:t>I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matter.</w:t>
      </w:r>
    </w:p>
    <w:p w14:paraId="00893795" w14:textId="77777777" w:rsidR="00467056" w:rsidRDefault="00467056">
      <w:pPr>
        <w:pStyle w:val="BodyText"/>
        <w:rPr>
          <w:sz w:val="23"/>
        </w:rPr>
      </w:pPr>
    </w:p>
    <w:p w14:paraId="2B261078" w14:textId="77777777" w:rsidR="00467056" w:rsidRDefault="00965CA3">
      <w:pPr>
        <w:pStyle w:val="BodyText"/>
        <w:ind w:left="100"/>
      </w:pPr>
      <w:r>
        <w:t xml:space="preserve">Best </w:t>
      </w:r>
      <w:r>
        <w:rPr>
          <w:spacing w:val="-2"/>
        </w:rPr>
        <w:t>regards,</w:t>
      </w:r>
    </w:p>
    <w:p w14:paraId="6E528E0E" w14:textId="77777777" w:rsidR="00467056" w:rsidRDefault="00467056">
      <w:pPr>
        <w:pStyle w:val="BodyText"/>
        <w:spacing w:before="4"/>
        <w:rPr>
          <w:sz w:val="23"/>
        </w:rPr>
      </w:pPr>
    </w:p>
    <w:p w14:paraId="702098D8" w14:textId="77777777" w:rsidR="00467056" w:rsidRDefault="00965CA3">
      <w:pPr>
        <w:pStyle w:val="BodyText"/>
        <w:spacing w:line="235" w:lineRule="auto"/>
        <w:ind w:left="100" w:right="5712"/>
      </w:pPr>
      <w:r>
        <w:t>John</w:t>
      </w:r>
      <w:r>
        <w:rPr>
          <w:spacing w:val="-13"/>
        </w:rPr>
        <w:t xml:space="preserve"> </w:t>
      </w:r>
      <w:r>
        <w:t>Rossman,</w:t>
      </w:r>
      <w:r>
        <w:rPr>
          <w:spacing w:val="-13"/>
        </w:rPr>
        <w:t xml:space="preserve"> </w:t>
      </w:r>
      <w:r>
        <w:t>MS,</w:t>
      </w:r>
      <w:r>
        <w:rPr>
          <w:spacing w:val="-13"/>
        </w:rPr>
        <w:t xml:space="preserve"> </w:t>
      </w:r>
      <w:r>
        <w:t>DABAR Medical Physicist</w:t>
      </w:r>
    </w:p>
    <w:sectPr w:rsidR="00467056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056"/>
    <w:rsid w:val="00467056"/>
    <w:rsid w:val="009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AD22"/>
  <w15:docId w15:val="{1FEDE745-3AAA-4AE7-A24D-CF19BF24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2023-08-09T17:37:00Z</dcterms:created>
  <dcterms:modified xsi:type="dcterms:W3CDTF">2023-08-09T17:38:00Z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