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92" w:rsidRDefault="00373992" w:rsidP="00373992">
      <w:pPr>
        <w:pStyle w:val="Title"/>
      </w:pPr>
      <w:bookmarkStart w:id="0" w:name="_GoBack"/>
      <w:bookmarkEnd w:id="0"/>
      <w:r>
        <w:t>COMMONWEALTH OF MASSACHUSETTS</w:t>
      </w:r>
    </w:p>
    <w:p w:rsidR="00373992" w:rsidRDefault="00373992" w:rsidP="00373992">
      <w:pPr>
        <w:pStyle w:val="Title"/>
      </w:pPr>
    </w:p>
    <w:p w:rsidR="00373992" w:rsidRDefault="00373992" w:rsidP="00373992">
      <w:pPr>
        <w:pStyle w:val="Title"/>
      </w:pPr>
      <w:r>
        <w:t>APPELLATE TAX BOARD</w:t>
      </w:r>
    </w:p>
    <w:p w:rsidR="007C5A67" w:rsidRDefault="007C5A67" w:rsidP="00373992">
      <w:pPr>
        <w:pStyle w:val="Title"/>
      </w:pPr>
    </w:p>
    <w:p w:rsidR="00373992" w:rsidRDefault="00373992" w:rsidP="00373992">
      <w:pPr>
        <w:pStyle w:val="Title"/>
      </w:pPr>
    </w:p>
    <w:p w:rsidR="00373992" w:rsidRDefault="00373992" w:rsidP="00373992">
      <w:pPr>
        <w:jc w:val="both"/>
        <w:rPr>
          <w:rFonts w:ascii="Courier New" w:hAnsi="Courier New" w:cs="Courier New"/>
          <w:b/>
          <w:bCs/>
          <w:sz w:val="24"/>
          <w:szCs w:val="24"/>
        </w:rPr>
      </w:pPr>
    </w:p>
    <w:p w:rsidR="00373992" w:rsidRDefault="00373992" w:rsidP="00373992">
      <w:pPr>
        <w:pStyle w:val="Heading1"/>
        <w:tabs>
          <w:tab w:val="left" w:pos="4320"/>
        </w:tabs>
        <w:jc w:val="both"/>
      </w:pPr>
      <w:r>
        <w:t>JONATHAN HAAR</w:t>
      </w:r>
      <w:r>
        <w:tab/>
        <w:t xml:space="preserve"> </w:t>
      </w:r>
      <w:r>
        <w:tab/>
        <w:t xml:space="preserve"> v. </w:t>
      </w:r>
      <w:r>
        <w:tab/>
      </w:r>
      <w:r w:rsidR="007C5A67">
        <w:tab/>
      </w:r>
      <w:r>
        <w:t>COMMISSIONER OF REVENUE</w:t>
      </w:r>
    </w:p>
    <w:p w:rsidR="00373992" w:rsidRDefault="00373992" w:rsidP="00373992">
      <w:pPr>
        <w:pStyle w:val="Heading1"/>
        <w:tabs>
          <w:tab w:val="left" w:pos="4320"/>
        </w:tabs>
        <w:jc w:val="both"/>
      </w:pPr>
      <w:r>
        <w:tab/>
        <w:t> </w:t>
      </w:r>
      <w:r>
        <w:tab/>
        <w:t xml:space="preserve"> </w:t>
      </w:r>
    </w:p>
    <w:p w:rsidR="00373992" w:rsidRDefault="00373992" w:rsidP="00373992">
      <w:pPr>
        <w:pStyle w:val="Heading1"/>
        <w:ind w:left="0" w:firstLine="0"/>
      </w:pPr>
      <w:r>
        <w:t xml:space="preserve"> </w:t>
      </w:r>
      <w:r>
        <w:tab/>
      </w:r>
      <w:r>
        <w:tab/>
      </w:r>
      <w:r>
        <w:tab/>
      </w:r>
      <w:r>
        <w:tab/>
      </w:r>
      <w:r>
        <w:tab/>
      </w:r>
      <w:r>
        <w:tab/>
      </w:r>
      <w:r>
        <w:tab/>
        <w:t xml:space="preserve"> </w:t>
      </w:r>
      <w:r>
        <w:tab/>
        <w:t xml:space="preserve">   </w:t>
      </w:r>
    </w:p>
    <w:p w:rsidR="00373992" w:rsidRDefault="00373992" w:rsidP="00373992">
      <w:pPr>
        <w:jc w:val="both"/>
        <w:rPr>
          <w:rFonts w:ascii="Courier New" w:hAnsi="Courier New" w:cs="Courier New"/>
          <w:sz w:val="24"/>
          <w:szCs w:val="24"/>
        </w:rPr>
      </w:pPr>
      <w:r>
        <w:rPr>
          <w:rFonts w:ascii="Courier New" w:hAnsi="Courier New" w:cs="Courier New"/>
          <w:sz w:val="24"/>
          <w:szCs w:val="24"/>
        </w:rPr>
        <w:t>Docket No. C315058</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t> </w:t>
      </w:r>
      <w:r w:rsidR="00150324">
        <w:rPr>
          <w:rFonts w:ascii="Courier New" w:hAnsi="Courier New" w:cs="Courier New"/>
          <w:sz w:val="24"/>
          <w:szCs w:val="24"/>
        </w:rPr>
        <w:tab/>
      </w:r>
      <w:r>
        <w:rPr>
          <w:rFonts w:ascii="Courier New" w:hAnsi="Courier New" w:cs="Courier New"/>
          <w:sz w:val="24"/>
          <w:szCs w:val="24"/>
        </w:rPr>
        <w:t>Promulgated:</w:t>
      </w:r>
    </w:p>
    <w:p w:rsidR="00373992" w:rsidRDefault="00373992" w:rsidP="00373992">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w:t>
      </w:r>
      <w:r w:rsidR="00150324">
        <w:rPr>
          <w:rFonts w:ascii="Courier New" w:hAnsi="Courier New" w:cs="Courier New"/>
          <w:sz w:val="24"/>
          <w:szCs w:val="24"/>
        </w:rPr>
        <w:tab/>
      </w:r>
      <w:r w:rsidR="00150324">
        <w:rPr>
          <w:rFonts w:ascii="Courier New" w:hAnsi="Courier New" w:cs="Courier New"/>
          <w:sz w:val="24"/>
          <w:szCs w:val="24"/>
        </w:rPr>
        <w:tab/>
      </w:r>
      <w:r w:rsidR="00B06676">
        <w:rPr>
          <w:rFonts w:ascii="Courier New" w:hAnsi="Courier New" w:cs="Courier New"/>
          <w:sz w:val="24"/>
          <w:szCs w:val="24"/>
        </w:rPr>
        <w:t>July 23, 2014</w:t>
      </w:r>
    </w:p>
    <w:p w:rsidR="00373992" w:rsidRDefault="00373992" w:rsidP="00373992">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p>
    <w:p w:rsidR="00373992" w:rsidRDefault="00373992" w:rsidP="00373992">
      <w:pPr>
        <w:jc w:val="both"/>
        <w:rPr>
          <w:rFonts w:ascii="Courier New" w:hAnsi="Courier New" w:cs="Courier New"/>
          <w:sz w:val="24"/>
          <w:szCs w:val="24"/>
        </w:rPr>
      </w:pP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This is an appeal filed under the formal procedure pursuant to G.L. c. 58A, § 7 and G.L. c. 62C, § 39(c) from the refusal of the appellee, Commissioner of Revenue (“Commissioner” or “appellee”), to grant an abatement of a penalty assessed to the appellant, Jonathan Haar, (“Mr. Haar” or “appellant”), for the tax year ended December 31, 2010 (“tax year at issue”).</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Commissioner Scharaffa heard this appeal and was joined by Chairman Hammond and Commissioners Rose, Chmielinski, and Good in a decision for the appellant.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These findings of fact and report are made pursuant to a request by the appellee under G.L. c. 58A, § 13 and 831 CMR 1.32.  </w:t>
      </w:r>
    </w:p>
    <w:p w:rsidR="00373992" w:rsidRDefault="00373992" w:rsidP="00373992">
      <w:pPr>
        <w:ind w:firstLine="720"/>
        <w:jc w:val="both"/>
        <w:rPr>
          <w:rFonts w:ascii="Courier New" w:hAnsi="Courier New" w:cs="Courier New"/>
          <w:i/>
          <w:sz w:val="24"/>
          <w:szCs w:val="24"/>
        </w:rPr>
      </w:pPr>
    </w:p>
    <w:p w:rsidR="00373992" w:rsidRDefault="00373992" w:rsidP="00373992">
      <w:pPr>
        <w:ind w:firstLine="720"/>
        <w:jc w:val="both"/>
        <w:rPr>
          <w:rFonts w:ascii="Courier New" w:hAnsi="Courier New" w:cs="Courier New"/>
          <w:i/>
          <w:sz w:val="24"/>
          <w:szCs w:val="24"/>
        </w:rPr>
      </w:pPr>
    </w:p>
    <w:p w:rsidR="00373992" w:rsidRDefault="00373992" w:rsidP="00373992">
      <w:pPr>
        <w:ind w:firstLine="720"/>
        <w:jc w:val="both"/>
        <w:rPr>
          <w:rFonts w:ascii="Courier New" w:hAnsi="Courier New" w:cs="Courier New"/>
          <w:sz w:val="24"/>
          <w:szCs w:val="24"/>
        </w:rPr>
      </w:pPr>
      <w:r>
        <w:rPr>
          <w:rFonts w:ascii="Courier New" w:hAnsi="Courier New" w:cs="Courier New"/>
          <w:i/>
          <w:sz w:val="24"/>
          <w:szCs w:val="24"/>
        </w:rPr>
        <w:t xml:space="preserve">Jonathan Haar, pro se, </w:t>
      </w:r>
      <w:r>
        <w:rPr>
          <w:rFonts w:ascii="Courier New" w:hAnsi="Courier New" w:cs="Courier New"/>
          <w:sz w:val="24"/>
          <w:szCs w:val="24"/>
        </w:rPr>
        <w:t>for the appellant.</w:t>
      </w:r>
    </w:p>
    <w:p w:rsidR="00373992" w:rsidRDefault="00373992" w:rsidP="00373992">
      <w:pPr>
        <w:ind w:firstLine="720"/>
        <w:jc w:val="both"/>
        <w:rPr>
          <w:rFonts w:ascii="Courier New" w:hAnsi="Courier New" w:cs="Courier New"/>
          <w:sz w:val="24"/>
          <w:szCs w:val="24"/>
        </w:rPr>
      </w:pPr>
    </w:p>
    <w:p w:rsidR="00373992" w:rsidRDefault="00373992" w:rsidP="00373992">
      <w:pPr>
        <w:ind w:firstLine="720"/>
        <w:jc w:val="both"/>
        <w:rPr>
          <w:rFonts w:ascii="Courier New" w:hAnsi="Courier New" w:cs="Courier New"/>
          <w:sz w:val="24"/>
          <w:szCs w:val="24"/>
        </w:rPr>
      </w:pPr>
      <w:r>
        <w:rPr>
          <w:rFonts w:ascii="Courier New" w:hAnsi="Courier New" w:cs="Courier New"/>
          <w:i/>
          <w:sz w:val="24"/>
          <w:szCs w:val="24"/>
        </w:rPr>
        <w:t>Bensen V. Solivan</w:t>
      </w:r>
      <w:r>
        <w:rPr>
          <w:rFonts w:ascii="Courier New" w:hAnsi="Courier New" w:cs="Courier New"/>
          <w:sz w:val="24"/>
          <w:szCs w:val="24"/>
        </w:rPr>
        <w:t xml:space="preserve">, Esq., and </w:t>
      </w:r>
      <w:r>
        <w:rPr>
          <w:rFonts w:ascii="Courier New" w:hAnsi="Courier New" w:cs="Courier New"/>
          <w:i/>
          <w:sz w:val="24"/>
          <w:szCs w:val="24"/>
        </w:rPr>
        <w:t>Timothy R. Stille</w:t>
      </w:r>
      <w:r>
        <w:rPr>
          <w:rFonts w:ascii="Courier New" w:hAnsi="Courier New" w:cs="Courier New"/>
          <w:sz w:val="24"/>
          <w:szCs w:val="24"/>
        </w:rPr>
        <w:t>, Esq. for the appellee.</w:t>
      </w:r>
      <w:r>
        <w:rPr>
          <w:rFonts w:ascii="Courier New" w:hAnsi="Courier New" w:cs="Courier New"/>
          <w:sz w:val="24"/>
          <w:szCs w:val="24"/>
        </w:rPr>
        <w:tab/>
      </w:r>
    </w:p>
    <w:p w:rsidR="00373992" w:rsidRDefault="00373992" w:rsidP="00373992">
      <w:pPr>
        <w:ind w:firstLine="720"/>
        <w:jc w:val="both"/>
        <w:rPr>
          <w:rFonts w:ascii="Courier New" w:hAnsi="Courier New" w:cs="Courier New"/>
          <w:sz w:val="24"/>
          <w:szCs w:val="24"/>
        </w:rPr>
      </w:pPr>
    </w:p>
    <w:p w:rsidR="00373992" w:rsidRDefault="00373992" w:rsidP="00373992">
      <w:pPr>
        <w:ind w:firstLine="720"/>
        <w:jc w:val="both"/>
        <w:rPr>
          <w:rFonts w:ascii="Courier New" w:hAnsi="Courier New" w:cs="Courier New"/>
          <w:sz w:val="24"/>
          <w:szCs w:val="24"/>
        </w:rPr>
      </w:pPr>
    </w:p>
    <w:p w:rsidR="00150324" w:rsidRDefault="00150324">
      <w:pPr>
        <w:spacing w:after="200" w:line="276" w:lineRule="auto"/>
        <w:rPr>
          <w:rFonts w:ascii="Courier New" w:hAnsi="Courier New" w:cs="Courier New"/>
          <w:b/>
          <w:bCs/>
          <w:sz w:val="24"/>
          <w:szCs w:val="24"/>
        </w:rPr>
      </w:pPr>
      <w:r>
        <w:br w:type="page"/>
      </w:r>
    </w:p>
    <w:p w:rsidR="00373992" w:rsidRDefault="00373992" w:rsidP="00373992">
      <w:pPr>
        <w:pStyle w:val="Heading2"/>
        <w:spacing w:line="480" w:lineRule="auto"/>
      </w:pPr>
      <w:r>
        <w:lastRenderedPageBreak/>
        <w:t>FINDINGS OF FACT AND REPORT</w:t>
      </w:r>
    </w:p>
    <w:p w:rsidR="00373992" w:rsidRDefault="00373992" w:rsidP="00373992">
      <w:pPr>
        <w:pStyle w:val="ListParagraph"/>
        <w:numPr>
          <w:ilvl w:val="0"/>
          <w:numId w:val="1"/>
        </w:numPr>
        <w:spacing w:line="480" w:lineRule="auto"/>
        <w:jc w:val="both"/>
        <w:rPr>
          <w:rFonts w:ascii="Courier New" w:hAnsi="Courier New" w:cs="Courier New"/>
          <w:b/>
          <w:sz w:val="24"/>
          <w:szCs w:val="24"/>
        </w:rPr>
      </w:pPr>
      <w:r>
        <w:rPr>
          <w:rFonts w:ascii="Courier New" w:hAnsi="Courier New" w:cs="Courier New"/>
          <w:b/>
          <w:sz w:val="24"/>
          <w:szCs w:val="24"/>
        </w:rPr>
        <w:t>INTRODUCTION</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On the basis of a Statement of Agreed Facts and the testimony and exhibits offered into evidence at the hearing of this appeal, the Appellate Tax Board (“Board”) made the following findings of fact.</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This appeal involves the Commissioner’s assessment of a $100 penalty, pursuant to G.L. c. 62C, § 33(g) (“§ 33(g)”), because of the appellant’s failure to electronically submit the payment that accompanied his Form-4868, Application for Automatic Six-Month Extension of Time to File Massachusetts Income Tax Return (“extension application”) for the tax year at issue.  Although the penalty was assessed for tax year 2010, a portion of the appellant’s compliance history is relevant and is therefore briefly recounted below.  </w:t>
      </w:r>
    </w:p>
    <w:p w:rsidR="00373992" w:rsidRDefault="00373992" w:rsidP="00373992">
      <w:pPr>
        <w:pStyle w:val="ListParagraph"/>
        <w:numPr>
          <w:ilvl w:val="0"/>
          <w:numId w:val="1"/>
        </w:numPr>
        <w:spacing w:line="480" w:lineRule="auto"/>
        <w:jc w:val="both"/>
        <w:rPr>
          <w:rFonts w:ascii="Courier New" w:hAnsi="Courier New" w:cs="Courier New"/>
          <w:b/>
          <w:sz w:val="24"/>
          <w:szCs w:val="24"/>
        </w:rPr>
      </w:pPr>
      <w:r>
        <w:rPr>
          <w:rFonts w:ascii="Courier New" w:hAnsi="Courier New" w:cs="Courier New"/>
          <w:b/>
          <w:sz w:val="24"/>
          <w:szCs w:val="24"/>
        </w:rPr>
        <w:t>APPELLANT’S FILING AND PAYMENT HISTORY</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On April 15, 2006, the appellant filed a paper extension application for the tax year ended December 31, 2005.  The paper extension application was accompanied by a $5,000 payment in the form of a check (“paper payment”).  The paper extension application and paper payment did not comply with the requirements set forth in </w:t>
      </w:r>
      <w:r>
        <w:rPr>
          <w:rFonts w:ascii="Courier New" w:hAnsi="Courier New" w:cs="Courier New"/>
          <w:b/>
          <w:i/>
          <w:sz w:val="24"/>
          <w:szCs w:val="24"/>
        </w:rPr>
        <w:t xml:space="preserve">Technical Information Release (“TIR”) 04-30 </w:t>
      </w:r>
      <w:r>
        <w:rPr>
          <w:rFonts w:ascii="Courier New" w:hAnsi="Courier New" w:cs="Courier New"/>
          <w:sz w:val="24"/>
          <w:szCs w:val="24"/>
        </w:rPr>
        <w:t>(“</w:t>
      </w:r>
      <w:r>
        <w:rPr>
          <w:rFonts w:ascii="Courier New" w:hAnsi="Courier New" w:cs="Courier New"/>
          <w:b/>
          <w:i/>
          <w:sz w:val="24"/>
          <w:szCs w:val="24"/>
        </w:rPr>
        <w:t>TIR 04-30</w:t>
      </w:r>
      <w:r>
        <w:rPr>
          <w:rFonts w:ascii="Courier New" w:hAnsi="Courier New" w:cs="Courier New"/>
          <w:sz w:val="24"/>
          <w:szCs w:val="24"/>
        </w:rPr>
        <w:t xml:space="preserve">”), which states that if a payment accompanying an extension application equals $5,000 or more, such extension </w:t>
      </w:r>
      <w:r>
        <w:rPr>
          <w:rFonts w:ascii="Courier New" w:hAnsi="Courier New" w:cs="Courier New"/>
          <w:sz w:val="24"/>
          <w:szCs w:val="24"/>
        </w:rPr>
        <w:lastRenderedPageBreak/>
        <w:t xml:space="preserve">application and payment must be submitted electronically.  </w:t>
      </w:r>
      <w:r>
        <w:rPr>
          <w:rFonts w:ascii="Courier New" w:hAnsi="Courier New" w:cs="Courier New"/>
          <w:i/>
          <w:sz w:val="24"/>
          <w:szCs w:val="24"/>
        </w:rPr>
        <w:t>See</w:t>
      </w:r>
      <w:r>
        <w:rPr>
          <w:rFonts w:ascii="Courier New" w:hAnsi="Courier New" w:cs="Courier New"/>
          <w:sz w:val="24"/>
          <w:szCs w:val="24"/>
        </w:rPr>
        <w:t xml:space="preserve"> </w:t>
      </w:r>
      <w:r>
        <w:rPr>
          <w:rFonts w:ascii="Courier New" w:hAnsi="Courier New" w:cs="Courier New"/>
          <w:b/>
          <w:i/>
          <w:sz w:val="24"/>
          <w:szCs w:val="24"/>
        </w:rPr>
        <w:t>TIR 04-30 (II)(D)</w:t>
      </w:r>
      <w:r>
        <w:rPr>
          <w:rFonts w:ascii="Courier New" w:hAnsi="Courier New" w:cs="Courier New"/>
          <w:sz w:val="24"/>
          <w:szCs w:val="24"/>
        </w:rPr>
        <w:t xml:space="preserve">.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Under § 33(g), the Commissioner is required to notify taxpayers of their first failure to comply with the electronic filing and payment mandates, but is not required “to send the notice for subsequent instances of noncompliance.”  Thus, by notice dated May 2, 2006, the Commissioner informed the appellant that the paper extension application and paper payment for the 2005 tax year did not comply with the electronic filing and payment mandates and that any further instance of non-compliance would result in the assessment of a $100 penalty.  The appellant was assessed a $100 penalty for failing to make an electronic payment with his extension application for the 2006 tax year, but complied with the Commissioner’s electronic filing and payment mandates for the 2007 tax year.  Because the amount accompanying his extension applications for tax years 2008 and 2009 did not exceed the $5,000 threshold, the appellant’s paper extension applications and paper payments did not run afoul of </w:t>
      </w:r>
      <w:r>
        <w:rPr>
          <w:rFonts w:ascii="Courier New" w:hAnsi="Courier New" w:cs="Courier New"/>
          <w:b/>
          <w:i/>
          <w:sz w:val="24"/>
          <w:szCs w:val="24"/>
        </w:rPr>
        <w:t>TIR 04-30</w:t>
      </w:r>
      <w:r>
        <w:rPr>
          <w:rFonts w:ascii="Courier New" w:hAnsi="Courier New" w:cs="Courier New"/>
          <w:sz w:val="24"/>
          <w:szCs w:val="24"/>
        </w:rPr>
        <w:t>, and no penalties were assessed for those tax years.</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On April 15, 2011, the appellant filed a paper extension application for the tax year at issue, which was accompanied by a paper payment in the amount of $19,517.00.  By Notice of Assessment dated October 24, 2011, the Commissioner assessed a $100 penalty to the appellant for his failure to make an </w:t>
      </w:r>
      <w:r>
        <w:rPr>
          <w:rFonts w:ascii="Courier New" w:hAnsi="Courier New" w:cs="Courier New"/>
          <w:sz w:val="24"/>
          <w:szCs w:val="24"/>
        </w:rPr>
        <w:lastRenderedPageBreak/>
        <w:t>electronic payment in connection with his extension application for the tax year at issue.</w:t>
      </w:r>
      <w:r>
        <w:rPr>
          <w:rStyle w:val="FootnoteReference"/>
          <w:rFonts w:ascii="Courier New" w:hAnsi="Courier New" w:cs="Courier New"/>
          <w:sz w:val="24"/>
          <w:szCs w:val="24"/>
        </w:rPr>
        <w:footnoteReference w:id="1"/>
      </w:r>
      <w:r>
        <w:rPr>
          <w:rFonts w:ascii="Courier New" w:hAnsi="Courier New"/>
          <w:sz w:val="24"/>
          <w:szCs w:val="24"/>
        </w:rPr>
        <w:t xml:space="preserve">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On December 15, 2011, the appellant applied in writing to the Commissioner, seeking an abatement of the $100 penalty.  By Notice of Abatement Determination dated March 14, 2012, the Commissioner denied the appellant’s abatement request.  On April 3, 2012, the appellant timely filed his appeal with the Board.  On the basis of these facts, the Board found and ruled that it had jurisdiction to hear and decide this appeal.</w:t>
      </w:r>
    </w:p>
    <w:p w:rsidR="00373992" w:rsidRDefault="00373992" w:rsidP="00373992">
      <w:pPr>
        <w:pStyle w:val="ListParagraph"/>
        <w:numPr>
          <w:ilvl w:val="0"/>
          <w:numId w:val="1"/>
        </w:numPr>
        <w:spacing w:line="480" w:lineRule="auto"/>
        <w:jc w:val="both"/>
        <w:rPr>
          <w:rFonts w:ascii="Courier New" w:hAnsi="Courier New" w:cs="Courier New"/>
          <w:b/>
          <w:sz w:val="24"/>
          <w:szCs w:val="24"/>
        </w:rPr>
      </w:pPr>
      <w:r>
        <w:rPr>
          <w:rFonts w:ascii="Courier New" w:hAnsi="Courier New" w:cs="Courier New"/>
          <w:b/>
          <w:sz w:val="24"/>
          <w:szCs w:val="24"/>
        </w:rPr>
        <w:t>APPELLANT’S TESTIMONY</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appellant testified that each year, he applies to the Commissioner for an extension to file his Massachusetts income tax return, because a portion of his income is derived from a Texas partnership in which he has an interest with his uncle, who resides in Texas.  For the tax year at issue, the appellant engaged a paid professional tax preparer to file his income tax return because he determined that it was a complicated return.  </w:t>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szCs w:val="24"/>
        </w:rPr>
        <w:t xml:space="preserve">Mr. Haar maintained that the Commissioner’s electronic payment mandate is a “serious invasion of both [his] privacy and [his] personal business practices,” as it exposes his finances to risk of cyber attack.  On his abatement application, Mr. Haar explained, “I intentionally do no electronic banking nor direct </w:t>
      </w:r>
      <w:r>
        <w:rPr>
          <w:rFonts w:ascii="Courier New" w:hAnsi="Courier New" w:cs="Courier New"/>
          <w:sz w:val="24"/>
          <w:szCs w:val="24"/>
        </w:rPr>
        <w:lastRenderedPageBreak/>
        <w:t xml:space="preserve">bill paying, I have none of my credit cards linked to my bank accounts directly and I think anyone who does any of the above is exposing themselves to multiple risks of cybercrime and identity theft.”  At the hearing, Mr. Haar testified that he does not link his “bank account information in any electronic way to any other electronic medium” because he believes it is a “very foolish thing to do.” Mr. Haar further expressed doubts as to the security of the computer systems used by the Department of Revenue (“DOR”), noting that “if the Pentagon can be hacked,” he had little confidence that DOR could protect his – or any other taxpayer’s – personal data from theft.  </w:t>
      </w:r>
    </w:p>
    <w:p w:rsidR="00373992" w:rsidRDefault="00373992" w:rsidP="00373992">
      <w:pPr>
        <w:pStyle w:val="ListParagraph"/>
        <w:numPr>
          <w:ilvl w:val="0"/>
          <w:numId w:val="1"/>
        </w:numPr>
        <w:spacing w:line="480" w:lineRule="auto"/>
        <w:jc w:val="both"/>
        <w:rPr>
          <w:rFonts w:ascii="Courier New" w:hAnsi="Courier New" w:cs="Courier New"/>
          <w:b/>
          <w:sz w:val="24"/>
        </w:rPr>
      </w:pPr>
      <w:r>
        <w:rPr>
          <w:rFonts w:ascii="Courier New" w:hAnsi="Courier New" w:cs="Courier New"/>
          <w:b/>
          <w:sz w:val="24"/>
        </w:rPr>
        <w:t>COMMISSIONER’S CASE</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rPr>
        <w:t xml:space="preserve">It was the Commissioner’s position in this appeal that, pursuant to G.L. c. 62C, §§ 5, 33(g) and 85, she has the authority to mandate electronic filing and payment and to assess penalties if, after notice, a taxpayer failed to comply with the prescribed filing and payment mandates.  While § 33(g) provides that the penalties may be abated if a taxpayer can demonstrate “reasonable cause” for non-compliance, the Commissioner maintained that the appellant did not establish reasonable cause because </w:t>
      </w:r>
      <w:r>
        <w:rPr>
          <w:rFonts w:ascii="Courier New" w:hAnsi="Courier New" w:cs="Courier New"/>
          <w:b/>
          <w:i/>
          <w:sz w:val="24"/>
          <w:szCs w:val="24"/>
        </w:rPr>
        <w:t>Administrative Procedure 633</w:t>
      </w:r>
      <w:r>
        <w:rPr>
          <w:rFonts w:ascii="Courier New" w:hAnsi="Courier New" w:cs="Courier New"/>
          <w:sz w:val="24"/>
          <w:szCs w:val="24"/>
        </w:rPr>
        <w:t xml:space="preserve"> (“</w:t>
      </w:r>
      <w:r>
        <w:rPr>
          <w:rFonts w:ascii="Courier New" w:hAnsi="Courier New" w:cs="Courier New"/>
          <w:b/>
          <w:i/>
          <w:sz w:val="24"/>
          <w:szCs w:val="24"/>
        </w:rPr>
        <w:t>AP 633</w:t>
      </w:r>
      <w:r>
        <w:rPr>
          <w:rFonts w:ascii="Courier New" w:hAnsi="Courier New" w:cs="Courier New"/>
          <w:sz w:val="24"/>
          <w:szCs w:val="24"/>
        </w:rPr>
        <w:t>”</w:t>
      </w:r>
      <w:r>
        <w:rPr>
          <w:rFonts w:ascii="Courier New" w:hAnsi="Courier New" w:cs="Courier New"/>
          <w:sz w:val="24"/>
        </w:rPr>
        <w:t>) provides that</w:t>
      </w:r>
      <w:r>
        <w:rPr>
          <w:rFonts w:ascii="Courier New" w:hAnsi="Courier New" w:cs="Courier New"/>
          <w:sz w:val="24"/>
          <w:szCs w:val="24"/>
        </w:rPr>
        <w:t xml:space="preserve"> “[</w:t>
      </w:r>
      <w:r>
        <w:rPr>
          <w:rFonts w:ascii="Courier New" w:hAnsi="Courier New" w:cs="Courier New"/>
          <w:sz w:val="24"/>
          <w:szCs w:val="24"/>
          <w:lang w:val="en"/>
        </w:rPr>
        <w:t xml:space="preserve">t]he fact that a taxpayer does not own a computer or is uncomfortable with electronic data or funds transfer will not support a claim for reasonable cause.”  </w:t>
      </w:r>
      <w:r>
        <w:rPr>
          <w:rFonts w:ascii="Courier New" w:hAnsi="Courier New" w:cs="Courier New"/>
          <w:b/>
          <w:i/>
          <w:sz w:val="24"/>
          <w:szCs w:val="24"/>
        </w:rPr>
        <w:t>AP 633(II)(D)</w:t>
      </w:r>
      <w:r>
        <w:rPr>
          <w:rFonts w:ascii="Courier New" w:hAnsi="Courier New" w:cs="Courier New"/>
          <w:sz w:val="24"/>
          <w:szCs w:val="24"/>
        </w:rPr>
        <w:t>.</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In support of her position, the Commissioner offered the testimony of two witnesses, Robert Allard and Theresa O’Brien- Horan, both longtime employees of DOR.  Mr. Allard, who is a Tax Auditor, testified regarding Mr. Haar’s tax filing and payment history.  Based upon records maintained by DOR’s MASSTAX computer system, Mr. Allard was able to determine that the personal income tax return ultimately filed by Mr. Haar for the tax year at issue was electronically filed with the assistance of a paid preparer.  However, MASSTAX records showed that     Mr. Haar, as he did with the $19,517.00 check he mailed with his extension request, paid the amount shown on the return as the tax due, $1,926.00, by check.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Ms. O’Brien-Horan testified that she has been employed by DOR for 26 years in several senior positions.  At the time of the hearing, she was a Deputy Commissioner assigned to the Commissioner’s Office as a participant in the development of MASS TAX 2, DOR’s new integrated computer system.  Prior to her assignment in the Commissioner’s Office, she served as Deputy Commissioner of the Taxpayer Service Division and Deputy Commissioner of the Processing Division.  Ms. O’Brien-Horan, who was part of the management team that implemented the electronic filing and payment mandates at issue here, described the policy reasons behind their implementation.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She testified that DOR was “looking for ways to make compliance easier for taxpayers, to enable them to file more simply [and] improve our services.”  Ms. O’Brien-Horan observed that, in the 1990s, many taxpayers were turning to software, such as Turbo Tax®, to prepare and file tax returns, “but they were pressing print and mailing us the paper, rather than pressing send and transmitting the documents electronically.”  Therefore, DOR began looking for ways to incentivize more taxpayers to use electronic options for tax filing, including a free on-line application, which was successfully utilized by numerous taxpayers.  However, even though the number of taxpayers filing electronically was growing, Ms. O’Brien-Horan testified that DOR was still processing a large volume of paper returns.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With the 2002 amendment of G.L. c. 62C, § 5, which authorized the Commissioner to require electronic filing and payment, DOR began mandating electronic filing and payment for certain taxpayers above specific dollar thresholds, originally, those businesses that owed a combined total of more than $100,000 in 3 specific trustee taxes</w:t>
      </w:r>
      <w:r>
        <w:rPr>
          <w:rStyle w:val="FootnoteReference"/>
          <w:rFonts w:ascii="Courier New" w:hAnsi="Courier New" w:cs="Courier New"/>
          <w:sz w:val="24"/>
          <w:szCs w:val="24"/>
        </w:rPr>
        <w:footnoteReference w:id="2"/>
      </w:r>
      <w:r>
        <w:rPr>
          <w:rFonts w:ascii="Courier New" w:hAnsi="Courier New" w:cs="Courier New"/>
          <w:sz w:val="24"/>
          <w:szCs w:val="24"/>
        </w:rPr>
        <w:t xml:space="preserve">: wage withholding, room occupancy, and sales and use taxes.  </w:t>
      </w:r>
      <w:r>
        <w:rPr>
          <w:rFonts w:ascii="Courier New" w:hAnsi="Courier New" w:cs="Courier New"/>
          <w:i/>
          <w:sz w:val="24"/>
          <w:szCs w:val="24"/>
        </w:rPr>
        <w:t xml:space="preserve">See </w:t>
      </w:r>
      <w:r>
        <w:rPr>
          <w:rFonts w:ascii="Courier New" w:hAnsi="Courier New" w:cs="Courier New"/>
          <w:b/>
          <w:i/>
          <w:sz w:val="24"/>
          <w:szCs w:val="24"/>
        </w:rPr>
        <w:t xml:space="preserve">TIR 02-22.  </w:t>
      </w:r>
      <w:r>
        <w:rPr>
          <w:rFonts w:ascii="Courier New" w:hAnsi="Courier New" w:cs="Courier New"/>
          <w:sz w:val="24"/>
          <w:szCs w:val="24"/>
        </w:rPr>
        <w:t xml:space="preserve">No such mandate was put in place by </w:t>
      </w:r>
      <w:r>
        <w:rPr>
          <w:rFonts w:ascii="Courier New" w:hAnsi="Courier New" w:cs="Courier New"/>
          <w:b/>
          <w:i/>
          <w:sz w:val="24"/>
          <w:szCs w:val="24"/>
        </w:rPr>
        <w:t xml:space="preserve">TIR 02-22 </w:t>
      </w:r>
      <w:r>
        <w:rPr>
          <w:rFonts w:ascii="Courier New" w:hAnsi="Courier New" w:cs="Courier New"/>
          <w:sz w:val="24"/>
          <w:szCs w:val="24"/>
        </w:rPr>
        <w:t xml:space="preserve">for individual taxpayers </w:t>
      </w:r>
      <w:r>
        <w:rPr>
          <w:rFonts w:ascii="Courier New" w:hAnsi="Courier New" w:cs="Courier New"/>
          <w:sz w:val="24"/>
          <w:szCs w:val="24"/>
        </w:rPr>
        <w:lastRenderedPageBreak/>
        <w:t xml:space="preserve">filing personal income tax returns.  Through the issuance of a series of TIRs, however, DOR gradually expanded the scope of the mandates.  For example, the threshold for electronic filing with respect to businesses submitting certain trustee taxes was gradually lowered from $100,000 to $10,000, while the threshold for tax return preparers required to electronically file was lowered from over 200 returns to over 10 returns.  </w:t>
      </w:r>
      <w:r>
        <w:rPr>
          <w:rFonts w:ascii="Courier New" w:hAnsi="Courier New" w:cs="Courier New"/>
          <w:i/>
          <w:sz w:val="24"/>
          <w:szCs w:val="24"/>
        </w:rPr>
        <w:t xml:space="preserve">See </w:t>
      </w:r>
      <w:r>
        <w:rPr>
          <w:rFonts w:ascii="Courier New" w:hAnsi="Courier New" w:cs="Courier New"/>
          <w:b/>
          <w:i/>
          <w:sz w:val="24"/>
          <w:szCs w:val="24"/>
        </w:rPr>
        <w:t>TIR 02-22</w:t>
      </w:r>
      <w:r>
        <w:rPr>
          <w:rFonts w:ascii="Courier New" w:hAnsi="Courier New" w:cs="Courier New"/>
          <w:sz w:val="24"/>
          <w:szCs w:val="24"/>
        </w:rPr>
        <w:t xml:space="preserve">, </w:t>
      </w:r>
      <w:r>
        <w:rPr>
          <w:rFonts w:ascii="Courier New" w:hAnsi="Courier New" w:cs="Courier New"/>
          <w:b/>
          <w:i/>
          <w:sz w:val="24"/>
          <w:szCs w:val="24"/>
        </w:rPr>
        <w:t>TIR 03-11</w:t>
      </w:r>
      <w:r>
        <w:rPr>
          <w:rFonts w:ascii="Courier New" w:hAnsi="Courier New" w:cs="Courier New"/>
          <w:sz w:val="24"/>
          <w:szCs w:val="24"/>
        </w:rPr>
        <w:t xml:space="preserve">, </w:t>
      </w:r>
      <w:r>
        <w:rPr>
          <w:rFonts w:ascii="Courier New" w:hAnsi="Courier New" w:cs="Courier New"/>
          <w:b/>
          <w:i/>
          <w:sz w:val="24"/>
          <w:szCs w:val="24"/>
        </w:rPr>
        <w:t>TIR 04-30</w:t>
      </w:r>
      <w:r>
        <w:rPr>
          <w:rFonts w:ascii="Courier New" w:hAnsi="Courier New" w:cs="Courier New"/>
          <w:sz w:val="24"/>
          <w:szCs w:val="24"/>
        </w:rPr>
        <w:t xml:space="preserve"> and </w:t>
      </w:r>
      <w:r>
        <w:rPr>
          <w:rFonts w:ascii="Courier New" w:hAnsi="Courier New" w:cs="Courier New"/>
          <w:b/>
          <w:i/>
          <w:sz w:val="24"/>
          <w:szCs w:val="24"/>
        </w:rPr>
        <w:t>TIR 11-13.</w:t>
      </w:r>
      <w:r>
        <w:rPr>
          <w:rFonts w:ascii="Courier New" w:hAnsi="Courier New" w:cs="Courier New"/>
          <w:sz w:val="24"/>
          <w:szCs w:val="24"/>
        </w:rPr>
        <w:t xml:space="preserve">  Ms. O’Brien-Horan testified that these thresholds were lowered in order to capture more and more taxpayers.</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According to Ms. O’Brien-Horan, electronic data and funds transfer is preferable to paper returns and payment because it: (1) is the fastest and most accurate way to transmit data and payment; (2) reduces DOR’s processing costs; and (3) facilitates DOR’s data analysis, allowing it to make more accurate budget projections.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Ms. O’Brien-Horan testified that the mandate at issue in this appeal – requiring individual taxpayers who apply for an extension with an accompanying payment of $5,000 or more to file and pay electronically – is helpful to DOR because it maximizes up-front revenue intake.  According to Ms. O’Brien-Horan, the $5,000 threshold was chosen because it would “impact 17% of the taxpayers, but get . . . the money banked for 84% of the revenue.”  She elaborated that when DOR analyzed the population </w:t>
      </w:r>
      <w:r>
        <w:rPr>
          <w:rFonts w:ascii="Courier New" w:hAnsi="Courier New" w:cs="Courier New"/>
          <w:sz w:val="24"/>
          <w:szCs w:val="24"/>
        </w:rPr>
        <w:lastRenderedPageBreak/>
        <w:t xml:space="preserve">of taxpayers that would be affected by the $5,000 threshold, it determined that 98% of such taxpayers were already filing using a software package, so DOR “didn’t think [the mandate] would be too burdensome.”  She further testified that many taxpayers choose to file and pay electronically, even when not required to by the mandates, because they recognize the benefits of electronic filing and payment, including a reduction in calculation errors by taxpayers and processing errors by DOR, as well as faster refunds.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In response to questioning by the hearing officer regarding whether DOR was eventually going to require all taxpayers to file and pay electronically, including all individual taxpayers filing Form 1 Personal Income Tax Returns, Ms. O’Brien-Horan responded that although she would “encourage” taxpayers to file electronically and would “love to get all of our data electronically,” there is no present requirement for all income tax payers to file and pay electronically, but she acknowledged that DOR is “certainly . . . looking for more ways” to obtain electronic data and tax payments.</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Ms. O’Brien-Horan noted that the penalty imposed by </w:t>
      </w:r>
      <w:r>
        <w:rPr>
          <w:rFonts w:ascii="Courier New" w:hAnsi="Courier New" w:cs="Courier New"/>
          <w:sz w:val="24"/>
        </w:rPr>
        <w:t xml:space="preserve">§ 33(g) </w:t>
      </w:r>
      <w:r>
        <w:rPr>
          <w:rFonts w:ascii="Courier New" w:hAnsi="Courier New" w:cs="Courier New"/>
          <w:sz w:val="24"/>
          <w:szCs w:val="24"/>
        </w:rPr>
        <w:t xml:space="preserve">can be waived if the taxpayer demonstrates reasonable cause for non-compliance.  When asked by counsel for DOR if reasonable cause was the Massachusetts “equivalent of an opt-out” of </w:t>
      </w:r>
      <w:r>
        <w:rPr>
          <w:rFonts w:ascii="Courier New" w:hAnsi="Courier New" w:cs="Courier New"/>
          <w:sz w:val="24"/>
          <w:szCs w:val="24"/>
        </w:rPr>
        <w:lastRenderedPageBreak/>
        <w:t xml:space="preserve">electronic filing and payment requirements, she answered in the affirmative.   </w:t>
      </w:r>
    </w:p>
    <w:p w:rsidR="00373992" w:rsidRDefault="00373992" w:rsidP="00373992">
      <w:pPr>
        <w:pStyle w:val="ListParagraph"/>
        <w:numPr>
          <w:ilvl w:val="0"/>
          <w:numId w:val="1"/>
        </w:numPr>
        <w:spacing w:line="480" w:lineRule="auto"/>
        <w:jc w:val="both"/>
        <w:rPr>
          <w:rFonts w:ascii="Courier New" w:hAnsi="Courier New" w:cs="Courier New"/>
          <w:b/>
          <w:sz w:val="24"/>
          <w:szCs w:val="24"/>
        </w:rPr>
      </w:pPr>
      <w:r>
        <w:rPr>
          <w:rFonts w:ascii="Courier New" w:hAnsi="Courier New" w:cs="Courier New"/>
          <w:b/>
          <w:sz w:val="24"/>
          <w:szCs w:val="24"/>
        </w:rPr>
        <w:t>BOARD’S FINDINGS</w:t>
      </w:r>
    </w:p>
    <w:p w:rsidR="00373992" w:rsidRDefault="00373992" w:rsidP="00373992">
      <w:pPr>
        <w:spacing w:line="480" w:lineRule="auto"/>
        <w:ind w:firstLine="720"/>
        <w:jc w:val="both"/>
        <w:rPr>
          <w:rFonts w:ascii="Courier New" w:hAnsi="Courier New" w:cs="Courier New"/>
          <w:b/>
          <w:i/>
          <w:sz w:val="24"/>
        </w:rPr>
      </w:pPr>
      <w:r>
        <w:rPr>
          <w:rFonts w:ascii="Courier New" w:hAnsi="Courier New" w:cs="Courier New"/>
          <w:sz w:val="24"/>
        </w:rPr>
        <w:t xml:space="preserve">On the basis of the foregoing facts, the Board initially found that the appellant timely filed his extension application with an accompanying payment for the tax year at issue, albeit in the form of a paper extension application and paper payment.  Further, the appellant’s filing history indicated that he was neither untimely nor otherwise neglectful in his tax filing and payment obligations; rather, he simply filed and paid in a form other than that prescribed by </w:t>
      </w:r>
      <w:r>
        <w:rPr>
          <w:rFonts w:ascii="Courier New" w:hAnsi="Courier New" w:cs="Courier New"/>
          <w:b/>
          <w:i/>
          <w:sz w:val="24"/>
        </w:rPr>
        <w:t xml:space="preserve">TIR 04-30. </w:t>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rPr>
        <w:t xml:space="preserve">However, despite the appellant’s timely payment of the amount accompanying his extension request for the tax year at issue, G.L. c. 62C, § 33(g) provides that the paper payment was “considered not to have been” made because of the electronic payment mandate of </w:t>
      </w:r>
      <w:r>
        <w:rPr>
          <w:rFonts w:ascii="Courier New" w:hAnsi="Courier New" w:cs="Courier New"/>
          <w:b/>
          <w:i/>
          <w:sz w:val="24"/>
        </w:rPr>
        <w:t>TIR 04-30</w:t>
      </w:r>
      <w:r>
        <w:rPr>
          <w:rFonts w:ascii="Courier New" w:hAnsi="Courier New" w:cs="Courier New"/>
          <w:sz w:val="24"/>
        </w:rPr>
        <w:t>.  Accordingly, the Board addressed the question of whether the appellant’s reasons for failing to conform to the Commissioner’s prescribed payment method constituted reasonable cause.</w:t>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rPr>
        <w:t>The Board found credible the appellant’s testimony that he was concerned that transmitting his personal financial information electronically would expose him to a serious risk of security breaches.  Given his reference to the hacking of the Pentagon’s computer systems, and in light of the many well-</w:t>
      </w:r>
      <w:r>
        <w:rPr>
          <w:rFonts w:ascii="Courier New" w:hAnsi="Courier New" w:cs="Courier New"/>
          <w:sz w:val="24"/>
        </w:rPr>
        <w:lastRenderedPageBreak/>
        <w:t>publicized instances of large-scale thefts of financial information following computer security breaches at businesses and other institutions, and the appellant’s consistent practice of avoiding electronic payment of all of his bills, including his tax obligations,</w:t>
      </w:r>
      <w:r>
        <w:rPr>
          <w:rStyle w:val="FootnoteReference"/>
          <w:rFonts w:ascii="Courier New" w:hAnsi="Courier New" w:cs="Courier New"/>
          <w:sz w:val="24"/>
        </w:rPr>
        <w:t xml:space="preserve"> </w:t>
      </w:r>
      <w:r>
        <w:rPr>
          <w:rFonts w:ascii="Courier New" w:hAnsi="Courier New" w:cs="Courier New"/>
          <w:sz w:val="24"/>
        </w:rPr>
        <w:t xml:space="preserve">the Board found that the appellant’s failure to utilize the Commissioner’s mandated electronic tax payment to be reasonable.  </w:t>
      </w:r>
      <w:r>
        <w:rPr>
          <w:rFonts w:ascii="Courier New" w:hAnsi="Courier New" w:cs="Courier New"/>
          <w:sz w:val="24"/>
          <w:szCs w:val="24"/>
        </w:rPr>
        <w:t xml:space="preserve">In finding that the appellant’s testimony concerning his consistent practice of avoiding electronic payment of bills was credible, the Board considered the fact that the appellant made an electronic payment of the amount accompanying his tax year 2007 extension request.  However, the Board determined that this single instance of an electronic payment, some 3 years prior to the paper payment giving rise to the penalty at issue, did not undermine the credibility of the appellant’s concerns regarding electronic payment during the period at issue.  </w:t>
      </w:r>
      <w:r>
        <w:rPr>
          <w:rFonts w:ascii="Courier New" w:hAnsi="Courier New" w:cs="Courier New"/>
          <w:i/>
          <w:sz w:val="24"/>
          <w:szCs w:val="24"/>
        </w:rPr>
        <w:t xml:space="preserve">See </w:t>
      </w:r>
      <w:r>
        <w:rPr>
          <w:rFonts w:ascii="Courier New" w:hAnsi="Courier New" w:cs="Courier New"/>
          <w:b/>
          <w:i/>
          <w:sz w:val="24"/>
          <w:szCs w:val="24"/>
        </w:rPr>
        <w:t xml:space="preserve">Commissioner of Revenue v. Wells Yachts South, Inc., </w:t>
      </w:r>
      <w:r>
        <w:rPr>
          <w:rFonts w:ascii="Courier New" w:hAnsi="Courier New" w:cs="Courier New"/>
          <w:sz w:val="24"/>
          <w:szCs w:val="24"/>
        </w:rPr>
        <w:t xml:space="preserve">406 Mass. 661, 664 (1990) (ruling that, in determining whether there is reasonable cause, the fact finder “must look to the time when the returns or tax payments were due”).  </w:t>
      </w:r>
      <w:r>
        <w:rPr>
          <w:rFonts w:ascii="Courier New" w:hAnsi="Courier New" w:cs="Courier New"/>
          <w:sz w:val="24"/>
        </w:rPr>
        <w:t>The Board therefore found and ruled that the appellant’s paper payment of the tax accompanying his extension request in lieu of electronic payment was consistent with the degree of care that an ordinary taxpayer in his position would have exercised.</w:t>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rPr>
        <w:lastRenderedPageBreak/>
        <w:t xml:space="preserve">Accordingly, the Board found and ruled that the appellant demonstrated reasonable cause for his failure to comply with the Commissioner’s electronic-payment mandate for the period at issue.  The Board therefore issued a decision for the appellant in this appeal and granted an abatement of the $100 § 33(g) penalty, along with statutory additions. </w:t>
      </w:r>
    </w:p>
    <w:p w:rsidR="00373992" w:rsidRDefault="00373992" w:rsidP="00373992">
      <w:pPr>
        <w:spacing w:line="480" w:lineRule="auto"/>
        <w:jc w:val="center"/>
        <w:rPr>
          <w:rFonts w:ascii="Courier New" w:hAnsi="Courier New" w:cs="Courier New"/>
          <w:b/>
          <w:sz w:val="24"/>
        </w:rPr>
      </w:pPr>
    </w:p>
    <w:p w:rsidR="00373992" w:rsidRDefault="00373992" w:rsidP="00373992">
      <w:pPr>
        <w:spacing w:line="480" w:lineRule="auto"/>
        <w:jc w:val="center"/>
        <w:rPr>
          <w:rFonts w:ascii="Courier New" w:hAnsi="Courier New" w:cs="Courier New"/>
          <w:b/>
          <w:sz w:val="24"/>
        </w:rPr>
      </w:pPr>
      <w:r>
        <w:rPr>
          <w:rFonts w:ascii="Courier New" w:hAnsi="Courier New" w:cs="Courier New"/>
          <w:b/>
          <w:sz w:val="24"/>
        </w:rPr>
        <w:t>OPINION</w:t>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rPr>
        <w:t>Pursuant to a 2002 amendment to G.L. c. 62C, § 5,</w:t>
      </w:r>
      <w:r>
        <w:rPr>
          <w:rStyle w:val="FootnoteReference"/>
          <w:rFonts w:ascii="Courier New" w:hAnsi="Courier New" w:cs="Courier New"/>
          <w:sz w:val="24"/>
        </w:rPr>
        <w:footnoteReference w:id="3"/>
      </w:r>
      <w:r>
        <w:rPr>
          <w:rFonts w:ascii="Courier New" w:hAnsi="Courier New" w:cs="Courier New"/>
          <w:sz w:val="24"/>
        </w:rPr>
        <w:t xml:space="preserve"> the Legislature granted to the Commissioner broad authority to require that documents, including tax returns and extension applications, be filed electronically and that payments made in connection with those filings also be remitted electronically. Section 5 provides, in pertinent part, that:  “Any return, document or tax payment required or permitted to be filed under this chapter shall be filed with or transmitted to the commissioner in such manner, format and medium as the commissioner shall from time to time prescribe.”  </w:t>
      </w:r>
      <w:r>
        <w:rPr>
          <w:rFonts w:ascii="Courier New" w:hAnsi="Courier New" w:cs="Courier New"/>
          <w:sz w:val="24"/>
        </w:rPr>
        <w:tab/>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rPr>
        <w:t xml:space="preserve">As detailed in the foregoing findings, the Commissioner, through a series of </w:t>
      </w:r>
      <w:r>
        <w:rPr>
          <w:rFonts w:ascii="Courier New" w:hAnsi="Courier New" w:cs="Courier New"/>
          <w:b/>
          <w:i/>
          <w:sz w:val="24"/>
        </w:rPr>
        <w:t>TIR</w:t>
      </w:r>
      <w:r>
        <w:rPr>
          <w:rFonts w:ascii="Courier New" w:hAnsi="Courier New" w:cs="Courier New"/>
          <w:sz w:val="24"/>
        </w:rPr>
        <w:t xml:space="preserve">s beginning in 2002, just a few months after the effective date of the amended § 5, and extending through 2011, has gradually expanded the scope of the electronic filing and payment mandates so as to impact more and more </w:t>
      </w:r>
      <w:r>
        <w:rPr>
          <w:rFonts w:ascii="Courier New" w:hAnsi="Courier New" w:cs="Courier New"/>
          <w:sz w:val="24"/>
        </w:rPr>
        <w:lastRenderedPageBreak/>
        <w:t xml:space="preserve">taxpayers.  For example, </w:t>
      </w:r>
      <w:r>
        <w:rPr>
          <w:rFonts w:ascii="Courier New" w:hAnsi="Courier New" w:cs="Courier New"/>
          <w:b/>
          <w:i/>
          <w:sz w:val="24"/>
        </w:rPr>
        <w:t>TIR 02-22</w:t>
      </w:r>
      <w:r>
        <w:rPr>
          <w:rFonts w:ascii="Courier New" w:hAnsi="Courier New" w:cs="Courier New"/>
          <w:sz w:val="24"/>
        </w:rPr>
        <w:t xml:space="preserve"> required taxpayers who collect withholding, sales and use, and room occupancy taxes in excess of $100,000 combined for all three categories of tax to file and pay electronically.  The following year, the Commissioner significantly expanded the electronic filing and payment mandates, by, among other things, requiring tax return preparers who file more than 200 returns to file electronically and reducing the filing and payment threshold established in </w:t>
      </w:r>
      <w:r>
        <w:rPr>
          <w:rFonts w:ascii="Courier New" w:hAnsi="Courier New" w:cs="Courier New"/>
          <w:b/>
          <w:i/>
          <w:sz w:val="24"/>
        </w:rPr>
        <w:t xml:space="preserve">TIR 02-22 </w:t>
      </w:r>
      <w:r>
        <w:rPr>
          <w:rFonts w:ascii="Courier New" w:hAnsi="Courier New" w:cs="Courier New"/>
          <w:sz w:val="24"/>
        </w:rPr>
        <w:t xml:space="preserve">for withholding, sales and use, and room occupancy taxes from $100,000 to just $10,000.  </w:t>
      </w:r>
      <w:r>
        <w:rPr>
          <w:rFonts w:ascii="Courier New" w:hAnsi="Courier New" w:cs="Courier New"/>
          <w:i/>
          <w:sz w:val="24"/>
        </w:rPr>
        <w:t xml:space="preserve">See </w:t>
      </w:r>
      <w:r>
        <w:rPr>
          <w:rFonts w:ascii="Courier New" w:hAnsi="Courier New" w:cs="Courier New"/>
          <w:b/>
          <w:i/>
          <w:sz w:val="24"/>
        </w:rPr>
        <w:t xml:space="preserve">TIR 03-11. </w:t>
      </w:r>
      <w:r>
        <w:rPr>
          <w:rFonts w:ascii="Courier New" w:hAnsi="Courier New" w:cs="Courier New"/>
          <w:sz w:val="24"/>
        </w:rPr>
        <w:t xml:space="preserve"> More recently, the Commissioner reduced the electronic filing threshold for tax return preparers from over 200 returns to now over 10 returns.  </w:t>
      </w:r>
      <w:r>
        <w:rPr>
          <w:rFonts w:ascii="Courier New" w:hAnsi="Courier New" w:cs="Courier New"/>
          <w:i/>
          <w:sz w:val="24"/>
        </w:rPr>
        <w:t xml:space="preserve">See </w:t>
      </w:r>
      <w:r>
        <w:rPr>
          <w:rFonts w:ascii="Courier New" w:hAnsi="Courier New" w:cs="Courier New"/>
          <w:b/>
          <w:i/>
          <w:sz w:val="24"/>
        </w:rPr>
        <w:t>TIR 11-13</w:t>
      </w:r>
      <w:r>
        <w:rPr>
          <w:rFonts w:ascii="Courier New" w:hAnsi="Courier New" w:cs="Courier New"/>
          <w:sz w:val="24"/>
        </w:rPr>
        <w:t xml:space="preserve">.  The obvious effect of this series of </w:t>
      </w:r>
      <w:r>
        <w:rPr>
          <w:rFonts w:ascii="Courier New" w:hAnsi="Courier New" w:cs="Courier New"/>
          <w:b/>
          <w:i/>
          <w:sz w:val="24"/>
        </w:rPr>
        <w:t>TIR</w:t>
      </w:r>
      <w:r>
        <w:rPr>
          <w:rFonts w:ascii="Courier New" w:hAnsi="Courier New" w:cs="Courier New"/>
          <w:sz w:val="24"/>
        </w:rPr>
        <w:t xml:space="preserve">s is to require more taxpayers to file and pay electronically. </w:t>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rPr>
        <w:t xml:space="preserve">Shortly after the first expansion of electronic filing and payment mandates in </w:t>
      </w:r>
      <w:r>
        <w:rPr>
          <w:rFonts w:ascii="Courier New" w:hAnsi="Courier New" w:cs="Courier New"/>
          <w:b/>
          <w:i/>
          <w:sz w:val="24"/>
        </w:rPr>
        <w:t xml:space="preserve">TIR 03-11, </w:t>
      </w:r>
      <w:r>
        <w:rPr>
          <w:rFonts w:ascii="Courier New" w:hAnsi="Courier New" w:cs="Courier New"/>
          <w:sz w:val="24"/>
        </w:rPr>
        <w:t>the Legislature enacted       G.L. c. 62C, § 33(g), which imposes a penalty for failing to comply with the Commissioner’s mandate to electronically file any return, document, or information or electronically pay a</w:t>
      </w:r>
      <w:r w:rsidR="007C5A67">
        <w:rPr>
          <w:rFonts w:ascii="Courier New" w:hAnsi="Courier New" w:cs="Courier New"/>
          <w:sz w:val="24"/>
        </w:rPr>
        <w:t> </w:t>
      </w:r>
      <w:r>
        <w:rPr>
          <w:rFonts w:ascii="Courier New" w:hAnsi="Courier New" w:cs="Courier New"/>
          <w:sz w:val="24"/>
        </w:rPr>
        <w:t xml:space="preserve"> tax, without reasonable cause.  </w:t>
      </w:r>
      <w:r>
        <w:rPr>
          <w:rFonts w:ascii="Courier New" w:hAnsi="Courier New" w:cs="Courier New"/>
          <w:i/>
          <w:sz w:val="24"/>
        </w:rPr>
        <w:t xml:space="preserve">See </w:t>
      </w:r>
      <w:r>
        <w:rPr>
          <w:rFonts w:ascii="Courier New" w:hAnsi="Courier New" w:cs="Courier New"/>
          <w:sz w:val="24"/>
        </w:rPr>
        <w:t>St. 2003, c. 143,</w:t>
      </w:r>
      <w:r w:rsidR="007C5A67">
        <w:rPr>
          <w:rFonts w:ascii="Courier New" w:hAnsi="Courier New" w:cs="Courier New"/>
          <w:sz w:val="24"/>
        </w:rPr>
        <w:t xml:space="preserve"> </w:t>
      </w:r>
      <w:r>
        <w:rPr>
          <w:rFonts w:ascii="Courier New" w:hAnsi="Courier New" w:cs="Courier New"/>
          <w:sz w:val="24"/>
        </w:rPr>
        <w:t>§</w:t>
      </w:r>
      <w:r w:rsidR="007C5A67">
        <w:rPr>
          <w:rFonts w:ascii="Courier New" w:hAnsi="Courier New" w:cs="Courier New"/>
          <w:sz w:val="24"/>
        </w:rPr>
        <w:t> </w:t>
      </w:r>
      <w:r>
        <w:rPr>
          <w:rFonts w:ascii="Courier New" w:hAnsi="Courier New" w:cs="Courier New"/>
          <w:sz w:val="24"/>
        </w:rPr>
        <w:t>2,</w:t>
      </w:r>
      <w:r w:rsidR="007C5A67">
        <w:rPr>
          <w:rFonts w:ascii="Courier New" w:hAnsi="Courier New" w:cs="Courier New"/>
          <w:sz w:val="24"/>
        </w:rPr>
        <w:t> </w:t>
      </w:r>
      <w:r>
        <w:rPr>
          <w:rFonts w:ascii="Courier New" w:hAnsi="Courier New" w:cs="Courier New"/>
          <w:sz w:val="24"/>
        </w:rPr>
        <w:t xml:space="preserve">effective December 4, 2003. </w:t>
      </w:r>
      <w:r w:rsidR="007C5A67">
        <w:rPr>
          <w:rFonts w:ascii="Courier New" w:hAnsi="Courier New" w:cs="Courier New"/>
          <w:sz w:val="24"/>
        </w:rPr>
        <w:t> </w:t>
      </w:r>
      <w:r>
        <w:rPr>
          <w:rFonts w:ascii="Courier New" w:hAnsi="Courier New" w:cs="Courier New"/>
          <w:sz w:val="24"/>
        </w:rPr>
        <w:t>Section 33(g) provides, in pertinent part:</w:t>
      </w:r>
    </w:p>
    <w:p w:rsidR="00373992" w:rsidRDefault="00373992" w:rsidP="00373992">
      <w:pPr>
        <w:ind w:left="720" w:right="720"/>
        <w:jc w:val="both"/>
        <w:rPr>
          <w:rFonts w:ascii="Courier New" w:hAnsi="Courier New" w:cs="Courier New"/>
          <w:b/>
          <w:i/>
          <w:sz w:val="24"/>
          <w:szCs w:val="24"/>
        </w:rPr>
      </w:pPr>
      <w:r>
        <w:rPr>
          <w:rFonts w:ascii="Courier New" w:hAnsi="Courier New" w:cs="Courier New"/>
          <w:sz w:val="24"/>
          <w:szCs w:val="24"/>
        </w:rPr>
        <w:t xml:space="preserve">If after the commissioner has required taxpayers either to prepare or file any required return, document, or information, or to make a required tax </w:t>
      </w:r>
      <w:r>
        <w:rPr>
          <w:rFonts w:ascii="Courier New" w:hAnsi="Courier New" w:cs="Courier New"/>
          <w:sz w:val="24"/>
          <w:szCs w:val="24"/>
        </w:rPr>
        <w:lastRenderedPageBreak/>
        <w:t>payment or estimated payment, by way of a specified automated or electronic means, format, method, or medium, a taxpayer fails to comply with the prescribed method for the filing, data transfer, or payment, the</w:t>
      </w:r>
      <w:r>
        <w:rPr>
          <w:rFonts w:ascii="Courier New" w:hAnsi="Courier New" w:cs="Courier New"/>
          <w:i/>
          <w:sz w:val="24"/>
          <w:szCs w:val="24"/>
        </w:rPr>
        <w:t xml:space="preserve"> </w:t>
      </w:r>
      <w:r>
        <w:rPr>
          <w:rFonts w:ascii="Courier New" w:hAnsi="Courier New" w:cs="Courier New"/>
          <w:sz w:val="24"/>
          <w:szCs w:val="24"/>
        </w:rPr>
        <w:t xml:space="preserve">taxpayer shall be considered not to have made the required filing or the required payment. Upon a failure to comply, the commissioner, in addition to other remedies available to him, shall send the taxpayer a notice of improper filing or payment specifying the nonconformity therein, but shall not be required to send the notice for subsequent instances of noncompliance. </w:t>
      </w:r>
      <w:r>
        <w:rPr>
          <w:rFonts w:ascii="Courier New" w:hAnsi="Courier New" w:cs="Courier New"/>
          <w:b/>
          <w:i/>
          <w:sz w:val="24"/>
          <w:szCs w:val="24"/>
        </w:rPr>
        <w:t xml:space="preserve">Thereafter, if the taxpayer, without reasonable cause, fails to conform any filing, data transfer or payment with the method prescribed by the commissioner in tax years beginning on or after January 1, 2005, there shall be added to and become a part of the tax required to be paid a penalty in an amount not greater than $100 for each improper return, document or data transmission, and for each improper payment. . </w:t>
      </w:r>
      <w:r>
        <w:rPr>
          <w:rFonts w:ascii="Courier New" w:hAnsi="Courier New" w:cs="Courier New"/>
          <w:sz w:val="24"/>
          <w:szCs w:val="24"/>
        </w:rPr>
        <w:t xml:space="preserve">. . </w:t>
      </w:r>
      <w:r>
        <w:rPr>
          <w:rFonts w:ascii="Courier New" w:hAnsi="Courier New" w:cs="Courier New"/>
          <w:b/>
          <w:i/>
          <w:sz w:val="24"/>
          <w:szCs w:val="24"/>
        </w:rPr>
        <w:t>A penalty imposed by the commissioner for an improper filing or payment shall be subject to subsection (f) relative to the waiver of penalties.</w:t>
      </w:r>
    </w:p>
    <w:p w:rsidR="00373992" w:rsidRDefault="00373992" w:rsidP="00373992">
      <w:pPr>
        <w:spacing w:line="480" w:lineRule="auto"/>
        <w:jc w:val="both"/>
        <w:rPr>
          <w:rFonts w:ascii="Courier New" w:hAnsi="Courier New" w:cs="Courier New"/>
          <w:sz w:val="24"/>
        </w:rPr>
      </w:pPr>
    </w:p>
    <w:p w:rsidR="00373992" w:rsidRDefault="00373992" w:rsidP="00373992">
      <w:pPr>
        <w:spacing w:line="480" w:lineRule="auto"/>
        <w:jc w:val="both"/>
        <w:rPr>
          <w:rFonts w:ascii="Courier New" w:hAnsi="Courier New" w:cs="Courier New"/>
          <w:sz w:val="24"/>
        </w:rPr>
      </w:pPr>
      <w:r>
        <w:rPr>
          <w:rFonts w:ascii="Courier New" w:hAnsi="Courier New" w:cs="Courier New"/>
          <w:sz w:val="24"/>
        </w:rPr>
        <w:t xml:space="preserve">(emphasis added).  Accordingly, a penalty imposed under § 33(g) may be waived if the taxpayer’s failure to comply with the Commissioner’s prescribed filing and payment methods are due to “reasonable cause.”  </w:t>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rPr>
        <w:t xml:space="preserve">For the tax year at issue, </w:t>
      </w:r>
      <w:r>
        <w:rPr>
          <w:rFonts w:ascii="Courier New" w:hAnsi="Courier New" w:cs="Courier New"/>
          <w:b/>
          <w:i/>
          <w:sz w:val="24"/>
        </w:rPr>
        <w:t xml:space="preserve">TIR 04-30(II)(D) </w:t>
      </w:r>
      <w:r>
        <w:rPr>
          <w:rFonts w:ascii="Courier New" w:hAnsi="Courier New" w:cs="Courier New"/>
          <w:sz w:val="24"/>
        </w:rPr>
        <w:t xml:space="preserve">required that “any extension request and payment made by or on behalf of a taxpayer filing Forms 1 or 1-NR/PY must be made using electronic means if a payment of $5,000 or more accompanies the extension request.” In the present appeal, there was no dispute that the payment accompanying the appellant’s extension request for the tax year at issue was more than $5,000 but was not made electronically, thereby failing to conform to the </w:t>
      </w:r>
      <w:r>
        <w:rPr>
          <w:rFonts w:ascii="Courier New" w:hAnsi="Courier New" w:cs="Courier New"/>
          <w:b/>
          <w:i/>
          <w:sz w:val="24"/>
        </w:rPr>
        <w:t>TIR 04-</w:t>
      </w:r>
      <w:r>
        <w:rPr>
          <w:rFonts w:ascii="Courier New" w:hAnsi="Courier New" w:cs="Courier New"/>
          <w:b/>
          <w:i/>
          <w:sz w:val="24"/>
        </w:rPr>
        <w:lastRenderedPageBreak/>
        <w:t xml:space="preserve">30(II)(D) </w:t>
      </w:r>
      <w:r>
        <w:rPr>
          <w:rFonts w:ascii="Courier New" w:hAnsi="Courier New" w:cs="Courier New"/>
          <w:sz w:val="24"/>
        </w:rPr>
        <w:t xml:space="preserve">mandate.  Further, the appellant did not deny that he had received a notice from the Commissioner five years earlier for failure to comply with the electronic filing and payment mandates for the 2005 tax year.  Accordingly, the only issue raised by the parties in the present appeal was whether the appellant demonstrated reasonable cause for failing to comply with the electronic payment mandate of </w:t>
      </w:r>
      <w:r>
        <w:rPr>
          <w:rFonts w:ascii="Courier New" w:hAnsi="Courier New" w:cs="Courier New"/>
          <w:b/>
          <w:i/>
          <w:sz w:val="24"/>
        </w:rPr>
        <w:t>TIR 04-30(II)(D)</w:t>
      </w:r>
      <w:r>
        <w:rPr>
          <w:rFonts w:ascii="Courier New" w:hAnsi="Courier New" w:cs="Courier New"/>
          <w:sz w:val="24"/>
        </w:rPr>
        <w:t xml:space="preserve">.  Because the appellant bears the burden of proving his right to an abatement, he also bears the burden of establishing reasonable cause.  </w:t>
      </w:r>
      <w:r>
        <w:rPr>
          <w:rFonts w:ascii="Courier New" w:hAnsi="Courier New" w:cs="Courier New"/>
          <w:b/>
          <w:bCs/>
          <w:i/>
          <w:iCs/>
          <w:sz w:val="24"/>
        </w:rPr>
        <w:t>Blakeley v. Commissioner of Revenue</w:t>
      </w:r>
      <w:r>
        <w:rPr>
          <w:rFonts w:ascii="Courier New" w:hAnsi="Courier New" w:cs="Courier New"/>
          <w:sz w:val="24"/>
        </w:rPr>
        <w:t xml:space="preserve">, 28 Mass. App. Ct. 499, 501, </w:t>
      </w:r>
      <w:r>
        <w:rPr>
          <w:rFonts w:ascii="Courier New" w:hAnsi="Courier New" w:cs="Courier New"/>
          <w:i/>
          <w:iCs/>
          <w:sz w:val="24"/>
        </w:rPr>
        <w:t xml:space="preserve">rev. </w:t>
      </w:r>
      <w:r>
        <w:rPr>
          <w:rFonts w:ascii="Courier New" w:hAnsi="Courier New" w:cs="Courier New"/>
          <w:i/>
          <w:iCs/>
          <w:sz w:val="24"/>
          <w:szCs w:val="24"/>
        </w:rPr>
        <w:t>denied</w:t>
      </w:r>
      <w:r>
        <w:rPr>
          <w:rFonts w:ascii="Courier New" w:hAnsi="Courier New" w:cs="Courier New"/>
          <w:sz w:val="24"/>
          <w:szCs w:val="24"/>
        </w:rPr>
        <w:t xml:space="preserve">, 407 Mass. 1103 (1990);          </w:t>
      </w:r>
      <w:r>
        <w:rPr>
          <w:rFonts w:ascii="Courier New" w:hAnsi="Courier New" w:cs="Courier New"/>
          <w:b/>
          <w:bCs/>
          <w:i/>
          <w:iCs/>
          <w:sz w:val="24"/>
          <w:szCs w:val="24"/>
        </w:rPr>
        <w:t>Q Holdings Corp. v. Commissioner of Revenue</w:t>
      </w:r>
      <w:r>
        <w:rPr>
          <w:rFonts w:ascii="Courier New" w:hAnsi="Courier New" w:cs="Courier New"/>
          <w:sz w:val="24"/>
          <w:szCs w:val="24"/>
        </w:rPr>
        <w:t xml:space="preserve">, Mass. ATB Findings of Fact and Reports 1996-412, 418.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rPr>
        <w:t xml:space="preserve">Section 33(g) expressly states that penalties imposed thereunder shall be “subject to subsection (f) relative to the waiver of penalties.”   Massachusetts courts, and this Board, have had frequent occasion to consider “reasonable cause” for purposes of G.L. c. 62C, § 33(f) (“§ 33(f)”).  The Supreme Judicial Court has consistently held that the determination of reasonable cause requires an “objective standard,” whereby “[a]t a minimum, the taxpayer must show that he exercised the degree of care that an ordinary taxpayer in his position would have exercised.”  </w:t>
      </w:r>
      <w:r>
        <w:rPr>
          <w:rFonts w:ascii="Courier New" w:hAnsi="Courier New" w:cs="Courier New"/>
          <w:b/>
          <w:i/>
          <w:sz w:val="24"/>
        </w:rPr>
        <w:t xml:space="preserve">Geoffrey, Inc. v. Commissioner of Revenue,       </w:t>
      </w:r>
      <w:r>
        <w:rPr>
          <w:rFonts w:ascii="Courier New" w:hAnsi="Courier New" w:cs="Courier New"/>
          <w:sz w:val="24"/>
        </w:rPr>
        <w:t>453 Mass. 17, 26 (2009), (quoting</w:t>
      </w:r>
      <w:r>
        <w:rPr>
          <w:rFonts w:ascii="Courier New" w:hAnsi="Courier New" w:cs="Courier New"/>
          <w:i/>
          <w:sz w:val="24"/>
        </w:rPr>
        <w:t xml:space="preserve"> </w:t>
      </w:r>
      <w:r>
        <w:rPr>
          <w:rFonts w:ascii="Courier New" w:hAnsi="Courier New" w:cs="Courier New"/>
          <w:b/>
          <w:bCs/>
          <w:i/>
          <w:iCs/>
          <w:sz w:val="24"/>
        </w:rPr>
        <w:t>Wells Yachts South</w:t>
      </w:r>
      <w:r>
        <w:rPr>
          <w:rFonts w:ascii="Courier New" w:hAnsi="Courier New" w:cs="Courier New"/>
          <w:sz w:val="24"/>
        </w:rPr>
        <w:t xml:space="preserve">, 406 Mass. </w:t>
      </w:r>
      <w:r>
        <w:rPr>
          <w:rFonts w:ascii="Courier New" w:hAnsi="Courier New" w:cs="Courier New"/>
          <w:sz w:val="24"/>
        </w:rPr>
        <w:lastRenderedPageBreak/>
        <w:t xml:space="preserve">at 665).  The determination of whether a taxpayer has met the objective standard of exercising the degree of care of an ordinary taxpayer in his position requires a factual analysis of the circumstances existing at the time the return or tax payment was due. </w:t>
      </w:r>
      <w:r>
        <w:rPr>
          <w:rFonts w:ascii="Courier New" w:hAnsi="Courier New" w:cs="Courier New"/>
          <w:b/>
          <w:i/>
          <w:sz w:val="24"/>
        </w:rPr>
        <w:t xml:space="preserve">Wells Yachts South, </w:t>
      </w:r>
      <w:r>
        <w:rPr>
          <w:rFonts w:ascii="Courier New" w:hAnsi="Courier New" w:cs="Courier New"/>
          <w:bCs/>
          <w:iCs/>
          <w:sz w:val="24"/>
          <w:szCs w:val="24"/>
        </w:rPr>
        <w:t>406 Mass. at 664.</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Reasonable cause is a federal principle which Massachusetts adopted in 1980,</w:t>
      </w:r>
      <w:r>
        <w:rPr>
          <w:rStyle w:val="FootnoteReference"/>
          <w:rFonts w:ascii="Courier New" w:hAnsi="Courier New" w:cs="Courier New"/>
          <w:sz w:val="24"/>
          <w:szCs w:val="24"/>
        </w:rPr>
        <w:footnoteReference w:id="4"/>
      </w:r>
      <w:r>
        <w:rPr>
          <w:rFonts w:ascii="Courier New" w:hAnsi="Courier New" w:cs="Courier New"/>
          <w:sz w:val="24"/>
          <w:szCs w:val="24"/>
        </w:rPr>
        <w:t xml:space="preserve"> and as such, “[i]n determining the existence of </w:t>
      </w:r>
      <w:r>
        <w:rPr>
          <w:rStyle w:val="term1"/>
          <w:rFonts w:ascii="Courier New" w:hAnsi="Courier New" w:cs="Courier New"/>
          <w:b w:val="0"/>
          <w:bCs/>
          <w:sz w:val="24"/>
          <w:szCs w:val="24"/>
        </w:rPr>
        <w:t>reasonable cause, Massachusetts</w:t>
      </w:r>
      <w:r>
        <w:rPr>
          <w:rFonts w:ascii="Courier New" w:hAnsi="Courier New" w:cs="Courier New"/>
          <w:sz w:val="24"/>
          <w:szCs w:val="24"/>
        </w:rPr>
        <w:t xml:space="preserve"> courts and this Board have looked for guidance to </w:t>
      </w:r>
      <w:r>
        <w:rPr>
          <w:rStyle w:val="term1"/>
          <w:rFonts w:ascii="Courier New" w:hAnsi="Courier New" w:cs="Courier New"/>
          <w:b w:val="0"/>
          <w:bCs/>
          <w:sz w:val="24"/>
          <w:szCs w:val="24"/>
        </w:rPr>
        <w:t>federal</w:t>
      </w:r>
      <w:r>
        <w:rPr>
          <w:rFonts w:ascii="Courier New" w:hAnsi="Courier New" w:cs="Courier New"/>
          <w:sz w:val="24"/>
          <w:szCs w:val="24"/>
        </w:rPr>
        <w:t xml:space="preserve"> cases and regulations promulgated under Internal Revenue Code § 6651(a), the </w:t>
      </w:r>
      <w:r>
        <w:rPr>
          <w:rStyle w:val="term1"/>
          <w:rFonts w:ascii="Courier New" w:hAnsi="Courier New" w:cs="Courier New"/>
          <w:b w:val="0"/>
          <w:bCs/>
          <w:sz w:val="24"/>
          <w:szCs w:val="24"/>
        </w:rPr>
        <w:t>federal</w:t>
      </w:r>
      <w:r>
        <w:rPr>
          <w:rFonts w:ascii="Courier New" w:hAnsi="Courier New" w:cs="Courier New"/>
          <w:sz w:val="24"/>
          <w:szCs w:val="24"/>
        </w:rPr>
        <w:t xml:space="preserve"> counterpart to G.L. c. 62C, § 33(f).”  </w:t>
      </w:r>
      <w:r>
        <w:rPr>
          <w:rFonts w:ascii="Courier New" w:hAnsi="Courier New" w:cs="Courier New"/>
          <w:b/>
          <w:i/>
          <w:sz w:val="24"/>
          <w:szCs w:val="24"/>
        </w:rPr>
        <w:t xml:space="preserve">Morris Electrical Supply Co., Inc. v. Commissioner of Revenue, </w:t>
      </w:r>
      <w:r>
        <w:rPr>
          <w:rFonts w:ascii="Courier New" w:hAnsi="Courier New" w:cs="Courier New"/>
          <w:sz w:val="24"/>
          <w:szCs w:val="24"/>
        </w:rPr>
        <w:t xml:space="preserve">Mass. ATB Findings of Fact and Reports 1996-403, 408.  Federal cases have consistently held that the determination of reasonable cause requires a factual inquiry in order to establish whether the taxpayer exercised “ordinary business care and prudence.”  </w:t>
      </w:r>
      <w:r>
        <w:rPr>
          <w:rFonts w:ascii="Courier New" w:hAnsi="Courier New" w:cs="Courier New"/>
          <w:i/>
          <w:sz w:val="24"/>
          <w:szCs w:val="24"/>
        </w:rPr>
        <w:t xml:space="preserve">See, e.g., </w:t>
      </w:r>
      <w:r>
        <w:rPr>
          <w:rFonts w:ascii="Courier New" w:hAnsi="Courier New" w:cs="Courier New"/>
          <w:b/>
          <w:i/>
          <w:sz w:val="24"/>
          <w:szCs w:val="24"/>
        </w:rPr>
        <w:t xml:space="preserve">United States v. Boyle, </w:t>
      </w:r>
      <w:r>
        <w:rPr>
          <w:rFonts w:ascii="Courier New" w:hAnsi="Courier New" w:cs="Courier New"/>
          <w:sz w:val="24"/>
          <w:szCs w:val="24"/>
        </w:rPr>
        <w:t xml:space="preserve">469 U.S. 241, 246, n.4 (1985); </w:t>
      </w:r>
      <w:r>
        <w:rPr>
          <w:rFonts w:ascii="Courier New" w:hAnsi="Courier New" w:cs="Courier New"/>
          <w:b/>
          <w:i/>
          <w:sz w:val="24"/>
          <w:szCs w:val="24"/>
        </w:rPr>
        <w:t xml:space="preserve">Daly v. United States, </w:t>
      </w:r>
      <w:r>
        <w:rPr>
          <w:rFonts w:ascii="Courier New" w:hAnsi="Courier New" w:cs="Courier New"/>
          <w:sz w:val="24"/>
          <w:szCs w:val="24"/>
        </w:rPr>
        <w:t xml:space="preserve">480 F.Supp. 808, 811 (D.N.D. 1979); </w:t>
      </w:r>
      <w:r>
        <w:rPr>
          <w:rFonts w:ascii="Courier New" w:hAnsi="Courier New" w:cs="Courier New"/>
          <w:i/>
          <w:sz w:val="24"/>
          <w:szCs w:val="24"/>
        </w:rPr>
        <w:t xml:space="preserve">see also </w:t>
      </w:r>
      <w:r>
        <w:rPr>
          <w:rFonts w:ascii="Courier New" w:hAnsi="Courier New" w:cs="Courier New"/>
          <w:bCs/>
          <w:color w:val="333333"/>
          <w:sz w:val="24"/>
          <w:szCs w:val="24"/>
        </w:rPr>
        <w:t xml:space="preserve">26 CFR 301.6651-1(c) (defining reasonable cause for late filing of return and late payment of tax under Internal Revenue Code as </w:t>
      </w:r>
      <w:r>
        <w:rPr>
          <w:rFonts w:ascii="Courier New" w:hAnsi="Courier New" w:cs="Courier New"/>
          <w:color w:val="333333"/>
          <w:sz w:val="24"/>
          <w:szCs w:val="24"/>
        </w:rPr>
        <w:t>the exercise of "ordinary business care and prudence</w:t>
      </w:r>
      <w:r>
        <w:rPr>
          <w:rFonts w:ascii="Courier New" w:hAnsi="Courier New" w:cs="Courier New"/>
          <w:sz w:val="24"/>
          <w:szCs w:val="24"/>
        </w:rPr>
        <w:t xml:space="preserve">”). </w:t>
      </w:r>
    </w:p>
    <w:p w:rsidR="00373992" w:rsidRDefault="00373992" w:rsidP="00373992">
      <w:pPr>
        <w:pStyle w:val="FootnoteText"/>
        <w:spacing w:line="480" w:lineRule="auto"/>
        <w:ind w:firstLine="720"/>
        <w:jc w:val="both"/>
        <w:rPr>
          <w:rFonts w:ascii="Courier New" w:hAnsi="Courier New" w:cs="Courier New"/>
          <w:sz w:val="24"/>
          <w:szCs w:val="24"/>
        </w:rPr>
      </w:pPr>
      <w:r>
        <w:rPr>
          <w:rFonts w:ascii="Courier New" w:hAnsi="Courier New" w:cs="Courier New"/>
          <w:sz w:val="24"/>
        </w:rPr>
        <w:t xml:space="preserve">The Commissioner argued that the following language in </w:t>
      </w:r>
      <w:r>
        <w:rPr>
          <w:rFonts w:ascii="Courier New" w:hAnsi="Courier New" w:cs="Courier New"/>
          <w:b/>
          <w:i/>
          <w:sz w:val="24"/>
        </w:rPr>
        <w:t xml:space="preserve">AP 633(II)(D) </w:t>
      </w:r>
      <w:r>
        <w:rPr>
          <w:rFonts w:ascii="Courier New" w:hAnsi="Courier New" w:cs="Courier New"/>
          <w:sz w:val="24"/>
        </w:rPr>
        <w:t xml:space="preserve">precludes a finding that the appellant had reasonable </w:t>
      </w:r>
      <w:r>
        <w:rPr>
          <w:rFonts w:ascii="Courier New" w:hAnsi="Courier New" w:cs="Courier New"/>
          <w:sz w:val="24"/>
        </w:rPr>
        <w:lastRenderedPageBreak/>
        <w:t>cause for failing to electronically pay the tax accompanying his abatement request: “The fact that a taxpayer does not own a computer or is uncomfortable with electronic data or funds transfer will not support a claim for reasonable cause.”  However, this blanket pronouncement is contrary to the clear line of Massachusetts and federal cases that require a factual analysis to determine whether a taxpayer exercised ordinary business care and prudence, and</w:t>
      </w:r>
      <w:r>
        <w:rPr>
          <w:rFonts w:ascii="Courier New" w:hAnsi="Courier New" w:cs="Courier New"/>
          <w:sz w:val="24"/>
          <w:szCs w:val="24"/>
        </w:rPr>
        <w:t xml:space="preserve"> is also contrary to the Commissioner’s own regulation on electronic funds transfer.   </w:t>
      </w:r>
      <w:r>
        <w:rPr>
          <w:rFonts w:ascii="Courier New" w:hAnsi="Courier New" w:cs="Courier New"/>
          <w:i/>
          <w:sz w:val="24"/>
          <w:szCs w:val="24"/>
        </w:rPr>
        <w:t xml:space="preserve">See </w:t>
      </w:r>
      <w:r>
        <w:rPr>
          <w:rFonts w:ascii="Courier New" w:hAnsi="Courier New" w:cs="Courier New"/>
          <w:sz w:val="24"/>
          <w:szCs w:val="24"/>
        </w:rPr>
        <w:t xml:space="preserve">830 CMR 62C.78.1(8)(a) (“[t]he [DOR] will evaluate each case on an individual basis to determine whether failure to transmit payments by EFT was due to reasonable cause and not willful neglect.”).  </w:t>
      </w:r>
    </w:p>
    <w:p w:rsidR="00373992" w:rsidRDefault="00373992" w:rsidP="00373992">
      <w:pPr>
        <w:pStyle w:val="FootnoteText"/>
        <w:spacing w:line="480" w:lineRule="auto"/>
        <w:ind w:firstLine="720"/>
        <w:jc w:val="both"/>
        <w:rPr>
          <w:rFonts w:ascii="Courier New" w:hAnsi="Courier New" w:cs="Courier New"/>
          <w:sz w:val="24"/>
          <w:szCs w:val="24"/>
        </w:rPr>
      </w:pPr>
      <w:r>
        <w:rPr>
          <w:rFonts w:ascii="Courier New" w:hAnsi="Courier New" w:cs="Courier New"/>
          <w:sz w:val="24"/>
          <w:szCs w:val="24"/>
        </w:rPr>
        <w:t xml:space="preserve">In </w:t>
      </w:r>
      <w:r>
        <w:rPr>
          <w:rFonts w:ascii="Courier New" w:hAnsi="Courier New" w:cs="Courier New"/>
          <w:b/>
          <w:i/>
          <w:sz w:val="24"/>
          <w:szCs w:val="24"/>
        </w:rPr>
        <w:t xml:space="preserve">Cocco v. Commissioner of Revenue, </w:t>
      </w:r>
      <w:r>
        <w:rPr>
          <w:rFonts w:ascii="Courier New" w:hAnsi="Courier New" w:cs="Courier New"/>
          <w:sz w:val="24"/>
          <w:szCs w:val="24"/>
        </w:rPr>
        <w:t xml:space="preserve">Mass. ATB Findings of Fact and Reports 2013-1089, the Board held that a taxpayer who did not own a computer, did not know how to use one, and had credible concerns regarding the privacy of financial information transmitted electronically, established reasonable cause for her failure to comply with the Commissioner’s electronic filing mandate, despite the blanket pronouncement of </w:t>
      </w:r>
      <w:r>
        <w:rPr>
          <w:rFonts w:ascii="Courier New" w:hAnsi="Courier New" w:cs="Courier New"/>
          <w:b/>
          <w:i/>
          <w:sz w:val="24"/>
          <w:szCs w:val="24"/>
        </w:rPr>
        <w:t>AP 633</w:t>
      </w:r>
      <w:r>
        <w:rPr>
          <w:rFonts w:ascii="Courier New" w:hAnsi="Courier New" w:cs="Courier New"/>
          <w:sz w:val="24"/>
          <w:szCs w:val="24"/>
        </w:rPr>
        <w:t xml:space="preserve">.  The Board held that Administrative Procedures do not have the force of law, but “are informational only; they do not ‘supersede, alter or otherwise affect any provision of the Massachusetts General Laws, Massachusetts regulations, Department rulings, or any </w:t>
      </w:r>
      <w:r>
        <w:rPr>
          <w:rFonts w:ascii="Courier New" w:hAnsi="Courier New" w:cs="Courier New"/>
          <w:sz w:val="24"/>
          <w:szCs w:val="24"/>
        </w:rPr>
        <w:lastRenderedPageBreak/>
        <w:t xml:space="preserve">other sources of law.’”  </w:t>
      </w:r>
      <w:r>
        <w:rPr>
          <w:rFonts w:ascii="Courier New" w:hAnsi="Courier New" w:cs="Courier New"/>
          <w:b/>
          <w:i/>
          <w:sz w:val="24"/>
          <w:szCs w:val="24"/>
        </w:rPr>
        <w:t xml:space="preserve">Cocco, </w:t>
      </w:r>
      <w:r>
        <w:rPr>
          <w:rFonts w:ascii="Courier New" w:hAnsi="Courier New" w:cs="Courier New"/>
          <w:sz w:val="24"/>
          <w:szCs w:val="24"/>
        </w:rPr>
        <w:t xml:space="preserve">Mass. ATB Findings of Fact and Reports at 2013-1103 (quoting 830 CMR 62C.3.1.(10)(c)(2)).  Accordingly, consistent with its decision in </w:t>
      </w:r>
      <w:r>
        <w:rPr>
          <w:rFonts w:ascii="Courier New" w:hAnsi="Courier New" w:cs="Courier New"/>
          <w:b/>
          <w:i/>
          <w:sz w:val="24"/>
          <w:szCs w:val="24"/>
        </w:rPr>
        <w:t xml:space="preserve">Cocco, </w:t>
      </w:r>
      <w:r>
        <w:rPr>
          <w:rFonts w:ascii="Courier New" w:hAnsi="Courier New" w:cs="Courier New"/>
          <w:sz w:val="24"/>
          <w:szCs w:val="24"/>
        </w:rPr>
        <w:t xml:space="preserve">the Board ruled in the present appeal that the blanket pronouncement of </w:t>
      </w:r>
      <w:r>
        <w:rPr>
          <w:rFonts w:ascii="Courier New" w:hAnsi="Courier New" w:cs="Courier New"/>
          <w:b/>
          <w:i/>
          <w:sz w:val="24"/>
          <w:szCs w:val="24"/>
        </w:rPr>
        <w:t xml:space="preserve">AP 633, </w:t>
      </w:r>
      <w:r>
        <w:rPr>
          <w:rFonts w:ascii="Courier New" w:hAnsi="Courier New" w:cs="Courier New"/>
          <w:sz w:val="24"/>
          <w:szCs w:val="24"/>
        </w:rPr>
        <w:t>that a taxpayer’s discomfort with electronic data or funds transfer can never constitute reasonable cause for purposes of §</w:t>
      </w:r>
      <w:r w:rsidR="00150324">
        <w:rPr>
          <w:rFonts w:ascii="Courier New" w:hAnsi="Courier New" w:cs="Courier New"/>
          <w:sz w:val="24"/>
          <w:szCs w:val="24"/>
        </w:rPr>
        <w:t> </w:t>
      </w:r>
      <w:r>
        <w:rPr>
          <w:rFonts w:ascii="Courier New" w:hAnsi="Courier New" w:cs="Courier New"/>
          <w:sz w:val="24"/>
          <w:szCs w:val="24"/>
        </w:rPr>
        <w:t>33(g)</w:t>
      </w:r>
      <w:r>
        <w:rPr>
          <w:rFonts w:ascii="Courier New" w:hAnsi="Courier New" w:cs="Courier New"/>
          <w:b/>
          <w:i/>
          <w:sz w:val="24"/>
          <w:szCs w:val="24"/>
        </w:rPr>
        <w:t xml:space="preserve">, </w:t>
      </w:r>
      <w:r>
        <w:rPr>
          <w:rFonts w:ascii="Courier New" w:hAnsi="Courier New" w:cs="Courier New"/>
          <w:sz w:val="24"/>
          <w:szCs w:val="24"/>
        </w:rPr>
        <w:t xml:space="preserve">is inconsistent with the objective standard, to be determined by the trier of fact, of what constitutes </w:t>
      </w:r>
      <w:r>
        <w:rPr>
          <w:rFonts w:ascii="Courier New" w:hAnsi="Courier New" w:cs="Courier New"/>
          <w:sz w:val="24"/>
        </w:rPr>
        <w:t>the degree of care that an ordinary taxpayer in the appellant’s position would have exercised</w:t>
      </w:r>
      <w:r>
        <w:rPr>
          <w:rFonts w:ascii="Courier New" w:hAnsi="Courier New" w:cs="Courier New"/>
          <w:sz w:val="24"/>
          <w:szCs w:val="24"/>
        </w:rPr>
        <w:t xml:space="preserve">.  </w:t>
      </w:r>
      <w:r>
        <w:rPr>
          <w:rFonts w:ascii="Courier New" w:hAnsi="Courier New" w:cs="Courier New"/>
          <w:b/>
          <w:bCs/>
          <w:i/>
          <w:iCs/>
          <w:sz w:val="24"/>
        </w:rPr>
        <w:t>Wells Yachts South</w:t>
      </w:r>
      <w:r>
        <w:rPr>
          <w:rFonts w:ascii="Courier New" w:hAnsi="Courier New" w:cs="Courier New"/>
          <w:sz w:val="24"/>
        </w:rPr>
        <w:t xml:space="preserve">, 406 Mass. at 665.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Applying that “objective standard” to the facts of the present appeal, the Board found and ruled that the appellant demonstrated reasonable cause for failing to comply with the Commissioner’s electronic payment mandate.  The Board found credible the appellant’s testimony that it was his consistent practice to avoid electronic payment of all bills, not just his tax obligations, and to keep his bank account information separate from his e-mail and other electronic media.  The Board further found that his concerns regarding the electronic transmission of his personal financial data to be reasonable in these circumstances, given his reference to </w:t>
      </w:r>
      <w:r>
        <w:rPr>
          <w:rFonts w:ascii="Courier New" w:hAnsi="Courier New" w:cs="Courier New"/>
          <w:sz w:val="24"/>
        </w:rPr>
        <w:t xml:space="preserve">the hacking of the Pentagon’s computer systems and in light of the many well-publicized instances of large-scale thefts of financial information following computer security breaches at businesses </w:t>
      </w:r>
      <w:r>
        <w:rPr>
          <w:rFonts w:ascii="Courier New" w:hAnsi="Courier New" w:cs="Courier New"/>
          <w:sz w:val="24"/>
        </w:rPr>
        <w:lastRenderedPageBreak/>
        <w:t>and other institutions.</w:t>
      </w:r>
      <w:r>
        <w:rPr>
          <w:rFonts w:ascii="Courier New" w:hAnsi="Courier New" w:cs="Courier New"/>
          <w:sz w:val="24"/>
          <w:szCs w:val="24"/>
        </w:rPr>
        <w:t xml:space="preserve">  </w:t>
      </w:r>
      <w:r>
        <w:rPr>
          <w:rFonts w:ascii="Courier New" w:hAnsi="Courier New" w:cs="Courier New"/>
          <w:i/>
          <w:sz w:val="24"/>
          <w:szCs w:val="24"/>
        </w:rPr>
        <w:t>See, e.g</w:t>
      </w:r>
      <w:r>
        <w:rPr>
          <w:rFonts w:ascii="Courier New" w:hAnsi="Courier New" w:cs="Courier New"/>
          <w:sz w:val="24"/>
          <w:szCs w:val="24"/>
        </w:rPr>
        <w:t xml:space="preserve">., </w:t>
      </w:r>
      <w:r>
        <w:rPr>
          <w:rFonts w:ascii="Courier New" w:hAnsi="Courier New" w:cs="Courier New"/>
          <w:b/>
          <w:i/>
          <w:sz w:val="24"/>
          <w:szCs w:val="24"/>
        </w:rPr>
        <w:t xml:space="preserve">In re: TJX Companies Retail Security Breach Litigation. </w:t>
      </w:r>
      <w:r>
        <w:rPr>
          <w:rFonts w:ascii="Courier New" w:hAnsi="Courier New" w:cs="Courier New"/>
          <w:sz w:val="24"/>
          <w:szCs w:val="24"/>
        </w:rPr>
        <w:t xml:space="preserve"> </w:t>
      </w:r>
      <w:r>
        <w:rPr>
          <w:rFonts w:ascii="Courier New" w:hAnsi="Courier New" w:cs="Courier New"/>
          <w:b/>
          <w:i/>
          <w:sz w:val="24"/>
          <w:szCs w:val="24"/>
        </w:rPr>
        <w:t>Amerifirst Bank, et al v. TJX Companies, Inc., et al,</w:t>
      </w:r>
      <w:r>
        <w:rPr>
          <w:rFonts w:ascii="Courier New" w:hAnsi="Courier New" w:cs="Courier New"/>
          <w:sz w:val="24"/>
          <w:szCs w:val="24"/>
        </w:rPr>
        <w:t xml:space="preserve"> 564 F.3d 489 (1st Cir. May 5, 2009); </w:t>
      </w:r>
      <w:r>
        <w:rPr>
          <w:rFonts w:ascii="Courier New" w:hAnsi="Courier New" w:cs="Courier New"/>
          <w:i/>
          <w:sz w:val="24"/>
          <w:szCs w:val="24"/>
        </w:rPr>
        <w:t>see also</w:t>
      </w:r>
      <w:r>
        <w:rPr>
          <w:rFonts w:ascii="Courier New" w:hAnsi="Courier New" w:cs="Courier New"/>
          <w:sz w:val="24"/>
          <w:szCs w:val="24"/>
        </w:rPr>
        <w:t xml:space="preserve"> </w:t>
      </w:r>
      <w:r>
        <w:rPr>
          <w:rFonts w:ascii="Courier New" w:hAnsi="Courier New" w:cs="Courier New"/>
          <w:smallCaps/>
          <w:sz w:val="24"/>
          <w:szCs w:val="24"/>
        </w:rPr>
        <w:t>America the Virtual:  Security, Privacy and Interoperability in an Interconnected World:  Comment:  Identity Crisis:  Seeking a Unified Approach to Plaintiff Standing for Data Security Breaches of Sensitive Personal Information</w:t>
      </w:r>
      <w:r>
        <w:rPr>
          <w:rFonts w:ascii="Courier New" w:hAnsi="Courier New" w:cs="Courier New"/>
          <w:sz w:val="24"/>
          <w:szCs w:val="24"/>
        </w:rPr>
        <w:t xml:space="preserve">, 62 Am. U.L. Rev. 1365.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In making this finding, the Board noted that the appellant was not tardy or otherwise neglectful with respect to his extension application and payment for the tax year at issue or in previous tax years.  </w:t>
      </w:r>
      <w:r>
        <w:rPr>
          <w:rFonts w:ascii="Courier New" w:hAnsi="Courier New" w:cs="Courier New"/>
          <w:i/>
          <w:sz w:val="24"/>
          <w:szCs w:val="24"/>
        </w:rPr>
        <w:t>See</w:t>
      </w:r>
      <w:r>
        <w:rPr>
          <w:rFonts w:ascii="Courier New" w:hAnsi="Courier New" w:cs="Courier New"/>
          <w:sz w:val="24"/>
          <w:szCs w:val="24"/>
        </w:rPr>
        <w:t xml:space="preserve"> </w:t>
      </w:r>
      <w:r>
        <w:rPr>
          <w:rFonts w:ascii="Courier New" w:hAnsi="Courier New" w:cs="Courier New"/>
          <w:b/>
          <w:i/>
          <w:sz w:val="24"/>
          <w:szCs w:val="24"/>
        </w:rPr>
        <w:t>Cocco</w:t>
      </w:r>
      <w:r>
        <w:rPr>
          <w:rFonts w:ascii="Courier New" w:hAnsi="Courier New" w:cs="Courier New"/>
          <w:sz w:val="24"/>
          <w:szCs w:val="24"/>
        </w:rPr>
        <w:t xml:space="preserve">, Mass. ATB Findings of Fact and Reports at 2013-1108 (weighing the taxpayer’s “exemplary” record of tax compliance in its consideration of reasonable cause not to file electronically).  The appellant’s sole transgression was his use of paper, rather than the electronic means required by </w:t>
      </w:r>
      <w:r>
        <w:rPr>
          <w:rFonts w:ascii="Courier New" w:hAnsi="Courier New" w:cs="Courier New"/>
          <w:b/>
          <w:i/>
          <w:sz w:val="24"/>
          <w:szCs w:val="24"/>
        </w:rPr>
        <w:t>TIR 04-30</w:t>
      </w:r>
      <w:r>
        <w:rPr>
          <w:rFonts w:ascii="Courier New" w:hAnsi="Courier New" w:cs="Courier New"/>
          <w:sz w:val="24"/>
          <w:szCs w:val="24"/>
        </w:rPr>
        <w:t xml:space="preserve">.  As it did in </w:t>
      </w:r>
      <w:r>
        <w:rPr>
          <w:rFonts w:ascii="Courier New" w:hAnsi="Courier New" w:cs="Courier New"/>
          <w:b/>
          <w:i/>
          <w:sz w:val="24"/>
          <w:szCs w:val="24"/>
        </w:rPr>
        <w:t>Cocco</w:t>
      </w:r>
      <w:r>
        <w:rPr>
          <w:rFonts w:ascii="Courier New" w:hAnsi="Courier New" w:cs="Courier New"/>
          <w:sz w:val="24"/>
          <w:szCs w:val="24"/>
        </w:rPr>
        <w:t xml:space="preserve">, and as have other taxing jurisdictions, the Board recognized that there are “meritorious reasons for individual taxpayers to decline to use computers to file their returns and pay their taxes.”  </w:t>
      </w:r>
      <w:r>
        <w:rPr>
          <w:rFonts w:ascii="Courier New" w:hAnsi="Courier New" w:cs="Courier New"/>
          <w:i/>
          <w:sz w:val="24"/>
          <w:szCs w:val="24"/>
        </w:rPr>
        <w:t xml:space="preserve">See </w:t>
      </w:r>
      <w:r>
        <w:rPr>
          <w:rFonts w:ascii="Courier New" w:hAnsi="Courier New" w:cs="Courier New"/>
          <w:b/>
          <w:i/>
          <w:sz w:val="24"/>
          <w:szCs w:val="24"/>
        </w:rPr>
        <w:t xml:space="preserve">Cocco, </w:t>
      </w:r>
      <w:r>
        <w:rPr>
          <w:rFonts w:ascii="Courier New" w:hAnsi="Courier New" w:cs="Courier New"/>
          <w:sz w:val="24"/>
          <w:szCs w:val="24"/>
        </w:rPr>
        <w:t xml:space="preserve">Mass. ATB Findings of Fact and Reports at 2013-1106-07.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As the Board noted in </w:t>
      </w:r>
      <w:r>
        <w:rPr>
          <w:rFonts w:ascii="Courier New" w:hAnsi="Courier New" w:cs="Courier New"/>
          <w:b/>
          <w:i/>
          <w:sz w:val="24"/>
          <w:szCs w:val="24"/>
        </w:rPr>
        <w:t>Cocco</w:t>
      </w:r>
      <w:r>
        <w:rPr>
          <w:rFonts w:ascii="Courier New" w:hAnsi="Courier New" w:cs="Courier New"/>
          <w:sz w:val="24"/>
          <w:szCs w:val="24"/>
        </w:rPr>
        <w:t xml:space="preserve">, the Commissioner’s blanket pronouncement in </w:t>
      </w:r>
      <w:r>
        <w:rPr>
          <w:rFonts w:ascii="Courier New" w:hAnsi="Courier New" w:cs="Courier New"/>
          <w:b/>
          <w:i/>
          <w:sz w:val="24"/>
          <w:szCs w:val="24"/>
        </w:rPr>
        <w:t xml:space="preserve">AP 633 </w:t>
      </w:r>
      <w:r>
        <w:rPr>
          <w:rFonts w:ascii="Courier New" w:hAnsi="Courier New" w:cs="Courier New"/>
          <w:sz w:val="24"/>
          <w:szCs w:val="24"/>
        </w:rPr>
        <w:t xml:space="preserve">runs contrary to the treatment of electronic filing and payment requirements by the federal government and other state taxing jurisdictions, which are </w:t>
      </w:r>
      <w:r>
        <w:rPr>
          <w:rFonts w:ascii="Courier New" w:hAnsi="Courier New" w:cs="Courier New"/>
          <w:sz w:val="24"/>
          <w:szCs w:val="24"/>
        </w:rPr>
        <w:lastRenderedPageBreak/>
        <w:t xml:space="preserve">instructive on the issue of ordinary business care and prudence.  </w:t>
      </w:r>
      <w:r>
        <w:rPr>
          <w:rFonts w:ascii="Courier New" w:hAnsi="Courier New" w:cs="Courier New"/>
          <w:b/>
          <w:i/>
          <w:sz w:val="24"/>
          <w:szCs w:val="24"/>
        </w:rPr>
        <w:t xml:space="preserve">Cocco, </w:t>
      </w:r>
      <w:r>
        <w:rPr>
          <w:rFonts w:ascii="Courier New" w:hAnsi="Courier New" w:cs="Courier New"/>
          <w:sz w:val="24"/>
          <w:szCs w:val="24"/>
        </w:rPr>
        <w:t>Mass. ATB Findings of Fact and Report</w:t>
      </w:r>
      <w:r w:rsidR="00150324">
        <w:rPr>
          <w:rFonts w:ascii="Courier New" w:hAnsi="Courier New" w:cs="Courier New"/>
          <w:sz w:val="24"/>
          <w:szCs w:val="24"/>
        </w:rPr>
        <w:t>s</w:t>
      </w:r>
      <w:r>
        <w:rPr>
          <w:rFonts w:ascii="Courier New" w:hAnsi="Courier New" w:cs="Courier New"/>
          <w:sz w:val="24"/>
          <w:szCs w:val="24"/>
        </w:rPr>
        <w:t xml:space="preserve"> at 2013-1104-07.  The United States Code in 26 U.S.C. § 6011(a) provides, “[w]hen required by regulations prescribed by the Secretary [of the Treasury] any person made liable for any tax imposed by this title, or with respect to the collection thereof, shall make a return or statement according to the forms and regulations prescribed by the Secretary.”  This language is similar to the language used in G.L. c. 62C, § 5 in that both statutes enable the Secretary or Commissioner to prescribe the form and manner in which tax returns must be filed.</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However, Congress went further by enacting 26 U.S.C.       § 6011(e)(1), which explicitly states that: “the Secretary may not require returns of any tax imposed by subtitle A on individuals, estates, and trusts to be other than on paper forms supplied by the Secretary.”  The only exception to this rule is for tax preparers who file more than 10 tax returns for their clients; these preparers must electronically file their clients’ returns, unless the individual client does not wish to have their return filed electronically.  26 U.S.C. § 6011(e)(3).  Thus, federal law provides for an opt-out provision for those taxpayers who use a paid tax return preparer.  </w:t>
      </w:r>
      <w:r>
        <w:rPr>
          <w:rFonts w:ascii="Courier New" w:hAnsi="Courier New" w:cs="Courier New"/>
          <w:b/>
          <w:i/>
          <w:sz w:val="24"/>
          <w:szCs w:val="24"/>
        </w:rPr>
        <w:t>Rev. Proc. 2011-25, § 9.01</w:t>
      </w:r>
      <w:r>
        <w:rPr>
          <w:rFonts w:ascii="Courier New" w:hAnsi="Courier New" w:cs="Courier New"/>
          <w:sz w:val="24"/>
          <w:szCs w:val="24"/>
        </w:rPr>
        <w:t xml:space="preserve">.  Therefore, under federal law, there is no mandate </w:t>
      </w:r>
      <w:r>
        <w:rPr>
          <w:rFonts w:ascii="Courier New" w:hAnsi="Courier New" w:cs="Courier New"/>
          <w:sz w:val="24"/>
          <w:szCs w:val="24"/>
        </w:rPr>
        <w:lastRenderedPageBreak/>
        <w:t xml:space="preserve">for an individual to file returns or pay taxes by electronic means.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Instead of a mandate, Congress enacted 26 U.S.C. § 6011(f), Promotion of electronic filing, stating:</w:t>
      </w:r>
    </w:p>
    <w:p w:rsidR="00373992" w:rsidRDefault="00373992" w:rsidP="00373992">
      <w:pPr>
        <w:pStyle w:val="ListParagraph"/>
        <w:numPr>
          <w:ilvl w:val="0"/>
          <w:numId w:val="2"/>
        </w:numPr>
        <w:ind w:right="720"/>
        <w:jc w:val="both"/>
        <w:rPr>
          <w:rFonts w:ascii="Courier New" w:hAnsi="Courier New" w:cs="Courier New"/>
          <w:sz w:val="24"/>
          <w:szCs w:val="24"/>
        </w:rPr>
      </w:pPr>
      <w:r>
        <w:rPr>
          <w:rFonts w:ascii="Courier New" w:hAnsi="Courier New" w:cs="Courier New"/>
          <w:sz w:val="24"/>
          <w:szCs w:val="24"/>
        </w:rPr>
        <w:t>In general.-– The Secretary is authorized to promote the benefits of and encourage the use of electronic tax administration programs, as they become available, through the use of mass communications and other means.</w:t>
      </w:r>
    </w:p>
    <w:p w:rsidR="00373992" w:rsidRDefault="00373992" w:rsidP="00373992">
      <w:pPr>
        <w:pStyle w:val="ListParagraph"/>
        <w:ind w:left="1440" w:right="720"/>
        <w:jc w:val="both"/>
        <w:rPr>
          <w:rFonts w:ascii="Courier New" w:hAnsi="Courier New" w:cs="Courier New"/>
          <w:sz w:val="24"/>
          <w:szCs w:val="24"/>
        </w:rPr>
      </w:pPr>
      <w:r>
        <w:rPr>
          <w:rFonts w:ascii="Courier New" w:hAnsi="Courier New" w:cs="Courier New"/>
          <w:sz w:val="24"/>
          <w:szCs w:val="24"/>
        </w:rPr>
        <w:t xml:space="preserve"> </w:t>
      </w:r>
    </w:p>
    <w:p w:rsidR="00373992" w:rsidRDefault="00373992" w:rsidP="00373992">
      <w:pPr>
        <w:pStyle w:val="ListParagraph"/>
        <w:numPr>
          <w:ilvl w:val="0"/>
          <w:numId w:val="2"/>
        </w:numPr>
        <w:ind w:right="720"/>
        <w:jc w:val="both"/>
        <w:rPr>
          <w:rFonts w:ascii="Courier New" w:hAnsi="Courier New" w:cs="Courier New"/>
          <w:sz w:val="24"/>
          <w:szCs w:val="24"/>
        </w:rPr>
      </w:pPr>
      <w:r>
        <w:rPr>
          <w:rFonts w:ascii="Courier New" w:hAnsi="Courier New" w:cs="Courier New"/>
          <w:sz w:val="24"/>
          <w:szCs w:val="24"/>
        </w:rPr>
        <w:t>Incentives.—- The Secretary may implement procedures to provide for the payment of appropriate incentives for electronically filed returns.</w:t>
      </w:r>
    </w:p>
    <w:p w:rsidR="00373992" w:rsidRDefault="00373992" w:rsidP="00373992">
      <w:pPr>
        <w:pStyle w:val="ListParagraph"/>
        <w:rPr>
          <w:rFonts w:ascii="Courier New" w:hAnsi="Courier New" w:cs="Courier New"/>
          <w:sz w:val="24"/>
          <w:szCs w:val="24"/>
        </w:rPr>
      </w:pP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incentives that the Internal Revenue Service employs to encourage electronic filing include faster processing time, fewer errors, faster refunds, and the delay of out-of-pocket taxpayer expense by allowing for credit-card payment of taxes.  </w:t>
      </w:r>
      <w:r>
        <w:rPr>
          <w:rFonts w:ascii="Courier New" w:hAnsi="Courier New" w:cs="Courier New"/>
          <w:i/>
          <w:sz w:val="24"/>
          <w:szCs w:val="24"/>
        </w:rPr>
        <w:t xml:space="preserve">See, e.g., </w:t>
      </w:r>
      <w:r>
        <w:rPr>
          <w:rFonts w:ascii="Courier New" w:hAnsi="Courier New" w:cs="Courier New"/>
          <w:smallCaps/>
          <w:sz w:val="24"/>
          <w:szCs w:val="24"/>
        </w:rPr>
        <w:t>IRS Publication 3112</w:t>
      </w:r>
      <w:r>
        <w:rPr>
          <w:rFonts w:ascii="Courier New" w:hAnsi="Courier New" w:cs="Courier New"/>
          <w:sz w:val="24"/>
          <w:szCs w:val="24"/>
        </w:rPr>
        <w:t xml:space="preserve">.  </w:t>
      </w:r>
      <w:r>
        <w:rPr>
          <w:rFonts w:ascii="Courier New" w:hAnsi="Courier New" w:cs="Courier New"/>
          <w:i/>
          <w:sz w:val="24"/>
          <w:szCs w:val="24"/>
        </w:rPr>
        <w:t xml:space="preserve">See also </w:t>
      </w:r>
      <w:r>
        <w:rPr>
          <w:rFonts w:ascii="Courier New" w:hAnsi="Courier New" w:cs="Courier New"/>
          <w:smallCaps/>
          <w:sz w:val="24"/>
          <w:szCs w:val="24"/>
        </w:rPr>
        <w:t>Recommendations of the National Commission on Restructuring the IRS to Expand Electronic Filing of Tax Returns</w:t>
      </w:r>
      <w:r>
        <w:rPr>
          <w:rFonts w:ascii="Courier New" w:hAnsi="Courier New" w:cs="Courier New"/>
          <w:i/>
          <w:sz w:val="24"/>
          <w:szCs w:val="24"/>
        </w:rPr>
        <w:t xml:space="preserve">, </w:t>
      </w:r>
      <w:r>
        <w:rPr>
          <w:rFonts w:ascii="Courier New" w:hAnsi="Courier New" w:cs="Courier New"/>
          <w:sz w:val="24"/>
          <w:szCs w:val="24"/>
        </w:rPr>
        <w:t>Subcommittee on Oversight, 105</w:t>
      </w:r>
      <w:r>
        <w:rPr>
          <w:rFonts w:ascii="Courier New" w:hAnsi="Courier New" w:cs="Courier New"/>
          <w:sz w:val="24"/>
          <w:szCs w:val="24"/>
          <w:vertAlign w:val="superscript"/>
        </w:rPr>
        <w:t>th</w:t>
      </w:r>
      <w:r>
        <w:rPr>
          <w:rFonts w:ascii="Courier New" w:hAnsi="Courier New" w:cs="Courier New"/>
          <w:sz w:val="24"/>
          <w:szCs w:val="24"/>
        </w:rPr>
        <w:t xml:space="preserve"> Cong. (1997) (statement of Donald Lubick, Acting Asst. Secretary for Tax Policy, U.S. Treasury) (“[W]e’re concerned about mandates or their functional equivalents through specific targets and we’re afraid that this will introduce a rigidity in an area where flexibility is really the order of the day.”).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Likewise, while other state jurisdictions have enacted electronic-filing mandates for certain tax types, they also </w:t>
      </w:r>
      <w:r>
        <w:rPr>
          <w:rFonts w:ascii="Courier New" w:hAnsi="Courier New" w:cs="Courier New"/>
          <w:sz w:val="24"/>
          <w:szCs w:val="24"/>
        </w:rPr>
        <w:lastRenderedPageBreak/>
        <w:t xml:space="preserve">include opt-out provisions or exceptions.  </w:t>
      </w:r>
      <w:r>
        <w:rPr>
          <w:rFonts w:ascii="Courier New" w:hAnsi="Courier New" w:cs="Courier New"/>
          <w:i/>
          <w:sz w:val="24"/>
          <w:szCs w:val="24"/>
        </w:rPr>
        <w:t>See, e.g</w:t>
      </w:r>
      <w:r>
        <w:rPr>
          <w:rFonts w:ascii="Courier New" w:hAnsi="Courier New" w:cs="Courier New"/>
          <w:sz w:val="24"/>
          <w:szCs w:val="24"/>
        </w:rPr>
        <w:t>., Cal. Rev. &amp; Tax Code § 19170(b) and N.J. Stat. Ann. 54A:</w:t>
      </w:r>
      <w:r w:rsidR="007C5A67">
        <w:rPr>
          <w:rFonts w:ascii="Courier New" w:hAnsi="Courier New" w:cs="Courier New"/>
          <w:sz w:val="24"/>
          <w:szCs w:val="24"/>
        </w:rPr>
        <w:t> </w:t>
      </w:r>
      <w:r>
        <w:rPr>
          <w:rFonts w:ascii="Courier New" w:hAnsi="Courier New" w:cs="Courier New"/>
          <w:sz w:val="24"/>
          <w:szCs w:val="24"/>
        </w:rPr>
        <w:t>8-6.1(c) (permitting an opt-out for individual taxpayers who do not wish to have their individual income tax return filed electronically by a tax preparer who is otherwise required to file returns electronically); NY CLS Tax § 29(c) (</w:t>
      </w:r>
      <w:r>
        <w:rPr>
          <w:rFonts w:ascii="Courier New" w:hAnsi="Courier New" w:cs="Courier New"/>
          <w:sz w:val="24"/>
        </w:rPr>
        <w:t xml:space="preserve">electronic filing mandate applies only to taxpayers who use computer software to prepare their returns); </w:t>
      </w:r>
      <w:r>
        <w:rPr>
          <w:rFonts w:ascii="Courier New" w:hAnsi="Courier New" w:cs="Courier New"/>
          <w:smallCaps/>
          <w:sz w:val="24"/>
          <w:szCs w:val="24"/>
        </w:rPr>
        <w:t>Handbook for Electronic Filers of Rhode Island Tax Returns, RI-1345</w:t>
      </w:r>
      <w:r>
        <w:rPr>
          <w:rFonts w:ascii="Courier New" w:hAnsi="Courier New" w:cs="Courier New"/>
          <w:b/>
          <w:i/>
          <w:sz w:val="24"/>
          <w:szCs w:val="24"/>
        </w:rPr>
        <w:t xml:space="preserve"> </w:t>
      </w:r>
      <w:r>
        <w:rPr>
          <w:rFonts w:ascii="Courier New" w:hAnsi="Courier New" w:cs="Courier New"/>
          <w:sz w:val="24"/>
          <w:szCs w:val="24"/>
        </w:rPr>
        <w:t xml:space="preserve"> (e-file mandate includes a broad “undue hardship” exception allowing for a case-by-case inquiry and also an opt out for taxpayers who request their preparer not to file electronically); Wisc. Admin. Code Tax 2.08(3)(c) (allows opt out for preparers where taxpayer does not want return filed electronically) and 2.08(3)(e)(1) (recognizes as undue hardship excusing electronic filing the fact that taxpayer does not have a computer connected to the Internet).</w:t>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szCs w:val="24"/>
        </w:rPr>
        <w:t xml:space="preserve">While the Board is cognizant that </w:t>
      </w:r>
      <w:r>
        <w:rPr>
          <w:rFonts w:ascii="Courier New" w:hAnsi="Courier New" w:cs="Courier New"/>
          <w:sz w:val="24"/>
        </w:rPr>
        <w:t xml:space="preserve">G.L. c. 62C, § 5 gives the Commissioner broad authority to prescribe methods of tax filing and payment, and it is equally mindful of the administrative convenience and other benefits derived from the promotion of electronic filing and payment, the Board also recognizes that the penalty under §33(g) for failing to comply with the Commissioner’s electronic payment mandates was not intended to be mandatory in all circumstances.  Rather, the </w:t>
      </w:r>
      <w:r>
        <w:rPr>
          <w:rFonts w:ascii="Courier New" w:hAnsi="Courier New" w:cs="Courier New"/>
          <w:sz w:val="24"/>
        </w:rPr>
        <w:lastRenderedPageBreak/>
        <w:t xml:space="preserve">Legislature in enacting § 33(g) recognized, as have Congress and the various state legislatures discussed above, that a taxpayer may have reasonable cause for failing to file returns or pay taxes electronically.  By employing “reasonable cause” language in § 33(g) and specifically providing that the waiver of penalties imposed under § 33(g) are subject to § 33(f), with its established body of case law requiring a factual analysis to determine if the taxpayer exercised the degree of care that an ordinary taxpayer in his position would have exercised, the Legislature ensured that taxpayers had an opportunity to establish that their failure to comply with electronic filing and payment mandates was justified.  </w:t>
      </w:r>
      <w:r>
        <w:rPr>
          <w:rFonts w:ascii="Courier New" w:hAnsi="Courier New" w:cs="Courier New"/>
          <w:i/>
          <w:sz w:val="24"/>
        </w:rPr>
        <w:t xml:space="preserve">See, e.g., </w:t>
      </w:r>
      <w:r>
        <w:rPr>
          <w:rFonts w:ascii="Courier New" w:hAnsi="Courier New" w:cs="Courier New"/>
          <w:b/>
          <w:i/>
          <w:sz w:val="24"/>
        </w:rPr>
        <w:t xml:space="preserve">Alliance to Protect Nantucket Sound, Inc., et al v. Energy Facilities Siting Board, et al, </w:t>
      </w:r>
      <w:r>
        <w:rPr>
          <w:rFonts w:ascii="Courier New" w:hAnsi="Courier New" w:cs="Courier New"/>
          <w:sz w:val="24"/>
        </w:rPr>
        <w:t>457 Mass. 663, 673 (2010) (recognizing that Legislature acts with “full knowledge of existing law”).</w:t>
      </w:r>
    </w:p>
    <w:p w:rsidR="00373992" w:rsidRDefault="00373992" w:rsidP="00373992">
      <w:pPr>
        <w:spacing w:line="480" w:lineRule="auto"/>
        <w:ind w:firstLine="720"/>
        <w:jc w:val="both"/>
        <w:rPr>
          <w:rFonts w:ascii="Courier New" w:hAnsi="Courier New" w:cs="Courier New"/>
          <w:sz w:val="24"/>
        </w:rPr>
      </w:pPr>
      <w:r>
        <w:rPr>
          <w:rFonts w:ascii="Courier New" w:hAnsi="Courier New" w:cs="Courier New"/>
          <w:sz w:val="24"/>
        </w:rPr>
        <w:t xml:space="preserve">On the facts of this appeal, particularly the appellant’s credible testimony concerning his consistent practice of avoiding the payment of his bills electronically, the Board found and ruled that the appellant exercised the degree of care that an ordinary taxpayer in his position would have exercised when he made his timely payment by check, contrary to the Commissioner’s electronic payment mandate.  The Board therefore found and ruled that the appellant met his burden of proving reasonable cause under § 33(g) for his failure to remit payment </w:t>
      </w:r>
      <w:r>
        <w:rPr>
          <w:rFonts w:ascii="Courier New" w:hAnsi="Courier New" w:cs="Courier New"/>
          <w:sz w:val="24"/>
        </w:rPr>
        <w:lastRenderedPageBreak/>
        <w:t xml:space="preserve">electronically in connection with his extension application for the tax year at issue. </w:t>
      </w:r>
    </w:p>
    <w:p w:rsidR="00373992" w:rsidRDefault="00373992" w:rsidP="00373992">
      <w:pPr>
        <w:spacing w:line="480" w:lineRule="auto"/>
        <w:ind w:firstLine="720"/>
        <w:jc w:val="both"/>
        <w:rPr>
          <w:rFonts w:ascii="Courier New" w:hAnsi="Courier New" w:cs="Courier New"/>
          <w:sz w:val="24"/>
          <w:szCs w:val="24"/>
        </w:rPr>
      </w:pPr>
      <w:r>
        <w:rPr>
          <w:rFonts w:ascii="Courier New" w:hAnsi="Courier New" w:cs="Courier New"/>
          <w:sz w:val="24"/>
        </w:rPr>
        <w:t xml:space="preserve">Accordingly, the Board issued a decision for the appellant </w:t>
      </w:r>
      <w:r>
        <w:rPr>
          <w:rFonts w:ascii="Courier New" w:hAnsi="Courier New" w:cs="Courier New"/>
          <w:sz w:val="24"/>
          <w:szCs w:val="24"/>
        </w:rPr>
        <w:t xml:space="preserve">in this appeal and granted an abatement of the $100 penalty, along with statutory additions. </w:t>
      </w:r>
    </w:p>
    <w:p w:rsidR="00373992" w:rsidRDefault="00373992" w:rsidP="00373992">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373992" w:rsidRDefault="00373992" w:rsidP="00373992">
      <w:pPr>
        <w:jc w:val="both"/>
        <w:rPr>
          <w:rFonts w:ascii="Courier New" w:hAnsi="Courier New" w:cs="Courier New"/>
          <w:b/>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w:t>
      </w:r>
      <w:r>
        <w:rPr>
          <w:rFonts w:ascii="Courier New" w:hAnsi="Courier New" w:cs="Courier New"/>
          <w:b/>
          <w:sz w:val="24"/>
          <w:szCs w:val="24"/>
        </w:rPr>
        <w:t>THE</w:t>
      </w:r>
      <w:r>
        <w:rPr>
          <w:rFonts w:ascii="Courier New" w:hAnsi="Courier New" w:cs="Courier New"/>
          <w:sz w:val="24"/>
          <w:szCs w:val="24"/>
        </w:rPr>
        <w:t xml:space="preserve"> </w:t>
      </w:r>
      <w:r>
        <w:rPr>
          <w:rFonts w:ascii="Courier New" w:hAnsi="Courier New" w:cs="Courier New"/>
          <w:b/>
          <w:sz w:val="24"/>
          <w:szCs w:val="24"/>
        </w:rPr>
        <w:t>APPELLATE TAX BOARD</w:t>
      </w:r>
    </w:p>
    <w:p w:rsidR="007C5A67" w:rsidRDefault="007C5A67" w:rsidP="00373992">
      <w:pPr>
        <w:jc w:val="both"/>
        <w:rPr>
          <w:rFonts w:ascii="Courier New" w:hAnsi="Courier New" w:cs="Courier New"/>
          <w:b/>
          <w:sz w:val="24"/>
          <w:szCs w:val="24"/>
        </w:rPr>
      </w:pPr>
    </w:p>
    <w:p w:rsidR="00373992" w:rsidRDefault="00373992" w:rsidP="00373992">
      <w:pPr>
        <w:jc w:val="both"/>
        <w:rPr>
          <w:rFonts w:ascii="Courier New" w:hAnsi="Courier New" w:cs="Courier New"/>
          <w:b/>
          <w:sz w:val="24"/>
          <w:szCs w:val="24"/>
        </w:rPr>
      </w:pPr>
    </w:p>
    <w:p w:rsidR="00373992" w:rsidRDefault="00373992" w:rsidP="00373992">
      <w:pPr>
        <w:jc w:val="both"/>
        <w:rPr>
          <w:rFonts w:ascii="Courier New" w:hAnsi="Courier New" w:cs="Courier New"/>
          <w:b/>
          <w:sz w:val="24"/>
          <w:szCs w:val="24"/>
        </w:rPr>
      </w:pPr>
    </w:p>
    <w:p w:rsidR="00373992" w:rsidRDefault="00373992" w:rsidP="00373992">
      <w:pPr>
        <w:jc w:val="both"/>
        <w:rPr>
          <w:rFonts w:ascii="Courier New" w:hAnsi="Courier New" w:cs="Courier New"/>
          <w:b/>
          <w:sz w:val="24"/>
          <w:szCs w:val="24"/>
        </w:rPr>
      </w:pPr>
    </w:p>
    <w:p w:rsidR="00373992" w:rsidRDefault="00373992" w:rsidP="00373992">
      <w:pPr>
        <w:jc w:val="both"/>
        <w:rPr>
          <w:rFonts w:ascii="Courier New" w:hAnsi="Courier New" w:cs="Courier New"/>
          <w:b/>
          <w:sz w:val="24"/>
          <w:szCs w:val="24"/>
        </w:rPr>
      </w:pPr>
      <w:r>
        <w:rPr>
          <w:rFonts w:ascii="Courier New" w:hAnsi="Courier New" w:cs="Courier New"/>
          <w:b/>
          <w:sz w:val="24"/>
          <w:szCs w:val="24"/>
        </w:rPr>
        <w:t xml:space="preserve">                       By: ________________________________</w:t>
      </w:r>
    </w:p>
    <w:p w:rsidR="00373992" w:rsidRDefault="00373992" w:rsidP="00373992">
      <w:pPr>
        <w:jc w:val="both"/>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t xml:space="preserve">  </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  Thomas W. Hammond, Jr., Chairman</w:t>
      </w:r>
    </w:p>
    <w:p w:rsidR="00373992" w:rsidRDefault="00373992" w:rsidP="00373992">
      <w:pPr>
        <w:tabs>
          <w:tab w:val="left" w:pos="2143"/>
        </w:tabs>
        <w:jc w:val="both"/>
        <w:rPr>
          <w:rFonts w:ascii="Courier New" w:hAnsi="Courier New" w:cs="Courier New"/>
          <w:b/>
          <w:sz w:val="24"/>
          <w:szCs w:val="24"/>
        </w:rPr>
      </w:pPr>
    </w:p>
    <w:p w:rsidR="00373992" w:rsidRDefault="00373992" w:rsidP="00373992">
      <w:pPr>
        <w:tabs>
          <w:tab w:val="left" w:pos="2143"/>
        </w:tabs>
        <w:jc w:val="both"/>
        <w:rPr>
          <w:rFonts w:ascii="Courier New" w:hAnsi="Courier New" w:cs="Courier New"/>
          <w:b/>
          <w:sz w:val="24"/>
          <w:szCs w:val="24"/>
        </w:rPr>
      </w:pPr>
    </w:p>
    <w:p w:rsidR="00706047" w:rsidRDefault="00706047" w:rsidP="00706047">
      <w:pPr>
        <w:jc w:val="both"/>
        <w:rPr>
          <w:rFonts w:ascii="Courier New" w:hAnsi="Courier New" w:cs="Courier New"/>
          <w:b/>
          <w:sz w:val="24"/>
          <w:szCs w:val="24"/>
        </w:rPr>
      </w:pPr>
      <w:r w:rsidRPr="00150324">
        <w:rPr>
          <w:rFonts w:ascii="Courier New" w:hAnsi="Courier New" w:cs="Courier New"/>
          <w:b/>
          <w:sz w:val="24"/>
          <w:szCs w:val="24"/>
        </w:rPr>
        <w:t>A true copy,</w:t>
      </w:r>
    </w:p>
    <w:p w:rsidR="00706047" w:rsidRPr="00150324" w:rsidRDefault="00706047" w:rsidP="00706047">
      <w:pPr>
        <w:jc w:val="both"/>
        <w:rPr>
          <w:rFonts w:ascii="Courier New" w:hAnsi="Courier New" w:cs="Courier New"/>
          <w:b/>
          <w:sz w:val="24"/>
          <w:szCs w:val="24"/>
        </w:rPr>
      </w:pPr>
    </w:p>
    <w:p w:rsidR="00706047" w:rsidRPr="00150324" w:rsidRDefault="00706047" w:rsidP="00706047">
      <w:pPr>
        <w:jc w:val="both"/>
        <w:rPr>
          <w:rFonts w:ascii="Courier New" w:hAnsi="Courier New" w:cs="Courier New"/>
          <w:b/>
          <w:sz w:val="24"/>
          <w:szCs w:val="24"/>
        </w:rPr>
      </w:pPr>
    </w:p>
    <w:p w:rsidR="00706047" w:rsidRPr="00150324" w:rsidRDefault="00706047" w:rsidP="00706047">
      <w:pPr>
        <w:jc w:val="both"/>
        <w:rPr>
          <w:rFonts w:ascii="Courier New" w:hAnsi="Courier New" w:cs="Courier New"/>
          <w:b/>
          <w:sz w:val="24"/>
          <w:szCs w:val="24"/>
        </w:rPr>
      </w:pPr>
      <w:r w:rsidRPr="00150324">
        <w:rPr>
          <w:rFonts w:ascii="Courier New" w:hAnsi="Courier New" w:cs="Courier New"/>
          <w:b/>
          <w:sz w:val="24"/>
          <w:szCs w:val="24"/>
        </w:rPr>
        <w:t>Attest: __________</w:t>
      </w:r>
      <w:r>
        <w:rPr>
          <w:rFonts w:ascii="Courier New" w:hAnsi="Courier New" w:cs="Courier New"/>
          <w:b/>
          <w:sz w:val="24"/>
          <w:szCs w:val="24"/>
        </w:rPr>
        <w:t>____</w:t>
      </w:r>
      <w:r w:rsidRPr="00150324">
        <w:rPr>
          <w:rFonts w:ascii="Courier New" w:hAnsi="Courier New" w:cs="Courier New"/>
          <w:b/>
          <w:sz w:val="24"/>
          <w:szCs w:val="24"/>
        </w:rPr>
        <w:t>______________</w:t>
      </w:r>
    </w:p>
    <w:p w:rsidR="00706047" w:rsidRPr="00150324" w:rsidRDefault="00706047" w:rsidP="00706047">
      <w:pPr>
        <w:jc w:val="both"/>
        <w:rPr>
          <w:rFonts w:ascii="Courier New" w:hAnsi="Courier New" w:cs="Courier New"/>
          <w:b/>
          <w:sz w:val="24"/>
          <w:szCs w:val="24"/>
        </w:rPr>
      </w:pPr>
      <w:r w:rsidRPr="00150324">
        <w:rPr>
          <w:rFonts w:ascii="Courier New" w:hAnsi="Courier New" w:cs="Courier New"/>
          <w:b/>
          <w:sz w:val="24"/>
          <w:szCs w:val="24"/>
        </w:rPr>
        <w:tab/>
        <w:t xml:space="preserve">  </w:t>
      </w:r>
      <w:r>
        <w:rPr>
          <w:rFonts w:ascii="Courier New" w:hAnsi="Courier New" w:cs="Courier New"/>
          <w:b/>
          <w:sz w:val="24"/>
          <w:szCs w:val="24"/>
        </w:rPr>
        <w:t xml:space="preserve">   </w:t>
      </w:r>
      <w:r w:rsidRPr="00150324">
        <w:rPr>
          <w:rFonts w:ascii="Courier New" w:hAnsi="Courier New" w:cs="Courier New"/>
          <w:b/>
          <w:sz w:val="24"/>
          <w:szCs w:val="24"/>
        </w:rPr>
        <w:t>Clerk of the Board</w:t>
      </w:r>
    </w:p>
    <w:p w:rsidR="00373992" w:rsidRDefault="00373992" w:rsidP="00373992">
      <w:pPr>
        <w:jc w:val="both"/>
        <w:rPr>
          <w:rFonts w:ascii="Arial" w:hAnsi="Arial" w:cs="Arial"/>
          <w:sz w:val="24"/>
          <w:szCs w:val="24"/>
        </w:rPr>
      </w:pPr>
    </w:p>
    <w:sectPr w:rsidR="00373992" w:rsidSect="00D35F32">
      <w:footerReference w:type="default" r:id="rId9"/>
      <w:pgSz w:w="12240" w:h="15840"/>
      <w:pgMar w:top="1440" w:right="1440" w:bottom="1440" w:left="1440" w:header="720" w:footer="720" w:gutter="0"/>
      <w:pgNumType w:start="5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992" w:rsidRDefault="00373992" w:rsidP="00373992">
      <w:r>
        <w:separator/>
      </w:r>
    </w:p>
  </w:endnote>
  <w:endnote w:type="continuationSeparator" w:id="0">
    <w:p w:rsidR="00373992" w:rsidRDefault="00373992" w:rsidP="0037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sz w:val="24"/>
        <w:szCs w:val="24"/>
      </w:rPr>
      <w:id w:val="427008481"/>
      <w:docPartObj>
        <w:docPartGallery w:val="Page Numbers (Bottom of Page)"/>
        <w:docPartUnique/>
      </w:docPartObj>
    </w:sdtPr>
    <w:sdtEndPr>
      <w:rPr>
        <w:noProof/>
      </w:rPr>
    </w:sdtEndPr>
    <w:sdtContent>
      <w:p w:rsidR="00D35F32" w:rsidRPr="00D35F32" w:rsidRDefault="00D35F32">
        <w:pPr>
          <w:pStyle w:val="Footer"/>
          <w:jc w:val="center"/>
          <w:rPr>
            <w:rFonts w:ascii="Courier New" w:hAnsi="Courier New" w:cs="Courier New"/>
            <w:b/>
            <w:sz w:val="24"/>
            <w:szCs w:val="24"/>
          </w:rPr>
        </w:pPr>
        <w:r w:rsidRPr="00D35F32">
          <w:rPr>
            <w:rFonts w:ascii="Courier New" w:hAnsi="Courier New" w:cs="Courier New"/>
            <w:b/>
            <w:sz w:val="24"/>
            <w:szCs w:val="24"/>
          </w:rPr>
          <w:t>ATB 2014-</w:t>
        </w:r>
        <w:r w:rsidRPr="00D35F32">
          <w:rPr>
            <w:rFonts w:ascii="Courier New" w:hAnsi="Courier New" w:cs="Courier New"/>
            <w:b/>
            <w:sz w:val="24"/>
            <w:szCs w:val="24"/>
          </w:rPr>
          <w:fldChar w:fldCharType="begin"/>
        </w:r>
        <w:r w:rsidRPr="00D35F32">
          <w:rPr>
            <w:rFonts w:ascii="Courier New" w:hAnsi="Courier New" w:cs="Courier New"/>
            <w:b/>
            <w:sz w:val="24"/>
            <w:szCs w:val="24"/>
          </w:rPr>
          <w:instrText xml:space="preserve"> PAGE   \* MERGEFORMAT </w:instrText>
        </w:r>
        <w:r w:rsidRPr="00D35F32">
          <w:rPr>
            <w:rFonts w:ascii="Courier New" w:hAnsi="Courier New" w:cs="Courier New"/>
            <w:b/>
            <w:sz w:val="24"/>
            <w:szCs w:val="24"/>
          </w:rPr>
          <w:fldChar w:fldCharType="separate"/>
        </w:r>
        <w:r w:rsidR="002B6E13">
          <w:rPr>
            <w:rFonts w:ascii="Courier New" w:hAnsi="Courier New" w:cs="Courier New"/>
            <w:b/>
            <w:noProof/>
            <w:sz w:val="24"/>
            <w:szCs w:val="24"/>
          </w:rPr>
          <w:t>515</w:t>
        </w:r>
        <w:r w:rsidRPr="00D35F32">
          <w:rPr>
            <w:rFonts w:ascii="Courier New" w:hAnsi="Courier New" w:cs="Courier New"/>
            <w:b/>
            <w:noProof/>
            <w:sz w:val="24"/>
            <w:szCs w:val="24"/>
          </w:rPr>
          <w:fldChar w:fldCharType="end"/>
        </w:r>
      </w:p>
    </w:sdtContent>
  </w:sdt>
  <w:p w:rsidR="007C5A67" w:rsidRDefault="007C5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992" w:rsidRDefault="00373992" w:rsidP="00373992">
      <w:r>
        <w:separator/>
      </w:r>
    </w:p>
  </w:footnote>
  <w:footnote w:type="continuationSeparator" w:id="0">
    <w:p w:rsidR="00373992" w:rsidRDefault="00373992" w:rsidP="00373992">
      <w:r>
        <w:continuationSeparator/>
      </w:r>
    </w:p>
  </w:footnote>
  <w:footnote w:id="1">
    <w:p w:rsidR="00373992" w:rsidRDefault="00373992" w:rsidP="00373992">
      <w:pPr>
        <w:pStyle w:val="FootnoteText"/>
        <w:jc w:val="both"/>
      </w:pPr>
      <w:r>
        <w:rPr>
          <w:rStyle w:val="FootnoteReference"/>
          <w:rFonts w:ascii="Courier New" w:hAnsi="Courier New" w:cs="Courier New"/>
        </w:rPr>
        <w:footnoteRef/>
      </w:r>
      <w:r>
        <w:rPr>
          <w:rFonts w:ascii="Courier New" w:hAnsi="Courier New" w:cs="Courier New"/>
        </w:rPr>
        <w:t xml:space="preserve"> </w:t>
      </w:r>
      <w:r>
        <w:rPr>
          <w:rFonts w:ascii="Courier New" w:hAnsi="Courier New"/>
        </w:rPr>
        <w:t xml:space="preserve">Although </w:t>
      </w:r>
      <w:r>
        <w:rPr>
          <w:rFonts w:ascii="Courier New" w:hAnsi="Courier New"/>
          <w:b/>
          <w:i/>
        </w:rPr>
        <w:t>TIR 04-30</w:t>
      </w:r>
      <w:r>
        <w:rPr>
          <w:rFonts w:ascii="Courier New" w:hAnsi="Courier New"/>
        </w:rPr>
        <w:t xml:space="preserve"> likewise specified that the appellant should have filed his extension application electronically, the Commissioner did not separately assess a penalty to the appellant for his failure to file the extension application electronically.</w:t>
      </w:r>
    </w:p>
  </w:footnote>
  <w:footnote w:id="2">
    <w:p w:rsidR="00373992" w:rsidRDefault="00373992" w:rsidP="00373992">
      <w:pPr>
        <w:pStyle w:val="FootnoteText"/>
        <w:jc w:val="both"/>
      </w:pPr>
      <w:r>
        <w:rPr>
          <w:rStyle w:val="FootnoteReference"/>
          <w:rFonts w:ascii="Courier New" w:hAnsi="Courier New" w:cs="Courier New"/>
        </w:rPr>
        <w:footnoteRef/>
      </w:r>
      <w:r>
        <w:rPr>
          <w:rFonts w:ascii="Courier New" w:hAnsi="Courier New" w:cs="Courier New"/>
        </w:rPr>
        <w:t xml:space="preserve"> A trustee tax is a tax which an entity “collects from those with whom it does business and is obliged to pay over to the Commonwealth.”  </w:t>
      </w:r>
      <w:r>
        <w:rPr>
          <w:rFonts w:ascii="Courier New" w:hAnsi="Courier New" w:cs="Courier New"/>
          <w:b/>
          <w:i/>
        </w:rPr>
        <w:t xml:space="preserve">Genaitis v. Commissioner of Revenue, </w:t>
      </w:r>
      <w:r>
        <w:rPr>
          <w:rFonts w:ascii="Courier New" w:hAnsi="Courier New" w:cs="Courier New"/>
        </w:rPr>
        <w:t>Mass. ATB Findings of Fact and Reports 2006-704,</w:t>
      </w:r>
      <w:r w:rsidR="00150324">
        <w:rPr>
          <w:rFonts w:ascii="Courier New" w:hAnsi="Courier New" w:cs="Courier New"/>
        </w:rPr>
        <w:t> </w:t>
      </w:r>
      <w:r>
        <w:rPr>
          <w:rFonts w:ascii="Courier New" w:hAnsi="Courier New" w:cs="Courier New"/>
        </w:rPr>
        <w:t>713.</w:t>
      </w:r>
    </w:p>
  </w:footnote>
  <w:footnote w:id="3">
    <w:p w:rsidR="00373992" w:rsidRDefault="00373992" w:rsidP="00373992">
      <w:pPr>
        <w:pStyle w:val="FootnoteText"/>
        <w:jc w:val="both"/>
      </w:pPr>
      <w:r>
        <w:rPr>
          <w:rStyle w:val="FootnoteReference"/>
          <w:rFonts w:ascii="Courier New" w:hAnsi="Courier New" w:cs="Courier New"/>
        </w:rPr>
        <w:footnoteRef/>
      </w:r>
      <w:r>
        <w:rPr>
          <w:rFonts w:ascii="Courier New" w:hAnsi="Courier New" w:cs="Courier New"/>
        </w:rPr>
        <w:t xml:space="preserve"> </w:t>
      </w:r>
      <w:r>
        <w:rPr>
          <w:rFonts w:ascii="Courier New" w:hAnsi="Courier New" w:cs="Courier New"/>
          <w:i/>
        </w:rPr>
        <w:t xml:space="preserve">See </w:t>
      </w:r>
      <w:r>
        <w:rPr>
          <w:rFonts w:ascii="Courier New" w:hAnsi="Courier New" w:cs="Courier New"/>
        </w:rPr>
        <w:t>St. 2002, c. 300, § 8(A).</w:t>
      </w:r>
    </w:p>
  </w:footnote>
  <w:footnote w:id="4">
    <w:p w:rsidR="00373992" w:rsidRDefault="00373992" w:rsidP="00373992">
      <w:pPr>
        <w:pStyle w:val="FootnoteText"/>
      </w:pPr>
      <w:r>
        <w:rPr>
          <w:rStyle w:val="FootnoteReference"/>
          <w:rFonts w:ascii="Courier New" w:hAnsi="Courier New" w:cs="Courier New"/>
        </w:rPr>
        <w:footnoteRef/>
      </w:r>
      <w:r>
        <w:rPr>
          <w:rFonts w:ascii="Courier New" w:hAnsi="Courier New" w:cs="Courier New"/>
        </w:rPr>
        <w:t xml:space="preserve"> St. 1980, c. 27, §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069B2"/>
    <w:multiLevelType w:val="hybridMultilevel"/>
    <w:tmpl w:val="3836F300"/>
    <w:lvl w:ilvl="0" w:tplc="ADCAC2DE">
      <w:start w:val="1"/>
      <w:numFmt w:val="upperRoman"/>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6EB970D3"/>
    <w:multiLevelType w:val="hybridMultilevel"/>
    <w:tmpl w:val="BB9498F0"/>
    <w:lvl w:ilvl="0" w:tplc="3AA40D6E">
      <w:start w:val="1"/>
      <w:numFmt w:val="decimal"/>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92"/>
    <w:rsid w:val="001345F5"/>
    <w:rsid w:val="00150324"/>
    <w:rsid w:val="00217F41"/>
    <w:rsid w:val="002B6E13"/>
    <w:rsid w:val="00373992"/>
    <w:rsid w:val="00706047"/>
    <w:rsid w:val="007C5A67"/>
    <w:rsid w:val="00B06676"/>
    <w:rsid w:val="00D35F32"/>
    <w:rsid w:val="00EC3BAD"/>
    <w:rsid w:val="00F9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99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73992"/>
    <w:pPr>
      <w:keepNext/>
      <w:ind w:left="2880" w:hanging="2880"/>
      <w:outlineLvl w:val="0"/>
    </w:pPr>
    <w:rPr>
      <w:rFonts w:ascii="Courier New" w:hAnsi="Courier New" w:cs="Courier New"/>
      <w:b/>
      <w:bCs/>
      <w:sz w:val="24"/>
      <w:szCs w:val="24"/>
    </w:rPr>
  </w:style>
  <w:style w:type="paragraph" w:styleId="Heading2">
    <w:name w:val="heading 2"/>
    <w:basedOn w:val="Normal"/>
    <w:next w:val="Normal"/>
    <w:link w:val="Heading2Char"/>
    <w:qFormat/>
    <w:rsid w:val="00373992"/>
    <w:pPr>
      <w:keepNext/>
      <w:spacing w:line="360" w:lineRule="auto"/>
      <w:jc w:val="center"/>
      <w:outlineLvl w:val="1"/>
    </w:pPr>
    <w:rPr>
      <w:rFonts w:ascii="Courier New"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992"/>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373992"/>
    <w:rPr>
      <w:rFonts w:ascii="Courier New" w:eastAsia="Times New Roman" w:hAnsi="Courier New" w:cs="Courier New"/>
      <w:b/>
      <w:bCs/>
      <w:sz w:val="24"/>
      <w:szCs w:val="24"/>
    </w:rPr>
  </w:style>
  <w:style w:type="paragraph" w:styleId="FootnoteText">
    <w:name w:val="footnote text"/>
    <w:basedOn w:val="Normal"/>
    <w:link w:val="FootnoteTextChar"/>
    <w:rsid w:val="00373992"/>
  </w:style>
  <w:style w:type="character" w:customStyle="1" w:styleId="FootnoteTextChar">
    <w:name w:val="Footnote Text Char"/>
    <w:basedOn w:val="DefaultParagraphFont"/>
    <w:link w:val="FootnoteText"/>
    <w:rsid w:val="00373992"/>
    <w:rPr>
      <w:rFonts w:ascii="Times New Roman" w:eastAsia="Times New Roman" w:hAnsi="Times New Roman" w:cs="Times New Roman"/>
      <w:sz w:val="20"/>
      <w:szCs w:val="20"/>
    </w:rPr>
  </w:style>
  <w:style w:type="paragraph" w:styleId="Title">
    <w:name w:val="Title"/>
    <w:basedOn w:val="Normal"/>
    <w:link w:val="TitleChar"/>
    <w:qFormat/>
    <w:rsid w:val="00373992"/>
    <w:pPr>
      <w:jc w:val="center"/>
    </w:pPr>
    <w:rPr>
      <w:rFonts w:ascii="Courier New" w:hAnsi="Courier New" w:cs="Courier New"/>
      <w:b/>
      <w:bCs/>
      <w:sz w:val="24"/>
      <w:szCs w:val="24"/>
    </w:rPr>
  </w:style>
  <w:style w:type="character" w:customStyle="1" w:styleId="TitleChar">
    <w:name w:val="Title Char"/>
    <w:basedOn w:val="DefaultParagraphFont"/>
    <w:link w:val="Title"/>
    <w:rsid w:val="00373992"/>
    <w:rPr>
      <w:rFonts w:ascii="Courier New" w:eastAsia="Times New Roman" w:hAnsi="Courier New" w:cs="Courier New"/>
      <w:b/>
      <w:bCs/>
      <w:sz w:val="24"/>
      <w:szCs w:val="24"/>
    </w:rPr>
  </w:style>
  <w:style w:type="paragraph" w:styleId="ListParagraph">
    <w:name w:val="List Paragraph"/>
    <w:basedOn w:val="Normal"/>
    <w:uiPriority w:val="34"/>
    <w:qFormat/>
    <w:rsid w:val="00373992"/>
    <w:pPr>
      <w:ind w:left="720"/>
      <w:contextualSpacing/>
    </w:pPr>
  </w:style>
  <w:style w:type="character" w:styleId="FootnoteReference">
    <w:name w:val="footnote reference"/>
    <w:basedOn w:val="DefaultParagraphFont"/>
    <w:rsid w:val="00373992"/>
    <w:rPr>
      <w:vertAlign w:val="superscript"/>
    </w:rPr>
  </w:style>
  <w:style w:type="character" w:customStyle="1" w:styleId="term1">
    <w:name w:val="term1"/>
    <w:rsid w:val="00373992"/>
    <w:rPr>
      <w:b/>
      <w:bCs w:val="0"/>
    </w:rPr>
  </w:style>
  <w:style w:type="paragraph" w:styleId="BalloonText">
    <w:name w:val="Balloon Text"/>
    <w:basedOn w:val="Normal"/>
    <w:link w:val="BalloonTextChar"/>
    <w:uiPriority w:val="99"/>
    <w:semiHidden/>
    <w:unhideWhenUsed/>
    <w:rsid w:val="007C5A67"/>
    <w:rPr>
      <w:rFonts w:ascii="Tahoma" w:hAnsi="Tahoma" w:cs="Tahoma"/>
      <w:sz w:val="16"/>
      <w:szCs w:val="16"/>
    </w:rPr>
  </w:style>
  <w:style w:type="character" w:customStyle="1" w:styleId="BalloonTextChar">
    <w:name w:val="Balloon Text Char"/>
    <w:basedOn w:val="DefaultParagraphFont"/>
    <w:link w:val="BalloonText"/>
    <w:uiPriority w:val="99"/>
    <w:semiHidden/>
    <w:rsid w:val="007C5A67"/>
    <w:rPr>
      <w:rFonts w:ascii="Tahoma" w:eastAsia="Times New Roman" w:hAnsi="Tahoma" w:cs="Tahoma"/>
      <w:sz w:val="16"/>
      <w:szCs w:val="16"/>
    </w:rPr>
  </w:style>
  <w:style w:type="paragraph" w:styleId="Header">
    <w:name w:val="header"/>
    <w:basedOn w:val="Normal"/>
    <w:link w:val="HeaderChar"/>
    <w:uiPriority w:val="99"/>
    <w:unhideWhenUsed/>
    <w:rsid w:val="007C5A67"/>
    <w:pPr>
      <w:tabs>
        <w:tab w:val="center" w:pos="4680"/>
        <w:tab w:val="right" w:pos="9360"/>
      </w:tabs>
    </w:pPr>
  </w:style>
  <w:style w:type="character" w:customStyle="1" w:styleId="HeaderChar">
    <w:name w:val="Header Char"/>
    <w:basedOn w:val="DefaultParagraphFont"/>
    <w:link w:val="Header"/>
    <w:uiPriority w:val="99"/>
    <w:rsid w:val="007C5A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5A67"/>
    <w:pPr>
      <w:tabs>
        <w:tab w:val="center" w:pos="4680"/>
        <w:tab w:val="right" w:pos="9360"/>
      </w:tabs>
    </w:pPr>
  </w:style>
  <w:style w:type="character" w:customStyle="1" w:styleId="FooterChar">
    <w:name w:val="Footer Char"/>
    <w:basedOn w:val="DefaultParagraphFont"/>
    <w:link w:val="Footer"/>
    <w:uiPriority w:val="99"/>
    <w:rsid w:val="007C5A6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99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73992"/>
    <w:pPr>
      <w:keepNext/>
      <w:ind w:left="2880" w:hanging="2880"/>
      <w:outlineLvl w:val="0"/>
    </w:pPr>
    <w:rPr>
      <w:rFonts w:ascii="Courier New" w:hAnsi="Courier New" w:cs="Courier New"/>
      <w:b/>
      <w:bCs/>
      <w:sz w:val="24"/>
      <w:szCs w:val="24"/>
    </w:rPr>
  </w:style>
  <w:style w:type="paragraph" w:styleId="Heading2">
    <w:name w:val="heading 2"/>
    <w:basedOn w:val="Normal"/>
    <w:next w:val="Normal"/>
    <w:link w:val="Heading2Char"/>
    <w:qFormat/>
    <w:rsid w:val="00373992"/>
    <w:pPr>
      <w:keepNext/>
      <w:spacing w:line="360" w:lineRule="auto"/>
      <w:jc w:val="center"/>
      <w:outlineLvl w:val="1"/>
    </w:pPr>
    <w:rPr>
      <w:rFonts w:ascii="Courier New"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992"/>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373992"/>
    <w:rPr>
      <w:rFonts w:ascii="Courier New" w:eastAsia="Times New Roman" w:hAnsi="Courier New" w:cs="Courier New"/>
      <w:b/>
      <w:bCs/>
      <w:sz w:val="24"/>
      <w:szCs w:val="24"/>
    </w:rPr>
  </w:style>
  <w:style w:type="paragraph" w:styleId="FootnoteText">
    <w:name w:val="footnote text"/>
    <w:basedOn w:val="Normal"/>
    <w:link w:val="FootnoteTextChar"/>
    <w:rsid w:val="00373992"/>
  </w:style>
  <w:style w:type="character" w:customStyle="1" w:styleId="FootnoteTextChar">
    <w:name w:val="Footnote Text Char"/>
    <w:basedOn w:val="DefaultParagraphFont"/>
    <w:link w:val="FootnoteText"/>
    <w:rsid w:val="00373992"/>
    <w:rPr>
      <w:rFonts w:ascii="Times New Roman" w:eastAsia="Times New Roman" w:hAnsi="Times New Roman" w:cs="Times New Roman"/>
      <w:sz w:val="20"/>
      <w:szCs w:val="20"/>
    </w:rPr>
  </w:style>
  <w:style w:type="paragraph" w:styleId="Title">
    <w:name w:val="Title"/>
    <w:basedOn w:val="Normal"/>
    <w:link w:val="TitleChar"/>
    <w:qFormat/>
    <w:rsid w:val="00373992"/>
    <w:pPr>
      <w:jc w:val="center"/>
    </w:pPr>
    <w:rPr>
      <w:rFonts w:ascii="Courier New" w:hAnsi="Courier New" w:cs="Courier New"/>
      <w:b/>
      <w:bCs/>
      <w:sz w:val="24"/>
      <w:szCs w:val="24"/>
    </w:rPr>
  </w:style>
  <w:style w:type="character" w:customStyle="1" w:styleId="TitleChar">
    <w:name w:val="Title Char"/>
    <w:basedOn w:val="DefaultParagraphFont"/>
    <w:link w:val="Title"/>
    <w:rsid w:val="00373992"/>
    <w:rPr>
      <w:rFonts w:ascii="Courier New" w:eastAsia="Times New Roman" w:hAnsi="Courier New" w:cs="Courier New"/>
      <w:b/>
      <w:bCs/>
      <w:sz w:val="24"/>
      <w:szCs w:val="24"/>
    </w:rPr>
  </w:style>
  <w:style w:type="paragraph" w:styleId="ListParagraph">
    <w:name w:val="List Paragraph"/>
    <w:basedOn w:val="Normal"/>
    <w:uiPriority w:val="34"/>
    <w:qFormat/>
    <w:rsid w:val="00373992"/>
    <w:pPr>
      <w:ind w:left="720"/>
      <w:contextualSpacing/>
    </w:pPr>
  </w:style>
  <w:style w:type="character" w:styleId="FootnoteReference">
    <w:name w:val="footnote reference"/>
    <w:basedOn w:val="DefaultParagraphFont"/>
    <w:rsid w:val="00373992"/>
    <w:rPr>
      <w:vertAlign w:val="superscript"/>
    </w:rPr>
  </w:style>
  <w:style w:type="character" w:customStyle="1" w:styleId="term1">
    <w:name w:val="term1"/>
    <w:rsid w:val="00373992"/>
    <w:rPr>
      <w:b/>
      <w:bCs w:val="0"/>
    </w:rPr>
  </w:style>
  <w:style w:type="paragraph" w:styleId="BalloonText">
    <w:name w:val="Balloon Text"/>
    <w:basedOn w:val="Normal"/>
    <w:link w:val="BalloonTextChar"/>
    <w:uiPriority w:val="99"/>
    <w:semiHidden/>
    <w:unhideWhenUsed/>
    <w:rsid w:val="007C5A67"/>
    <w:rPr>
      <w:rFonts w:ascii="Tahoma" w:hAnsi="Tahoma" w:cs="Tahoma"/>
      <w:sz w:val="16"/>
      <w:szCs w:val="16"/>
    </w:rPr>
  </w:style>
  <w:style w:type="character" w:customStyle="1" w:styleId="BalloonTextChar">
    <w:name w:val="Balloon Text Char"/>
    <w:basedOn w:val="DefaultParagraphFont"/>
    <w:link w:val="BalloonText"/>
    <w:uiPriority w:val="99"/>
    <w:semiHidden/>
    <w:rsid w:val="007C5A67"/>
    <w:rPr>
      <w:rFonts w:ascii="Tahoma" w:eastAsia="Times New Roman" w:hAnsi="Tahoma" w:cs="Tahoma"/>
      <w:sz w:val="16"/>
      <w:szCs w:val="16"/>
    </w:rPr>
  </w:style>
  <w:style w:type="paragraph" w:styleId="Header">
    <w:name w:val="header"/>
    <w:basedOn w:val="Normal"/>
    <w:link w:val="HeaderChar"/>
    <w:uiPriority w:val="99"/>
    <w:unhideWhenUsed/>
    <w:rsid w:val="007C5A67"/>
    <w:pPr>
      <w:tabs>
        <w:tab w:val="center" w:pos="4680"/>
        <w:tab w:val="right" w:pos="9360"/>
      </w:tabs>
    </w:pPr>
  </w:style>
  <w:style w:type="character" w:customStyle="1" w:styleId="HeaderChar">
    <w:name w:val="Header Char"/>
    <w:basedOn w:val="DefaultParagraphFont"/>
    <w:link w:val="Header"/>
    <w:uiPriority w:val="99"/>
    <w:rsid w:val="007C5A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5A67"/>
    <w:pPr>
      <w:tabs>
        <w:tab w:val="center" w:pos="4680"/>
        <w:tab w:val="right" w:pos="9360"/>
      </w:tabs>
    </w:pPr>
  </w:style>
  <w:style w:type="character" w:customStyle="1" w:styleId="FooterChar">
    <w:name w:val="Footer Char"/>
    <w:basedOn w:val="DefaultParagraphFont"/>
    <w:link w:val="Footer"/>
    <w:uiPriority w:val="99"/>
    <w:rsid w:val="007C5A6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5D358-9262-45D2-A1CD-1B1D90F6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4852</Words>
  <Characters>27660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2014-07-23T16:59:00Z</dcterms:created>
  <dc:creator>Defrancisco, Mark (ATB)</dc:creator>
  <lastModifiedBy>setupacct</lastModifiedBy>
  <lastPrinted>2014-07-22T17:58:00Z</lastPrinted>
  <dcterms:modified xsi:type="dcterms:W3CDTF">2014-07-23T16:59:00Z</dcterms:modified>
  <revision>2</revision>
</coreProperties>
</file>