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B657A" w14:textId="204D4068" w:rsidR="00046EFD" w:rsidRDefault="004D05DC" w:rsidP="00515D6D">
      <w:pPr>
        <w:spacing w:after="0" w:line="240" w:lineRule="auto"/>
      </w:pPr>
      <w:r w:rsidRPr="004D05DC">
        <w:t>To: Dr. Robert H. Goldstein, MD, PhD, Commissioner</w:t>
      </w:r>
      <w:r w:rsidRPr="004D05DC">
        <w:br/>
        <w:t>Members of the Public Health Council</w:t>
      </w:r>
      <w:r w:rsidRPr="004D05DC">
        <w:br/>
        <w:t>Massachusetts Department of Public Health</w:t>
      </w:r>
    </w:p>
    <w:p w14:paraId="154A75CB" w14:textId="77777777" w:rsidR="00515D6D" w:rsidRPr="004D05DC" w:rsidRDefault="00515D6D" w:rsidP="00515D6D">
      <w:pPr>
        <w:spacing w:after="0" w:line="240" w:lineRule="auto"/>
      </w:pPr>
    </w:p>
    <w:p w14:paraId="1996211A" w14:textId="77777777" w:rsidR="004D05DC" w:rsidRPr="004D05DC" w:rsidRDefault="004D05DC" w:rsidP="00515D6D">
      <w:pPr>
        <w:spacing w:after="0" w:line="240" w:lineRule="auto"/>
      </w:pPr>
      <w:proofErr w:type="gramStart"/>
      <w:r w:rsidRPr="004D05DC">
        <w:t>Dear Commissioner</w:t>
      </w:r>
      <w:proofErr w:type="gramEnd"/>
      <w:r w:rsidRPr="004D05DC">
        <w:t xml:space="preserve"> Goldstein and Members of the Public Health Council:</w:t>
      </w:r>
    </w:p>
    <w:p w14:paraId="5F15EF80" w14:textId="77777777" w:rsidR="00515D6D" w:rsidRDefault="00515D6D" w:rsidP="00515D6D">
      <w:pPr>
        <w:spacing w:after="0" w:line="240" w:lineRule="auto"/>
      </w:pPr>
    </w:p>
    <w:p w14:paraId="2F80B10C" w14:textId="6495BA38" w:rsidR="004D05DC" w:rsidRPr="004D05DC" w:rsidRDefault="00046EFD" w:rsidP="00515D6D">
      <w:pPr>
        <w:spacing w:after="0" w:line="240" w:lineRule="auto"/>
      </w:pPr>
      <w:r>
        <w:t>My name is Dr. Jonathan Worcester</w:t>
      </w:r>
      <w:r w:rsidR="00FC7F85">
        <w:t xml:space="preserve">, and </w:t>
      </w:r>
      <w:r w:rsidR="004D05DC" w:rsidRPr="004D05DC">
        <w:t xml:space="preserve">I </w:t>
      </w:r>
      <w:r w:rsidR="00FC7F85">
        <w:t xml:space="preserve">respectfully </w:t>
      </w:r>
      <w:r w:rsidR="004D05DC" w:rsidRPr="004D05DC">
        <w:t>submit this testimony on behalf of Seven Hills Pediatric Center (SHPC) in response to the Department’s proposed amendments to 105 CMR 150.000, specifically 105 CMR 150.003(E) (Admission of Residents Younger Than 22 Years Old) and 105 CMR 150.011(M) (Social Services—Discharge or Transfer Planning).</w:t>
      </w:r>
    </w:p>
    <w:p w14:paraId="65B19B12" w14:textId="77777777" w:rsidR="00515D6D" w:rsidRDefault="00515D6D" w:rsidP="00515D6D">
      <w:pPr>
        <w:spacing w:after="0" w:line="240" w:lineRule="auto"/>
      </w:pPr>
    </w:p>
    <w:p w14:paraId="7714E196" w14:textId="34106FB3" w:rsidR="004D05DC" w:rsidRPr="004D05DC" w:rsidRDefault="004D05DC" w:rsidP="00515D6D">
      <w:pPr>
        <w:spacing w:after="0" w:line="240" w:lineRule="auto"/>
      </w:pPr>
      <w:r w:rsidRPr="004D05DC">
        <w:t xml:space="preserve">Seven Hills Pediatric Center is not a traditional nursing home. It is a licensed pediatric skilled nursing and educational facility serving children and young adults with </w:t>
      </w:r>
      <w:r w:rsidR="00044030">
        <w:t xml:space="preserve">some of </w:t>
      </w:r>
      <w:r w:rsidRPr="004D05DC">
        <w:t xml:space="preserve">the most severe medical, neurological, and </w:t>
      </w:r>
      <w:r w:rsidR="00046B3A" w:rsidRPr="004D05DC">
        <w:t xml:space="preserve">developmental </w:t>
      </w:r>
      <w:r w:rsidRPr="004D05DC">
        <w:t xml:space="preserve">disabilities in the Commonwealth. Our residents are medically fragile, non-verbal, </w:t>
      </w:r>
      <w:r w:rsidR="002320FB">
        <w:t xml:space="preserve">non-ambulatory, </w:t>
      </w:r>
      <w:r w:rsidRPr="004D05DC">
        <w:t>and often dependent on advanced life-sustaining and life-preserving medical interventions. For this population, continuity and stability of care are essential clinical safeguards.</w:t>
      </w:r>
    </w:p>
    <w:p w14:paraId="5FE5D64F" w14:textId="77777777" w:rsidR="00515D6D" w:rsidRDefault="00515D6D" w:rsidP="00515D6D">
      <w:pPr>
        <w:spacing w:after="0" w:line="240" w:lineRule="auto"/>
        <w:rPr>
          <w:b/>
          <w:bCs/>
        </w:rPr>
      </w:pPr>
    </w:p>
    <w:p w14:paraId="771F3B96" w14:textId="6996F946" w:rsidR="004D05DC" w:rsidRPr="004D05DC" w:rsidRDefault="004D05DC" w:rsidP="00515D6D">
      <w:pPr>
        <w:spacing w:after="0" w:line="240" w:lineRule="auto"/>
      </w:pPr>
      <w:r w:rsidRPr="004D05DC">
        <w:rPr>
          <w:b/>
          <w:bCs/>
        </w:rPr>
        <w:t>Seven Hills Pediatric Center: Demographic and Acuity Snapshot</w:t>
      </w:r>
    </w:p>
    <w:p w14:paraId="043DF2B1" w14:textId="2FFCEDA7" w:rsidR="004D05DC" w:rsidRPr="004D05DC" w:rsidRDefault="004D05DC" w:rsidP="00515D6D">
      <w:pPr>
        <w:spacing w:after="0" w:line="240" w:lineRule="auto"/>
      </w:pPr>
      <w:r w:rsidRPr="004D05DC">
        <w:t xml:space="preserve">SHPC serves a highly </w:t>
      </w:r>
      <w:r w:rsidR="00622F9F" w:rsidRPr="004D05DC">
        <w:t>specialized</w:t>
      </w:r>
      <w:r w:rsidRPr="004D05DC">
        <w:t xml:space="preserve"> P</w:t>
      </w:r>
      <w:r w:rsidR="00E73507">
        <w:t>re-A</w:t>
      </w:r>
      <w:r w:rsidR="00A816CC">
        <w:t>dmission Sc</w:t>
      </w:r>
      <w:r w:rsidR="00884FF8">
        <w:t>reen</w:t>
      </w:r>
      <w:r w:rsidR="0068436F">
        <w:t xml:space="preserve">ing and </w:t>
      </w:r>
      <w:r w:rsidR="003C50D8">
        <w:t>Resident R</w:t>
      </w:r>
      <w:r w:rsidR="00E9020D">
        <w:t>eview</w:t>
      </w:r>
      <w:r w:rsidR="002320FB">
        <w:t xml:space="preserve"> </w:t>
      </w:r>
      <w:r w:rsidR="00AC348D">
        <w:t>(</w:t>
      </w:r>
      <w:r w:rsidR="003F419F">
        <w:t>PAS</w:t>
      </w:r>
      <w:r w:rsidR="003B6BD2">
        <w:t>R</w:t>
      </w:r>
      <w:r w:rsidR="008E5347">
        <w:t>R)</w:t>
      </w:r>
      <w:r w:rsidRPr="004D05DC">
        <w:t>-positive population whose needs fundamentally differ from those of residents in traditional adult nursing facilities. Residents range from early childhood through adulthood, and more than half of SHPC’s current census consists of adults over the age of 22 who have lifelong, pediatric-origin disabilities and medical conditions.</w:t>
      </w:r>
    </w:p>
    <w:p w14:paraId="42674D66" w14:textId="77777777" w:rsidR="00515D6D" w:rsidRDefault="00515D6D" w:rsidP="00515D6D">
      <w:pPr>
        <w:spacing w:after="0" w:line="240" w:lineRule="auto"/>
      </w:pPr>
    </w:p>
    <w:p w14:paraId="579413E4" w14:textId="5779E6CB" w:rsidR="004D05DC" w:rsidRPr="004D05DC" w:rsidRDefault="004D05DC" w:rsidP="00515D6D">
      <w:pPr>
        <w:spacing w:after="0" w:line="240" w:lineRule="auto"/>
      </w:pPr>
      <w:r w:rsidRPr="004D05DC">
        <w:t xml:space="preserve">Approximately 40–50 percent of residents have complex seizure disorders, including refractory epilepsy requiring frequent medication adjustments and individualized emergency protocols. Roughly one-third require advanced respiratory support, including tracheostomies and, in </w:t>
      </w:r>
      <w:r w:rsidR="009B3E0B">
        <w:t>many</w:t>
      </w:r>
      <w:r w:rsidRPr="004D05DC">
        <w:t xml:space="preserve"> cases, ventilator dependence. Nearly all residents rely on enteral feeding through gastrostomy or jejunostomy tubes and require continuous monitoring for aspiration risk, respiratory compromise, and metabolic instability. </w:t>
      </w:r>
      <w:r w:rsidR="001441D3">
        <w:t>Our</w:t>
      </w:r>
      <w:r w:rsidRPr="004D05DC">
        <w:t xml:space="preserve"> residents are fully dependent </w:t>
      </w:r>
      <w:proofErr w:type="gramStart"/>
      <w:r w:rsidR="001441D3">
        <w:t>for</w:t>
      </w:r>
      <w:proofErr w:type="gramEnd"/>
      <w:r w:rsidR="001441D3">
        <w:t xml:space="preserve"> </w:t>
      </w:r>
      <w:r w:rsidRPr="004D05DC">
        <w:t>all activities of daily living and require total care.</w:t>
      </w:r>
    </w:p>
    <w:p w14:paraId="7B709179" w14:textId="77777777" w:rsidR="00515D6D" w:rsidRDefault="00515D6D" w:rsidP="00515D6D">
      <w:pPr>
        <w:spacing w:after="0" w:line="240" w:lineRule="auto"/>
      </w:pPr>
    </w:p>
    <w:p w14:paraId="66CBF661" w14:textId="5BC6A892" w:rsidR="004D05DC" w:rsidRPr="004D05DC" w:rsidRDefault="004D05DC" w:rsidP="00515D6D">
      <w:pPr>
        <w:spacing w:after="0" w:line="240" w:lineRule="auto"/>
      </w:pPr>
      <w:r w:rsidRPr="004D05DC">
        <w:t>From a PASRR perspective, this population meets criteria for serious mental illness and/or developmental disability with extensive medical complexity, requiring specialized services, continuous skilled nursing oversight, and an interdisciplinary care model that cannot be replicated in general-population nursing facilities. These needs do not diminish with age; in many cases, the</w:t>
      </w:r>
      <w:r w:rsidR="00046B3A">
        <w:t>ir needs</w:t>
      </w:r>
      <w:r w:rsidRPr="004D05DC">
        <w:t xml:space="preserve"> intensify as residents enter adulthood.</w:t>
      </w:r>
    </w:p>
    <w:p w14:paraId="47F19FAE" w14:textId="77777777" w:rsidR="00515D6D" w:rsidRDefault="00515D6D" w:rsidP="00515D6D">
      <w:pPr>
        <w:spacing w:after="0" w:line="240" w:lineRule="auto"/>
      </w:pPr>
    </w:p>
    <w:p w14:paraId="39B7DE4D" w14:textId="2889C259" w:rsidR="004D05DC" w:rsidRDefault="004D05DC" w:rsidP="00515D6D">
      <w:pPr>
        <w:spacing w:after="0" w:line="240" w:lineRule="auto"/>
      </w:pPr>
      <w:r w:rsidRPr="004D05DC">
        <w:t xml:space="preserve">In addition to medical acuity, residents require highly structured behavioral </w:t>
      </w:r>
      <w:proofErr w:type="gramStart"/>
      <w:r w:rsidRPr="004D05DC">
        <w:t>supports</w:t>
      </w:r>
      <w:proofErr w:type="gramEnd"/>
      <w:r w:rsidRPr="004D05DC">
        <w:t xml:space="preserve">, consistent staffing teams, and specialized educational or adult day programming. SHPC operates state-approved educational and adult services programs specifically designed for individuals with severe neurodevelopmental disabilities—services that are not available in </w:t>
      </w:r>
      <w:r w:rsidRPr="004D05DC">
        <w:lastRenderedPageBreak/>
        <w:t>traditional adult long-term care settings and are required to maintain clinical and behavioral stability.</w:t>
      </w:r>
    </w:p>
    <w:p w14:paraId="4187BCBA" w14:textId="77777777" w:rsidR="00515D6D" w:rsidRPr="004D05DC" w:rsidRDefault="00515D6D" w:rsidP="00515D6D">
      <w:pPr>
        <w:spacing w:after="0" w:line="240" w:lineRule="auto"/>
      </w:pPr>
    </w:p>
    <w:p w14:paraId="5DD7FB80" w14:textId="77777777" w:rsidR="004D05DC" w:rsidRPr="004D05DC" w:rsidRDefault="004D05DC" w:rsidP="00515D6D">
      <w:pPr>
        <w:spacing w:after="0" w:line="240" w:lineRule="auto"/>
      </w:pPr>
      <w:r w:rsidRPr="004D05DC">
        <w:t>SHPC’s staffing, training, and physical environment further distinguish it from traditional nursing homes. Nursing staffing levels significantly exceed those of adult facilities, reflecting resident acuity and risk. Staff receive specialized training in pediatric-onset neurological conditions, seizure management, respiratory technology, and individualized emergency response. The physical plant includes in-wall oxygen and suction, specialized HVAC capacity, and other infrastructure not typically present in adult nursing facilities.</w:t>
      </w:r>
    </w:p>
    <w:p w14:paraId="41D83AF0" w14:textId="77777777" w:rsidR="004D05DC" w:rsidRPr="004D05DC" w:rsidRDefault="004D05DC" w:rsidP="00515D6D">
      <w:pPr>
        <w:spacing w:after="0" w:line="240" w:lineRule="auto"/>
      </w:pPr>
      <w:r w:rsidRPr="004D05DC">
        <w:t>More than half of SHPC’s adult residents have already been individually reviewed and approved through DDS PASRR processes to remain in place because continued residence represents the safest and most clinically appropriate option. There are not adequate or appropriate alternative placements within Massachusetts capable of meeting these combined medical, developmental, behavioral, and programmatic needs outside of Seven Hills Pediatric Center and New England Pediatric Care.</w:t>
      </w:r>
    </w:p>
    <w:p w14:paraId="73A228F5" w14:textId="77777777" w:rsidR="00515D6D" w:rsidRDefault="00515D6D" w:rsidP="00515D6D">
      <w:pPr>
        <w:spacing w:after="0" w:line="240" w:lineRule="auto"/>
      </w:pPr>
    </w:p>
    <w:p w14:paraId="7E2E68C8" w14:textId="77777777" w:rsidR="00CB45B1" w:rsidRDefault="004D05DC" w:rsidP="00515D6D">
      <w:pPr>
        <w:spacing w:after="0" w:line="240" w:lineRule="auto"/>
      </w:pPr>
      <w:r w:rsidRPr="004D05DC">
        <w:t xml:space="preserve">The proposed amendments to </w:t>
      </w:r>
      <w:r w:rsidRPr="004D05DC">
        <w:rPr>
          <w:b/>
          <w:bCs/>
        </w:rPr>
        <w:t>105 CMR 150.003(E)</w:t>
      </w:r>
      <w:r w:rsidRPr="004D05DC">
        <w:t xml:space="preserve"> would eliminate or severely limit DDS’s ability to exercise PASRR discretion to permit continued residence beyond age 22 when no safe alternative exists. Replacing individualized clinical determinations with age-based limits ignores medical reality and introduces significant risk, including medical destabilization, behavioral regression, avoidable hospitalization, and harm</w:t>
      </w:r>
      <w:r w:rsidR="00CB45B1">
        <w:t xml:space="preserve">. </w:t>
      </w:r>
    </w:p>
    <w:p w14:paraId="49839637" w14:textId="77777777" w:rsidR="00CB45B1" w:rsidRDefault="00CB45B1" w:rsidP="00515D6D">
      <w:pPr>
        <w:spacing w:after="0" w:line="240" w:lineRule="auto"/>
      </w:pPr>
    </w:p>
    <w:p w14:paraId="539015EF" w14:textId="0C9631D4" w:rsidR="004D05DC" w:rsidRPr="004D05DC" w:rsidRDefault="004D05DC" w:rsidP="00515D6D">
      <w:pPr>
        <w:spacing w:after="0" w:line="240" w:lineRule="auto"/>
      </w:pPr>
      <w:r w:rsidRPr="004D05DC">
        <w:t xml:space="preserve">Similarly, the proposed revisions to </w:t>
      </w:r>
      <w:r w:rsidRPr="004D05DC">
        <w:rPr>
          <w:b/>
          <w:bCs/>
        </w:rPr>
        <w:t>105 CMR 150.011(M)</w:t>
      </w:r>
      <w:r w:rsidRPr="004D05DC">
        <w:t xml:space="preserve"> mandate discharge or transfer planning beginning at age 20, with the objective of transition by age 22. While SHPC supports thoughtful, individualized transition planning, this approach prioritizes regulatory timelines over clinical judgment and pressures </w:t>
      </w:r>
      <w:r w:rsidR="00CB45B1">
        <w:t xml:space="preserve">potentially unsafe </w:t>
      </w:r>
      <w:r w:rsidRPr="004D05DC">
        <w:t>transfers even when appropriate placements do not exist.</w:t>
      </w:r>
    </w:p>
    <w:p w14:paraId="36335112" w14:textId="77777777" w:rsidR="00515D6D" w:rsidRDefault="00515D6D" w:rsidP="00515D6D">
      <w:pPr>
        <w:spacing w:after="0" w:line="240" w:lineRule="auto"/>
        <w:rPr>
          <w:b/>
          <w:bCs/>
        </w:rPr>
      </w:pPr>
    </w:p>
    <w:p w14:paraId="59A65208" w14:textId="1DF8B6D1" w:rsidR="004D05DC" w:rsidRPr="004D05DC" w:rsidRDefault="004D05DC" w:rsidP="00515D6D">
      <w:pPr>
        <w:spacing w:after="0" w:line="240" w:lineRule="auto"/>
      </w:pPr>
      <w:r w:rsidRPr="004D05DC">
        <w:rPr>
          <w:b/>
          <w:bCs/>
        </w:rPr>
        <w:t>Other states have confronted these same realities and chosen a different path.</w:t>
      </w:r>
      <w:r w:rsidRPr="004D05DC">
        <w:t xml:space="preserve"> Iowa and New York</w:t>
      </w:r>
      <w:r w:rsidR="0088245B">
        <w:t>, for example,</w:t>
      </w:r>
      <w:r w:rsidRPr="004D05DC">
        <w:t xml:space="preserve"> both determined that forcing medically complex young adults into traditional nursing facilities created unacceptable risks and care gaps. In response, they expanded eligibility and preserved placement flexibility, allowing medically fragile individuals to remain in specialized pediatric-origin facilities when adult systems could not safely meet their needs. These policies were adopted to protect health, safety, and continuity of care—not convenience or cost.</w:t>
      </w:r>
    </w:p>
    <w:p w14:paraId="1BA7122F" w14:textId="77777777" w:rsidR="00515D6D" w:rsidRDefault="00515D6D" w:rsidP="00515D6D">
      <w:pPr>
        <w:spacing w:after="0" w:line="240" w:lineRule="auto"/>
      </w:pPr>
    </w:p>
    <w:p w14:paraId="5CA5DF6F" w14:textId="7A54CC32" w:rsidR="004D05DC" w:rsidRPr="004D05DC" w:rsidRDefault="004D05DC" w:rsidP="00515D6D">
      <w:pPr>
        <w:spacing w:after="0" w:line="240" w:lineRule="auto"/>
      </w:pPr>
      <w:r w:rsidRPr="004D05DC">
        <w:t>Massachusetts faces the same structural limitations. Until sufficient, specialized adult capacity exists—with comparable staffing, training, infrastructure, and programming—mandatory, age-based transitions will shift risk onto residents and families without improving outcomes.</w:t>
      </w:r>
    </w:p>
    <w:p w14:paraId="5E96DCC3" w14:textId="77777777" w:rsidR="00515D6D" w:rsidRDefault="00515D6D" w:rsidP="00515D6D">
      <w:pPr>
        <w:spacing w:after="0" w:line="240" w:lineRule="auto"/>
        <w:rPr>
          <w:b/>
          <w:bCs/>
        </w:rPr>
      </w:pPr>
    </w:p>
    <w:p w14:paraId="6550BA0A" w14:textId="77777777" w:rsidR="00CB45B1" w:rsidRDefault="00CB45B1" w:rsidP="00515D6D">
      <w:pPr>
        <w:spacing w:after="0" w:line="240" w:lineRule="auto"/>
        <w:rPr>
          <w:b/>
          <w:bCs/>
        </w:rPr>
      </w:pPr>
    </w:p>
    <w:p w14:paraId="01979513" w14:textId="77777777" w:rsidR="00CB45B1" w:rsidRDefault="00CB45B1" w:rsidP="00515D6D">
      <w:pPr>
        <w:spacing w:after="0" w:line="240" w:lineRule="auto"/>
        <w:rPr>
          <w:b/>
          <w:bCs/>
        </w:rPr>
      </w:pPr>
    </w:p>
    <w:p w14:paraId="11B97D7C" w14:textId="77777777" w:rsidR="00CB45B1" w:rsidRDefault="00CB45B1" w:rsidP="00515D6D">
      <w:pPr>
        <w:spacing w:after="0" w:line="240" w:lineRule="auto"/>
        <w:rPr>
          <w:b/>
          <w:bCs/>
        </w:rPr>
      </w:pPr>
    </w:p>
    <w:p w14:paraId="6279A00E" w14:textId="2F3EA7D6" w:rsidR="004D05DC" w:rsidRPr="004D05DC" w:rsidRDefault="004D05DC" w:rsidP="00515D6D">
      <w:pPr>
        <w:spacing w:after="0" w:line="240" w:lineRule="auto"/>
      </w:pPr>
      <w:r w:rsidRPr="004D05DC">
        <w:rPr>
          <w:b/>
          <w:bCs/>
        </w:rPr>
        <w:lastRenderedPageBreak/>
        <w:t>Recommendations</w:t>
      </w:r>
    </w:p>
    <w:p w14:paraId="6EFE2727" w14:textId="77777777" w:rsidR="004D05DC" w:rsidRPr="004D05DC" w:rsidRDefault="004D05DC" w:rsidP="00515D6D">
      <w:pPr>
        <w:spacing w:after="0" w:line="240" w:lineRule="auto"/>
      </w:pPr>
      <w:r w:rsidRPr="004D05DC">
        <w:t>Seven Hills Pediatric Center respectfully urges the Department to:</w:t>
      </w:r>
    </w:p>
    <w:p w14:paraId="2730FCDA" w14:textId="066BA42F" w:rsidR="004D05DC" w:rsidRPr="004D05DC" w:rsidRDefault="004D05DC" w:rsidP="00E36A5C">
      <w:pPr>
        <w:numPr>
          <w:ilvl w:val="0"/>
          <w:numId w:val="1"/>
        </w:numPr>
        <w:spacing w:after="0" w:line="240" w:lineRule="auto"/>
      </w:pPr>
      <w:r w:rsidRPr="004D05DC">
        <w:t xml:space="preserve">Preserve </w:t>
      </w:r>
      <w:r w:rsidR="00044030">
        <w:t xml:space="preserve">the </w:t>
      </w:r>
      <w:r w:rsidRPr="004D05DC">
        <w:t xml:space="preserve">DDS PASRR discretion to allow continued residence beyond age 22 on an individualized, case-by-case </w:t>
      </w:r>
      <w:proofErr w:type="gramStart"/>
      <w:r w:rsidRPr="004D05DC">
        <w:t>basis;</w:t>
      </w:r>
      <w:proofErr w:type="gramEnd"/>
    </w:p>
    <w:p w14:paraId="1D611070" w14:textId="5DEEDAF9" w:rsidR="004D05DC" w:rsidRPr="004D05DC" w:rsidRDefault="004D05DC" w:rsidP="00E36A5C">
      <w:pPr>
        <w:numPr>
          <w:ilvl w:val="0"/>
          <w:numId w:val="1"/>
        </w:numPr>
        <w:spacing w:after="0" w:line="240" w:lineRule="auto"/>
      </w:pPr>
      <w:r w:rsidRPr="004D05DC">
        <w:t>Maintain clinically driven, individualized discharge and transfer planning under 105 CMR 150.011(M), rather than</w:t>
      </w:r>
      <w:r w:rsidR="00044030">
        <w:t xml:space="preserve"> </w:t>
      </w:r>
      <w:proofErr w:type="gramStart"/>
      <w:r w:rsidR="00044030">
        <w:t>to</w:t>
      </w:r>
      <w:r w:rsidRPr="004D05DC">
        <w:t xml:space="preserve"> </w:t>
      </w:r>
      <w:r w:rsidR="00044030">
        <w:t>follow</w:t>
      </w:r>
      <w:proofErr w:type="gramEnd"/>
      <w:r w:rsidR="00044030">
        <w:t xml:space="preserve"> </w:t>
      </w:r>
      <w:r w:rsidRPr="004D05DC">
        <w:t xml:space="preserve">rigid age-based </w:t>
      </w:r>
      <w:proofErr w:type="gramStart"/>
      <w:r w:rsidRPr="004D05DC">
        <w:t>objectives;</w:t>
      </w:r>
      <w:proofErr w:type="gramEnd"/>
    </w:p>
    <w:p w14:paraId="2FC058FA" w14:textId="77777777" w:rsidR="004D05DC" w:rsidRPr="004D05DC" w:rsidRDefault="004D05DC" w:rsidP="00E36A5C">
      <w:pPr>
        <w:numPr>
          <w:ilvl w:val="0"/>
          <w:numId w:val="1"/>
        </w:numPr>
        <w:spacing w:after="0" w:line="240" w:lineRule="auto"/>
      </w:pPr>
      <w:r w:rsidRPr="004D05DC">
        <w:t xml:space="preserve">Explicitly recognize differences in acuity, staffing, clinical expertise, and infrastructure between pediatric/high-acuity facilities and traditional nursing </w:t>
      </w:r>
      <w:proofErr w:type="gramStart"/>
      <w:r w:rsidRPr="004D05DC">
        <w:t>homes;</w:t>
      </w:r>
      <w:proofErr w:type="gramEnd"/>
    </w:p>
    <w:p w14:paraId="012242D2" w14:textId="77777777" w:rsidR="004D05DC" w:rsidRPr="004D05DC" w:rsidRDefault="004D05DC" w:rsidP="00E36A5C">
      <w:pPr>
        <w:numPr>
          <w:ilvl w:val="0"/>
          <w:numId w:val="1"/>
        </w:numPr>
        <w:spacing w:after="0" w:line="240" w:lineRule="auto"/>
      </w:pPr>
      <w:r w:rsidRPr="004D05DC">
        <w:t>Withdraw the proposed amendments to 105 CMR 150.003(E) and 105 CMR 150.011(M); and</w:t>
      </w:r>
    </w:p>
    <w:p w14:paraId="1A6A1728" w14:textId="77777777" w:rsidR="004D05DC" w:rsidRPr="004D05DC" w:rsidRDefault="004D05DC" w:rsidP="00E36A5C">
      <w:pPr>
        <w:numPr>
          <w:ilvl w:val="0"/>
          <w:numId w:val="1"/>
        </w:numPr>
        <w:spacing w:after="0" w:line="240" w:lineRule="auto"/>
      </w:pPr>
      <w:r w:rsidRPr="004D05DC">
        <w:t>Re-propose any future regulatory changes only after structured consultation with providers, families, clinicians, and industry organizations.</w:t>
      </w:r>
    </w:p>
    <w:p w14:paraId="00C0AD79" w14:textId="77777777" w:rsidR="00515D6D" w:rsidRDefault="00515D6D" w:rsidP="00515D6D">
      <w:pPr>
        <w:spacing w:after="0" w:line="240" w:lineRule="auto"/>
        <w:rPr>
          <w:b/>
          <w:bCs/>
        </w:rPr>
      </w:pPr>
    </w:p>
    <w:p w14:paraId="73071B18" w14:textId="5C9FFD2E" w:rsidR="004D05DC" w:rsidRPr="004D05DC" w:rsidRDefault="004D05DC" w:rsidP="00515D6D">
      <w:pPr>
        <w:spacing w:after="0" w:line="240" w:lineRule="auto"/>
      </w:pPr>
      <w:r w:rsidRPr="004D05DC">
        <w:rPr>
          <w:b/>
          <w:bCs/>
        </w:rPr>
        <w:t>Conclusion</w:t>
      </w:r>
    </w:p>
    <w:p w14:paraId="72A74A95" w14:textId="77777777" w:rsidR="004D05DC" w:rsidRDefault="004D05DC" w:rsidP="00515D6D">
      <w:pPr>
        <w:spacing w:after="0" w:line="240" w:lineRule="auto"/>
      </w:pPr>
      <w:r w:rsidRPr="004D05DC">
        <w:t>The proposed amendments, as written, risk destabilizing care for some of the Commonwealth’s most medically and developmentally vulnerable residents. Regulations governing this population must preserve flexibility, clinical judgment, and continuity of care. Age alone is not a treatment plan, and it should not dictate placement when health and safety are at stake.</w:t>
      </w:r>
    </w:p>
    <w:p w14:paraId="634ABF7B" w14:textId="77777777" w:rsidR="00AF5415" w:rsidRPr="004D05DC" w:rsidRDefault="00AF5415" w:rsidP="00515D6D">
      <w:pPr>
        <w:spacing w:after="0" w:line="240" w:lineRule="auto"/>
      </w:pPr>
    </w:p>
    <w:p w14:paraId="16E53D14" w14:textId="7BC96657" w:rsidR="004D05DC" w:rsidRDefault="004D05DC" w:rsidP="00515D6D">
      <w:pPr>
        <w:spacing w:after="0" w:line="240" w:lineRule="auto"/>
      </w:pPr>
      <w:r w:rsidRPr="004D05DC">
        <w:t xml:space="preserve">Thank you for the opportunity to submit this testimony. </w:t>
      </w:r>
      <w:r w:rsidR="000B5F8E">
        <w:t>On behalf of the Seven Hills Pediatric Center, we</w:t>
      </w:r>
      <w:r w:rsidRPr="004D05DC">
        <w:t xml:space="preserve"> appreciate your consideration and welcome continued dialogue.</w:t>
      </w:r>
    </w:p>
    <w:p w14:paraId="7BF72C8F" w14:textId="77777777" w:rsidR="000B5F8E" w:rsidRDefault="000B5F8E" w:rsidP="00515D6D">
      <w:pPr>
        <w:spacing w:after="0" w:line="240" w:lineRule="auto"/>
      </w:pPr>
    </w:p>
    <w:p w14:paraId="7C50A61E" w14:textId="5E0EE1BE" w:rsidR="004D6A53" w:rsidRDefault="004D6A53" w:rsidP="00515D6D">
      <w:pPr>
        <w:spacing w:after="0" w:line="240" w:lineRule="auto"/>
      </w:pPr>
      <w:r>
        <w:t>Sincerely,</w:t>
      </w:r>
    </w:p>
    <w:p w14:paraId="7CF4D905" w14:textId="47D9983B" w:rsidR="004D6A53" w:rsidRDefault="004D6A53" w:rsidP="00515D6D">
      <w:pPr>
        <w:spacing w:after="0" w:line="240" w:lineRule="auto"/>
      </w:pPr>
    </w:p>
    <w:p w14:paraId="5F65A64B" w14:textId="2010E55F" w:rsidR="00515D6D" w:rsidRDefault="00515D6D" w:rsidP="00515D6D">
      <w:pPr>
        <w:spacing w:after="0" w:line="240" w:lineRule="auto"/>
      </w:pPr>
    </w:p>
    <w:p w14:paraId="1D203416" w14:textId="01B1E2AF" w:rsidR="005346B8" w:rsidRDefault="005346B8" w:rsidP="00515D6D">
      <w:pPr>
        <w:spacing w:after="0" w:line="240" w:lineRule="auto"/>
      </w:pPr>
      <w:r>
        <w:rPr>
          <w:noProof/>
        </w:rPr>
        <mc:AlternateContent>
          <mc:Choice Requires="wpi">
            <w:drawing>
              <wp:anchor distT="0" distB="0" distL="114300" distR="114300" simplePos="0" relativeHeight="251658240" behindDoc="0" locked="0" layoutInCell="1" allowOverlap="1" wp14:anchorId="5D7D5C48" wp14:editId="647825D7">
                <wp:simplePos x="0" y="0"/>
                <wp:positionH relativeFrom="margin">
                  <wp:align>left</wp:align>
                </wp:positionH>
                <wp:positionV relativeFrom="paragraph">
                  <wp:posOffset>-310515</wp:posOffset>
                </wp:positionV>
                <wp:extent cx="2403475" cy="862965"/>
                <wp:effectExtent l="38100" t="38100" r="0" b="32385"/>
                <wp:wrapNone/>
                <wp:docPr id="1899359409" name="Ink 1"/>
                <wp:cNvGraphicFramePr/>
                <a:graphic xmlns:a="http://schemas.openxmlformats.org/drawingml/2006/main">
                  <a:graphicData uri="http://schemas.microsoft.com/office/word/2010/wordprocessingInk">
                    <w14:contentPart bwMode="auto" r:id="rId7">
                      <w14:nvContentPartPr>
                        <w14:cNvContentPartPr/>
                      </w14:nvContentPartPr>
                      <w14:xfrm>
                        <a:off x="0" y="0"/>
                        <a:ext cx="2403475" cy="862965"/>
                      </w14:xfrm>
                    </w14:contentPart>
                  </a:graphicData>
                </a:graphic>
                <wp14:sizeRelH relativeFrom="margin">
                  <wp14:pctWidth>0</wp14:pctWidth>
                </wp14:sizeRelH>
                <wp14:sizeRelV relativeFrom="margin">
                  <wp14:pctHeight>0</wp14:pctHeight>
                </wp14:sizeRelV>
              </wp:anchor>
            </w:drawing>
          </mc:Choice>
          <mc:Fallback>
            <w:pict>
              <v:shapetype w14:anchorId="03E0F08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0;margin-top:-24.8pt;width:189.95pt;height:68.6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">
                <v:imagedata r:id="rId8" o:title=""/>
                <w10:wrap anchorx="margin"/>
              </v:shape>
            </w:pict>
          </mc:Fallback>
        </mc:AlternateContent>
      </w:r>
    </w:p>
    <w:p w14:paraId="452C8DF3" w14:textId="77777777" w:rsidR="005346B8" w:rsidRDefault="005346B8" w:rsidP="00515D6D">
      <w:pPr>
        <w:spacing w:after="0" w:line="240" w:lineRule="auto"/>
      </w:pPr>
    </w:p>
    <w:p w14:paraId="326AC1D9" w14:textId="77777777" w:rsidR="005346B8" w:rsidRDefault="005346B8" w:rsidP="00515D6D">
      <w:pPr>
        <w:spacing w:after="0" w:line="240" w:lineRule="auto"/>
      </w:pPr>
    </w:p>
    <w:p w14:paraId="0BEDB2A4" w14:textId="77777777" w:rsidR="00AF5415" w:rsidRDefault="004D6A53" w:rsidP="00515D6D">
      <w:pPr>
        <w:spacing w:after="0" w:line="240" w:lineRule="auto"/>
      </w:pPr>
      <w:r>
        <w:t>Jonathan Worcester, P</w:t>
      </w:r>
      <w:r w:rsidRPr="004D6A53">
        <w:t>h.D., NCSP, BCBA-D, CBIS</w:t>
      </w:r>
      <w:r>
        <w:t xml:space="preserve">                                                                         </w:t>
      </w:r>
    </w:p>
    <w:p w14:paraId="7364E0FC" w14:textId="3C93C4B2" w:rsidR="004A1B7C" w:rsidRDefault="004D6A53" w:rsidP="00515D6D">
      <w:pPr>
        <w:spacing w:after="0" w:line="240" w:lineRule="auto"/>
      </w:pPr>
      <w:r w:rsidRPr="004D6A53">
        <w:t>Senior Assistant Vice President of Clinical Operations</w:t>
      </w:r>
      <w:r>
        <w:t xml:space="preserve">                                                                    </w:t>
      </w:r>
      <w:r w:rsidRPr="004D6A53">
        <w:t>Seven Hills Foundation - Children’s Services Division</w:t>
      </w:r>
    </w:p>
    <w:sectPr w:rsidR="004A1B7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86076" w14:textId="77777777" w:rsidR="00515D6D" w:rsidRDefault="00515D6D" w:rsidP="00515D6D">
      <w:pPr>
        <w:spacing w:after="0" w:line="240" w:lineRule="auto"/>
      </w:pPr>
      <w:r>
        <w:separator/>
      </w:r>
    </w:p>
  </w:endnote>
  <w:endnote w:type="continuationSeparator" w:id="0">
    <w:p w14:paraId="4AA50BB4" w14:textId="77777777" w:rsidR="00515D6D" w:rsidRDefault="00515D6D" w:rsidP="00515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7003008"/>
      <w:docPartObj>
        <w:docPartGallery w:val="Page Numbers (Bottom of Page)"/>
        <w:docPartUnique/>
      </w:docPartObj>
    </w:sdtPr>
    <w:sdtEndPr>
      <w:rPr>
        <w:noProof/>
        <w:sz w:val="20"/>
        <w:szCs w:val="20"/>
      </w:rPr>
    </w:sdtEndPr>
    <w:sdtContent>
      <w:p w14:paraId="2E8F7CF2" w14:textId="4BF3F488" w:rsidR="00515D6D" w:rsidRPr="00515D6D" w:rsidRDefault="00515D6D" w:rsidP="00515D6D">
        <w:pPr>
          <w:pStyle w:val="Footer"/>
          <w:jc w:val="right"/>
          <w:rPr>
            <w:sz w:val="20"/>
            <w:szCs w:val="20"/>
          </w:rPr>
        </w:pPr>
        <w:r w:rsidRPr="00515D6D">
          <w:rPr>
            <w:sz w:val="20"/>
            <w:szCs w:val="20"/>
          </w:rPr>
          <w:fldChar w:fldCharType="begin"/>
        </w:r>
        <w:r w:rsidRPr="00515D6D">
          <w:rPr>
            <w:sz w:val="20"/>
            <w:szCs w:val="20"/>
          </w:rPr>
          <w:instrText xml:space="preserve"> PAGE   \* MERGEFORMAT </w:instrText>
        </w:r>
        <w:r w:rsidRPr="00515D6D">
          <w:rPr>
            <w:sz w:val="20"/>
            <w:szCs w:val="20"/>
          </w:rPr>
          <w:fldChar w:fldCharType="separate"/>
        </w:r>
        <w:r w:rsidRPr="00515D6D">
          <w:rPr>
            <w:noProof/>
            <w:sz w:val="20"/>
            <w:szCs w:val="20"/>
          </w:rPr>
          <w:t>2</w:t>
        </w:r>
        <w:r w:rsidRPr="00515D6D">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6146B" w14:textId="77777777" w:rsidR="00515D6D" w:rsidRDefault="00515D6D" w:rsidP="00515D6D">
      <w:pPr>
        <w:spacing w:after="0" w:line="240" w:lineRule="auto"/>
      </w:pPr>
      <w:r>
        <w:separator/>
      </w:r>
    </w:p>
  </w:footnote>
  <w:footnote w:type="continuationSeparator" w:id="0">
    <w:p w14:paraId="6ABAE86F" w14:textId="77777777" w:rsidR="00515D6D" w:rsidRDefault="00515D6D" w:rsidP="00515D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022CC"/>
    <w:multiLevelType w:val="multilevel"/>
    <w:tmpl w:val="08E0B46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3689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5DC"/>
    <w:rsid w:val="00044030"/>
    <w:rsid w:val="00046B3A"/>
    <w:rsid w:val="00046EFD"/>
    <w:rsid w:val="000506AD"/>
    <w:rsid w:val="000B5F8E"/>
    <w:rsid w:val="00107FEE"/>
    <w:rsid w:val="001441D3"/>
    <w:rsid w:val="001855CB"/>
    <w:rsid w:val="001F545D"/>
    <w:rsid w:val="002320FB"/>
    <w:rsid w:val="00295069"/>
    <w:rsid w:val="00372076"/>
    <w:rsid w:val="003B6BD2"/>
    <w:rsid w:val="003C50D8"/>
    <w:rsid w:val="003F419F"/>
    <w:rsid w:val="00455E5D"/>
    <w:rsid w:val="004A1B7C"/>
    <w:rsid w:val="004D05DC"/>
    <w:rsid w:val="004D6A53"/>
    <w:rsid w:val="00515D6D"/>
    <w:rsid w:val="005346B8"/>
    <w:rsid w:val="00543589"/>
    <w:rsid w:val="00546711"/>
    <w:rsid w:val="00573658"/>
    <w:rsid w:val="00583E80"/>
    <w:rsid w:val="00616D48"/>
    <w:rsid w:val="00617F43"/>
    <w:rsid w:val="00622F9F"/>
    <w:rsid w:val="0064525D"/>
    <w:rsid w:val="0065790C"/>
    <w:rsid w:val="0068436F"/>
    <w:rsid w:val="0078692F"/>
    <w:rsid w:val="007B0D91"/>
    <w:rsid w:val="0088245B"/>
    <w:rsid w:val="00884FF8"/>
    <w:rsid w:val="008E5347"/>
    <w:rsid w:val="00930FA3"/>
    <w:rsid w:val="009B3E0B"/>
    <w:rsid w:val="00A112B5"/>
    <w:rsid w:val="00A816CC"/>
    <w:rsid w:val="00AC348D"/>
    <w:rsid w:val="00AF5415"/>
    <w:rsid w:val="00B0676A"/>
    <w:rsid w:val="00B32BBA"/>
    <w:rsid w:val="00B5633E"/>
    <w:rsid w:val="00B742BE"/>
    <w:rsid w:val="00BA04C9"/>
    <w:rsid w:val="00BB4473"/>
    <w:rsid w:val="00BB61F5"/>
    <w:rsid w:val="00C168C4"/>
    <w:rsid w:val="00C81B02"/>
    <w:rsid w:val="00CB45B1"/>
    <w:rsid w:val="00D71B78"/>
    <w:rsid w:val="00E36A5C"/>
    <w:rsid w:val="00E73507"/>
    <w:rsid w:val="00E9020D"/>
    <w:rsid w:val="00EC315E"/>
    <w:rsid w:val="00F91DB4"/>
    <w:rsid w:val="00FC7F85"/>
    <w:rsid w:val="53DA1892"/>
    <w:rsid w:val="693E1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67D41"/>
  <w15:chartTrackingRefBased/>
  <w15:docId w15:val="{BC540C08-6546-4DE4-8094-DB28F4982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05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05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05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05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05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05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05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05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05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5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05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05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05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05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05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05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05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05DC"/>
    <w:rPr>
      <w:rFonts w:eastAsiaTheme="majorEastAsia" w:cstheme="majorBidi"/>
      <w:color w:val="272727" w:themeColor="text1" w:themeTint="D8"/>
    </w:rPr>
  </w:style>
  <w:style w:type="paragraph" w:styleId="Title">
    <w:name w:val="Title"/>
    <w:basedOn w:val="Normal"/>
    <w:next w:val="Normal"/>
    <w:link w:val="TitleChar"/>
    <w:uiPriority w:val="10"/>
    <w:qFormat/>
    <w:rsid w:val="004D05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05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05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05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05DC"/>
    <w:pPr>
      <w:spacing w:before="160"/>
      <w:jc w:val="center"/>
    </w:pPr>
    <w:rPr>
      <w:i/>
      <w:iCs/>
      <w:color w:val="404040" w:themeColor="text1" w:themeTint="BF"/>
    </w:rPr>
  </w:style>
  <w:style w:type="character" w:customStyle="1" w:styleId="QuoteChar">
    <w:name w:val="Quote Char"/>
    <w:basedOn w:val="DefaultParagraphFont"/>
    <w:link w:val="Quote"/>
    <w:uiPriority w:val="29"/>
    <w:rsid w:val="004D05DC"/>
    <w:rPr>
      <w:i/>
      <w:iCs/>
      <w:color w:val="404040" w:themeColor="text1" w:themeTint="BF"/>
    </w:rPr>
  </w:style>
  <w:style w:type="paragraph" w:styleId="ListParagraph">
    <w:name w:val="List Paragraph"/>
    <w:basedOn w:val="Normal"/>
    <w:uiPriority w:val="34"/>
    <w:qFormat/>
    <w:rsid w:val="004D05DC"/>
    <w:pPr>
      <w:ind w:left="720"/>
      <w:contextualSpacing/>
    </w:pPr>
  </w:style>
  <w:style w:type="character" w:styleId="IntenseEmphasis">
    <w:name w:val="Intense Emphasis"/>
    <w:basedOn w:val="DefaultParagraphFont"/>
    <w:uiPriority w:val="21"/>
    <w:qFormat/>
    <w:rsid w:val="004D05DC"/>
    <w:rPr>
      <w:i/>
      <w:iCs/>
      <w:color w:val="0F4761" w:themeColor="accent1" w:themeShade="BF"/>
    </w:rPr>
  </w:style>
  <w:style w:type="paragraph" w:styleId="IntenseQuote">
    <w:name w:val="Intense Quote"/>
    <w:basedOn w:val="Normal"/>
    <w:next w:val="Normal"/>
    <w:link w:val="IntenseQuoteChar"/>
    <w:uiPriority w:val="30"/>
    <w:qFormat/>
    <w:rsid w:val="004D05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05DC"/>
    <w:rPr>
      <w:i/>
      <w:iCs/>
      <w:color w:val="0F4761" w:themeColor="accent1" w:themeShade="BF"/>
    </w:rPr>
  </w:style>
  <w:style w:type="character" w:styleId="IntenseReference">
    <w:name w:val="Intense Reference"/>
    <w:basedOn w:val="DefaultParagraphFont"/>
    <w:uiPriority w:val="32"/>
    <w:qFormat/>
    <w:rsid w:val="004D05DC"/>
    <w:rPr>
      <w:b/>
      <w:bCs/>
      <w:smallCaps/>
      <w:color w:val="0F4761" w:themeColor="accent1" w:themeShade="BF"/>
      <w:spacing w:val="5"/>
    </w:rPr>
  </w:style>
  <w:style w:type="paragraph" w:styleId="CommentText">
    <w:name w:val="annotation text"/>
    <w:basedOn w:val="Normal"/>
    <w:link w:val="CommentTextChar"/>
    <w:uiPriority w:val="99"/>
    <w:semiHidden/>
    <w:unhideWhenUsed/>
    <w:rsid w:val="000506AD"/>
    <w:pPr>
      <w:spacing w:line="240" w:lineRule="auto"/>
    </w:pPr>
    <w:rPr>
      <w:sz w:val="20"/>
      <w:szCs w:val="20"/>
    </w:rPr>
  </w:style>
  <w:style w:type="character" w:customStyle="1" w:styleId="CommentTextChar">
    <w:name w:val="Comment Text Char"/>
    <w:basedOn w:val="DefaultParagraphFont"/>
    <w:link w:val="CommentText"/>
    <w:uiPriority w:val="99"/>
    <w:semiHidden/>
    <w:rsid w:val="000506AD"/>
    <w:rPr>
      <w:sz w:val="20"/>
      <w:szCs w:val="20"/>
    </w:rPr>
  </w:style>
  <w:style w:type="character" w:styleId="CommentReference">
    <w:name w:val="annotation reference"/>
    <w:basedOn w:val="DefaultParagraphFont"/>
    <w:uiPriority w:val="99"/>
    <w:semiHidden/>
    <w:unhideWhenUsed/>
    <w:rsid w:val="000506AD"/>
    <w:rPr>
      <w:sz w:val="16"/>
      <w:szCs w:val="16"/>
    </w:rPr>
  </w:style>
  <w:style w:type="paragraph" w:styleId="Header">
    <w:name w:val="header"/>
    <w:basedOn w:val="Normal"/>
    <w:link w:val="HeaderChar"/>
    <w:uiPriority w:val="99"/>
    <w:unhideWhenUsed/>
    <w:rsid w:val="00515D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D6D"/>
  </w:style>
  <w:style w:type="paragraph" w:styleId="Footer">
    <w:name w:val="footer"/>
    <w:basedOn w:val="Normal"/>
    <w:link w:val="FooterChar"/>
    <w:uiPriority w:val="99"/>
    <w:unhideWhenUsed/>
    <w:rsid w:val="00515D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D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customXml" Target="ink/ink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2T18:29:24.108"/>
    </inkml:context>
    <inkml:brush xml:id="br0">
      <inkml:brushProperty name="width" value="0.025" units="cm"/>
      <inkml:brushProperty name="height" value="0.025" units="cm"/>
      <inkml:brushProperty name="color" value="#004F8B"/>
    </inkml:brush>
  </inkml:definitions>
  <inkml:trace contextRef="#ctx0" brushRef="#br0">1166 1515 3825,'-15'-2'1239,"-5"-2"4213,18 3-4530,-3 2-692,0-2 3291,-2-2 5104,-22-8-6225,18 2-2400,4 2 0,1-1 0,0-1 0,0 1 0,1-1 0,1 0 0,0 0 0,1 0 0,0 1 0,1-2 0,0 0 0,1 2 0,1-2 0,0 1 0,2-13 0,4-2-246,1 0 1,1 1 0,2 1-1,0-1 1,3 0-1,1 1 1,1 1 0,25-27-1,23-17-3008,87-70-1,-72 68 662,143-113-3328,22 14 5256,-14 13 682,-26 15 3,-148 105-79,60-42 425,-99 63-188,-1 0 0,-1 0 0,-1-1 0,21-26 0,-28 30 1146,-9 9 682,-11 14 1966,-127 136 4906,-155 214-9076,-154 212 163,323-432 36,-287 246 1,20-82 493,-29-22-3026,396-269 2190,-101 58-4437,99-59 3904,-1-1 1,-46 16-1,41-22 2905,35-9-1943,-1 0 1,1 0 0,-1 0-1,1 0 1,-1 0-1,1 0 1,-1 0 0,1 0-1,-1 1 1,1-1 0,-1 0-1,1 0 1,0-1 0,0 1-1,-1 0 1,1 0 0,-1 0-1,1 0 1,-1 0 0,1 0-1,-1 0 1,1 0 0,-1 0-1,1-1 1,-1 1-1,1 0 1,-1 0 0,1 0-1,0 0 1,0-1 0,0 1-1,0-1 1,-1 1 0,1 0-1,0 0 1,0 0 0,-1-1-1,1 1 1,0-1 0,0 1-1,0 0 1,0 0-1,-1-1 1,1 1 0,0 0-1,0-1 1,0 1 0,0-1-1,0 1 1,0 0 0,1 0-1,-1-1 1,0 1 0,0-1-1,0 1 1,1 0-1,1-7 425,2 0-1,-1 1 1,2 0-1,-1 0 1,0 0-1,8-7 1,41-32-742,-51 43 276,174-123-242,-3 4 83,-68 42-3760,159-96 0,-7 15-3416,-9-7 4728,232-180 3719,-224 161-1508,208-154 454,116-83-64,-556 404-6,-8 7 860,1 0 1,34-19-1,-50 31-778,0 0-1,0-1 1,-1 1-1,0 0 0,1 0 1,0-1-1,0 0 1,0 1-1,0 0 0,0 0 1,0 0-1,-1 0 1,1-1-1,0 1 0,0 0 1,0 0-1,0 0 1,0 0-1,0 0 0,-1 0 1,2 0-1,0 1 1,-2-1 80,1 0 1,-1 1-1,1-1 1,-1 1-1,0-1 1,0 1 0,1-1-1,-1 0 1,0 1-1,0 0 1,1-1 0,-1 0-1,0 1 1,0 0-1,0-1 1,0 1-1,0-1 1,0 1 0,0-1-1,0 1 1,-1 0-1,0 5 1256,-1 1 0,-1-1-1,-4 10 1,-27 44-867,-45 57 0,53-83-798,-3-2 1,0 0-1,-42 32 1,-111 74-3251,45-37-74,-216 158-5166,-72 56 8496,310-225 192,-130 123 19,208-181-19,0-1 0,-76 48 1,87-63 1379,-39 17 1,52-29 967,26-12 4218,105-45-714,-57 27-6058,56-33 0,-7-5 128,228-128-407,454-270-10377,-610 343 6875,82-65 2787,-146 103 1267,84-66-28,-156 109-17,-1-2 0,38-44 1,-17 8 196,-65 76-173,-1-2 0,1 1 0,0 0 0,0-1 0,0 1 1,0 0-1,-1-1 0,1 1 0,-1 0 0,0-1 0,1-2 0,-1 4-33,0 0 0,-1 0-1,1 0 1,0 0 0,0 0 0,0 0-1,0-1 1,0 1 0,0 0-1,0 0 1,-1 0 0,1 0-1,0 0 1,0 0 0,0 0-1,0 0 1,-1 0 0,1 0-1,0-1 1,0 1 0,-1 0-1,1 0 1,0 0 0,0 0-1,-1 0 1,1 0 0,0 0-1,0 0 1,0 0 0,-1 0-1,1 0 1,0 0 0,0 0-1,-1 0 1,1 0 0,-17 6 176,2 1-103,1 1 1,1 1-1,-1 1 0,-15 13 1,-163 160-277,139-131-449,-145 159 303,33-34 371,-15-10-4,-156 82 31,120-109-38,-69 51 0,232-151 282,-113 66 0,156-101-356,5-2 254,1-1 0,0 0 0,-1 2 0,2-2 0,-2 1 1,2 0-1,-1 0 0,-2 5 0,6-8-117,0 0 0,-1 0 0,1 0 0,0 0 0,0 0 0,0 0 0,0 0 0,0 0 0,0 0 0,0 0 0,0 0 0,0 1 0,0-1 1,-1 0-1,1 0 0,0 0 0,0 1 0,0-1 0,0 0 0,0 0 0,0 0 0,1 0 0,-1 0 0,0 0 0,0 0 0,0 0 0,0 0 0,0 0 0,0 1 0,0-1 0,0 0 0,0 0 0,0 0 0,0 0 0,1 0 0,-1 0 0,0 0 0,0 0 0,0 0 1,0 0-1,0 0 0,0 0 0,0 0 0,0 0 0,0 1 0,0-1 0,0 0 0,1 0 0,-1 0 0,13 0 2962,15-4 3248,170-54-4884,-191 55-1399,1-1 0,-1 1 0,0-1 0,0-1 0,0 1 0,9-8 0,4-3 0,404-281-2401,-190 134-3201,-118 81 1990,75-52-628,-5-5 3552,169-147 726,-172 117 69,-65 56 142,-100 97 234,-40 42 7870,-43 49-2998,1 3-3537,-125 142-2322,121-154 514,-4-2-1,-3-3 0,-5-2 1,-117 69-1,-206 100 165,121-88-4768,257-129 4102,-95 46-5218,100-47 4893,-1 2 0,1 0 0,-23 18 0,39-27 1238,0 0-1,-1 0 0,2 0 0,-1 1 1,1-1-1,0 1 0,-3 4 1,6-8-132,-1 0 1,1 0-1,0 1 1,0-1-1,0 0 1,-1 0-1,1 1 1,0-1 0,0 0-1,1 0 1,-1 0-1,0 0 1,0 1-1,0-1 1,1 0-1,-1 0 1,1 1-1,0-2 1,0 2 0,0-1-1,0-1 1,0 2-1,-1-2 1,2 2-1,-1-2 1,0 2-1,1-2 1,-2 1-1,2-1 1,-1 1 0,1 0-1,0-1 1,1 2-1,2 0-189,0-1-1,1 0 0,-1 0 1,0 0-1,0 0 1,1-1-1,0 0 0,-1 0 1,0 0-1,1 0 1,-1 0-1,0 0 0,8-2 1,7-2-138,-1-1 1,26-7 0,23-12-52,-2-2 1,77-40 0,56-22 57,114-20-42,-277 96 145,-13 5-241,-17 4-134,1 1 1,-1-1-1,1 1 1,0 0-1,0 0 0,0 1 1,0 0-1,1 0 0,0 0 1,-1 0-1,1 1 1,11 0-1,-18 0 297,0 0 1,0 1-1,1-1 1,-1 0-1,0 1 0,0-1 1,0 0-1,0 1 1,0-1-1,1 1 1,-1-1-1,-1 1 0,1-1 1,0 1-1,0 0 1,0-1-1,0 1 0,0 0 1,-1-1-1,0 1 1,1 0-1,0 0 0,0 0 1,-1 1 28,1 0 0,-1 0 0,1-1-1,-1 1 1,0 0 0,0 0 0,0 0 0,0-1 0,-1 1 0,1 0 0,-2 1 0,-1 6 483,-2-1 0,1 0 0,-11 13 1,15-21-494,-63 77 2306,40-53-2343,1 2-1,3 1 0,-28 49 1,45-73 24,1 0 0,1 0 0,-1 0 0,0 1 0,0-1 0,1 0 0,0 6 0,0-8 0,0 0 0,1 1 0,-1-1 0,1 0 0,0 0 0,-1 1 0,1-1 0,0 0 0,0 0 0,0 0 0,0 0 0,0 1 0,0-2 0,0 2 0,1-2 0,-1 1 0,1 0 0,-2 0 0,2 0 0,0 0 0,0-1 0,2 2 0,6 0 0,0 0 0,0 0 0,1 0 0,0-1 0,-1 0 0,1-1 0,0 0 0,11 0 0,113-6-667,139-19 0,-147 12-683,780-63-10611,-377 35 10650,-432 33 1297,501-39 98,-1 25-425,-382 23-192</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956</Words>
  <Characters>6370</Characters>
  <Application>Microsoft Office Word</Application>
  <DocSecurity>0</DocSecurity>
  <Lines>124</Lines>
  <Paragraphs>31</Paragraphs>
  <ScaleCrop>false</ScaleCrop>
  <Company/>
  <LinksUpToDate>false</LinksUpToDate>
  <CharactersWithSpaces>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Christopher</dc:creator>
  <cp:keywords/>
  <dc:description/>
  <cp:lastModifiedBy>Worcester, Jonathan</cp:lastModifiedBy>
  <cp:revision>13</cp:revision>
  <dcterms:created xsi:type="dcterms:W3CDTF">2026-02-12T18:32:00Z</dcterms:created>
  <dcterms:modified xsi:type="dcterms:W3CDTF">2026-02-12T18:48:00Z</dcterms:modified>
</cp:coreProperties>
</file>