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A85E5" w14:textId="7C181C74" w:rsidR="006113A3" w:rsidRDefault="00A6674A" w:rsidP="006113A3">
      <w:pPr>
        <w:pStyle w:val="Title"/>
      </w:pPr>
      <w:bookmarkStart w:id="0" w:name="_GoBack"/>
      <w:bookmarkEnd w:id="0"/>
      <w:r>
        <w:t xml:space="preserve">COMMONWEALTH </w:t>
      </w:r>
      <w:r w:rsidR="006113A3">
        <w:t>OF MASSACHUSETTS</w:t>
      </w:r>
    </w:p>
    <w:p w14:paraId="5FDF61E1" w14:textId="77777777" w:rsidR="006113A3" w:rsidRDefault="006113A3" w:rsidP="006113A3">
      <w:pPr>
        <w:jc w:val="center"/>
        <w:rPr>
          <w:rFonts w:ascii="Courier New" w:hAnsi="Courier New" w:cs="Courier New"/>
          <w:b/>
          <w:bCs/>
        </w:rPr>
      </w:pPr>
    </w:p>
    <w:p w14:paraId="17BADDB7" w14:textId="77777777" w:rsidR="006113A3" w:rsidRDefault="006113A3" w:rsidP="006113A3">
      <w:pPr>
        <w:jc w:val="center"/>
        <w:rPr>
          <w:rFonts w:ascii="Courier New" w:hAnsi="Courier New" w:cs="Courier New"/>
          <w:b/>
          <w:bCs/>
        </w:rPr>
      </w:pPr>
      <w:r>
        <w:rPr>
          <w:rFonts w:ascii="Courier New" w:hAnsi="Courier New" w:cs="Courier New"/>
          <w:b/>
          <w:bCs/>
        </w:rPr>
        <w:t>APPELLATE TAX BOARD</w:t>
      </w:r>
    </w:p>
    <w:p w14:paraId="76D87B50" w14:textId="77777777" w:rsidR="006113A3" w:rsidRDefault="006113A3" w:rsidP="006113A3">
      <w:pPr>
        <w:jc w:val="both"/>
        <w:rPr>
          <w:rFonts w:ascii="Courier New" w:hAnsi="Courier New" w:cs="Courier New"/>
          <w:b/>
          <w:bCs/>
        </w:rPr>
      </w:pPr>
    </w:p>
    <w:p w14:paraId="2769DF5C" w14:textId="77777777" w:rsidR="006113A3" w:rsidRDefault="006113A3" w:rsidP="006113A3">
      <w:pPr>
        <w:pStyle w:val="Heading1"/>
        <w:tabs>
          <w:tab w:val="left" w:pos="4320"/>
        </w:tabs>
        <w:ind w:left="0" w:firstLine="0"/>
        <w:jc w:val="both"/>
      </w:pPr>
    </w:p>
    <w:p w14:paraId="68BD8F2E" w14:textId="77777777" w:rsidR="002A5C92" w:rsidRDefault="002A5C92" w:rsidP="002A5C92">
      <w:pPr>
        <w:pStyle w:val="Heading1"/>
        <w:tabs>
          <w:tab w:val="left" w:pos="4320"/>
        </w:tabs>
        <w:jc w:val="both"/>
      </w:pPr>
      <w:proofErr w:type="gramStart"/>
      <w:r>
        <w:t>PAUL JONES</w:t>
      </w:r>
      <w:r>
        <w:tab/>
        <w:t xml:space="preserve">       v.</w:t>
      </w:r>
      <w:proofErr w:type="gramEnd"/>
      <w:r>
        <w:tab/>
        <w:t xml:space="preserve"> </w:t>
      </w:r>
      <w:r>
        <w:tab/>
        <w:t>COMMISSIONER OF REVENUE</w:t>
      </w:r>
    </w:p>
    <w:p w14:paraId="4B2AD225" w14:textId="77777777" w:rsidR="002A5C92" w:rsidRPr="00CD199E" w:rsidRDefault="002A5C92" w:rsidP="002A5C92"/>
    <w:p w14:paraId="44CCA7A3" w14:textId="77777777" w:rsidR="002A5C92" w:rsidRDefault="002A5C92" w:rsidP="002A5C92">
      <w:pPr>
        <w:pStyle w:val="Heading1"/>
        <w:ind w:left="0" w:firstLine="0"/>
      </w:pPr>
      <w:r>
        <w:tab/>
      </w:r>
      <w:r>
        <w:tab/>
      </w:r>
      <w:r>
        <w:tab/>
      </w:r>
      <w:r>
        <w:tab/>
      </w:r>
      <w:r>
        <w:tab/>
      </w:r>
      <w:r>
        <w:tab/>
      </w:r>
      <w:r>
        <w:tab/>
        <w:t xml:space="preserve"> </w:t>
      </w:r>
      <w:r>
        <w:tab/>
      </w:r>
      <w:r>
        <w:tab/>
        <w:t xml:space="preserve">   </w:t>
      </w:r>
    </w:p>
    <w:p w14:paraId="7A47FC04" w14:textId="3189C558" w:rsidR="002A5C92" w:rsidRDefault="002A5C92" w:rsidP="002A5C92">
      <w:pPr>
        <w:jc w:val="both"/>
        <w:rPr>
          <w:rFonts w:ascii="Courier New" w:hAnsi="Courier New" w:cs="Courier New"/>
        </w:rPr>
      </w:pPr>
      <w:r>
        <w:rPr>
          <w:rFonts w:ascii="Courier New" w:hAnsi="Courier New" w:cs="Courier New"/>
        </w:rPr>
        <w:t xml:space="preserve">Docket Nos. </w:t>
      </w:r>
      <w:r w:rsidR="00C25B12">
        <w:rPr>
          <w:rFonts w:ascii="Courier New" w:hAnsi="Courier New" w:cs="Courier New"/>
        </w:rPr>
        <w:t>C329649</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t>Promulgated:</w:t>
      </w:r>
    </w:p>
    <w:p w14:paraId="369C238F" w14:textId="1ACBB3AA" w:rsidR="002A5C92" w:rsidRDefault="002A5C92" w:rsidP="002A5C92">
      <w:pPr>
        <w:ind w:left="720" w:firstLine="720"/>
        <w:jc w:val="both"/>
        <w:rPr>
          <w:rFonts w:ascii="Courier New" w:hAnsi="Courier New" w:cs="Courier New"/>
        </w:rPr>
      </w:pPr>
      <w:r>
        <w:rPr>
          <w:rFonts w:ascii="Courier New" w:hAnsi="Courier New" w:cs="Courier New"/>
        </w:rPr>
        <w:t xml:space="preserve">  </w:t>
      </w:r>
      <w:r w:rsidR="00C25B12">
        <w:rPr>
          <w:rFonts w:ascii="Courier New" w:hAnsi="Courier New" w:cs="Courier New"/>
        </w:rPr>
        <w:t>C332051</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A6674A">
        <w:rPr>
          <w:rFonts w:ascii="Courier New" w:hAnsi="Courier New" w:cs="Courier New"/>
        </w:rPr>
        <w:t>November 6, 2018</w:t>
      </w:r>
    </w:p>
    <w:p w14:paraId="1F0CF367" w14:textId="77777777" w:rsidR="002A5C92" w:rsidRDefault="002A5C92" w:rsidP="002A5C92">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4EE270B6" w14:textId="77777777" w:rsidR="002A5C92" w:rsidRDefault="002A5C92" w:rsidP="002A5C92">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p>
    <w:p w14:paraId="600ADC18" w14:textId="1BE331F8" w:rsidR="002A5C92" w:rsidRDefault="002A5C92" w:rsidP="002A5C92">
      <w:pPr>
        <w:spacing w:line="480" w:lineRule="auto"/>
        <w:jc w:val="both"/>
        <w:rPr>
          <w:rFonts w:ascii="Courier New" w:hAnsi="Courier New" w:cs="Courier New"/>
        </w:rPr>
      </w:pPr>
      <w:r>
        <w:rPr>
          <w:rFonts w:ascii="Courier New" w:hAnsi="Courier New" w:cs="Courier New"/>
        </w:rPr>
        <w:tab/>
        <w:t xml:space="preserve">These are appeals filed under the </w:t>
      </w:r>
      <w:r w:rsidRPr="006F59B0">
        <w:rPr>
          <w:rFonts w:ascii="Courier New" w:hAnsi="Courier New" w:cs="Courier New"/>
        </w:rPr>
        <w:t>forma</w:t>
      </w:r>
      <w:r>
        <w:rPr>
          <w:rFonts w:ascii="Courier New" w:hAnsi="Courier New" w:cs="Courier New"/>
        </w:rPr>
        <w:t>l procedure pursuant to G.L. c. 58A, § 7 and G.L. c. 62C, § 39 from the refusal of the Commissioner of</w:t>
      </w:r>
      <w:r w:rsidR="00580238">
        <w:rPr>
          <w:rFonts w:ascii="Courier New" w:hAnsi="Courier New" w:cs="Courier New"/>
        </w:rPr>
        <w:t xml:space="preserve"> Revenue (“Commissioner” or </w:t>
      </w:r>
      <w:r>
        <w:rPr>
          <w:rFonts w:ascii="Courier New" w:hAnsi="Courier New" w:cs="Courier New"/>
        </w:rPr>
        <w:t xml:space="preserve">“appellee”), to abate </w:t>
      </w:r>
      <w:r w:rsidR="00070A5F">
        <w:rPr>
          <w:rFonts w:ascii="Courier New" w:hAnsi="Courier New" w:cs="Courier New"/>
        </w:rPr>
        <w:t xml:space="preserve">personal </w:t>
      </w:r>
      <w:r>
        <w:rPr>
          <w:rFonts w:ascii="Courier New" w:hAnsi="Courier New" w:cs="Courier New"/>
        </w:rPr>
        <w:t>income taxes assessed against</w:t>
      </w:r>
      <w:r w:rsidR="00580238">
        <w:rPr>
          <w:rFonts w:ascii="Courier New" w:hAnsi="Courier New" w:cs="Courier New"/>
        </w:rPr>
        <w:t xml:space="preserve"> Paul Jones (“Mr. Jones” or </w:t>
      </w:r>
      <w:r>
        <w:rPr>
          <w:rFonts w:ascii="Courier New" w:hAnsi="Courier New" w:cs="Courier New"/>
        </w:rPr>
        <w:t xml:space="preserve">“appellant”) for the tax </w:t>
      </w:r>
      <w:r w:rsidR="00580238">
        <w:rPr>
          <w:rFonts w:ascii="Courier New" w:hAnsi="Courier New" w:cs="Courier New"/>
        </w:rPr>
        <w:t xml:space="preserve">years 2011, 2012, and 2013 (“tax </w:t>
      </w:r>
      <w:r>
        <w:rPr>
          <w:rFonts w:ascii="Courier New" w:hAnsi="Courier New" w:cs="Courier New"/>
        </w:rPr>
        <w:t>years at issue”).</w:t>
      </w:r>
    </w:p>
    <w:p w14:paraId="1BAA66BA" w14:textId="4BDFA988" w:rsidR="002A5C92" w:rsidRDefault="002A5C92" w:rsidP="002A5C92">
      <w:pPr>
        <w:spacing w:line="480" w:lineRule="auto"/>
        <w:jc w:val="both"/>
        <w:rPr>
          <w:rFonts w:ascii="Courier New" w:hAnsi="Courier New" w:cs="Courier New"/>
        </w:rPr>
      </w:pPr>
      <w:r>
        <w:rPr>
          <w:rFonts w:ascii="Courier New" w:hAnsi="Courier New" w:cs="Courier New"/>
        </w:rPr>
        <w:tab/>
        <w:t xml:space="preserve">Commissioner Scharaffa heard these appeals and was joined by </w:t>
      </w:r>
      <w:r w:rsidR="00902979">
        <w:rPr>
          <w:rFonts w:ascii="Courier New" w:hAnsi="Courier New" w:cs="Courier New"/>
        </w:rPr>
        <w:t xml:space="preserve">Chairman Hammond and Commissioners Rose, </w:t>
      </w:r>
      <w:proofErr w:type="spellStart"/>
      <w:r w:rsidR="00902979">
        <w:rPr>
          <w:rFonts w:ascii="Courier New" w:hAnsi="Courier New" w:cs="Courier New"/>
        </w:rPr>
        <w:t>Chmielinksi</w:t>
      </w:r>
      <w:proofErr w:type="spellEnd"/>
      <w:r w:rsidR="00B87E2A">
        <w:rPr>
          <w:rFonts w:ascii="Courier New" w:hAnsi="Courier New" w:cs="Courier New"/>
        </w:rPr>
        <w:t>,</w:t>
      </w:r>
      <w:r w:rsidR="00902979">
        <w:rPr>
          <w:rFonts w:ascii="Courier New" w:hAnsi="Courier New" w:cs="Courier New"/>
        </w:rPr>
        <w:t xml:space="preserve"> and Good in</w:t>
      </w:r>
      <w:r>
        <w:rPr>
          <w:rFonts w:ascii="Courier New" w:hAnsi="Courier New" w:cs="Courier New"/>
        </w:rPr>
        <w:t xml:space="preserve"> decisions for the appellant in tax years 2011 and 2012 and in a decision for the appellee in tax year 2013.  </w:t>
      </w:r>
    </w:p>
    <w:p w14:paraId="251A520C" w14:textId="77777777" w:rsidR="00902979" w:rsidRDefault="00902979" w:rsidP="00902979">
      <w:pPr>
        <w:pStyle w:val="BodyText2"/>
        <w:spacing w:after="0"/>
        <w:ind w:firstLine="720"/>
        <w:jc w:val="both"/>
        <w:rPr>
          <w:rFonts w:ascii="Courier New" w:hAnsi="Courier New" w:cs="Courier New"/>
        </w:rPr>
      </w:pPr>
      <w:r w:rsidRPr="00B86AF5">
        <w:rPr>
          <w:rFonts w:ascii="Courier New" w:hAnsi="Courier New" w:cs="Courier New"/>
        </w:rPr>
        <w:t xml:space="preserve">These findings of fact and report are made pursuant to a </w:t>
      </w:r>
      <w:r w:rsidRPr="007731F6">
        <w:rPr>
          <w:rFonts w:ascii="Courier New" w:hAnsi="Courier New" w:cs="Courier New"/>
        </w:rPr>
        <w:t>request by the appellant</w:t>
      </w:r>
      <w:r w:rsidRPr="00B86AF5">
        <w:rPr>
          <w:rFonts w:ascii="Courier New" w:hAnsi="Courier New" w:cs="Courier New"/>
        </w:rPr>
        <w:t xml:space="preserve"> under G.L. c. 58A, § 13 and 831 CMR 1.32. </w:t>
      </w:r>
    </w:p>
    <w:p w14:paraId="2214743C" w14:textId="320ED2EA" w:rsidR="002A5C92" w:rsidRDefault="00902979" w:rsidP="00902979">
      <w:pPr>
        <w:spacing w:line="480" w:lineRule="auto"/>
        <w:ind w:firstLine="720"/>
        <w:jc w:val="both"/>
        <w:rPr>
          <w:rFonts w:ascii="Courier New" w:hAnsi="Courier New" w:cs="Courier New"/>
        </w:rPr>
      </w:pPr>
      <w:r>
        <w:rPr>
          <w:rFonts w:ascii="Courier New" w:hAnsi="Courier New" w:cs="Courier New"/>
        </w:rPr>
        <w:t xml:space="preserve">    </w:t>
      </w:r>
      <w:r w:rsidR="002A5C92">
        <w:rPr>
          <w:rFonts w:ascii="Courier New" w:hAnsi="Courier New" w:cs="Courier New"/>
        </w:rPr>
        <w:t xml:space="preserve">  </w:t>
      </w:r>
    </w:p>
    <w:p w14:paraId="05BBF2A6" w14:textId="41B4A445" w:rsidR="002A5C92" w:rsidRDefault="002A5C92" w:rsidP="002A5C92">
      <w:pPr>
        <w:jc w:val="both"/>
        <w:rPr>
          <w:rFonts w:ascii="Courier New" w:hAnsi="Courier New" w:cs="Courier New"/>
        </w:rPr>
      </w:pPr>
      <w:r>
        <w:rPr>
          <w:rFonts w:ascii="Courier New" w:hAnsi="Courier New" w:cs="Courier New"/>
        </w:rPr>
        <w:tab/>
      </w:r>
      <w:r w:rsidR="00EA5017">
        <w:rPr>
          <w:rFonts w:ascii="Courier New" w:hAnsi="Courier New" w:cs="Courier New"/>
          <w:i/>
        </w:rPr>
        <w:t>Paul Jones, pro se</w:t>
      </w:r>
      <w:r w:rsidR="003D0A64">
        <w:rPr>
          <w:rFonts w:ascii="Courier New" w:hAnsi="Courier New" w:cs="Courier New"/>
          <w:i/>
        </w:rPr>
        <w:t>,</w:t>
      </w:r>
      <w:r>
        <w:rPr>
          <w:rFonts w:ascii="Courier New" w:hAnsi="Courier New" w:cs="Courier New"/>
        </w:rPr>
        <w:t xml:space="preserve"> for the appellant.</w:t>
      </w:r>
    </w:p>
    <w:p w14:paraId="16587D69" w14:textId="77777777" w:rsidR="002A5C92" w:rsidRDefault="002A5C92" w:rsidP="002A5C92">
      <w:pPr>
        <w:jc w:val="both"/>
        <w:rPr>
          <w:rFonts w:ascii="Courier New" w:hAnsi="Courier New" w:cs="Courier New"/>
        </w:rPr>
      </w:pPr>
    </w:p>
    <w:p w14:paraId="5BCFD3F9" w14:textId="013E5122" w:rsidR="002A5C92" w:rsidRDefault="00EC3111" w:rsidP="00EC3111">
      <w:pPr>
        <w:ind w:firstLine="720"/>
        <w:jc w:val="both"/>
        <w:rPr>
          <w:rFonts w:ascii="Courier New" w:hAnsi="Courier New" w:cs="Courier New"/>
        </w:rPr>
      </w:pPr>
      <w:proofErr w:type="gramStart"/>
      <w:r>
        <w:rPr>
          <w:rFonts w:ascii="Courier New" w:hAnsi="Courier New" w:cs="Courier New"/>
          <w:i/>
        </w:rPr>
        <w:t>Diane M. McCarron, Esq.</w:t>
      </w:r>
      <w:r w:rsidR="000A2C3E">
        <w:rPr>
          <w:rFonts w:ascii="Courier New" w:hAnsi="Courier New" w:cs="Courier New"/>
          <w:i/>
        </w:rPr>
        <w:t>,</w:t>
      </w:r>
      <w:r>
        <w:rPr>
          <w:rFonts w:ascii="Courier New" w:hAnsi="Courier New" w:cs="Courier New"/>
          <w:i/>
        </w:rPr>
        <w:t xml:space="preserve"> Julie A. Flynn, Esq. </w:t>
      </w:r>
      <w:r w:rsidR="000A2C3E">
        <w:rPr>
          <w:rFonts w:ascii="Courier New" w:hAnsi="Courier New" w:cs="Courier New"/>
          <w:i/>
        </w:rPr>
        <w:t xml:space="preserve">and John </w:t>
      </w:r>
      <w:proofErr w:type="spellStart"/>
      <w:r w:rsidR="000A2C3E">
        <w:rPr>
          <w:rFonts w:ascii="Courier New" w:hAnsi="Courier New" w:cs="Courier New"/>
          <w:i/>
        </w:rPr>
        <w:t>DeLosa</w:t>
      </w:r>
      <w:proofErr w:type="spellEnd"/>
      <w:r w:rsidR="000A2C3E">
        <w:rPr>
          <w:rFonts w:ascii="Courier New" w:hAnsi="Courier New" w:cs="Courier New"/>
          <w:i/>
        </w:rPr>
        <w:t xml:space="preserve">, Esq. </w:t>
      </w:r>
      <w:r>
        <w:rPr>
          <w:rFonts w:ascii="Courier New" w:hAnsi="Courier New" w:cs="Courier New"/>
          <w:i/>
        </w:rPr>
        <w:t>for the appellee.</w:t>
      </w:r>
      <w:proofErr w:type="gramEnd"/>
    </w:p>
    <w:p w14:paraId="350A4223" w14:textId="77777777" w:rsidR="009000E6" w:rsidRDefault="009000E6" w:rsidP="002A5C92">
      <w:pPr>
        <w:spacing w:line="480" w:lineRule="auto"/>
        <w:jc w:val="both"/>
        <w:rPr>
          <w:rFonts w:ascii="Courier New" w:hAnsi="Courier New" w:cs="Courier New"/>
        </w:rPr>
      </w:pPr>
    </w:p>
    <w:p w14:paraId="6597F8A0" w14:textId="77777777" w:rsidR="002A5C92" w:rsidRDefault="002A5C92" w:rsidP="002A5C92">
      <w:pPr>
        <w:pStyle w:val="Heading2"/>
        <w:spacing w:line="480" w:lineRule="auto"/>
      </w:pPr>
      <w:r>
        <w:lastRenderedPageBreak/>
        <w:t>FINDINGS OF FACT AND REPORT</w:t>
      </w:r>
    </w:p>
    <w:p w14:paraId="122A1002" w14:textId="5389333E" w:rsidR="002A5C92" w:rsidRDefault="002A5C92" w:rsidP="002A5C92">
      <w:pPr>
        <w:spacing w:line="480" w:lineRule="auto"/>
        <w:ind w:firstLine="720"/>
        <w:jc w:val="both"/>
        <w:rPr>
          <w:rFonts w:ascii="Courier New" w:hAnsi="Courier New" w:cs="Courier New"/>
        </w:rPr>
      </w:pPr>
      <w:r>
        <w:rPr>
          <w:rFonts w:ascii="Courier New" w:hAnsi="Courier New" w:cs="Courier New"/>
        </w:rPr>
        <w:t>On the ba</w:t>
      </w:r>
      <w:r w:rsidR="009C684E">
        <w:rPr>
          <w:rFonts w:ascii="Courier New" w:hAnsi="Courier New" w:cs="Courier New"/>
        </w:rPr>
        <w:t>sis of</w:t>
      </w:r>
      <w:r>
        <w:rPr>
          <w:rFonts w:ascii="Courier New" w:hAnsi="Courier New" w:cs="Courier New"/>
        </w:rPr>
        <w:t xml:space="preserve"> the testimony and exhibits offered at the hearing</w:t>
      </w:r>
      <w:r w:rsidR="009C684E">
        <w:rPr>
          <w:rFonts w:ascii="Courier New" w:hAnsi="Courier New" w:cs="Courier New"/>
        </w:rPr>
        <w:t>s</w:t>
      </w:r>
      <w:r>
        <w:rPr>
          <w:rFonts w:ascii="Courier New" w:hAnsi="Courier New" w:cs="Courier New"/>
        </w:rPr>
        <w:t xml:space="preserve"> of these appeals, the </w:t>
      </w:r>
      <w:r w:rsidR="005F0D7D">
        <w:rPr>
          <w:rFonts w:ascii="Courier New" w:hAnsi="Courier New" w:cs="Courier New"/>
        </w:rPr>
        <w:t xml:space="preserve">Appellate Tax </w:t>
      </w:r>
      <w:r>
        <w:rPr>
          <w:rFonts w:ascii="Courier New" w:hAnsi="Courier New" w:cs="Courier New"/>
        </w:rPr>
        <w:t>Board</w:t>
      </w:r>
      <w:r w:rsidR="005F0D7D">
        <w:rPr>
          <w:rFonts w:ascii="Courier New" w:hAnsi="Courier New" w:cs="Courier New"/>
        </w:rPr>
        <w:t xml:space="preserve"> (“Board”)</w:t>
      </w:r>
      <w:r>
        <w:rPr>
          <w:rFonts w:ascii="Courier New" w:hAnsi="Courier New" w:cs="Courier New"/>
        </w:rPr>
        <w:t xml:space="preserve"> made the following findings of fact.</w:t>
      </w:r>
    </w:p>
    <w:p w14:paraId="2E8D01EA" w14:textId="20551F6C" w:rsidR="00F93043" w:rsidRDefault="002A5C92" w:rsidP="002A5C92">
      <w:pPr>
        <w:spacing w:line="480" w:lineRule="auto"/>
        <w:ind w:firstLine="720"/>
        <w:jc w:val="both"/>
        <w:rPr>
          <w:rFonts w:ascii="Courier New" w:hAnsi="Courier New" w:cs="Courier New"/>
        </w:rPr>
      </w:pPr>
      <w:r>
        <w:rPr>
          <w:rFonts w:ascii="Courier New" w:hAnsi="Courier New" w:cs="Courier New"/>
        </w:rPr>
        <w:t xml:space="preserve">At all times relevant to these appeals, the appellant was a Massachusetts </w:t>
      </w:r>
      <w:r w:rsidR="00CF4DAF">
        <w:rPr>
          <w:rFonts w:ascii="Courier New" w:hAnsi="Courier New" w:cs="Courier New"/>
        </w:rPr>
        <w:t>re</w:t>
      </w:r>
      <w:r w:rsidR="00647E10">
        <w:rPr>
          <w:rFonts w:ascii="Courier New" w:hAnsi="Courier New" w:cs="Courier New"/>
        </w:rPr>
        <w:t xml:space="preserve">sident.  </w:t>
      </w:r>
      <w:r w:rsidR="005F0D7D">
        <w:rPr>
          <w:rFonts w:ascii="Courier New" w:hAnsi="Courier New" w:cs="Courier New"/>
        </w:rPr>
        <w:t>The appellant filed two separate appeals with the Board, as described below</w:t>
      </w:r>
      <w:r w:rsidR="00F93043">
        <w:rPr>
          <w:rFonts w:ascii="Courier New" w:hAnsi="Courier New" w:cs="Courier New"/>
        </w:rPr>
        <w:t>.</w:t>
      </w:r>
    </w:p>
    <w:p w14:paraId="7A1B0BA9" w14:textId="5E779E4C" w:rsidR="00F93043" w:rsidRPr="00093BEE" w:rsidRDefault="00595CD4" w:rsidP="00F93043">
      <w:pPr>
        <w:spacing w:line="480" w:lineRule="auto"/>
        <w:jc w:val="both"/>
        <w:rPr>
          <w:rFonts w:ascii="Courier New" w:hAnsi="Courier New" w:cs="Courier New"/>
          <w:b/>
          <w:u w:val="single"/>
        </w:rPr>
      </w:pPr>
      <w:r w:rsidRPr="00093BEE">
        <w:rPr>
          <w:rFonts w:ascii="Courier New" w:hAnsi="Courier New" w:cs="Courier New"/>
          <w:b/>
          <w:u w:val="single"/>
        </w:rPr>
        <w:t xml:space="preserve">1. Docket </w:t>
      </w:r>
      <w:r w:rsidR="00B87E2A">
        <w:rPr>
          <w:rFonts w:ascii="Courier New" w:hAnsi="Courier New" w:cs="Courier New"/>
          <w:b/>
          <w:u w:val="single"/>
        </w:rPr>
        <w:t xml:space="preserve">No. </w:t>
      </w:r>
      <w:r w:rsidR="00093BEE" w:rsidRPr="00093BEE">
        <w:rPr>
          <w:rFonts w:ascii="Courier New" w:hAnsi="Courier New" w:cs="Courier New"/>
          <w:b/>
          <w:u w:val="single"/>
        </w:rPr>
        <w:t>C329649</w:t>
      </w:r>
      <w:r w:rsidR="00F93043" w:rsidRPr="00093BEE">
        <w:rPr>
          <w:rFonts w:ascii="Courier New" w:hAnsi="Courier New" w:cs="Courier New"/>
          <w:b/>
          <w:u w:val="single"/>
        </w:rPr>
        <w:t xml:space="preserve"> – tax years 2011 and 2012</w:t>
      </w:r>
    </w:p>
    <w:p w14:paraId="7CA34301" w14:textId="0C545A63" w:rsidR="005F0D7D" w:rsidRDefault="00647E10" w:rsidP="00B05310">
      <w:pPr>
        <w:spacing w:line="480" w:lineRule="auto"/>
        <w:ind w:firstLine="720"/>
        <w:jc w:val="both"/>
        <w:rPr>
          <w:rFonts w:ascii="Courier New" w:hAnsi="Courier New" w:cs="Courier New"/>
        </w:rPr>
      </w:pPr>
      <w:r>
        <w:rPr>
          <w:rFonts w:ascii="Courier New" w:hAnsi="Courier New" w:cs="Courier New"/>
        </w:rPr>
        <w:t xml:space="preserve">The appellant </w:t>
      </w:r>
      <w:r w:rsidR="002A5C92">
        <w:rPr>
          <w:rFonts w:ascii="Courier New" w:hAnsi="Courier New" w:cs="Courier New"/>
        </w:rPr>
        <w:t>filed his Massachusetts Res</w:t>
      </w:r>
      <w:r w:rsidR="00CF4DAF">
        <w:rPr>
          <w:rFonts w:ascii="Courier New" w:hAnsi="Courier New" w:cs="Courier New"/>
        </w:rPr>
        <w:t>ident Income Tax Returns (“Form</w:t>
      </w:r>
      <w:r>
        <w:rPr>
          <w:rFonts w:ascii="Courier New" w:hAnsi="Courier New" w:cs="Courier New"/>
        </w:rPr>
        <w:t>s</w:t>
      </w:r>
      <w:r w:rsidR="00CF4DAF">
        <w:rPr>
          <w:rFonts w:ascii="Courier New" w:hAnsi="Courier New" w:cs="Courier New"/>
        </w:rPr>
        <w:t xml:space="preserve"> 1”) for tax year</w:t>
      </w:r>
      <w:r>
        <w:rPr>
          <w:rFonts w:ascii="Courier New" w:hAnsi="Courier New" w:cs="Courier New"/>
        </w:rPr>
        <w:t>s</w:t>
      </w:r>
      <w:r w:rsidR="00CF4DAF">
        <w:rPr>
          <w:rFonts w:ascii="Courier New" w:hAnsi="Courier New" w:cs="Courier New"/>
        </w:rPr>
        <w:t xml:space="preserve"> 2011</w:t>
      </w:r>
      <w:r>
        <w:rPr>
          <w:rFonts w:ascii="Courier New" w:hAnsi="Courier New" w:cs="Courier New"/>
        </w:rPr>
        <w:t xml:space="preserve"> and 2012 on February 1, 2013.  The Forms 1 reported Mass</w:t>
      </w:r>
      <w:r w:rsidR="00427EB9">
        <w:rPr>
          <w:rFonts w:ascii="Courier New" w:hAnsi="Courier New" w:cs="Courier New"/>
        </w:rPr>
        <w:t xml:space="preserve">achusetts gross income and </w:t>
      </w:r>
      <w:r>
        <w:rPr>
          <w:rFonts w:ascii="Courier New" w:hAnsi="Courier New" w:cs="Courier New"/>
        </w:rPr>
        <w:t xml:space="preserve">expenses relating to </w:t>
      </w:r>
      <w:r w:rsidR="00427EB9">
        <w:rPr>
          <w:rFonts w:ascii="Courier New" w:hAnsi="Courier New" w:cs="Courier New"/>
        </w:rPr>
        <w:t xml:space="preserve">several </w:t>
      </w:r>
      <w:r>
        <w:rPr>
          <w:rFonts w:ascii="Courier New" w:hAnsi="Courier New" w:cs="Courier New"/>
        </w:rPr>
        <w:t>Schedule C business</w:t>
      </w:r>
      <w:r w:rsidR="00B65941">
        <w:rPr>
          <w:rFonts w:ascii="Courier New" w:hAnsi="Courier New" w:cs="Courier New"/>
        </w:rPr>
        <w:t>es</w:t>
      </w:r>
      <w:r>
        <w:rPr>
          <w:rFonts w:ascii="Courier New" w:hAnsi="Courier New" w:cs="Courier New"/>
        </w:rPr>
        <w:t>.</w:t>
      </w:r>
      <w:r w:rsidR="00CF4DAF">
        <w:rPr>
          <w:rFonts w:ascii="Courier New" w:hAnsi="Courier New" w:cs="Courier New"/>
        </w:rPr>
        <w:t xml:space="preserve"> </w:t>
      </w:r>
      <w:r w:rsidR="002A5C92">
        <w:rPr>
          <w:rFonts w:ascii="Courier New" w:hAnsi="Courier New" w:cs="Courier New"/>
        </w:rPr>
        <w:t xml:space="preserve"> </w:t>
      </w:r>
      <w:r w:rsidR="00B05310">
        <w:rPr>
          <w:rFonts w:ascii="Courier New" w:hAnsi="Courier New" w:cs="Courier New"/>
        </w:rPr>
        <w:t>The appellant’s Form 1 for tax year 2011 reported Sc</w:t>
      </w:r>
      <w:r w:rsidR="00B87E2A">
        <w:rPr>
          <w:rFonts w:ascii="Courier New" w:hAnsi="Courier New" w:cs="Courier New"/>
        </w:rPr>
        <w:t>hedule C business expenses for three</w:t>
      </w:r>
      <w:r w:rsidR="00B05310">
        <w:rPr>
          <w:rFonts w:ascii="Courier New" w:hAnsi="Courier New" w:cs="Courier New"/>
        </w:rPr>
        <w:t xml:space="preserve"> businesses totaling </w:t>
      </w:r>
      <w:r w:rsidR="00B05310" w:rsidRPr="003300AF">
        <w:rPr>
          <w:rFonts w:ascii="Courier New" w:hAnsi="Courier New" w:cs="Courier New"/>
        </w:rPr>
        <w:t>$128,275</w:t>
      </w:r>
      <w:r w:rsidR="00B05310">
        <w:rPr>
          <w:rFonts w:ascii="Courier New" w:hAnsi="Courier New" w:cs="Courier New"/>
        </w:rPr>
        <w:t>, and his Form 1 for tax year 2012 reported Sc</w:t>
      </w:r>
      <w:r w:rsidR="00B87E2A">
        <w:rPr>
          <w:rFonts w:ascii="Courier New" w:hAnsi="Courier New" w:cs="Courier New"/>
        </w:rPr>
        <w:t>hedule C business expenses for two</w:t>
      </w:r>
      <w:r w:rsidR="00B05310">
        <w:rPr>
          <w:rFonts w:ascii="Courier New" w:hAnsi="Courier New" w:cs="Courier New"/>
        </w:rPr>
        <w:t xml:space="preserve"> businesses totaling </w:t>
      </w:r>
      <w:r w:rsidR="00B05310" w:rsidRPr="00FC1B07">
        <w:rPr>
          <w:rFonts w:ascii="Courier New" w:hAnsi="Courier New" w:cs="Courier New"/>
        </w:rPr>
        <w:t>$64,087</w:t>
      </w:r>
      <w:r w:rsidR="00B05310">
        <w:rPr>
          <w:rFonts w:ascii="Courier New" w:hAnsi="Courier New" w:cs="Courier New"/>
        </w:rPr>
        <w:t xml:space="preserve">.  </w:t>
      </w:r>
    </w:p>
    <w:p w14:paraId="7C3A0C17" w14:textId="1F9D300B" w:rsidR="00467C9E" w:rsidRDefault="00B65941" w:rsidP="00B05310">
      <w:pPr>
        <w:spacing w:line="480" w:lineRule="auto"/>
        <w:ind w:firstLine="720"/>
        <w:jc w:val="both"/>
        <w:rPr>
          <w:rFonts w:ascii="Courier New" w:hAnsi="Courier New" w:cs="Courier New"/>
        </w:rPr>
      </w:pPr>
      <w:r>
        <w:rPr>
          <w:rFonts w:ascii="Courier New" w:hAnsi="Courier New" w:cs="Courier New"/>
        </w:rPr>
        <w:t>After an audi</w:t>
      </w:r>
      <w:r w:rsidR="001A51E3">
        <w:rPr>
          <w:rFonts w:ascii="Courier New" w:hAnsi="Courier New" w:cs="Courier New"/>
        </w:rPr>
        <w:t>t of tax years 2011 and 2012</w:t>
      </w:r>
      <w:r>
        <w:rPr>
          <w:rFonts w:ascii="Courier New" w:hAnsi="Courier New" w:cs="Courier New"/>
        </w:rPr>
        <w:t xml:space="preserve">, </w:t>
      </w:r>
      <w:r w:rsidR="00CE47D9">
        <w:rPr>
          <w:rFonts w:ascii="Courier New" w:hAnsi="Courier New" w:cs="Courier New"/>
        </w:rPr>
        <w:t xml:space="preserve">during which the auditor reviewed the receipts submitted by the appellant for purposes of substantiating his Schedule C expenses, </w:t>
      </w:r>
      <w:r>
        <w:rPr>
          <w:rFonts w:ascii="Courier New" w:hAnsi="Courier New" w:cs="Courier New"/>
        </w:rPr>
        <w:t xml:space="preserve">the Commissioner </w:t>
      </w:r>
      <w:r w:rsidR="001A51E3">
        <w:rPr>
          <w:rFonts w:ascii="Courier New" w:hAnsi="Courier New" w:cs="Courier New"/>
        </w:rPr>
        <w:t xml:space="preserve">disallowed </w:t>
      </w:r>
      <w:r w:rsidR="00CE47D9">
        <w:rPr>
          <w:rFonts w:ascii="Courier New" w:hAnsi="Courier New" w:cs="Courier New"/>
        </w:rPr>
        <w:t xml:space="preserve">all of </w:t>
      </w:r>
      <w:r w:rsidR="001A51E3">
        <w:rPr>
          <w:rFonts w:ascii="Courier New" w:hAnsi="Courier New" w:cs="Courier New"/>
        </w:rPr>
        <w:t xml:space="preserve">the </w:t>
      </w:r>
      <w:r w:rsidR="00CE47D9">
        <w:rPr>
          <w:rFonts w:ascii="Courier New" w:hAnsi="Courier New" w:cs="Courier New"/>
        </w:rPr>
        <w:t xml:space="preserve">appellant’s </w:t>
      </w:r>
      <w:r w:rsidR="001A51E3">
        <w:rPr>
          <w:rFonts w:ascii="Courier New" w:hAnsi="Courier New" w:cs="Courier New"/>
        </w:rPr>
        <w:t>claimed</w:t>
      </w:r>
      <w:r w:rsidR="00093BEE">
        <w:rPr>
          <w:rFonts w:ascii="Courier New" w:hAnsi="Courier New" w:cs="Courier New"/>
        </w:rPr>
        <w:t xml:space="preserve"> Schedule C</w:t>
      </w:r>
      <w:r w:rsidR="001A51E3">
        <w:rPr>
          <w:rFonts w:ascii="Courier New" w:hAnsi="Courier New" w:cs="Courier New"/>
        </w:rPr>
        <w:t xml:space="preserve"> expenses.</w:t>
      </w:r>
      <w:r w:rsidR="000726B9">
        <w:rPr>
          <w:rFonts w:ascii="Courier New" w:hAnsi="Courier New" w:cs="Courier New"/>
        </w:rPr>
        <w:t xml:space="preserve"> </w:t>
      </w:r>
      <w:r w:rsidR="001A51E3">
        <w:rPr>
          <w:rFonts w:ascii="Courier New" w:hAnsi="Courier New" w:cs="Courier New"/>
        </w:rPr>
        <w:t xml:space="preserve"> </w:t>
      </w:r>
      <w:r w:rsidR="00AA2F5E">
        <w:rPr>
          <w:rFonts w:ascii="Courier New" w:hAnsi="Courier New" w:cs="Courier New"/>
        </w:rPr>
        <w:t>On June 8, 2015, t</w:t>
      </w:r>
      <w:r w:rsidR="00003A27">
        <w:rPr>
          <w:rFonts w:ascii="Courier New" w:hAnsi="Courier New" w:cs="Courier New"/>
        </w:rPr>
        <w:t>he Commi</w:t>
      </w:r>
      <w:r w:rsidR="00AA2F5E">
        <w:rPr>
          <w:rFonts w:ascii="Courier New" w:hAnsi="Courier New" w:cs="Courier New"/>
        </w:rPr>
        <w:t xml:space="preserve">ssioner </w:t>
      </w:r>
      <w:r w:rsidR="00003A27">
        <w:rPr>
          <w:rFonts w:ascii="Courier New" w:hAnsi="Courier New" w:cs="Courier New"/>
        </w:rPr>
        <w:t>issued a Notice of Assessment (“NOA”) for tax yea</w:t>
      </w:r>
      <w:r w:rsidR="00AA2F5E">
        <w:rPr>
          <w:rFonts w:ascii="Courier New" w:hAnsi="Courier New" w:cs="Courier New"/>
        </w:rPr>
        <w:t xml:space="preserve">rs 2011 and 2012, assessing </w:t>
      </w:r>
      <w:r w:rsidR="00B87E2A">
        <w:rPr>
          <w:rFonts w:ascii="Courier New" w:hAnsi="Courier New" w:cs="Courier New"/>
        </w:rPr>
        <w:t xml:space="preserve">tax of </w:t>
      </w:r>
      <w:r w:rsidR="00AA2F5E" w:rsidRPr="00195251">
        <w:rPr>
          <w:rFonts w:ascii="Courier New" w:hAnsi="Courier New" w:cs="Courier New"/>
        </w:rPr>
        <w:t>$</w:t>
      </w:r>
      <w:r w:rsidR="00B87E2A">
        <w:rPr>
          <w:rFonts w:ascii="Courier New" w:hAnsi="Courier New" w:cs="Courier New"/>
        </w:rPr>
        <w:t>6,799</w:t>
      </w:r>
      <w:r w:rsidR="00195251">
        <w:rPr>
          <w:rFonts w:ascii="Courier New" w:hAnsi="Courier New" w:cs="Courier New"/>
        </w:rPr>
        <w:t xml:space="preserve">, plus </w:t>
      </w:r>
      <w:r w:rsidR="00195251">
        <w:rPr>
          <w:rFonts w:ascii="Courier New" w:hAnsi="Courier New" w:cs="Courier New"/>
        </w:rPr>
        <w:lastRenderedPageBreak/>
        <w:t>interest and pena</w:t>
      </w:r>
      <w:r w:rsidR="00285AB2">
        <w:rPr>
          <w:rFonts w:ascii="Courier New" w:hAnsi="Courier New" w:cs="Courier New"/>
        </w:rPr>
        <w:t>lties</w:t>
      </w:r>
      <w:r w:rsidR="00195251">
        <w:rPr>
          <w:rFonts w:ascii="Courier New" w:hAnsi="Courier New" w:cs="Courier New"/>
        </w:rPr>
        <w:t>,</w:t>
      </w:r>
      <w:r w:rsidR="00AA2F5E">
        <w:rPr>
          <w:rFonts w:ascii="Courier New" w:hAnsi="Courier New" w:cs="Courier New"/>
        </w:rPr>
        <w:t xml:space="preserve"> for tax year 2011 and </w:t>
      </w:r>
      <w:r w:rsidR="00B87E2A">
        <w:rPr>
          <w:rFonts w:ascii="Courier New" w:hAnsi="Courier New" w:cs="Courier New"/>
        </w:rPr>
        <w:t xml:space="preserve">tax of </w:t>
      </w:r>
      <w:r w:rsidR="00AA2F5E" w:rsidRPr="00195251">
        <w:rPr>
          <w:rFonts w:ascii="Courier New" w:hAnsi="Courier New" w:cs="Courier New"/>
        </w:rPr>
        <w:t>$</w:t>
      </w:r>
      <w:r w:rsidR="00B87E2A">
        <w:rPr>
          <w:rFonts w:ascii="Courier New" w:hAnsi="Courier New" w:cs="Courier New"/>
        </w:rPr>
        <w:t>3,365</w:t>
      </w:r>
      <w:r w:rsidR="00285AB2">
        <w:rPr>
          <w:rFonts w:ascii="Courier New" w:hAnsi="Courier New" w:cs="Courier New"/>
        </w:rPr>
        <w:t>, plus interest and penalties</w:t>
      </w:r>
      <w:r w:rsidR="00195251">
        <w:rPr>
          <w:rFonts w:ascii="Courier New" w:hAnsi="Courier New" w:cs="Courier New"/>
        </w:rPr>
        <w:t>,</w:t>
      </w:r>
      <w:r w:rsidR="00AA2F5E">
        <w:rPr>
          <w:rFonts w:ascii="Courier New" w:hAnsi="Courier New" w:cs="Courier New"/>
        </w:rPr>
        <w:t xml:space="preserve"> for tax year 2012</w:t>
      </w:r>
      <w:r>
        <w:rPr>
          <w:rFonts w:ascii="Courier New" w:hAnsi="Courier New" w:cs="Courier New"/>
        </w:rPr>
        <w:t xml:space="preserve">. </w:t>
      </w:r>
      <w:r w:rsidR="00003A27">
        <w:rPr>
          <w:rFonts w:ascii="Courier New" w:hAnsi="Courier New" w:cs="Courier New"/>
        </w:rPr>
        <w:t xml:space="preserve"> The appellant filed a </w:t>
      </w:r>
      <w:r w:rsidR="00070A5F">
        <w:rPr>
          <w:rFonts w:ascii="Courier New" w:hAnsi="Courier New" w:cs="Courier New"/>
        </w:rPr>
        <w:t xml:space="preserve">timely </w:t>
      </w:r>
      <w:r w:rsidR="00003A27">
        <w:rPr>
          <w:rFonts w:ascii="Courier New" w:hAnsi="Courier New" w:cs="Courier New"/>
        </w:rPr>
        <w:t>abatement application</w:t>
      </w:r>
      <w:r w:rsidR="00070A5F">
        <w:rPr>
          <w:rFonts w:ascii="Courier New" w:hAnsi="Courier New" w:cs="Courier New"/>
        </w:rPr>
        <w:t>, which was denied by the Commissioner</w:t>
      </w:r>
      <w:r w:rsidR="00D32747">
        <w:rPr>
          <w:rFonts w:ascii="Courier New" w:hAnsi="Courier New" w:cs="Courier New"/>
        </w:rPr>
        <w:t xml:space="preserve"> on February 27, 2016</w:t>
      </w:r>
      <w:r w:rsidR="00070A5F">
        <w:rPr>
          <w:rFonts w:ascii="Courier New" w:hAnsi="Courier New" w:cs="Courier New"/>
        </w:rPr>
        <w:t>, after a review by the Commissioner’s Office of Appeals</w:t>
      </w:r>
      <w:r w:rsidR="00D32747">
        <w:rPr>
          <w:rFonts w:ascii="Courier New" w:hAnsi="Courier New" w:cs="Courier New"/>
        </w:rPr>
        <w:t xml:space="preserve">. The appellant seasonably filed a Petition </w:t>
      </w:r>
      <w:proofErr w:type="gramStart"/>
      <w:r w:rsidR="00D32747">
        <w:rPr>
          <w:rFonts w:ascii="Courier New" w:hAnsi="Courier New" w:cs="Courier New"/>
        </w:rPr>
        <w:t>Under</w:t>
      </w:r>
      <w:proofErr w:type="gramEnd"/>
      <w:r w:rsidR="00D32747">
        <w:rPr>
          <w:rFonts w:ascii="Courier New" w:hAnsi="Courier New" w:cs="Courier New"/>
        </w:rPr>
        <w:t xml:space="preserve"> Formal Procedure with t</w:t>
      </w:r>
      <w:r w:rsidR="005F0D7D">
        <w:rPr>
          <w:rFonts w:ascii="Courier New" w:hAnsi="Courier New" w:cs="Courier New"/>
        </w:rPr>
        <w:t>he Board</w:t>
      </w:r>
      <w:r w:rsidR="00D32747">
        <w:rPr>
          <w:rFonts w:ascii="Courier New" w:hAnsi="Courier New" w:cs="Courier New"/>
        </w:rPr>
        <w:t xml:space="preserve"> by first-class mail bearing a postmark date of April 27, 2016.  On the basis of the </w:t>
      </w:r>
      <w:r w:rsidR="00285AB2">
        <w:rPr>
          <w:rFonts w:ascii="Courier New" w:hAnsi="Courier New" w:cs="Courier New"/>
        </w:rPr>
        <w:t>above facts</w:t>
      </w:r>
      <w:r w:rsidR="00D32747">
        <w:rPr>
          <w:rFonts w:ascii="Courier New" w:hAnsi="Courier New" w:cs="Courier New"/>
        </w:rPr>
        <w:t>, the Board found and ruled that it had jurisdiction to hear the appeal for tax years 2011 and 2012.</w:t>
      </w:r>
      <w:r w:rsidR="00A23A70">
        <w:rPr>
          <w:rFonts w:ascii="Courier New" w:hAnsi="Courier New" w:cs="Courier New"/>
        </w:rPr>
        <w:t xml:space="preserve">  </w:t>
      </w:r>
    </w:p>
    <w:p w14:paraId="59AD7CD0" w14:textId="261616C5" w:rsidR="00FE5023" w:rsidRDefault="005F0D7D" w:rsidP="002A5C92">
      <w:pPr>
        <w:spacing w:line="480" w:lineRule="auto"/>
        <w:ind w:firstLine="720"/>
        <w:jc w:val="both"/>
        <w:rPr>
          <w:rFonts w:ascii="Courier New" w:hAnsi="Courier New" w:cs="Courier New"/>
        </w:rPr>
      </w:pPr>
      <w:r>
        <w:rPr>
          <w:rFonts w:ascii="Courier New" w:hAnsi="Courier New" w:cs="Courier New"/>
        </w:rPr>
        <w:t>At an</w:t>
      </w:r>
      <w:r w:rsidR="000C47CD">
        <w:rPr>
          <w:rFonts w:ascii="Courier New" w:hAnsi="Courier New" w:cs="Courier New"/>
        </w:rPr>
        <w:t xml:space="preserve"> </w:t>
      </w:r>
      <w:r w:rsidR="00725EE6">
        <w:rPr>
          <w:rFonts w:ascii="Courier New" w:hAnsi="Courier New" w:cs="Courier New"/>
        </w:rPr>
        <w:t xml:space="preserve">initial </w:t>
      </w:r>
      <w:r w:rsidR="000C47CD">
        <w:rPr>
          <w:rFonts w:ascii="Courier New" w:hAnsi="Courier New" w:cs="Courier New"/>
        </w:rPr>
        <w:t>hearing</w:t>
      </w:r>
      <w:r w:rsidR="00B74D2F">
        <w:rPr>
          <w:rFonts w:ascii="Courier New" w:hAnsi="Courier New" w:cs="Courier New"/>
        </w:rPr>
        <w:t xml:space="preserve"> before the Board</w:t>
      </w:r>
      <w:r w:rsidR="005B501F">
        <w:rPr>
          <w:rFonts w:ascii="Courier New" w:hAnsi="Courier New" w:cs="Courier New"/>
        </w:rPr>
        <w:t xml:space="preserve"> o</w:t>
      </w:r>
      <w:r w:rsidR="00B54896">
        <w:rPr>
          <w:rFonts w:ascii="Courier New" w:hAnsi="Courier New" w:cs="Courier New"/>
        </w:rPr>
        <w:t>n June</w:t>
      </w:r>
      <w:r w:rsidR="005B501F">
        <w:rPr>
          <w:rFonts w:ascii="Courier New" w:hAnsi="Courier New" w:cs="Courier New"/>
        </w:rPr>
        <w:t xml:space="preserve"> 12</w:t>
      </w:r>
      <w:r w:rsidR="00B54896">
        <w:rPr>
          <w:rFonts w:ascii="Courier New" w:hAnsi="Courier New" w:cs="Courier New"/>
        </w:rPr>
        <w:t>, 2017</w:t>
      </w:r>
      <w:r w:rsidR="000C47CD">
        <w:rPr>
          <w:rFonts w:ascii="Courier New" w:hAnsi="Courier New" w:cs="Courier New"/>
        </w:rPr>
        <w:t xml:space="preserve">, </w:t>
      </w:r>
      <w:r w:rsidR="000C47CD" w:rsidRPr="00DF0C47">
        <w:rPr>
          <w:rFonts w:ascii="Courier New" w:hAnsi="Courier New" w:cs="Courier New"/>
        </w:rPr>
        <w:t>the appellant</w:t>
      </w:r>
      <w:r w:rsidR="00511B31">
        <w:rPr>
          <w:rFonts w:ascii="Courier New" w:hAnsi="Courier New" w:cs="Courier New"/>
        </w:rPr>
        <w:t xml:space="preserve"> produced</w:t>
      </w:r>
      <w:r w:rsidR="005E3F22" w:rsidRPr="00DF0C47">
        <w:rPr>
          <w:rFonts w:ascii="Courier New" w:hAnsi="Courier New" w:cs="Courier New"/>
        </w:rPr>
        <w:t xml:space="preserve"> receipts</w:t>
      </w:r>
      <w:r w:rsidR="005E3F22">
        <w:rPr>
          <w:rFonts w:ascii="Courier New" w:hAnsi="Courier New" w:cs="Courier New"/>
        </w:rPr>
        <w:t xml:space="preserve"> </w:t>
      </w:r>
      <w:r w:rsidR="00511B31">
        <w:rPr>
          <w:rFonts w:ascii="Courier New" w:hAnsi="Courier New" w:cs="Courier New"/>
        </w:rPr>
        <w:t>related t</w:t>
      </w:r>
      <w:r w:rsidR="00E60100">
        <w:rPr>
          <w:rFonts w:ascii="Courier New" w:hAnsi="Courier New" w:cs="Courier New"/>
        </w:rPr>
        <w:t>o the purchase of cigars</w:t>
      </w:r>
      <w:r w:rsidR="00511B31">
        <w:rPr>
          <w:rFonts w:ascii="Courier New" w:hAnsi="Courier New" w:cs="Courier New"/>
        </w:rPr>
        <w:t xml:space="preserve"> </w:t>
      </w:r>
      <w:r w:rsidR="005E3F22">
        <w:rPr>
          <w:rFonts w:ascii="Courier New" w:hAnsi="Courier New" w:cs="Courier New"/>
        </w:rPr>
        <w:t>in an attempt</w:t>
      </w:r>
      <w:r w:rsidR="000C47CD">
        <w:rPr>
          <w:rFonts w:ascii="Courier New" w:hAnsi="Courier New" w:cs="Courier New"/>
        </w:rPr>
        <w:t xml:space="preserve"> to substantiate his claimed</w:t>
      </w:r>
      <w:r w:rsidR="00511B31">
        <w:rPr>
          <w:rFonts w:ascii="Courier New" w:hAnsi="Courier New" w:cs="Courier New"/>
        </w:rPr>
        <w:t xml:space="preserve"> Schedule C business expenses.  </w:t>
      </w:r>
      <w:r w:rsidR="00F228C9">
        <w:rPr>
          <w:rFonts w:ascii="Courier New" w:hAnsi="Courier New" w:cs="Courier New"/>
        </w:rPr>
        <w:t xml:space="preserve">The appellant also testified that, prior to the </w:t>
      </w:r>
      <w:proofErr w:type="gramStart"/>
      <w:r w:rsidR="00F228C9">
        <w:rPr>
          <w:rFonts w:ascii="Courier New" w:hAnsi="Courier New" w:cs="Courier New"/>
        </w:rPr>
        <w:t>assessment,</w:t>
      </w:r>
      <w:proofErr w:type="gramEnd"/>
      <w:r w:rsidR="00F228C9">
        <w:rPr>
          <w:rFonts w:ascii="Courier New" w:hAnsi="Courier New" w:cs="Courier New"/>
        </w:rPr>
        <w:t xml:space="preserve"> he had requested an in-person hearing </w:t>
      </w:r>
      <w:r w:rsidR="00854BCE">
        <w:rPr>
          <w:rFonts w:ascii="Courier New" w:hAnsi="Courier New" w:cs="Courier New"/>
        </w:rPr>
        <w:t xml:space="preserve">with the Commissioner’s Office of Appeals </w:t>
      </w:r>
      <w:r w:rsidR="00F228C9">
        <w:rPr>
          <w:rFonts w:ascii="Courier New" w:hAnsi="Courier New" w:cs="Courier New"/>
        </w:rPr>
        <w:t xml:space="preserve">to support his deductions but that he was denied a pre-assessment hearing. </w:t>
      </w:r>
      <w:r w:rsidR="00312904">
        <w:rPr>
          <w:rFonts w:ascii="Courier New" w:hAnsi="Courier New" w:cs="Courier New"/>
        </w:rPr>
        <w:t>Based on the</w:t>
      </w:r>
      <w:r w:rsidR="00511B31">
        <w:rPr>
          <w:rFonts w:ascii="Courier New" w:hAnsi="Courier New" w:cs="Courier New"/>
        </w:rPr>
        <w:t xml:space="preserve"> </w:t>
      </w:r>
      <w:r w:rsidR="00F228C9">
        <w:rPr>
          <w:rFonts w:ascii="Courier New" w:hAnsi="Courier New" w:cs="Courier New"/>
        </w:rPr>
        <w:t xml:space="preserve">appellant’s </w:t>
      </w:r>
      <w:r w:rsidR="00511B31">
        <w:rPr>
          <w:rFonts w:ascii="Courier New" w:hAnsi="Courier New" w:cs="Courier New"/>
        </w:rPr>
        <w:t>submission</w:t>
      </w:r>
      <w:r w:rsidR="00F228C9">
        <w:rPr>
          <w:rFonts w:ascii="Courier New" w:hAnsi="Courier New" w:cs="Courier New"/>
        </w:rPr>
        <w:t xml:space="preserve"> of evidence</w:t>
      </w:r>
      <w:r w:rsidR="00FE5023">
        <w:rPr>
          <w:rFonts w:ascii="Courier New" w:hAnsi="Courier New" w:cs="Courier New"/>
        </w:rPr>
        <w:t xml:space="preserve">, the Board </w:t>
      </w:r>
      <w:r w:rsidR="007C27A0">
        <w:rPr>
          <w:rFonts w:ascii="Courier New" w:hAnsi="Courier New" w:cs="Courier New"/>
        </w:rPr>
        <w:t>ordered that the Comm</w:t>
      </w:r>
      <w:r w:rsidR="00312904">
        <w:rPr>
          <w:rFonts w:ascii="Courier New" w:hAnsi="Courier New" w:cs="Courier New"/>
        </w:rPr>
        <w:t>issioner examine the submission</w:t>
      </w:r>
      <w:r w:rsidR="001A6A3A">
        <w:rPr>
          <w:rFonts w:ascii="Courier New" w:hAnsi="Courier New" w:cs="Courier New"/>
        </w:rPr>
        <w:t>,</w:t>
      </w:r>
      <w:r w:rsidR="00312904">
        <w:rPr>
          <w:rFonts w:ascii="Courier New" w:hAnsi="Courier New" w:cs="Courier New"/>
        </w:rPr>
        <w:t xml:space="preserve"> and</w:t>
      </w:r>
      <w:r w:rsidR="007C27A0">
        <w:rPr>
          <w:rFonts w:ascii="Courier New" w:hAnsi="Courier New" w:cs="Courier New"/>
        </w:rPr>
        <w:t xml:space="preserve"> that </w:t>
      </w:r>
      <w:r w:rsidR="00F000B5">
        <w:rPr>
          <w:rFonts w:ascii="Courier New" w:hAnsi="Courier New" w:cs="Courier New"/>
        </w:rPr>
        <w:t xml:space="preserve">the hearing be </w:t>
      </w:r>
      <w:r w:rsidR="00B54896">
        <w:rPr>
          <w:rFonts w:ascii="Courier New" w:hAnsi="Courier New" w:cs="Courier New"/>
        </w:rPr>
        <w:t>continued to September</w:t>
      </w:r>
      <w:r w:rsidR="0037140A">
        <w:rPr>
          <w:rFonts w:ascii="Courier New" w:hAnsi="Courier New" w:cs="Courier New"/>
        </w:rPr>
        <w:t xml:space="preserve"> 18, 2017</w:t>
      </w:r>
      <w:r w:rsidR="007B66F0">
        <w:rPr>
          <w:rFonts w:ascii="Courier New" w:hAnsi="Courier New" w:cs="Courier New"/>
        </w:rPr>
        <w:t xml:space="preserve">.  </w:t>
      </w:r>
    </w:p>
    <w:p w14:paraId="77F60DB8" w14:textId="2C114C04" w:rsidR="009C552B" w:rsidRDefault="00FE5023" w:rsidP="009C552B">
      <w:pPr>
        <w:spacing w:line="480" w:lineRule="auto"/>
        <w:ind w:firstLine="720"/>
        <w:jc w:val="both"/>
        <w:rPr>
          <w:rFonts w:ascii="Courier New" w:hAnsi="Courier New" w:cs="Courier New"/>
        </w:rPr>
      </w:pPr>
      <w:r>
        <w:rPr>
          <w:rFonts w:ascii="Courier New" w:hAnsi="Courier New" w:cs="Courier New"/>
        </w:rPr>
        <w:t>At the</w:t>
      </w:r>
      <w:r w:rsidR="00B54896">
        <w:rPr>
          <w:rFonts w:ascii="Courier New" w:hAnsi="Courier New" w:cs="Courier New"/>
        </w:rPr>
        <w:t xml:space="preserve"> resumption of the </w:t>
      </w:r>
      <w:r w:rsidR="00075EB8">
        <w:rPr>
          <w:rFonts w:ascii="Courier New" w:hAnsi="Courier New" w:cs="Courier New"/>
        </w:rPr>
        <w:t>hearing</w:t>
      </w:r>
      <w:r w:rsidR="000A2BBF">
        <w:rPr>
          <w:rFonts w:ascii="Courier New" w:hAnsi="Courier New" w:cs="Courier New"/>
        </w:rPr>
        <w:t>, t</w:t>
      </w:r>
      <w:r w:rsidR="005C5B7F">
        <w:rPr>
          <w:rFonts w:ascii="Courier New" w:hAnsi="Courier New" w:cs="Courier New"/>
        </w:rPr>
        <w:t>he appellant</w:t>
      </w:r>
      <w:r w:rsidR="00F228C9">
        <w:rPr>
          <w:rFonts w:ascii="Courier New" w:hAnsi="Courier New" w:cs="Courier New"/>
        </w:rPr>
        <w:t xml:space="preserve"> again</w:t>
      </w:r>
      <w:r w:rsidR="005C5B7F">
        <w:rPr>
          <w:rFonts w:ascii="Courier New" w:hAnsi="Courier New" w:cs="Courier New"/>
        </w:rPr>
        <w:t xml:space="preserve"> testified that</w:t>
      </w:r>
      <w:r w:rsidR="001308CE">
        <w:rPr>
          <w:rFonts w:ascii="Courier New" w:hAnsi="Courier New" w:cs="Courier New"/>
        </w:rPr>
        <w:t xml:space="preserve">, </w:t>
      </w:r>
      <w:r w:rsidR="001308CE" w:rsidRPr="00F228C9">
        <w:rPr>
          <w:rFonts w:ascii="Courier New" w:hAnsi="Courier New" w:cs="Courier New"/>
        </w:rPr>
        <w:t>before the assessment</w:t>
      </w:r>
      <w:r w:rsidR="001308CE">
        <w:rPr>
          <w:rFonts w:ascii="Courier New" w:hAnsi="Courier New" w:cs="Courier New"/>
        </w:rPr>
        <w:t>,</w:t>
      </w:r>
      <w:r w:rsidR="005C5B7F">
        <w:rPr>
          <w:rFonts w:ascii="Courier New" w:hAnsi="Courier New" w:cs="Courier New"/>
        </w:rPr>
        <w:t xml:space="preserve"> </w:t>
      </w:r>
      <w:r w:rsidR="00467C9E" w:rsidRPr="00985FA2">
        <w:rPr>
          <w:rFonts w:ascii="Courier New" w:hAnsi="Courier New" w:cs="Courier New"/>
        </w:rPr>
        <w:t xml:space="preserve">he had requested an in-person hearing </w:t>
      </w:r>
      <w:r w:rsidR="00075EB8" w:rsidRPr="00985FA2">
        <w:rPr>
          <w:rFonts w:ascii="Courier New" w:hAnsi="Courier New" w:cs="Courier New"/>
        </w:rPr>
        <w:t xml:space="preserve">to </w:t>
      </w:r>
      <w:r w:rsidR="005851CB" w:rsidRPr="00985FA2">
        <w:rPr>
          <w:rFonts w:ascii="Courier New" w:hAnsi="Courier New" w:cs="Courier New"/>
        </w:rPr>
        <w:t xml:space="preserve">support the deductions based on his </w:t>
      </w:r>
      <w:r w:rsidR="005851CB" w:rsidRPr="00985FA2">
        <w:rPr>
          <w:rFonts w:ascii="Courier New" w:hAnsi="Courier New" w:cs="Courier New"/>
        </w:rPr>
        <w:lastRenderedPageBreak/>
        <w:t>receipts</w:t>
      </w:r>
      <w:r w:rsidR="009C552B">
        <w:rPr>
          <w:rFonts w:ascii="Courier New" w:hAnsi="Courier New" w:cs="Courier New"/>
        </w:rPr>
        <w:t xml:space="preserve"> but </w:t>
      </w:r>
      <w:r w:rsidR="00F000B5">
        <w:rPr>
          <w:rFonts w:ascii="Courier New" w:hAnsi="Courier New" w:cs="Courier New"/>
        </w:rPr>
        <w:t>that</w:t>
      </w:r>
      <w:r w:rsidR="005851CB">
        <w:rPr>
          <w:rFonts w:ascii="Courier New" w:hAnsi="Courier New" w:cs="Courier New"/>
        </w:rPr>
        <w:t xml:space="preserve"> </w:t>
      </w:r>
      <w:r w:rsidR="00854BCE">
        <w:rPr>
          <w:rFonts w:ascii="Courier New" w:hAnsi="Courier New" w:cs="Courier New"/>
        </w:rPr>
        <w:t>Lori</w:t>
      </w:r>
      <w:r w:rsidR="003A0A40">
        <w:rPr>
          <w:rFonts w:ascii="Courier New" w:hAnsi="Courier New" w:cs="Courier New"/>
        </w:rPr>
        <w:t xml:space="preserve"> </w:t>
      </w:r>
      <w:proofErr w:type="spellStart"/>
      <w:r w:rsidR="003A0A40">
        <w:rPr>
          <w:rFonts w:ascii="Courier New" w:hAnsi="Courier New" w:cs="Courier New"/>
        </w:rPr>
        <w:t>Paci</w:t>
      </w:r>
      <w:proofErr w:type="spellEnd"/>
      <w:r w:rsidR="003A0A40">
        <w:rPr>
          <w:rFonts w:ascii="Courier New" w:hAnsi="Courier New" w:cs="Courier New"/>
        </w:rPr>
        <w:t>, a field officer with the Commissioner’s Office of Appeals, denied him an in-person</w:t>
      </w:r>
      <w:r w:rsidR="00985FA2">
        <w:rPr>
          <w:rFonts w:ascii="Courier New" w:hAnsi="Courier New" w:cs="Courier New"/>
        </w:rPr>
        <w:t xml:space="preserve"> hearing</w:t>
      </w:r>
      <w:r w:rsidR="00F228C9">
        <w:rPr>
          <w:rFonts w:ascii="Courier New" w:hAnsi="Courier New" w:cs="Courier New"/>
        </w:rPr>
        <w:t xml:space="preserve">.  She </w:t>
      </w:r>
      <w:r w:rsidR="00985FA2">
        <w:rPr>
          <w:rFonts w:ascii="Courier New" w:hAnsi="Courier New" w:cs="Courier New"/>
        </w:rPr>
        <w:t>instead scheduled</w:t>
      </w:r>
      <w:r w:rsidR="003A0A40">
        <w:rPr>
          <w:rFonts w:ascii="Courier New" w:hAnsi="Courier New" w:cs="Courier New"/>
        </w:rPr>
        <w:t xml:space="preserve"> a telephonic hearing.  </w:t>
      </w:r>
      <w:r w:rsidR="008F3F62">
        <w:rPr>
          <w:rFonts w:ascii="Courier New" w:hAnsi="Courier New" w:cs="Courier New"/>
        </w:rPr>
        <w:t>When</w:t>
      </w:r>
      <w:r w:rsidR="009C552B">
        <w:rPr>
          <w:rFonts w:ascii="Courier New" w:hAnsi="Courier New" w:cs="Courier New"/>
        </w:rPr>
        <w:t xml:space="preserve"> </w:t>
      </w:r>
      <w:r w:rsidR="007B66F0">
        <w:rPr>
          <w:rFonts w:ascii="Courier New" w:hAnsi="Courier New" w:cs="Courier New"/>
        </w:rPr>
        <w:t xml:space="preserve">Ms. </w:t>
      </w:r>
      <w:proofErr w:type="spellStart"/>
      <w:r w:rsidR="007B66F0">
        <w:rPr>
          <w:rFonts w:ascii="Courier New" w:hAnsi="Courier New" w:cs="Courier New"/>
        </w:rPr>
        <w:t>Paci</w:t>
      </w:r>
      <w:proofErr w:type="spellEnd"/>
      <w:r w:rsidR="007B66F0">
        <w:rPr>
          <w:rFonts w:ascii="Courier New" w:hAnsi="Courier New" w:cs="Courier New"/>
        </w:rPr>
        <w:t xml:space="preserve"> </w:t>
      </w:r>
      <w:r w:rsidR="003A0A40">
        <w:rPr>
          <w:rFonts w:ascii="Courier New" w:hAnsi="Courier New" w:cs="Courier New"/>
        </w:rPr>
        <w:t>testified</w:t>
      </w:r>
      <w:r w:rsidR="008F3F62">
        <w:rPr>
          <w:rFonts w:ascii="Courier New" w:hAnsi="Courier New" w:cs="Courier New"/>
        </w:rPr>
        <w:t xml:space="preserve"> next</w:t>
      </w:r>
      <w:r w:rsidR="009C552B">
        <w:rPr>
          <w:rFonts w:ascii="Courier New" w:hAnsi="Courier New" w:cs="Courier New"/>
        </w:rPr>
        <w:t xml:space="preserve">, </w:t>
      </w:r>
      <w:r w:rsidR="008F3F62">
        <w:rPr>
          <w:rFonts w:ascii="Courier New" w:hAnsi="Courier New" w:cs="Courier New"/>
        </w:rPr>
        <w:t>she explained</w:t>
      </w:r>
      <w:r w:rsidR="00F475C1">
        <w:rPr>
          <w:rFonts w:ascii="Courier New" w:hAnsi="Courier New" w:cs="Courier New"/>
        </w:rPr>
        <w:t xml:space="preserve"> that she</w:t>
      </w:r>
      <w:r w:rsidR="00985FA2">
        <w:rPr>
          <w:rFonts w:ascii="Courier New" w:hAnsi="Courier New" w:cs="Courier New"/>
        </w:rPr>
        <w:t xml:space="preserve"> had</w:t>
      </w:r>
      <w:r w:rsidR="00F475C1">
        <w:rPr>
          <w:rFonts w:ascii="Courier New" w:hAnsi="Courier New" w:cs="Courier New"/>
        </w:rPr>
        <w:t xml:space="preserve"> scheduled a telephonic</w:t>
      </w:r>
      <w:r w:rsidR="00257589">
        <w:rPr>
          <w:rFonts w:ascii="Courier New" w:hAnsi="Courier New" w:cs="Courier New"/>
        </w:rPr>
        <w:t xml:space="preserve"> </w:t>
      </w:r>
      <w:r w:rsidR="00985FA2">
        <w:rPr>
          <w:rFonts w:ascii="Courier New" w:hAnsi="Courier New" w:cs="Courier New"/>
        </w:rPr>
        <w:t>hearing</w:t>
      </w:r>
      <w:r w:rsidR="00257589">
        <w:rPr>
          <w:rFonts w:ascii="Courier New" w:hAnsi="Courier New" w:cs="Courier New"/>
        </w:rPr>
        <w:t xml:space="preserve"> for the appellant,</w:t>
      </w:r>
      <w:r w:rsidR="00985FA2">
        <w:rPr>
          <w:rFonts w:ascii="Courier New" w:hAnsi="Courier New" w:cs="Courier New"/>
        </w:rPr>
        <w:t xml:space="preserve"> assuming</w:t>
      </w:r>
      <w:r w:rsidR="007B66F0">
        <w:rPr>
          <w:rFonts w:ascii="Courier New" w:hAnsi="Courier New" w:cs="Courier New"/>
        </w:rPr>
        <w:t xml:space="preserve"> that this </w:t>
      </w:r>
      <w:r w:rsidR="00985FA2">
        <w:rPr>
          <w:rFonts w:ascii="Courier New" w:hAnsi="Courier New" w:cs="Courier New"/>
        </w:rPr>
        <w:t>would be m</w:t>
      </w:r>
      <w:r w:rsidR="00257589">
        <w:rPr>
          <w:rFonts w:ascii="Courier New" w:hAnsi="Courier New" w:cs="Courier New"/>
        </w:rPr>
        <w:t>ore convenient for him</w:t>
      </w:r>
      <w:r w:rsidR="007B66F0">
        <w:rPr>
          <w:rFonts w:ascii="Courier New" w:hAnsi="Courier New" w:cs="Courier New"/>
        </w:rPr>
        <w:t xml:space="preserve">, </w:t>
      </w:r>
      <w:r w:rsidR="005F0D7D">
        <w:rPr>
          <w:rFonts w:ascii="Courier New" w:hAnsi="Courier New" w:cs="Courier New"/>
        </w:rPr>
        <w:t xml:space="preserve">rather than requiring him to drive from his home in </w:t>
      </w:r>
      <w:r w:rsidR="00257589">
        <w:rPr>
          <w:rFonts w:ascii="Courier New" w:hAnsi="Courier New" w:cs="Courier New"/>
        </w:rPr>
        <w:t>Springfield</w:t>
      </w:r>
      <w:r w:rsidR="005F0D7D">
        <w:rPr>
          <w:rFonts w:ascii="Courier New" w:hAnsi="Courier New" w:cs="Courier New"/>
        </w:rPr>
        <w:t xml:space="preserve"> for a hearing in</w:t>
      </w:r>
      <w:r w:rsidR="007B66F0">
        <w:rPr>
          <w:rFonts w:ascii="Courier New" w:hAnsi="Courier New" w:cs="Courier New"/>
        </w:rPr>
        <w:t xml:space="preserve"> Boston</w:t>
      </w:r>
      <w:r w:rsidR="003A0A40">
        <w:rPr>
          <w:rFonts w:ascii="Courier New" w:hAnsi="Courier New" w:cs="Courier New"/>
        </w:rPr>
        <w:t>.</w:t>
      </w:r>
      <w:r w:rsidR="00B45F9A">
        <w:rPr>
          <w:rFonts w:ascii="Courier New" w:hAnsi="Courier New" w:cs="Courier New"/>
        </w:rPr>
        <w:t xml:space="preserve">  </w:t>
      </w:r>
    </w:p>
    <w:p w14:paraId="3AB0E6EA" w14:textId="68303796" w:rsidR="00006EE3" w:rsidRDefault="001A6A3A" w:rsidP="002A5C92">
      <w:pPr>
        <w:spacing w:line="480" w:lineRule="auto"/>
        <w:ind w:firstLine="720"/>
        <w:jc w:val="both"/>
        <w:rPr>
          <w:rFonts w:ascii="Courier New" w:hAnsi="Courier New" w:cs="Courier New"/>
        </w:rPr>
      </w:pPr>
      <w:r>
        <w:rPr>
          <w:rFonts w:ascii="Courier New" w:hAnsi="Courier New" w:cs="Courier New"/>
        </w:rPr>
        <w:t>T</w:t>
      </w:r>
      <w:r w:rsidR="007B66F0">
        <w:rPr>
          <w:rFonts w:ascii="Courier New" w:hAnsi="Courier New" w:cs="Courier New"/>
        </w:rPr>
        <w:t xml:space="preserve">he Board </w:t>
      </w:r>
      <w:r>
        <w:rPr>
          <w:rFonts w:ascii="Courier New" w:hAnsi="Courier New" w:cs="Courier New"/>
        </w:rPr>
        <w:t xml:space="preserve">next </w:t>
      </w:r>
      <w:r w:rsidR="007B66F0">
        <w:rPr>
          <w:rFonts w:ascii="Courier New" w:hAnsi="Courier New" w:cs="Courier New"/>
        </w:rPr>
        <w:t xml:space="preserve">heard testimony from Robert Allard, a tax auditor within the Massachusetts Department of Revenue’s Litigation Bureau.  </w:t>
      </w:r>
      <w:r w:rsidR="006C4C27">
        <w:rPr>
          <w:rFonts w:ascii="Courier New" w:hAnsi="Courier New" w:cs="Courier New"/>
        </w:rPr>
        <w:t xml:space="preserve">Mr. Allard explained that in </w:t>
      </w:r>
      <w:r w:rsidR="00014E29">
        <w:rPr>
          <w:rFonts w:ascii="Courier New" w:hAnsi="Courier New" w:cs="Courier New"/>
        </w:rPr>
        <w:t xml:space="preserve">his position, he reviews taxpayer audits after they have been completed, when the case is at the litigation stage.  </w:t>
      </w:r>
      <w:r w:rsidR="00345228">
        <w:rPr>
          <w:rFonts w:ascii="Courier New" w:hAnsi="Courier New" w:cs="Courier New"/>
        </w:rPr>
        <w:t>Mr. Allard testified that he reviewed the appellant’s receipts for tax years 2011 and 2012</w:t>
      </w:r>
      <w:r>
        <w:rPr>
          <w:rFonts w:ascii="Courier New" w:hAnsi="Courier New" w:cs="Courier New"/>
        </w:rPr>
        <w:t xml:space="preserve"> that had been provided at the initial hearing on June 12, 2017</w:t>
      </w:r>
      <w:r w:rsidR="005E3F22">
        <w:rPr>
          <w:rFonts w:ascii="Courier New" w:hAnsi="Courier New" w:cs="Courier New"/>
        </w:rPr>
        <w:t>.  He t</w:t>
      </w:r>
      <w:r w:rsidR="00081A0B">
        <w:rPr>
          <w:rFonts w:ascii="Courier New" w:hAnsi="Courier New" w:cs="Courier New"/>
        </w:rPr>
        <w:t xml:space="preserve">estified </w:t>
      </w:r>
      <w:r w:rsidR="00312904">
        <w:rPr>
          <w:rFonts w:ascii="Courier New" w:hAnsi="Courier New" w:cs="Courier New"/>
        </w:rPr>
        <w:t>that</w:t>
      </w:r>
      <w:r w:rsidR="00081A0B">
        <w:rPr>
          <w:rFonts w:ascii="Courier New" w:hAnsi="Courier New" w:cs="Courier New"/>
        </w:rPr>
        <w:t xml:space="preserve"> for the majority of </w:t>
      </w:r>
      <w:r w:rsidR="00984146">
        <w:rPr>
          <w:rFonts w:ascii="Courier New" w:hAnsi="Courier New" w:cs="Courier New"/>
        </w:rPr>
        <w:t xml:space="preserve">the appellant’s claimed </w:t>
      </w:r>
      <w:r w:rsidR="00081A0B">
        <w:rPr>
          <w:rFonts w:ascii="Courier New" w:hAnsi="Courier New" w:cs="Courier New"/>
        </w:rPr>
        <w:t xml:space="preserve">Schedule C </w:t>
      </w:r>
      <w:r w:rsidR="00070A5F">
        <w:rPr>
          <w:rFonts w:ascii="Courier New" w:hAnsi="Courier New" w:cs="Courier New"/>
        </w:rPr>
        <w:t xml:space="preserve">business </w:t>
      </w:r>
      <w:r w:rsidR="00081A0B">
        <w:rPr>
          <w:rFonts w:ascii="Courier New" w:hAnsi="Courier New" w:cs="Courier New"/>
        </w:rPr>
        <w:t>exp</w:t>
      </w:r>
      <w:r w:rsidR="00984146">
        <w:rPr>
          <w:rFonts w:ascii="Courier New" w:hAnsi="Courier New" w:cs="Courier New"/>
        </w:rPr>
        <w:t>enses</w:t>
      </w:r>
      <w:r w:rsidR="005E3F22">
        <w:rPr>
          <w:rFonts w:ascii="Courier New" w:hAnsi="Courier New" w:cs="Courier New"/>
        </w:rPr>
        <w:t xml:space="preserve">, the appellant had failed to </w:t>
      </w:r>
      <w:r w:rsidR="00D06AC3">
        <w:rPr>
          <w:rFonts w:ascii="Courier New" w:hAnsi="Courier New" w:cs="Courier New"/>
        </w:rPr>
        <w:t xml:space="preserve">identify a business purpose for the expenses, failed to </w:t>
      </w:r>
      <w:r w:rsidR="005E3F22">
        <w:rPr>
          <w:rFonts w:ascii="Courier New" w:hAnsi="Courier New" w:cs="Courier New"/>
        </w:rPr>
        <w:t>identify which expenses belonged to which business, and failed to reconcile the expenses with the amounts reported on his Forms 1.</w:t>
      </w:r>
      <w:r w:rsidR="00006EE3">
        <w:rPr>
          <w:rFonts w:ascii="Courier New" w:hAnsi="Courier New" w:cs="Courier New"/>
        </w:rPr>
        <w:t xml:space="preserve">  </w:t>
      </w:r>
    </w:p>
    <w:p w14:paraId="1CA2DC8A" w14:textId="3A7427A8" w:rsidR="006555CE" w:rsidRDefault="005E3F22" w:rsidP="0072461B">
      <w:pPr>
        <w:spacing w:line="480" w:lineRule="auto"/>
        <w:ind w:firstLine="720"/>
        <w:jc w:val="both"/>
        <w:rPr>
          <w:rFonts w:ascii="Courier New" w:hAnsi="Courier New" w:cs="Courier New"/>
        </w:rPr>
      </w:pPr>
      <w:r>
        <w:rPr>
          <w:rFonts w:ascii="Courier New" w:hAnsi="Courier New" w:cs="Courier New"/>
        </w:rPr>
        <w:t>However</w:t>
      </w:r>
      <w:r w:rsidR="00345228">
        <w:rPr>
          <w:rFonts w:ascii="Courier New" w:hAnsi="Courier New" w:cs="Courier New"/>
        </w:rPr>
        <w:t xml:space="preserve">, </w:t>
      </w:r>
      <w:r w:rsidR="006C4C27">
        <w:rPr>
          <w:rFonts w:ascii="Courier New" w:hAnsi="Courier New" w:cs="Courier New"/>
        </w:rPr>
        <w:t>upon review</w:t>
      </w:r>
      <w:r w:rsidR="0072461B">
        <w:rPr>
          <w:rFonts w:ascii="Courier New" w:hAnsi="Courier New" w:cs="Courier New"/>
        </w:rPr>
        <w:t xml:space="preserve"> during the hearing recess</w:t>
      </w:r>
      <w:r w:rsidR="006C4C27">
        <w:rPr>
          <w:rFonts w:ascii="Courier New" w:hAnsi="Courier New" w:cs="Courier New"/>
        </w:rPr>
        <w:t xml:space="preserve">, </w:t>
      </w:r>
      <w:r>
        <w:rPr>
          <w:rFonts w:ascii="Courier New" w:hAnsi="Courier New" w:cs="Courier New"/>
        </w:rPr>
        <w:t>Mr.</w:t>
      </w:r>
      <w:r w:rsidR="003D1C4C">
        <w:rPr>
          <w:rFonts w:ascii="Courier New" w:hAnsi="Courier New" w:cs="Courier New"/>
        </w:rPr>
        <w:t> </w:t>
      </w:r>
      <w:r>
        <w:rPr>
          <w:rFonts w:ascii="Courier New" w:hAnsi="Courier New" w:cs="Courier New"/>
        </w:rPr>
        <w:t>Allard</w:t>
      </w:r>
      <w:r w:rsidR="00301727">
        <w:rPr>
          <w:rFonts w:ascii="Courier New" w:hAnsi="Courier New" w:cs="Courier New"/>
        </w:rPr>
        <w:t xml:space="preserve"> testifi</w:t>
      </w:r>
      <w:r w:rsidR="00345228">
        <w:rPr>
          <w:rFonts w:ascii="Courier New" w:hAnsi="Courier New" w:cs="Courier New"/>
        </w:rPr>
        <w:t xml:space="preserve">ed that there were receipts sufficient to </w:t>
      </w:r>
      <w:r w:rsidR="00345228">
        <w:rPr>
          <w:rFonts w:ascii="Courier New" w:hAnsi="Courier New" w:cs="Courier New"/>
        </w:rPr>
        <w:lastRenderedPageBreak/>
        <w:t xml:space="preserve">support </w:t>
      </w:r>
      <w:r w:rsidR="005F0D7D">
        <w:rPr>
          <w:rFonts w:ascii="Courier New" w:hAnsi="Courier New" w:cs="Courier New"/>
        </w:rPr>
        <w:t>about 30 percent</w:t>
      </w:r>
      <w:r w:rsidR="00345228">
        <w:rPr>
          <w:rFonts w:ascii="Courier New" w:hAnsi="Courier New" w:cs="Courier New"/>
        </w:rPr>
        <w:t xml:space="preserve"> of the claimed expenses</w:t>
      </w:r>
      <w:r w:rsidR="005F0D7D">
        <w:rPr>
          <w:rFonts w:ascii="Courier New" w:hAnsi="Courier New" w:cs="Courier New"/>
        </w:rPr>
        <w:t xml:space="preserve"> for </w:t>
      </w:r>
      <w:r w:rsidR="007C4EE9">
        <w:rPr>
          <w:rFonts w:ascii="Courier New" w:hAnsi="Courier New" w:cs="Courier New"/>
        </w:rPr>
        <w:t>tax years</w:t>
      </w:r>
      <w:r w:rsidR="005F0D7D">
        <w:rPr>
          <w:rFonts w:ascii="Courier New" w:hAnsi="Courier New" w:cs="Courier New"/>
        </w:rPr>
        <w:t xml:space="preserve"> 2011 and 2012</w:t>
      </w:r>
      <w:r w:rsidR="00301727">
        <w:rPr>
          <w:rFonts w:ascii="Courier New" w:hAnsi="Courier New" w:cs="Courier New"/>
        </w:rPr>
        <w:t xml:space="preserve"> and that he</w:t>
      </w:r>
      <w:r w:rsidR="00A23A70">
        <w:rPr>
          <w:rFonts w:ascii="Courier New" w:hAnsi="Courier New" w:cs="Courier New"/>
        </w:rPr>
        <w:t xml:space="preserve"> </w:t>
      </w:r>
      <w:r w:rsidR="0072461B">
        <w:rPr>
          <w:rFonts w:ascii="Courier New" w:hAnsi="Courier New" w:cs="Courier New"/>
        </w:rPr>
        <w:t>recommended</w:t>
      </w:r>
      <w:r w:rsidR="005F0D7D">
        <w:rPr>
          <w:rFonts w:ascii="Courier New" w:hAnsi="Courier New" w:cs="Courier New"/>
        </w:rPr>
        <w:t xml:space="preserve"> 30 percent</w:t>
      </w:r>
      <w:r w:rsidR="002F1EE6">
        <w:rPr>
          <w:rFonts w:ascii="Courier New" w:hAnsi="Courier New" w:cs="Courier New"/>
        </w:rPr>
        <w:t xml:space="preserve"> of the appellant’s</w:t>
      </w:r>
      <w:r w:rsidR="00427EB9">
        <w:rPr>
          <w:rFonts w:ascii="Courier New" w:hAnsi="Courier New" w:cs="Courier New"/>
        </w:rPr>
        <w:t xml:space="preserve"> claimed</w:t>
      </w:r>
      <w:r w:rsidR="00345228">
        <w:rPr>
          <w:rFonts w:ascii="Courier New" w:hAnsi="Courier New" w:cs="Courier New"/>
        </w:rPr>
        <w:t xml:space="preserve"> Schedule C business expenses</w:t>
      </w:r>
      <w:r w:rsidR="0072461B">
        <w:rPr>
          <w:rFonts w:ascii="Courier New" w:hAnsi="Courier New" w:cs="Courier New"/>
        </w:rPr>
        <w:t xml:space="preserve"> be allowed</w:t>
      </w:r>
      <w:r w:rsidR="00345228">
        <w:rPr>
          <w:rFonts w:ascii="Courier New" w:hAnsi="Courier New" w:cs="Courier New"/>
        </w:rPr>
        <w:t xml:space="preserve"> fo</w:t>
      </w:r>
      <w:r w:rsidR="001B429D">
        <w:rPr>
          <w:rFonts w:ascii="Courier New" w:hAnsi="Courier New" w:cs="Courier New"/>
        </w:rPr>
        <w:t xml:space="preserve">r </w:t>
      </w:r>
      <w:r w:rsidR="00345228">
        <w:rPr>
          <w:rFonts w:ascii="Courier New" w:hAnsi="Courier New" w:cs="Courier New"/>
        </w:rPr>
        <w:t>tax year</w:t>
      </w:r>
      <w:r w:rsidR="002F1EE6">
        <w:rPr>
          <w:rFonts w:ascii="Courier New" w:hAnsi="Courier New" w:cs="Courier New"/>
        </w:rPr>
        <w:t>s 2011 and</w:t>
      </w:r>
      <w:r w:rsidR="00345228">
        <w:rPr>
          <w:rFonts w:ascii="Courier New" w:hAnsi="Courier New" w:cs="Courier New"/>
        </w:rPr>
        <w:t xml:space="preserve"> 2012</w:t>
      </w:r>
      <w:r w:rsidR="0072461B">
        <w:rPr>
          <w:rFonts w:ascii="Courier New" w:hAnsi="Courier New" w:cs="Courier New"/>
        </w:rPr>
        <w:t xml:space="preserve"> and </w:t>
      </w:r>
      <w:r w:rsidR="006C4C27">
        <w:rPr>
          <w:rFonts w:ascii="Courier New" w:hAnsi="Courier New" w:cs="Courier New"/>
        </w:rPr>
        <w:t xml:space="preserve">abatements </w:t>
      </w:r>
      <w:r w:rsidR="0072461B">
        <w:rPr>
          <w:rFonts w:ascii="Courier New" w:hAnsi="Courier New" w:cs="Courier New"/>
        </w:rPr>
        <w:t xml:space="preserve">be granted </w:t>
      </w:r>
      <w:r w:rsidR="006C4C27">
        <w:rPr>
          <w:rFonts w:ascii="Courier New" w:hAnsi="Courier New" w:cs="Courier New"/>
        </w:rPr>
        <w:t>accordingly</w:t>
      </w:r>
      <w:r w:rsidR="007C4EE9">
        <w:rPr>
          <w:rFonts w:ascii="Courier New" w:hAnsi="Courier New" w:cs="Courier New"/>
        </w:rPr>
        <w:t xml:space="preserve">.  The </w:t>
      </w:r>
      <w:r w:rsidR="00070CEA">
        <w:rPr>
          <w:rFonts w:ascii="Courier New" w:hAnsi="Courier New" w:cs="Courier New"/>
        </w:rPr>
        <w:t>Commi</w:t>
      </w:r>
      <w:r w:rsidR="0072461B">
        <w:rPr>
          <w:rFonts w:ascii="Courier New" w:hAnsi="Courier New" w:cs="Courier New"/>
        </w:rPr>
        <w:t>ssioner agreed to</w:t>
      </w:r>
      <w:r w:rsidR="007C4EE9">
        <w:rPr>
          <w:rFonts w:ascii="Courier New" w:hAnsi="Courier New" w:cs="Courier New"/>
        </w:rPr>
        <w:t xml:space="preserve"> this recommendation</w:t>
      </w:r>
      <w:r w:rsidR="00345228">
        <w:rPr>
          <w:rFonts w:ascii="Courier New" w:hAnsi="Courier New" w:cs="Courier New"/>
        </w:rPr>
        <w:t>.</w:t>
      </w:r>
      <w:r w:rsidR="0072461B">
        <w:rPr>
          <w:rFonts w:ascii="Courier New" w:hAnsi="Courier New" w:cs="Courier New"/>
        </w:rPr>
        <w:t xml:space="preserve"> </w:t>
      </w:r>
      <w:r w:rsidR="007C4EE9">
        <w:rPr>
          <w:rFonts w:ascii="Courier New" w:hAnsi="Courier New" w:cs="Courier New"/>
        </w:rPr>
        <w:t xml:space="preserve"> </w:t>
      </w:r>
      <w:r w:rsidR="006555CE">
        <w:rPr>
          <w:rFonts w:ascii="Courier New" w:hAnsi="Courier New" w:cs="Courier New"/>
        </w:rPr>
        <w:t xml:space="preserve">The appellant </w:t>
      </w:r>
      <w:r w:rsidR="007D4391">
        <w:rPr>
          <w:rFonts w:ascii="Courier New" w:hAnsi="Courier New" w:cs="Courier New"/>
        </w:rPr>
        <w:t xml:space="preserve">cross-examined </w:t>
      </w:r>
      <w:r w:rsidR="006A269C">
        <w:rPr>
          <w:rFonts w:ascii="Courier New" w:hAnsi="Courier New" w:cs="Courier New"/>
        </w:rPr>
        <w:t>Mr. Allard</w:t>
      </w:r>
      <w:r w:rsidR="006555CE">
        <w:rPr>
          <w:rFonts w:ascii="Courier New" w:hAnsi="Courier New" w:cs="Courier New"/>
        </w:rPr>
        <w:t xml:space="preserve"> but did not otherwise pres</w:t>
      </w:r>
      <w:r w:rsidR="007D4391">
        <w:rPr>
          <w:rFonts w:ascii="Courier New" w:hAnsi="Courier New" w:cs="Courier New"/>
        </w:rPr>
        <w:t xml:space="preserve">ent </w:t>
      </w:r>
      <w:r w:rsidR="006C4C27">
        <w:rPr>
          <w:rFonts w:ascii="Courier New" w:hAnsi="Courier New" w:cs="Courier New"/>
        </w:rPr>
        <w:t xml:space="preserve">any further </w:t>
      </w:r>
      <w:r w:rsidR="007D4391">
        <w:rPr>
          <w:rFonts w:ascii="Courier New" w:hAnsi="Courier New" w:cs="Courier New"/>
        </w:rPr>
        <w:t>evidence to substantiate the remaining</w:t>
      </w:r>
      <w:r w:rsidR="006555CE">
        <w:rPr>
          <w:rFonts w:ascii="Courier New" w:hAnsi="Courier New" w:cs="Courier New"/>
        </w:rPr>
        <w:t xml:space="preserve"> expenses</w:t>
      </w:r>
      <w:r w:rsidR="007D4391">
        <w:rPr>
          <w:rFonts w:ascii="Courier New" w:hAnsi="Courier New" w:cs="Courier New"/>
        </w:rPr>
        <w:t xml:space="preserve"> that t</w:t>
      </w:r>
      <w:r w:rsidR="001B429D">
        <w:rPr>
          <w:rFonts w:ascii="Courier New" w:hAnsi="Courier New" w:cs="Courier New"/>
        </w:rPr>
        <w:t>he Commissioner did not accept</w:t>
      </w:r>
      <w:r w:rsidR="006555CE">
        <w:rPr>
          <w:rFonts w:ascii="Courier New" w:hAnsi="Courier New" w:cs="Courier New"/>
        </w:rPr>
        <w:t xml:space="preserve">. </w:t>
      </w:r>
    </w:p>
    <w:p w14:paraId="6116A8A3" w14:textId="45FC45B9" w:rsidR="00070A5F" w:rsidRDefault="0072461B" w:rsidP="0072461B">
      <w:pPr>
        <w:spacing w:line="480" w:lineRule="auto"/>
        <w:ind w:firstLine="720"/>
        <w:jc w:val="both"/>
        <w:rPr>
          <w:rFonts w:ascii="Courier New" w:hAnsi="Courier New" w:cs="Courier New"/>
        </w:rPr>
      </w:pPr>
      <w:r>
        <w:rPr>
          <w:rFonts w:ascii="Courier New" w:hAnsi="Courier New" w:cs="Courier New"/>
        </w:rPr>
        <w:t>On this basis</w:t>
      </w:r>
      <w:r w:rsidR="00A23A70">
        <w:rPr>
          <w:rFonts w:ascii="Courier New" w:hAnsi="Courier New" w:cs="Courier New"/>
        </w:rPr>
        <w:t>, t</w:t>
      </w:r>
      <w:r w:rsidR="006555CE">
        <w:rPr>
          <w:rFonts w:ascii="Courier New" w:hAnsi="Courier New" w:cs="Courier New"/>
        </w:rPr>
        <w:t xml:space="preserve">he Board found </w:t>
      </w:r>
      <w:r w:rsidR="008F569F">
        <w:rPr>
          <w:rFonts w:ascii="Courier New" w:hAnsi="Courier New" w:cs="Courier New"/>
        </w:rPr>
        <w:t xml:space="preserve">and ruled </w:t>
      </w:r>
      <w:r w:rsidR="00AD0A09" w:rsidRPr="00AD0A09">
        <w:rPr>
          <w:rFonts w:ascii="Courier New" w:hAnsi="Courier New" w:cs="Courier New"/>
        </w:rPr>
        <w:t>that Mr.</w:t>
      </w:r>
      <w:r w:rsidR="003D1C4C">
        <w:rPr>
          <w:rFonts w:ascii="Courier New" w:hAnsi="Courier New" w:cs="Courier New"/>
        </w:rPr>
        <w:t> </w:t>
      </w:r>
      <w:r w:rsidR="00AD0A09" w:rsidRPr="00AD0A09">
        <w:rPr>
          <w:rFonts w:ascii="Courier New" w:hAnsi="Courier New" w:cs="Courier New"/>
        </w:rPr>
        <w:t>Allard’s testimony on this matter was credible</w:t>
      </w:r>
      <w:r w:rsidR="00AD0A09">
        <w:rPr>
          <w:rFonts w:ascii="Courier New" w:hAnsi="Courier New" w:cs="Courier New"/>
        </w:rPr>
        <w:t xml:space="preserve"> and </w:t>
      </w:r>
      <w:r w:rsidR="008F569F">
        <w:rPr>
          <w:rFonts w:ascii="Courier New" w:hAnsi="Courier New" w:cs="Courier New"/>
        </w:rPr>
        <w:t xml:space="preserve">that </w:t>
      </w:r>
      <w:r w:rsidR="00A23A70">
        <w:rPr>
          <w:rFonts w:ascii="Courier New" w:hAnsi="Courier New" w:cs="Courier New"/>
        </w:rPr>
        <w:t>abatement</w:t>
      </w:r>
      <w:r w:rsidR="006F229A">
        <w:rPr>
          <w:rFonts w:ascii="Courier New" w:hAnsi="Courier New" w:cs="Courier New"/>
        </w:rPr>
        <w:t>s</w:t>
      </w:r>
      <w:r w:rsidR="00A23A70">
        <w:rPr>
          <w:rFonts w:ascii="Courier New" w:hAnsi="Courier New" w:cs="Courier New"/>
        </w:rPr>
        <w:t xml:space="preserve"> should be granted to the appellant based on the </w:t>
      </w:r>
      <w:r w:rsidR="007D4391">
        <w:rPr>
          <w:rFonts w:ascii="Courier New" w:hAnsi="Courier New" w:cs="Courier New"/>
        </w:rPr>
        <w:t xml:space="preserve">Schedule C </w:t>
      </w:r>
      <w:r w:rsidR="00070A5F">
        <w:rPr>
          <w:rFonts w:ascii="Courier New" w:hAnsi="Courier New" w:cs="Courier New"/>
        </w:rPr>
        <w:t xml:space="preserve">business </w:t>
      </w:r>
      <w:r w:rsidR="00A23A70">
        <w:rPr>
          <w:rFonts w:ascii="Courier New" w:hAnsi="Courier New" w:cs="Courier New"/>
        </w:rPr>
        <w:t>expens</w:t>
      </w:r>
      <w:r>
        <w:rPr>
          <w:rFonts w:ascii="Courier New" w:hAnsi="Courier New" w:cs="Courier New"/>
        </w:rPr>
        <w:t>es t</w:t>
      </w:r>
      <w:r w:rsidR="00F057C3">
        <w:rPr>
          <w:rFonts w:ascii="Courier New" w:hAnsi="Courier New" w:cs="Courier New"/>
        </w:rPr>
        <w:t>hat the Commissioner agreed</w:t>
      </w:r>
      <w:r w:rsidR="00AD0A09">
        <w:rPr>
          <w:rFonts w:ascii="Courier New" w:hAnsi="Courier New" w:cs="Courier New"/>
        </w:rPr>
        <w:t xml:space="preserve"> should be</w:t>
      </w:r>
      <w:r w:rsidR="00F057C3">
        <w:rPr>
          <w:rFonts w:ascii="Courier New" w:hAnsi="Courier New" w:cs="Courier New"/>
        </w:rPr>
        <w:t xml:space="preserve"> </w:t>
      </w:r>
      <w:r w:rsidR="00203C1E">
        <w:rPr>
          <w:rFonts w:ascii="Courier New" w:hAnsi="Courier New" w:cs="Courier New"/>
        </w:rPr>
        <w:t>allowed</w:t>
      </w:r>
      <w:r w:rsidR="00AD0A09">
        <w:rPr>
          <w:rFonts w:ascii="Courier New" w:hAnsi="Courier New" w:cs="Courier New"/>
        </w:rPr>
        <w:t xml:space="preserve"> for </w:t>
      </w:r>
      <w:r w:rsidR="006F229A">
        <w:rPr>
          <w:rFonts w:ascii="Courier New" w:hAnsi="Courier New" w:cs="Courier New"/>
        </w:rPr>
        <w:t>tax years 2011 and 2012</w:t>
      </w:r>
      <w:r w:rsidR="00A23A70">
        <w:rPr>
          <w:rFonts w:ascii="Courier New" w:hAnsi="Courier New" w:cs="Courier New"/>
        </w:rPr>
        <w:t>.</w:t>
      </w:r>
      <w:r w:rsidR="009453DC">
        <w:rPr>
          <w:rFonts w:ascii="Courier New" w:hAnsi="Courier New" w:cs="Courier New"/>
        </w:rPr>
        <w:t xml:space="preserve">  A</w:t>
      </w:r>
      <w:r w:rsidR="006555CE">
        <w:rPr>
          <w:rFonts w:ascii="Courier New" w:hAnsi="Courier New" w:cs="Courier New"/>
        </w:rPr>
        <w:t xml:space="preserve">ccordingly, </w:t>
      </w:r>
      <w:r w:rsidR="009453DC">
        <w:rPr>
          <w:rFonts w:ascii="Courier New" w:hAnsi="Courier New" w:cs="Courier New"/>
        </w:rPr>
        <w:t xml:space="preserve">the Board </w:t>
      </w:r>
      <w:r w:rsidR="006555CE">
        <w:rPr>
          <w:rFonts w:ascii="Courier New" w:hAnsi="Courier New" w:cs="Courier New"/>
        </w:rPr>
        <w:t xml:space="preserve">issued a decision for the appellant </w:t>
      </w:r>
      <w:r w:rsidR="00C01B7A">
        <w:rPr>
          <w:rFonts w:ascii="Courier New" w:hAnsi="Courier New" w:cs="Courier New"/>
        </w:rPr>
        <w:t xml:space="preserve">in Docket No. C329649 </w:t>
      </w:r>
      <w:r w:rsidR="006555CE">
        <w:rPr>
          <w:rFonts w:ascii="Courier New" w:hAnsi="Courier New" w:cs="Courier New"/>
        </w:rPr>
        <w:t>and granted an abatement of $2,</w:t>
      </w:r>
      <w:r w:rsidR="00F86E0C">
        <w:rPr>
          <w:rFonts w:ascii="Courier New" w:hAnsi="Courier New" w:cs="Courier New"/>
        </w:rPr>
        <w:t>039.70 for tax year 2011 and $1,</w:t>
      </w:r>
      <w:r w:rsidR="006555CE">
        <w:rPr>
          <w:rFonts w:ascii="Courier New" w:hAnsi="Courier New" w:cs="Courier New"/>
        </w:rPr>
        <w:t>009.50 for tax year 2012</w:t>
      </w:r>
      <w:r w:rsidR="00F35D08">
        <w:rPr>
          <w:rFonts w:ascii="Courier New" w:hAnsi="Courier New" w:cs="Courier New"/>
        </w:rPr>
        <w:t>, plus statutory additions</w:t>
      </w:r>
      <w:r w:rsidR="006555CE">
        <w:rPr>
          <w:rFonts w:ascii="Courier New" w:hAnsi="Courier New" w:cs="Courier New"/>
        </w:rPr>
        <w:t>.</w:t>
      </w:r>
    </w:p>
    <w:p w14:paraId="589D7CE3" w14:textId="7F69F656" w:rsidR="00F93043" w:rsidRPr="008F569F" w:rsidRDefault="00595CD4" w:rsidP="00F93043">
      <w:pPr>
        <w:spacing w:line="480" w:lineRule="auto"/>
        <w:jc w:val="both"/>
        <w:rPr>
          <w:rFonts w:ascii="Courier New" w:hAnsi="Courier New" w:cs="Courier New"/>
          <w:b/>
          <w:u w:val="single"/>
        </w:rPr>
      </w:pPr>
      <w:r w:rsidRPr="008F569F">
        <w:rPr>
          <w:rFonts w:ascii="Courier New" w:hAnsi="Courier New" w:cs="Courier New"/>
          <w:b/>
          <w:u w:val="single"/>
        </w:rPr>
        <w:t xml:space="preserve">2.  Docket </w:t>
      </w:r>
      <w:r w:rsidR="00AD0A09">
        <w:rPr>
          <w:rFonts w:ascii="Courier New" w:hAnsi="Courier New" w:cs="Courier New"/>
          <w:b/>
          <w:u w:val="single"/>
        </w:rPr>
        <w:t xml:space="preserve">No. </w:t>
      </w:r>
      <w:r w:rsidR="006647E9" w:rsidRPr="008F569F">
        <w:rPr>
          <w:rFonts w:ascii="Courier New" w:hAnsi="Courier New" w:cs="Courier New"/>
          <w:b/>
          <w:u w:val="single"/>
        </w:rPr>
        <w:t>C332051</w:t>
      </w:r>
      <w:r w:rsidR="00F93043" w:rsidRPr="008F569F">
        <w:rPr>
          <w:rFonts w:ascii="Courier New" w:hAnsi="Courier New" w:cs="Courier New"/>
          <w:b/>
          <w:u w:val="single"/>
        </w:rPr>
        <w:t xml:space="preserve"> - tax year 2013</w:t>
      </w:r>
    </w:p>
    <w:p w14:paraId="7BA20F0E" w14:textId="0669D3B5" w:rsidR="007300FC" w:rsidRDefault="000726B9" w:rsidP="004078F4">
      <w:pPr>
        <w:spacing w:line="480" w:lineRule="auto"/>
        <w:ind w:firstLine="720"/>
        <w:jc w:val="both"/>
        <w:rPr>
          <w:rFonts w:ascii="Courier New" w:hAnsi="Courier New" w:cs="Courier New"/>
        </w:rPr>
      </w:pPr>
      <w:r>
        <w:rPr>
          <w:rFonts w:ascii="Courier New" w:hAnsi="Courier New" w:cs="Courier New"/>
        </w:rPr>
        <w:t>The appellant</w:t>
      </w:r>
      <w:r w:rsidR="001F0E58">
        <w:rPr>
          <w:rFonts w:ascii="Courier New" w:hAnsi="Courier New" w:cs="Courier New"/>
        </w:rPr>
        <w:t xml:space="preserve"> did not file a Form 1 for tax year </w:t>
      </w:r>
      <w:r w:rsidR="00A61B88">
        <w:rPr>
          <w:rFonts w:ascii="Courier New" w:hAnsi="Courier New" w:cs="Courier New"/>
        </w:rPr>
        <w:t>2013</w:t>
      </w:r>
      <w:r w:rsidR="001F0E58">
        <w:rPr>
          <w:rFonts w:ascii="Courier New" w:hAnsi="Courier New" w:cs="Courier New"/>
        </w:rPr>
        <w:t>.</w:t>
      </w:r>
      <w:r w:rsidR="0072461B">
        <w:rPr>
          <w:rFonts w:ascii="Courier New" w:hAnsi="Courier New" w:cs="Courier New"/>
        </w:rPr>
        <w:t xml:space="preserve">  The appellant maintained</w:t>
      </w:r>
      <w:r w:rsidR="00D86634">
        <w:rPr>
          <w:rFonts w:ascii="Courier New" w:hAnsi="Courier New" w:cs="Courier New"/>
        </w:rPr>
        <w:t xml:space="preserve"> that he submitted to the Commissioner a copy of his federal income tax return, Form 1040</w:t>
      </w:r>
      <w:r w:rsidR="00CB6924">
        <w:rPr>
          <w:rFonts w:ascii="Courier New" w:hAnsi="Courier New" w:cs="Courier New"/>
        </w:rPr>
        <w:t>, for tax year 2013</w:t>
      </w:r>
      <w:r w:rsidR="00D86634">
        <w:rPr>
          <w:rFonts w:ascii="Courier New" w:hAnsi="Courier New" w:cs="Courier New"/>
        </w:rPr>
        <w:t>, which reflected $0 taxable income.</w:t>
      </w:r>
      <w:r>
        <w:rPr>
          <w:rFonts w:ascii="Courier New" w:hAnsi="Courier New" w:cs="Courier New"/>
        </w:rPr>
        <w:t xml:space="preserve">  </w:t>
      </w:r>
      <w:r w:rsidR="00FF2AF7">
        <w:rPr>
          <w:rFonts w:ascii="Courier New" w:hAnsi="Courier New" w:cs="Courier New"/>
        </w:rPr>
        <w:t>On M</w:t>
      </w:r>
      <w:r w:rsidR="00CA2F5A">
        <w:rPr>
          <w:rFonts w:ascii="Courier New" w:hAnsi="Courier New" w:cs="Courier New"/>
        </w:rPr>
        <w:t xml:space="preserve">arch 29, 2016, the Commissioner </w:t>
      </w:r>
      <w:r w:rsidR="00F45575">
        <w:rPr>
          <w:rFonts w:ascii="Courier New" w:hAnsi="Courier New" w:cs="Courier New"/>
        </w:rPr>
        <w:t>issued</w:t>
      </w:r>
      <w:r w:rsidR="00595CD4">
        <w:rPr>
          <w:rFonts w:ascii="Courier New" w:hAnsi="Courier New" w:cs="Courier New"/>
        </w:rPr>
        <w:t xml:space="preserve"> </w:t>
      </w:r>
      <w:r w:rsidR="00F45575">
        <w:rPr>
          <w:rFonts w:ascii="Courier New" w:hAnsi="Courier New" w:cs="Courier New"/>
        </w:rPr>
        <w:t xml:space="preserve">to the appellant </w:t>
      </w:r>
      <w:r w:rsidR="00595CD4">
        <w:rPr>
          <w:rFonts w:ascii="Courier New" w:hAnsi="Courier New" w:cs="Courier New"/>
        </w:rPr>
        <w:lastRenderedPageBreak/>
        <w:t>a</w:t>
      </w:r>
      <w:r w:rsidR="00C01B7A">
        <w:rPr>
          <w:rFonts w:ascii="Courier New" w:hAnsi="Courier New" w:cs="Courier New"/>
        </w:rPr>
        <w:t>n NOA assessing tax of $8,143</w:t>
      </w:r>
      <w:r w:rsidR="00595CD4">
        <w:rPr>
          <w:rFonts w:ascii="Courier New" w:hAnsi="Courier New" w:cs="Courier New"/>
        </w:rPr>
        <w:t>, plus inte</w:t>
      </w:r>
      <w:r w:rsidR="00CB6924">
        <w:rPr>
          <w:rFonts w:ascii="Courier New" w:hAnsi="Courier New" w:cs="Courier New"/>
        </w:rPr>
        <w:t>rest and penalties</w:t>
      </w:r>
      <w:r w:rsidR="00595CD4">
        <w:rPr>
          <w:rFonts w:ascii="Courier New" w:hAnsi="Courier New" w:cs="Courier New"/>
        </w:rPr>
        <w:t>.</w:t>
      </w:r>
      <w:r w:rsidR="00A57193">
        <w:rPr>
          <w:rFonts w:ascii="Courier New" w:hAnsi="Courier New" w:cs="Courier New"/>
        </w:rPr>
        <w:t xml:space="preserve">  O</w:t>
      </w:r>
      <w:r w:rsidR="00F45575">
        <w:rPr>
          <w:rFonts w:ascii="Courier New" w:hAnsi="Courier New" w:cs="Courier New"/>
        </w:rPr>
        <w:t>n January</w:t>
      </w:r>
      <w:r w:rsidR="00A57193">
        <w:rPr>
          <w:rFonts w:ascii="Courier New" w:hAnsi="Courier New" w:cs="Courier New"/>
        </w:rPr>
        <w:t xml:space="preserve"> 23, 2017, the</w:t>
      </w:r>
      <w:r w:rsidR="00D86634">
        <w:rPr>
          <w:rFonts w:ascii="Courier New" w:hAnsi="Courier New" w:cs="Courier New"/>
        </w:rPr>
        <w:t xml:space="preserve"> </w:t>
      </w:r>
      <w:r w:rsidR="00A57193">
        <w:rPr>
          <w:rFonts w:ascii="Courier New" w:hAnsi="Courier New" w:cs="Courier New"/>
        </w:rPr>
        <w:t>appellant</w:t>
      </w:r>
      <w:r w:rsidR="00D86634">
        <w:rPr>
          <w:rFonts w:ascii="Courier New" w:hAnsi="Courier New" w:cs="Courier New"/>
        </w:rPr>
        <w:t xml:space="preserve"> filed with the Commissioner</w:t>
      </w:r>
      <w:r w:rsidR="00A57193">
        <w:rPr>
          <w:rFonts w:ascii="Courier New" w:hAnsi="Courier New" w:cs="Courier New"/>
        </w:rPr>
        <w:t xml:space="preserve"> a Form DR-1: </w:t>
      </w:r>
      <w:r w:rsidR="00126DF3">
        <w:rPr>
          <w:rFonts w:ascii="Courier New" w:hAnsi="Courier New" w:cs="Courier New"/>
        </w:rPr>
        <w:t>Office of Appeals Form</w:t>
      </w:r>
      <w:r w:rsidR="00CB6924">
        <w:rPr>
          <w:rFonts w:ascii="Courier New" w:hAnsi="Courier New" w:cs="Courier New"/>
        </w:rPr>
        <w:t xml:space="preserve"> (“settlement request form”)</w:t>
      </w:r>
      <w:r w:rsidR="00126DF3">
        <w:rPr>
          <w:rFonts w:ascii="Courier New" w:hAnsi="Courier New" w:cs="Courier New"/>
        </w:rPr>
        <w:t>, along</w:t>
      </w:r>
      <w:r w:rsidR="00A57193">
        <w:rPr>
          <w:rFonts w:ascii="Courier New" w:hAnsi="Courier New" w:cs="Courier New"/>
        </w:rPr>
        <w:t xml:space="preserve"> with other documentary submissions.  T</w:t>
      </w:r>
      <w:r w:rsidR="00CB6924">
        <w:rPr>
          <w:rFonts w:ascii="Courier New" w:hAnsi="Courier New" w:cs="Courier New"/>
        </w:rPr>
        <w:t>he appellant</w:t>
      </w:r>
      <w:r w:rsidR="001E20EB">
        <w:rPr>
          <w:rFonts w:ascii="Courier New" w:hAnsi="Courier New" w:cs="Courier New"/>
        </w:rPr>
        <w:t xml:space="preserve"> did not include an abatement application</w:t>
      </w:r>
      <w:r w:rsidR="00CB6924">
        <w:rPr>
          <w:rFonts w:ascii="Courier New" w:hAnsi="Courier New" w:cs="Courier New"/>
        </w:rPr>
        <w:t xml:space="preserve"> with his submissions</w:t>
      </w:r>
      <w:r w:rsidR="001E20EB">
        <w:rPr>
          <w:rFonts w:ascii="Courier New" w:hAnsi="Courier New" w:cs="Courier New"/>
        </w:rPr>
        <w:t xml:space="preserve">. </w:t>
      </w:r>
      <w:r w:rsidR="00D86634">
        <w:rPr>
          <w:rFonts w:ascii="Courier New" w:hAnsi="Courier New" w:cs="Courier New"/>
        </w:rPr>
        <w:t xml:space="preserve"> By letter dated April 14, 2017, the Office of Appeals informed the appellant that he could not have a second hearing because he had not submitted any new information relative to his tax s</w:t>
      </w:r>
      <w:r w:rsidR="00D41A4A">
        <w:rPr>
          <w:rFonts w:ascii="Courier New" w:hAnsi="Courier New" w:cs="Courier New"/>
        </w:rPr>
        <w:t>ituation.  The letter included guidelines on</w:t>
      </w:r>
      <w:r w:rsidR="00D86634">
        <w:rPr>
          <w:rFonts w:ascii="Courier New" w:hAnsi="Courier New" w:cs="Courier New"/>
        </w:rPr>
        <w:t xml:space="preserve"> how to pursue settlement of the matter, including instructing the appellant to submit a</w:t>
      </w:r>
      <w:r w:rsidR="00070A5F">
        <w:rPr>
          <w:rFonts w:ascii="Courier New" w:hAnsi="Courier New" w:cs="Courier New"/>
        </w:rPr>
        <w:t>n abatement application</w:t>
      </w:r>
      <w:r w:rsidR="00D86634">
        <w:rPr>
          <w:rFonts w:ascii="Courier New" w:hAnsi="Courier New" w:cs="Courier New"/>
        </w:rPr>
        <w:t xml:space="preserve">.  The letter </w:t>
      </w:r>
      <w:r w:rsidR="00D41A4A">
        <w:rPr>
          <w:rFonts w:ascii="Courier New" w:hAnsi="Courier New" w:cs="Courier New"/>
        </w:rPr>
        <w:t xml:space="preserve">also </w:t>
      </w:r>
      <w:r w:rsidR="00CB6924">
        <w:rPr>
          <w:rFonts w:ascii="Courier New" w:hAnsi="Courier New" w:cs="Courier New"/>
        </w:rPr>
        <w:t>in</w:t>
      </w:r>
      <w:r w:rsidR="00C81905">
        <w:rPr>
          <w:rFonts w:ascii="Courier New" w:hAnsi="Courier New" w:cs="Courier New"/>
        </w:rPr>
        <w:t xml:space="preserve">cluded </w:t>
      </w:r>
      <w:r w:rsidR="00070A5F">
        <w:rPr>
          <w:rFonts w:ascii="Courier New" w:hAnsi="Courier New" w:cs="Courier New"/>
        </w:rPr>
        <w:t>an abatement application</w:t>
      </w:r>
      <w:r w:rsidR="00D86634">
        <w:rPr>
          <w:rFonts w:ascii="Courier New" w:hAnsi="Courier New" w:cs="Courier New"/>
        </w:rPr>
        <w:t xml:space="preserve"> </w:t>
      </w:r>
      <w:r w:rsidR="00070A5F">
        <w:rPr>
          <w:rFonts w:ascii="Courier New" w:hAnsi="Courier New" w:cs="Courier New"/>
        </w:rPr>
        <w:t xml:space="preserve">as </w:t>
      </w:r>
      <w:r w:rsidR="00D86634">
        <w:rPr>
          <w:rFonts w:ascii="Courier New" w:hAnsi="Courier New" w:cs="Courier New"/>
        </w:rPr>
        <w:t>an attachment.  By letter dated June 8, 2017, the Office of Appeals rejected the appellant’</w:t>
      </w:r>
      <w:r w:rsidR="00C9456D">
        <w:rPr>
          <w:rFonts w:ascii="Courier New" w:hAnsi="Courier New" w:cs="Courier New"/>
        </w:rPr>
        <w:t xml:space="preserve">s </w:t>
      </w:r>
      <w:r w:rsidR="004078F4">
        <w:rPr>
          <w:rFonts w:ascii="Courier New" w:hAnsi="Courier New" w:cs="Courier New"/>
        </w:rPr>
        <w:t>settlement</w:t>
      </w:r>
      <w:r w:rsidR="00C9456D">
        <w:rPr>
          <w:rFonts w:ascii="Courier New" w:hAnsi="Courier New" w:cs="Courier New"/>
        </w:rPr>
        <w:t xml:space="preserve"> request</w:t>
      </w:r>
      <w:r w:rsidR="00070A5F">
        <w:rPr>
          <w:rFonts w:ascii="Courier New" w:hAnsi="Courier New" w:cs="Courier New"/>
        </w:rPr>
        <w:t xml:space="preserve"> form</w:t>
      </w:r>
      <w:r w:rsidR="004078F4">
        <w:rPr>
          <w:rFonts w:ascii="Courier New" w:hAnsi="Courier New" w:cs="Courier New"/>
        </w:rPr>
        <w:t xml:space="preserve">.  </w:t>
      </w:r>
    </w:p>
    <w:p w14:paraId="2E3DAC4D" w14:textId="2AA9FD28" w:rsidR="007300FC" w:rsidRDefault="007300FC" w:rsidP="004078F4">
      <w:pPr>
        <w:spacing w:line="480" w:lineRule="auto"/>
        <w:ind w:firstLine="720"/>
        <w:jc w:val="both"/>
        <w:rPr>
          <w:rFonts w:ascii="Courier New" w:hAnsi="Courier New" w:cs="Courier New"/>
        </w:rPr>
      </w:pPr>
      <w:r>
        <w:rPr>
          <w:rFonts w:ascii="Courier New" w:hAnsi="Courier New" w:cs="Courier New"/>
        </w:rPr>
        <w:t>At</w:t>
      </w:r>
      <w:r w:rsidR="00B50DF8">
        <w:rPr>
          <w:rFonts w:ascii="Courier New" w:hAnsi="Courier New" w:cs="Courier New"/>
        </w:rPr>
        <w:t xml:space="preserve"> the initial hearing </w:t>
      </w:r>
      <w:r w:rsidR="00B50DF8" w:rsidRPr="00B50DF8">
        <w:rPr>
          <w:rFonts w:ascii="Courier New" w:hAnsi="Courier New" w:cs="Courier New"/>
        </w:rPr>
        <w:t>on</w:t>
      </w:r>
      <w:r w:rsidR="00B50DF8">
        <w:rPr>
          <w:rFonts w:ascii="Courier New" w:hAnsi="Courier New" w:cs="Courier New"/>
        </w:rPr>
        <w:t xml:space="preserve"> June 12, 2017</w:t>
      </w:r>
      <w:r w:rsidR="004078F4">
        <w:rPr>
          <w:rFonts w:ascii="Courier New" w:hAnsi="Courier New" w:cs="Courier New"/>
        </w:rPr>
        <w:t>,</w:t>
      </w:r>
      <w:r w:rsidR="009D5E52">
        <w:rPr>
          <w:rFonts w:ascii="Courier New" w:hAnsi="Courier New" w:cs="Courier New"/>
        </w:rPr>
        <w:t xml:space="preserve"> the Commissioner filed a Motion to Dismiss</w:t>
      </w:r>
      <w:r w:rsidR="006703A6">
        <w:rPr>
          <w:rFonts w:ascii="Courier New" w:hAnsi="Courier New" w:cs="Courier New"/>
        </w:rPr>
        <w:t xml:space="preserve"> </w:t>
      </w:r>
      <w:r w:rsidR="006E06F4">
        <w:rPr>
          <w:rFonts w:ascii="Courier New" w:hAnsi="Courier New" w:cs="Courier New"/>
        </w:rPr>
        <w:t>for Docket No.</w:t>
      </w:r>
      <w:r w:rsidR="00A6020E">
        <w:rPr>
          <w:rFonts w:ascii="Courier New" w:hAnsi="Courier New" w:cs="Courier New"/>
        </w:rPr>
        <w:t> </w:t>
      </w:r>
      <w:r w:rsidR="006E06F4">
        <w:rPr>
          <w:rFonts w:ascii="Courier New" w:hAnsi="Courier New" w:cs="Courier New"/>
        </w:rPr>
        <w:t xml:space="preserve">C322051 </w:t>
      </w:r>
      <w:r w:rsidR="006703A6">
        <w:rPr>
          <w:rFonts w:ascii="Courier New" w:hAnsi="Courier New" w:cs="Courier New"/>
        </w:rPr>
        <w:t xml:space="preserve">based on the fact that the appellant had failed to file a Form 1, which the Commissioner contended was a prerequisite to </w:t>
      </w:r>
      <w:r w:rsidR="006703A6" w:rsidRPr="00CA2F5A">
        <w:rPr>
          <w:rFonts w:ascii="Courier New" w:hAnsi="Courier New" w:cs="Courier New"/>
        </w:rPr>
        <w:t>the Board’s jurisdiction over his appeal</w:t>
      </w:r>
      <w:r w:rsidR="00B5228E">
        <w:rPr>
          <w:rFonts w:ascii="Courier New" w:hAnsi="Courier New" w:cs="Courier New"/>
        </w:rPr>
        <w:t xml:space="preserve"> pursuant to G.L. c. 62C, § 38</w:t>
      </w:r>
      <w:r w:rsidR="004078F4">
        <w:rPr>
          <w:rFonts w:ascii="Courier New" w:hAnsi="Courier New" w:cs="Courier New"/>
        </w:rPr>
        <w:t xml:space="preserve">.  </w:t>
      </w:r>
    </w:p>
    <w:p w14:paraId="442C91CD" w14:textId="3D5051FA" w:rsidR="0082728C" w:rsidRDefault="000A2E7D" w:rsidP="0082728C">
      <w:pPr>
        <w:spacing w:line="480" w:lineRule="auto"/>
        <w:ind w:firstLine="720"/>
        <w:jc w:val="both"/>
        <w:rPr>
          <w:rFonts w:ascii="Courier New" w:hAnsi="Courier New" w:cs="Courier New"/>
        </w:rPr>
      </w:pPr>
      <w:r>
        <w:rPr>
          <w:rFonts w:ascii="Courier New" w:hAnsi="Courier New" w:cs="Courier New"/>
        </w:rPr>
        <w:t>The appellant counter</w:t>
      </w:r>
      <w:r w:rsidR="007300FC">
        <w:rPr>
          <w:rFonts w:ascii="Courier New" w:hAnsi="Courier New" w:cs="Courier New"/>
        </w:rPr>
        <w:t>ed that he did not have</w:t>
      </w:r>
      <w:r w:rsidR="00A6388A">
        <w:rPr>
          <w:rFonts w:ascii="Courier New" w:hAnsi="Courier New" w:cs="Courier New"/>
        </w:rPr>
        <w:t xml:space="preserve"> a requirement to file a Form 1</w:t>
      </w:r>
      <w:r w:rsidR="007300FC">
        <w:rPr>
          <w:rFonts w:ascii="Courier New" w:hAnsi="Courier New" w:cs="Courier New"/>
        </w:rPr>
        <w:t xml:space="preserve"> because he did not have income in </w:t>
      </w:r>
      <w:r>
        <w:rPr>
          <w:rFonts w:ascii="Courier New" w:hAnsi="Courier New" w:cs="Courier New"/>
        </w:rPr>
        <w:t xml:space="preserve">excess of the Massachusetts </w:t>
      </w:r>
      <w:r w:rsidR="007300FC">
        <w:rPr>
          <w:rFonts w:ascii="Courier New" w:hAnsi="Courier New" w:cs="Courier New"/>
        </w:rPr>
        <w:t xml:space="preserve">filing threshold of $8,000.  </w:t>
      </w:r>
      <w:r w:rsidR="0082728C">
        <w:rPr>
          <w:rFonts w:ascii="Courier New" w:hAnsi="Courier New" w:cs="Courier New"/>
        </w:rPr>
        <w:lastRenderedPageBreak/>
        <w:t>The appellant admit</w:t>
      </w:r>
      <w:r>
        <w:rPr>
          <w:rFonts w:ascii="Courier New" w:hAnsi="Courier New" w:cs="Courier New"/>
        </w:rPr>
        <w:t>ted that he did receive lawsuit-</w:t>
      </w:r>
      <w:r w:rsidR="0082728C">
        <w:rPr>
          <w:rFonts w:ascii="Courier New" w:hAnsi="Courier New" w:cs="Courier New"/>
        </w:rPr>
        <w:t>settlement income during tax year 2013.  He submitted to the Board copies of federal 1099 forms showing income of $74,250, repres</w:t>
      </w:r>
      <w:r w:rsidR="00A6388A">
        <w:rPr>
          <w:rFonts w:ascii="Courier New" w:hAnsi="Courier New" w:cs="Courier New"/>
        </w:rPr>
        <w:t>enting lawsuit recoveries from eight</w:t>
      </w:r>
      <w:r w:rsidR="0082728C">
        <w:rPr>
          <w:rFonts w:ascii="Courier New" w:hAnsi="Courier New" w:cs="Courier New"/>
        </w:rPr>
        <w:t xml:space="preserve"> different lawsuits.  </w:t>
      </w:r>
    </w:p>
    <w:p w14:paraId="37E32DBB" w14:textId="2F36B4A0" w:rsidR="00202F9B" w:rsidRDefault="00EF73F2" w:rsidP="0082728C">
      <w:pPr>
        <w:spacing w:line="480" w:lineRule="auto"/>
        <w:ind w:firstLine="720"/>
        <w:jc w:val="both"/>
        <w:rPr>
          <w:rFonts w:ascii="Courier New" w:hAnsi="Courier New" w:cs="Courier New"/>
        </w:rPr>
      </w:pPr>
      <w:r w:rsidRPr="00EF73F2">
        <w:rPr>
          <w:rFonts w:ascii="Courier New" w:hAnsi="Courier New" w:cs="Courier New"/>
        </w:rPr>
        <w:t>The appellant explained the circumstances leading to the lawsuit</w:t>
      </w:r>
      <w:r w:rsidR="0082728C">
        <w:rPr>
          <w:rFonts w:ascii="Courier New" w:hAnsi="Courier New" w:cs="Courier New"/>
        </w:rPr>
        <w:t>s</w:t>
      </w:r>
      <w:r w:rsidRPr="00EF73F2">
        <w:rPr>
          <w:rFonts w:ascii="Courier New" w:hAnsi="Courier New" w:cs="Courier New"/>
        </w:rPr>
        <w:t xml:space="preserve">. </w:t>
      </w:r>
      <w:r w:rsidR="000A2E7D">
        <w:rPr>
          <w:rFonts w:ascii="Courier New" w:hAnsi="Courier New" w:cs="Courier New"/>
        </w:rPr>
        <w:t>In the course of operating his cigar business, t</w:t>
      </w:r>
      <w:r w:rsidRPr="00EF73F2">
        <w:rPr>
          <w:rFonts w:ascii="Courier New" w:hAnsi="Courier New" w:cs="Courier New"/>
        </w:rPr>
        <w:t xml:space="preserve">he appellant </w:t>
      </w:r>
      <w:r>
        <w:rPr>
          <w:rFonts w:ascii="Courier New" w:hAnsi="Courier New" w:cs="Courier New"/>
        </w:rPr>
        <w:t>obtained multiple</w:t>
      </w:r>
      <w:r w:rsidRPr="00EF73F2">
        <w:rPr>
          <w:rFonts w:ascii="Courier New" w:hAnsi="Courier New" w:cs="Courier New"/>
        </w:rPr>
        <w:t xml:space="preserve"> telephon</w:t>
      </w:r>
      <w:r w:rsidR="0008011E">
        <w:rPr>
          <w:rFonts w:ascii="Courier New" w:hAnsi="Courier New" w:cs="Courier New"/>
        </w:rPr>
        <w:t>e “tracking numbers,” which were design</w:t>
      </w:r>
      <w:r w:rsidRPr="00EF73F2">
        <w:rPr>
          <w:rFonts w:ascii="Courier New" w:hAnsi="Courier New" w:cs="Courier New"/>
        </w:rPr>
        <w:t xml:space="preserve">ed to receive inbound telephone calls. </w:t>
      </w:r>
      <w:r w:rsidR="0082728C">
        <w:rPr>
          <w:rFonts w:ascii="Courier New" w:hAnsi="Courier New" w:cs="Courier New"/>
        </w:rPr>
        <w:t>The appellant used these tracking numbe</w:t>
      </w:r>
      <w:r w:rsidR="00910ABF">
        <w:rPr>
          <w:rFonts w:ascii="Courier New" w:hAnsi="Courier New" w:cs="Courier New"/>
        </w:rPr>
        <w:t xml:space="preserve">rs while conducting his </w:t>
      </w:r>
      <w:r w:rsidR="0082728C">
        <w:rPr>
          <w:rFonts w:ascii="Courier New" w:hAnsi="Courier New" w:cs="Courier New"/>
        </w:rPr>
        <w:t xml:space="preserve">business to give the impression that his business was local to the customer.  </w:t>
      </w:r>
      <w:r w:rsidRPr="00EF73F2">
        <w:rPr>
          <w:rFonts w:ascii="Courier New" w:hAnsi="Courier New" w:cs="Courier New"/>
        </w:rPr>
        <w:t>The appellant</w:t>
      </w:r>
      <w:r w:rsidR="00E4768C">
        <w:rPr>
          <w:rFonts w:ascii="Courier New" w:hAnsi="Courier New" w:cs="Courier New"/>
        </w:rPr>
        <w:t>, however,</w:t>
      </w:r>
      <w:r w:rsidRPr="00EF73F2">
        <w:rPr>
          <w:rFonts w:ascii="Courier New" w:hAnsi="Courier New" w:cs="Courier New"/>
        </w:rPr>
        <w:t xml:space="preserve"> began receiving numerous calls from</w:t>
      </w:r>
      <w:r w:rsidR="0046583B">
        <w:rPr>
          <w:rFonts w:ascii="Courier New" w:hAnsi="Courier New" w:cs="Courier New"/>
        </w:rPr>
        <w:t xml:space="preserve"> bill collectors who </w:t>
      </w:r>
      <w:r w:rsidRPr="00EF73F2">
        <w:rPr>
          <w:rFonts w:ascii="Courier New" w:hAnsi="Courier New" w:cs="Courier New"/>
        </w:rPr>
        <w:t>w</w:t>
      </w:r>
      <w:r w:rsidR="00CB6924">
        <w:rPr>
          <w:rFonts w:ascii="Courier New" w:hAnsi="Courier New" w:cs="Courier New"/>
        </w:rPr>
        <w:t>ere pursuing the previous holders</w:t>
      </w:r>
      <w:r w:rsidRPr="00EF73F2">
        <w:rPr>
          <w:rFonts w:ascii="Courier New" w:hAnsi="Courier New" w:cs="Courier New"/>
        </w:rPr>
        <w:t xml:space="preserve"> of the telephone tracking numbers. </w:t>
      </w:r>
      <w:r>
        <w:rPr>
          <w:rFonts w:ascii="Courier New" w:hAnsi="Courier New" w:cs="Courier New"/>
        </w:rPr>
        <w:t>The appellant fi</w:t>
      </w:r>
      <w:r w:rsidR="0046583B">
        <w:rPr>
          <w:rFonts w:ascii="Courier New" w:hAnsi="Courier New" w:cs="Courier New"/>
        </w:rPr>
        <w:t xml:space="preserve">led </w:t>
      </w:r>
      <w:r w:rsidR="004F2651">
        <w:rPr>
          <w:rFonts w:ascii="Courier New" w:hAnsi="Courier New" w:cs="Courier New"/>
        </w:rPr>
        <w:t>multiple lawsuits against</w:t>
      </w:r>
      <w:r w:rsidR="00BC60BF">
        <w:rPr>
          <w:rFonts w:ascii="Courier New" w:hAnsi="Courier New" w:cs="Courier New"/>
        </w:rPr>
        <w:t xml:space="preserve"> debt collection agencies</w:t>
      </w:r>
      <w:r w:rsidR="004F2651">
        <w:rPr>
          <w:rFonts w:ascii="Courier New" w:hAnsi="Courier New" w:cs="Courier New"/>
        </w:rPr>
        <w:t xml:space="preserve"> </w:t>
      </w:r>
      <w:r w:rsidR="00BC60BF">
        <w:rPr>
          <w:rFonts w:ascii="Courier New" w:hAnsi="Courier New" w:cs="Courier New"/>
        </w:rPr>
        <w:t>claiming tort damages</w:t>
      </w:r>
      <w:r w:rsidR="00D500D0">
        <w:rPr>
          <w:rFonts w:ascii="Courier New" w:hAnsi="Courier New" w:cs="Courier New"/>
        </w:rPr>
        <w:t xml:space="preserve"> under various federal and state laws, including the federal Telephone Consumer Practices Act</w:t>
      </w:r>
      <w:r>
        <w:rPr>
          <w:rFonts w:ascii="Courier New" w:hAnsi="Courier New" w:cs="Courier New"/>
        </w:rPr>
        <w:t xml:space="preserve">.  </w:t>
      </w:r>
      <w:r w:rsidR="00DD0072">
        <w:rPr>
          <w:rFonts w:ascii="Courier New" w:hAnsi="Courier New" w:cs="Courier New"/>
        </w:rPr>
        <w:t xml:space="preserve">The appellant </w:t>
      </w:r>
      <w:r w:rsidR="005E1BEA">
        <w:rPr>
          <w:rFonts w:ascii="Courier New" w:hAnsi="Courier New" w:cs="Courier New"/>
        </w:rPr>
        <w:t>admitted that the lawsuit recoveries</w:t>
      </w:r>
      <w:r w:rsidR="009453DC">
        <w:rPr>
          <w:rFonts w:ascii="Courier New" w:hAnsi="Courier New" w:cs="Courier New"/>
        </w:rPr>
        <w:t xml:space="preserve"> were for tort damages,</w:t>
      </w:r>
      <w:r w:rsidR="005E0A29">
        <w:rPr>
          <w:rFonts w:ascii="Courier New" w:hAnsi="Courier New" w:cs="Courier New"/>
        </w:rPr>
        <w:t xml:space="preserve"> specifically intentional infliction of emotional distress,</w:t>
      </w:r>
      <w:r w:rsidR="009453DC">
        <w:rPr>
          <w:rFonts w:ascii="Courier New" w:hAnsi="Courier New" w:cs="Courier New"/>
        </w:rPr>
        <w:t xml:space="preserve"> but </w:t>
      </w:r>
      <w:r w:rsidR="005E0A29">
        <w:rPr>
          <w:rFonts w:ascii="Courier New" w:hAnsi="Courier New" w:cs="Courier New"/>
        </w:rPr>
        <w:t xml:space="preserve">he </w:t>
      </w:r>
      <w:r w:rsidR="007963FF">
        <w:rPr>
          <w:rFonts w:ascii="Courier New" w:hAnsi="Courier New" w:cs="Courier New"/>
        </w:rPr>
        <w:t>asserted that his emotional-</w:t>
      </w:r>
      <w:r w:rsidR="009453DC">
        <w:rPr>
          <w:rFonts w:ascii="Courier New" w:hAnsi="Courier New" w:cs="Courier New"/>
        </w:rPr>
        <w:t xml:space="preserve">distress </w:t>
      </w:r>
      <w:r w:rsidR="007963FF">
        <w:rPr>
          <w:rFonts w:ascii="Courier New" w:hAnsi="Courier New" w:cs="Courier New"/>
        </w:rPr>
        <w:t xml:space="preserve">injury </w:t>
      </w:r>
      <w:r w:rsidR="009453DC">
        <w:rPr>
          <w:rFonts w:ascii="Courier New" w:hAnsi="Courier New" w:cs="Courier New"/>
        </w:rPr>
        <w:t>included various physical components, including headaches, insomnia, and stomach disorders.</w:t>
      </w:r>
      <w:r w:rsidR="00CA2F5A">
        <w:rPr>
          <w:rFonts w:ascii="Courier New" w:hAnsi="Courier New" w:cs="Courier New"/>
        </w:rPr>
        <w:t xml:space="preserve">  However, the appellant did not submit any evidence to indicate that his lawsuit recoveries </w:t>
      </w:r>
      <w:r w:rsidR="00CA2F5A">
        <w:rPr>
          <w:rFonts w:ascii="Courier New" w:hAnsi="Courier New" w:cs="Courier New"/>
        </w:rPr>
        <w:lastRenderedPageBreak/>
        <w:t>specifically compensated for physical injuries, for example, medical care and treatment.</w:t>
      </w:r>
      <w:r w:rsidR="009453DC">
        <w:rPr>
          <w:rFonts w:ascii="Courier New" w:hAnsi="Courier New" w:cs="Courier New"/>
        </w:rPr>
        <w:t xml:space="preserve"> </w:t>
      </w:r>
      <w:r w:rsidR="005E1BEA">
        <w:rPr>
          <w:rFonts w:ascii="Courier New" w:hAnsi="Courier New" w:cs="Courier New"/>
        </w:rPr>
        <w:t xml:space="preserve"> </w:t>
      </w:r>
    </w:p>
    <w:p w14:paraId="2E6D16BD" w14:textId="5008631A" w:rsidR="0086692D" w:rsidRDefault="002A2404" w:rsidP="007B042B">
      <w:pPr>
        <w:spacing w:line="480" w:lineRule="auto"/>
        <w:ind w:firstLine="720"/>
        <w:jc w:val="both"/>
        <w:rPr>
          <w:rFonts w:ascii="Courier New" w:hAnsi="Courier New"/>
        </w:rPr>
      </w:pPr>
      <w:r>
        <w:rPr>
          <w:rFonts w:ascii="Courier New" w:hAnsi="Courier New"/>
        </w:rPr>
        <w:t>Based on its findings</w:t>
      </w:r>
      <w:r w:rsidR="007B042B">
        <w:rPr>
          <w:rFonts w:ascii="Courier New" w:hAnsi="Courier New"/>
        </w:rPr>
        <w:t>,</w:t>
      </w:r>
      <w:r>
        <w:rPr>
          <w:rFonts w:ascii="Courier New" w:hAnsi="Courier New"/>
        </w:rPr>
        <w:t xml:space="preserve"> t</w:t>
      </w:r>
      <w:r w:rsidR="00DD09AC">
        <w:rPr>
          <w:rFonts w:ascii="Courier New" w:hAnsi="Courier New"/>
        </w:rPr>
        <w:t xml:space="preserve">he Board found </w:t>
      </w:r>
      <w:r w:rsidR="007B042B">
        <w:rPr>
          <w:rFonts w:ascii="Courier New" w:hAnsi="Courier New"/>
        </w:rPr>
        <w:t xml:space="preserve">that </w:t>
      </w:r>
      <w:r w:rsidR="00CA2F5A">
        <w:rPr>
          <w:rFonts w:ascii="Courier New" w:hAnsi="Courier New"/>
        </w:rPr>
        <w:t>the</w:t>
      </w:r>
      <w:r w:rsidR="007963FF">
        <w:rPr>
          <w:rFonts w:ascii="Courier New" w:hAnsi="Courier New"/>
        </w:rPr>
        <w:t xml:space="preserve"> appellant failed to meet his</w:t>
      </w:r>
      <w:r w:rsidR="00BE4732">
        <w:rPr>
          <w:rFonts w:ascii="Courier New" w:hAnsi="Courier New"/>
        </w:rPr>
        <w:t xml:space="preserve"> burden of proving that the</w:t>
      </w:r>
      <w:r w:rsidR="00281B4E">
        <w:rPr>
          <w:rFonts w:ascii="Courier New" w:hAnsi="Courier New"/>
        </w:rPr>
        <w:t xml:space="preserve"> </w:t>
      </w:r>
      <w:r w:rsidR="009C0461">
        <w:rPr>
          <w:rFonts w:ascii="Courier New" w:hAnsi="Courier New"/>
        </w:rPr>
        <w:t xml:space="preserve">lawsuit </w:t>
      </w:r>
      <w:r w:rsidR="00CA2F5A">
        <w:rPr>
          <w:rFonts w:ascii="Courier New" w:hAnsi="Courier New"/>
        </w:rPr>
        <w:t xml:space="preserve">recoveries </w:t>
      </w:r>
      <w:r>
        <w:rPr>
          <w:rFonts w:ascii="Courier New" w:hAnsi="Courier New"/>
        </w:rPr>
        <w:t>were compensation for</w:t>
      </w:r>
      <w:r w:rsidR="00281B4E">
        <w:rPr>
          <w:rFonts w:ascii="Courier New" w:hAnsi="Courier New"/>
        </w:rPr>
        <w:t xml:space="preserve"> </w:t>
      </w:r>
      <w:r w:rsidR="00BE4732">
        <w:rPr>
          <w:rFonts w:ascii="Courier New" w:hAnsi="Courier New"/>
        </w:rPr>
        <w:t>physical injuries or physical sickness</w:t>
      </w:r>
      <w:r w:rsidR="00CA2F5A">
        <w:rPr>
          <w:rFonts w:ascii="Courier New" w:hAnsi="Courier New"/>
        </w:rPr>
        <w:t xml:space="preserve">. </w:t>
      </w:r>
      <w:r w:rsidR="00825481">
        <w:rPr>
          <w:rFonts w:ascii="Courier New" w:hAnsi="Courier New"/>
        </w:rPr>
        <w:t xml:space="preserve"> </w:t>
      </w:r>
      <w:r w:rsidR="00281B4E">
        <w:rPr>
          <w:rFonts w:ascii="Courier New" w:hAnsi="Courier New"/>
        </w:rPr>
        <w:t>As will be further explai</w:t>
      </w:r>
      <w:r w:rsidR="00BE4732">
        <w:rPr>
          <w:rFonts w:ascii="Courier New" w:hAnsi="Courier New"/>
        </w:rPr>
        <w:t xml:space="preserve">ned in the Opinion, only recoveries </w:t>
      </w:r>
      <w:r w:rsidR="007963FF">
        <w:rPr>
          <w:rFonts w:ascii="Courier New" w:hAnsi="Courier New"/>
        </w:rPr>
        <w:t xml:space="preserve">specifically designed to compensate </w:t>
      </w:r>
      <w:r w:rsidR="00BE4732">
        <w:rPr>
          <w:rFonts w:ascii="Courier New" w:hAnsi="Courier New"/>
        </w:rPr>
        <w:t>for physical injuries or physical sickness are excludable from</w:t>
      </w:r>
      <w:r>
        <w:rPr>
          <w:rFonts w:ascii="Courier New" w:hAnsi="Courier New"/>
        </w:rPr>
        <w:t xml:space="preserve"> gross income.  </w:t>
      </w:r>
      <w:r w:rsidR="007963FF">
        <w:rPr>
          <w:rFonts w:ascii="Courier New" w:hAnsi="Courier New"/>
        </w:rPr>
        <w:t>The appellant</w:t>
      </w:r>
      <w:r w:rsidR="00A6388A">
        <w:rPr>
          <w:rFonts w:ascii="Courier New" w:hAnsi="Courier New"/>
        </w:rPr>
        <w:t>’s</w:t>
      </w:r>
      <w:r w:rsidR="007963FF">
        <w:rPr>
          <w:rFonts w:ascii="Courier New" w:hAnsi="Courier New"/>
        </w:rPr>
        <w:t xml:space="preserve"> payments were thus includible in his Massachusetts income.  </w:t>
      </w:r>
    </w:p>
    <w:p w14:paraId="2E904915" w14:textId="34E08010" w:rsidR="00F4606B" w:rsidRDefault="007963FF" w:rsidP="007B042B">
      <w:pPr>
        <w:spacing w:line="480" w:lineRule="auto"/>
        <w:ind w:firstLine="720"/>
        <w:jc w:val="both"/>
        <w:rPr>
          <w:rFonts w:ascii="Courier New" w:hAnsi="Courier New"/>
        </w:rPr>
      </w:pPr>
      <w:r>
        <w:rPr>
          <w:rFonts w:ascii="Courier New" w:hAnsi="Courier New"/>
        </w:rPr>
        <w:t>Furthermore, t</w:t>
      </w:r>
      <w:r w:rsidR="002A2404">
        <w:rPr>
          <w:rFonts w:ascii="Courier New" w:hAnsi="Courier New"/>
        </w:rPr>
        <w:t xml:space="preserve">he </w:t>
      </w:r>
      <w:r w:rsidR="00F96557">
        <w:rPr>
          <w:rFonts w:ascii="Courier New" w:hAnsi="Courier New"/>
        </w:rPr>
        <w:t xml:space="preserve">$74,250 in </w:t>
      </w:r>
      <w:r w:rsidR="009453DC">
        <w:rPr>
          <w:rFonts w:ascii="Courier New" w:hAnsi="Courier New"/>
        </w:rPr>
        <w:t xml:space="preserve">lawsuit </w:t>
      </w:r>
      <w:r w:rsidR="00BE4732">
        <w:rPr>
          <w:rFonts w:ascii="Courier New" w:hAnsi="Courier New"/>
        </w:rPr>
        <w:t>recoveries</w:t>
      </w:r>
      <w:r w:rsidR="009453DC">
        <w:rPr>
          <w:rFonts w:ascii="Courier New" w:hAnsi="Courier New"/>
        </w:rPr>
        <w:t xml:space="preserve"> that the appellant</w:t>
      </w:r>
      <w:r w:rsidR="00BE4732">
        <w:rPr>
          <w:rFonts w:ascii="Courier New" w:hAnsi="Courier New"/>
        </w:rPr>
        <w:t xml:space="preserve"> </w:t>
      </w:r>
      <w:r w:rsidR="00F96557">
        <w:rPr>
          <w:rFonts w:ascii="Courier New" w:hAnsi="Courier New"/>
        </w:rPr>
        <w:t>admitted to receiving</w:t>
      </w:r>
      <w:r w:rsidR="00BE4732">
        <w:rPr>
          <w:rFonts w:ascii="Courier New" w:hAnsi="Courier New"/>
        </w:rPr>
        <w:t xml:space="preserve"> in tax year 2013</w:t>
      </w:r>
      <w:r w:rsidR="00281B4E">
        <w:rPr>
          <w:rFonts w:ascii="Courier New" w:hAnsi="Courier New"/>
        </w:rPr>
        <w:t xml:space="preserve"> </w:t>
      </w:r>
      <w:r w:rsidR="009453DC">
        <w:rPr>
          <w:rFonts w:ascii="Courier New" w:hAnsi="Courier New"/>
        </w:rPr>
        <w:t xml:space="preserve">far </w:t>
      </w:r>
      <w:r w:rsidR="00281B4E">
        <w:rPr>
          <w:rFonts w:ascii="Courier New" w:hAnsi="Courier New"/>
        </w:rPr>
        <w:t xml:space="preserve">exceeded the </w:t>
      </w:r>
      <w:r w:rsidR="002A2404">
        <w:rPr>
          <w:rFonts w:ascii="Courier New" w:hAnsi="Courier New"/>
        </w:rPr>
        <w:t xml:space="preserve">$8,000 </w:t>
      </w:r>
      <w:r w:rsidR="00281B4E">
        <w:rPr>
          <w:rFonts w:ascii="Courier New" w:hAnsi="Courier New"/>
        </w:rPr>
        <w:t>thre</w:t>
      </w:r>
      <w:r w:rsidR="00BE4732">
        <w:rPr>
          <w:rFonts w:ascii="Courier New" w:hAnsi="Courier New"/>
        </w:rPr>
        <w:t xml:space="preserve">shold </w:t>
      </w:r>
      <w:r w:rsidR="00003081">
        <w:rPr>
          <w:rFonts w:ascii="Courier New" w:hAnsi="Courier New"/>
        </w:rPr>
        <w:t xml:space="preserve">requirement </w:t>
      </w:r>
      <w:r w:rsidR="00BE4732">
        <w:rPr>
          <w:rFonts w:ascii="Courier New" w:hAnsi="Courier New"/>
        </w:rPr>
        <w:t>for the filing of a Form 1.  Therefore,</w:t>
      </w:r>
      <w:r w:rsidR="00003081">
        <w:rPr>
          <w:rFonts w:ascii="Courier New" w:hAnsi="Courier New"/>
        </w:rPr>
        <w:t xml:space="preserve"> the appellant was required</w:t>
      </w:r>
      <w:r w:rsidR="00281B4E">
        <w:rPr>
          <w:rFonts w:ascii="Courier New" w:hAnsi="Courier New"/>
        </w:rPr>
        <w:t>,</w:t>
      </w:r>
      <w:r w:rsidR="007B042B">
        <w:rPr>
          <w:rFonts w:ascii="Courier New" w:hAnsi="Courier New"/>
        </w:rPr>
        <w:t xml:space="preserve"> but failed</w:t>
      </w:r>
      <w:r w:rsidR="00BE4732">
        <w:rPr>
          <w:rFonts w:ascii="Courier New" w:hAnsi="Courier New"/>
        </w:rPr>
        <w:t>,</w:t>
      </w:r>
      <w:r w:rsidR="007B042B">
        <w:rPr>
          <w:rFonts w:ascii="Courier New" w:hAnsi="Courier New"/>
        </w:rPr>
        <w:t xml:space="preserve"> to file a Massachu</w:t>
      </w:r>
      <w:r w:rsidR="00A6388A">
        <w:rPr>
          <w:rFonts w:ascii="Courier New" w:hAnsi="Courier New"/>
        </w:rPr>
        <w:t>setts Form 1</w:t>
      </w:r>
      <w:r w:rsidR="00CB6924">
        <w:rPr>
          <w:rFonts w:ascii="Courier New" w:hAnsi="Courier New"/>
        </w:rPr>
        <w:t xml:space="preserve"> for</w:t>
      </w:r>
      <w:r w:rsidR="00BE4732">
        <w:rPr>
          <w:rFonts w:ascii="Courier New" w:hAnsi="Courier New"/>
        </w:rPr>
        <w:t xml:space="preserve"> tax year 2013</w:t>
      </w:r>
      <w:r w:rsidR="00E45040">
        <w:rPr>
          <w:rFonts w:ascii="Courier New" w:hAnsi="Courier New"/>
        </w:rPr>
        <w:t>.  As will be explained in the Opinion, t</w:t>
      </w:r>
      <w:r w:rsidR="007B042B">
        <w:rPr>
          <w:rFonts w:ascii="Courier New" w:hAnsi="Courier New"/>
        </w:rPr>
        <w:t>he filing of a tax return i</w:t>
      </w:r>
      <w:r w:rsidR="002964C6">
        <w:rPr>
          <w:rFonts w:ascii="Courier New" w:hAnsi="Courier New"/>
        </w:rPr>
        <w:t>s a statutory prerequisite to the right to seek abatement</w:t>
      </w:r>
      <w:r w:rsidR="009453DC">
        <w:rPr>
          <w:rFonts w:ascii="Courier New" w:hAnsi="Courier New"/>
        </w:rPr>
        <w:t xml:space="preserve">.  </w:t>
      </w:r>
    </w:p>
    <w:p w14:paraId="1DA2E015" w14:textId="239DA547" w:rsidR="009A3771" w:rsidRDefault="00202F9B" w:rsidP="007B042B">
      <w:pPr>
        <w:spacing w:line="480" w:lineRule="auto"/>
        <w:ind w:firstLine="720"/>
        <w:jc w:val="both"/>
        <w:rPr>
          <w:rFonts w:ascii="Courier New" w:hAnsi="Courier New"/>
        </w:rPr>
      </w:pPr>
      <w:r>
        <w:rPr>
          <w:rFonts w:ascii="Courier New" w:hAnsi="Courier New"/>
        </w:rPr>
        <w:t xml:space="preserve">Moreover, the Board found that the appellant’s </w:t>
      </w:r>
      <w:r w:rsidRPr="009453DC">
        <w:rPr>
          <w:rFonts w:ascii="Courier New" w:hAnsi="Courier New"/>
        </w:rPr>
        <w:t>settlement request</w:t>
      </w:r>
      <w:r w:rsidR="00A6388A">
        <w:rPr>
          <w:rFonts w:ascii="Courier New" w:hAnsi="Courier New"/>
        </w:rPr>
        <w:t xml:space="preserve"> form</w:t>
      </w:r>
      <w:r>
        <w:rPr>
          <w:rFonts w:ascii="Courier New" w:hAnsi="Courier New"/>
        </w:rPr>
        <w:t xml:space="preserve"> did not qualify as an abatement application</w:t>
      </w:r>
      <w:r w:rsidR="00281B4E">
        <w:rPr>
          <w:rFonts w:ascii="Courier New" w:hAnsi="Courier New"/>
        </w:rPr>
        <w:t>, because a settlement request</w:t>
      </w:r>
      <w:r w:rsidR="00CB6924">
        <w:rPr>
          <w:rFonts w:ascii="Courier New" w:hAnsi="Courier New"/>
        </w:rPr>
        <w:t xml:space="preserve"> form</w:t>
      </w:r>
      <w:r w:rsidR="00281B4E">
        <w:rPr>
          <w:rFonts w:ascii="Courier New" w:hAnsi="Courier New"/>
        </w:rPr>
        <w:t xml:space="preserve"> is not a form approved by the Commissioner for purposes of requesting abatement</w:t>
      </w:r>
      <w:r w:rsidR="00674302">
        <w:rPr>
          <w:rFonts w:ascii="Courier New" w:hAnsi="Courier New"/>
        </w:rPr>
        <w:t xml:space="preserve">.  </w:t>
      </w:r>
    </w:p>
    <w:p w14:paraId="3D324480" w14:textId="59E8C026" w:rsidR="00F4606B" w:rsidRDefault="009C0461" w:rsidP="007B042B">
      <w:pPr>
        <w:spacing w:line="480" w:lineRule="auto"/>
        <w:ind w:firstLine="720"/>
        <w:jc w:val="both"/>
        <w:rPr>
          <w:rFonts w:ascii="Courier New" w:hAnsi="Courier New"/>
        </w:rPr>
      </w:pPr>
      <w:r>
        <w:rPr>
          <w:rFonts w:ascii="Courier New" w:hAnsi="Courier New"/>
        </w:rPr>
        <w:lastRenderedPageBreak/>
        <w:t xml:space="preserve">Because the appellant failed to file a return and failed to apply for </w:t>
      </w:r>
      <w:proofErr w:type="gramStart"/>
      <w:r>
        <w:rPr>
          <w:rFonts w:ascii="Courier New" w:hAnsi="Courier New"/>
        </w:rPr>
        <w:t>an abatement</w:t>
      </w:r>
      <w:proofErr w:type="gramEnd"/>
      <w:r>
        <w:rPr>
          <w:rFonts w:ascii="Courier New" w:hAnsi="Courier New"/>
        </w:rPr>
        <w:t xml:space="preserve"> for tax year 2013, t</w:t>
      </w:r>
      <w:r w:rsidR="00281B4E">
        <w:rPr>
          <w:rFonts w:ascii="Courier New" w:hAnsi="Courier New"/>
        </w:rPr>
        <w:t>he Board found and ruled that it did not have jurisdiction over the appeal for tax year 2013.</w:t>
      </w:r>
      <w:r w:rsidR="00202F9B">
        <w:rPr>
          <w:rFonts w:ascii="Courier New" w:hAnsi="Courier New"/>
        </w:rPr>
        <w:t xml:space="preserve"> </w:t>
      </w:r>
      <w:r w:rsidR="00281B4E">
        <w:rPr>
          <w:rFonts w:ascii="Courier New" w:hAnsi="Courier New"/>
        </w:rPr>
        <w:t xml:space="preserve"> </w:t>
      </w:r>
    </w:p>
    <w:p w14:paraId="6041FC0F" w14:textId="08F52102" w:rsidR="00A551F1" w:rsidRDefault="007B042B" w:rsidP="009453DC">
      <w:pPr>
        <w:spacing w:line="480" w:lineRule="auto"/>
        <w:ind w:firstLine="720"/>
        <w:jc w:val="both"/>
        <w:rPr>
          <w:rFonts w:ascii="Courier New" w:hAnsi="Courier New"/>
        </w:rPr>
      </w:pPr>
      <w:r>
        <w:rPr>
          <w:rFonts w:ascii="Courier New" w:hAnsi="Courier New"/>
        </w:rPr>
        <w:t>Accordingly, the Boa</w:t>
      </w:r>
      <w:r w:rsidR="0039458B">
        <w:rPr>
          <w:rFonts w:ascii="Courier New" w:hAnsi="Courier New"/>
        </w:rPr>
        <w:t>rd</w:t>
      </w:r>
      <w:r>
        <w:rPr>
          <w:rFonts w:ascii="Courier New" w:hAnsi="Courier New"/>
        </w:rPr>
        <w:t xml:space="preserve"> issued a decision for the</w:t>
      </w:r>
      <w:r w:rsidR="00F4606B">
        <w:rPr>
          <w:rFonts w:ascii="Courier New" w:hAnsi="Courier New"/>
        </w:rPr>
        <w:t xml:space="preserve"> </w:t>
      </w:r>
      <w:r w:rsidR="0039458B">
        <w:rPr>
          <w:rFonts w:ascii="Courier New" w:hAnsi="Courier New"/>
        </w:rPr>
        <w:t>appellee</w:t>
      </w:r>
      <w:r w:rsidR="00281B4E">
        <w:rPr>
          <w:rFonts w:ascii="Courier New" w:hAnsi="Courier New"/>
        </w:rPr>
        <w:t xml:space="preserve"> </w:t>
      </w:r>
      <w:r w:rsidR="00F4606B">
        <w:rPr>
          <w:rFonts w:ascii="Courier New" w:hAnsi="Courier New"/>
        </w:rPr>
        <w:t xml:space="preserve">in Docket </w:t>
      </w:r>
      <w:r w:rsidR="00A6388A">
        <w:rPr>
          <w:rFonts w:ascii="Courier New" w:hAnsi="Courier New"/>
        </w:rPr>
        <w:t xml:space="preserve">No. </w:t>
      </w:r>
      <w:proofErr w:type="gramStart"/>
      <w:r w:rsidR="00733B50">
        <w:rPr>
          <w:rFonts w:ascii="Courier New" w:hAnsi="Courier New"/>
        </w:rPr>
        <w:t>C332051</w:t>
      </w:r>
      <w:r w:rsidR="00F4606B">
        <w:rPr>
          <w:rFonts w:ascii="Courier New" w:hAnsi="Courier New"/>
        </w:rPr>
        <w:t xml:space="preserve"> </w:t>
      </w:r>
      <w:r w:rsidR="00281B4E">
        <w:rPr>
          <w:rFonts w:ascii="Courier New" w:hAnsi="Courier New"/>
        </w:rPr>
        <w:t>for tax year 2013</w:t>
      </w:r>
      <w:r w:rsidR="0039458B">
        <w:rPr>
          <w:rFonts w:ascii="Courier New" w:hAnsi="Courier New"/>
        </w:rPr>
        <w:t>.</w:t>
      </w:r>
      <w:proofErr w:type="gramEnd"/>
      <w:r>
        <w:rPr>
          <w:rFonts w:ascii="Courier New" w:hAnsi="Courier New"/>
        </w:rPr>
        <w:t xml:space="preserve">  </w:t>
      </w:r>
    </w:p>
    <w:p w14:paraId="39D82A57" w14:textId="77777777" w:rsidR="00C9583C" w:rsidRPr="00BB030E" w:rsidRDefault="00C9583C" w:rsidP="009453DC">
      <w:pPr>
        <w:spacing w:line="480" w:lineRule="auto"/>
        <w:ind w:firstLine="720"/>
        <w:jc w:val="both"/>
        <w:rPr>
          <w:rFonts w:ascii="Courier New" w:hAnsi="Courier New"/>
        </w:rPr>
      </w:pPr>
    </w:p>
    <w:p w14:paraId="54857372" w14:textId="0EC6AE52" w:rsidR="0029567D" w:rsidRPr="006833CD" w:rsidRDefault="00A551F1" w:rsidP="006833CD">
      <w:pPr>
        <w:spacing w:line="480" w:lineRule="auto"/>
        <w:jc w:val="center"/>
        <w:rPr>
          <w:rFonts w:ascii="Courier New" w:hAnsi="Courier New"/>
          <w:b/>
        </w:rPr>
      </w:pPr>
      <w:r>
        <w:rPr>
          <w:rFonts w:ascii="Courier New" w:hAnsi="Courier New"/>
          <w:b/>
        </w:rPr>
        <w:t>OPINION</w:t>
      </w:r>
    </w:p>
    <w:p w14:paraId="10AD224D" w14:textId="3E798977" w:rsidR="0029567D" w:rsidRPr="00093BEE" w:rsidRDefault="0029567D" w:rsidP="0029567D">
      <w:pPr>
        <w:spacing w:line="480" w:lineRule="auto"/>
        <w:jc w:val="both"/>
        <w:rPr>
          <w:rFonts w:ascii="Courier New" w:hAnsi="Courier New" w:cs="Courier New"/>
          <w:b/>
          <w:u w:val="single"/>
        </w:rPr>
      </w:pPr>
      <w:r w:rsidRPr="00093BEE">
        <w:rPr>
          <w:rFonts w:ascii="Courier New" w:hAnsi="Courier New" w:cs="Courier New"/>
          <w:b/>
          <w:u w:val="single"/>
        </w:rPr>
        <w:t xml:space="preserve">1. Docket </w:t>
      </w:r>
      <w:r w:rsidR="00733B50">
        <w:rPr>
          <w:rFonts w:ascii="Courier New" w:hAnsi="Courier New" w:cs="Courier New"/>
          <w:b/>
          <w:u w:val="single"/>
        </w:rPr>
        <w:t xml:space="preserve">No. </w:t>
      </w:r>
      <w:r w:rsidRPr="00093BEE">
        <w:rPr>
          <w:rFonts w:ascii="Courier New" w:hAnsi="Courier New" w:cs="Courier New"/>
          <w:b/>
          <w:u w:val="single"/>
        </w:rPr>
        <w:t>C329649 – tax years 2011 and 2012</w:t>
      </w:r>
    </w:p>
    <w:p w14:paraId="59EBECDC" w14:textId="39F44A85" w:rsidR="006A1B3B" w:rsidRDefault="006A1B3B" w:rsidP="006A1B3B">
      <w:pPr>
        <w:spacing w:line="480" w:lineRule="auto"/>
        <w:ind w:firstLine="720"/>
        <w:jc w:val="both"/>
        <w:rPr>
          <w:rFonts w:ascii="Courier New" w:hAnsi="Courier New" w:cs="Courier New"/>
        </w:rPr>
      </w:pPr>
      <w:r w:rsidRPr="008C24B1">
        <w:rPr>
          <w:rFonts w:ascii="Courier New" w:hAnsi="Courier New" w:cs="Courier New"/>
        </w:rPr>
        <w:t>“</w:t>
      </w:r>
      <w:r>
        <w:rPr>
          <w:rFonts w:ascii="Courier New" w:hAnsi="Courier New" w:cs="Courier New"/>
        </w:rPr>
        <w:t>D</w:t>
      </w:r>
      <w:r w:rsidRPr="008C24B1">
        <w:rPr>
          <w:rFonts w:ascii="Courier New" w:hAnsi="Courier New" w:cs="Courier New"/>
        </w:rPr>
        <w:t>eductions are to a large extent a m</w:t>
      </w:r>
      <w:r>
        <w:rPr>
          <w:rFonts w:ascii="Courier New" w:hAnsi="Courier New" w:cs="Courier New"/>
        </w:rPr>
        <w:t xml:space="preserve">atter of legislative grace.” </w:t>
      </w:r>
      <w:r w:rsidR="00E305F1">
        <w:rPr>
          <w:rFonts w:ascii="Courier New" w:hAnsi="Courier New" w:cs="Courier New"/>
        </w:rPr>
        <w:t xml:space="preserve"> </w:t>
      </w:r>
      <w:proofErr w:type="spellStart"/>
      <w:proofErr w:type="gramStart"/>
      <w:r w:rsidRPr="008C24B1">
        <w:rPr>
          <w:rFonts w:ascii="Courier New" w:hAnsi="Courier New" w:cs="Courier New"/>
          <w:b/>
          <w:i/>
        </w:rPr>
        <w:t>Drapkin</w:t>
      </w:r>
      <w:proofErr w:type="spellEnd"/>
      <w:r w:rsidRPr="008C24B1">
        <w:rPr>
          <w:rFonts w:ascii="Courier New" w:hAnsi="Courier New" w:cs="Courier New"/>
          <w:b/>
          <w:i/>
        </w:rPr>
        <w:t xml:space="preserve"> v. Commissioner of Revenue, </w:t>
      </w:r>
      <w:r w:rsidRPr="008C24B1">
        <w:rPr>
          <w:rFonts w:ascii="Courier New" w:hAnsi="Courier New" w:cs="Courier New"/>
        </w:rPr>
        <w:t>420 Mass. 333, 343 (1995).</w:t>
      </w:r>
      <w:proofErr w:type="gramEnd"/>
      <w:r>
        <w:rPr>
          <w:rFonts w:ascii="Courier New" w:hAnsi="Courier New" w:cs="Courier New"/>
        </w:rPr>
        <w:t xml:space="preserve">  Additionally, a taxpayer bears the burden of demonstrating his or her entitlement to claim deductions against Massachusetts income. </w:t>
      </w:r>
      <w:r>
        <w:rPr>
          <w:rFonts w:ascii="Courier New" w:hAnsi="Courier New" w:cs="Courier New"/>
          <w:i/>
        </w:rPr>
        <w:t xml:space="preserve">See </w:t>
      </w:r>
      <w:r>
        <w:rPr>
          <w:rFonts w:ascii="Courier New" w:hAnsi="Courier New" w:cs="Courier New"/>
          <w:b/>
          <w:i/>
        </w:rPr>
        <w:t xml:space="preserve">Horvitz v. Commissioner of Revenue, </w:t>
      </w:r>
      <w:r>
        <w:rPr>
          <w:rFonts w:ascii="Courier New" w:hAnsi="Courier New" w:cs="Courier New"/>
        </w:rPr>
        <w:t xml:space="preserve">51 Mass. App. Ct. 386, 391-92 (2001); </w:t>
      </w:r>
      <w:r w:rsidRPr="00BB7F5B">
        <w:rPr>
          <w:rFonts w:ascii="Courier New" w:hAnsi="Courier New" w:cs="Courier New"/>
          <w:i/>
        </w:rPr>
        <w:t>see</w:t>
      </w:r>
      <w:r>
        <w:rPr>
          <w:rFonts w:ascii="Courier New" w:hAnsi="Courier New" w:cs="Courier New"/>
          <w:i/>
        </w:rPr>
        <w:t xml:space="preserve"> also </w:t>
      </w:r>
      <w:proofErr w:type="spellStart"/>
      <w:r>
        <w:rPr>
          <w:rFonts w:ascii="Courier New" w:hAnsi="Courier New" w:cs="Courier New"/>
          <w:b/>
          <w:i/>
        </w:rPr>
        <w:t>Indopco</w:t>
      </w:r>
      <w:proofErr w:type="spellEnd"/>
      <w:r>
        <w:rPr>
          <w:rFonts w:ascii="Courier New" w:hAnsi="Courier New" w:cs="Courier New"/>
          <w:b/>
          <w:i/>
        </w:rPr>
        <w:t xml:space="preserve">, Inc. v. Commissioner, </w:t>
      </w:r>
      <w:r>
        <w:rPr>
          <w:rFonts w:ascii="Courier New" w:hAnsi="Courier New" w:cs="Courier New"/>
        </w:rPr>
        <w:t>503 U.S. 79, 84 (1992) (affirming that “‘the burden of clearly showing the right to the claimed deduction is on the taxpayer’”)</w:t>
      </w:r>
      <w:r w:rsidR="00733B50">
        <w:rPr>
          <w:rFonts w:ascii="Courier New" w:hAnsi="Courier New" w:cs="Courier New"/>
        </w:rPr>
        <w:t xml:space="preserve"> </w:t>
      </w:r>
      <w:r>
        <w:rPr>
          <w:rFonts w:ascii="Courier New" w:hAnsi="Courier New" w:cs="Courier New"/>
        </w:rPr>
        <w:t xml:space="preserve">(additional citation omitted). “To sustain this burden, the taxpayer must substantiate claimed deductions.”  </w:t>
      </w:r>
      <w:proofErr w:type="gramStart"/>
      <w:r w:rsidRPr="006A1B3B">
        <w:rPr>
          <w:rFonts w:ascii="Courier New" w:hAnsi="Courier New" w:cs="Courier New"/>
          <w:b/>
          <w:i/>
        </w:rPr>
        <w:t>Leo Lake, III v. Commissioner of Revenue</w:t>
      </w:r>
      <w:r>
        <w:rPr>
          <w:rFonts w:ascii="Courier New" w:hAnsi="Courier New" w:cs="Courier New"/>
        </w:rPr>
        <w:t>, Mass. ATB Findings of Fact and Reports 2017-198, 210.</w:t>
      </w:r>
      <w:proofErr w:type="gramEnd"/>
    </w:p>
    <w:p w14:paraId="5C13886E" w14:textId="3AEDB547" w:rsidR="006A1B3B" w:rsidRDefault="006A1B3B" w:rsidP="006A1B3B">
      <w:pPr>
        <w:spacing w:line="480" w:lineRule="auto"/>
        <w:ind w:firstLine="720"/>
        <w:jc w:val="both"/>
        <w:rPr>
          <w:rFonts w:ascii="Courier New" w:hAnsi="Courier New" w:cs="Courier New"/>
        </w:rPr>
      </w:pPr>
      <w:r>
        <w:rPr>
          <w:rFonts w:ascii="Courier New" w:hAnsi="Courier New" w:cs="Courier New"/>
        </w:rPr>
        <w:t xml:space="preserve"> The Commissioner</w:t>
      </w:r>
      <w:r w:rsidR="000D3CA8">
        <w:rPr>
          <w:rFonts w:ascii="Courier New" w:hAnsi="Courier New" w:cs="Courier New"/>
        </w:rPr>
        <w:t xml:space="preserve">’s </w:t>
      </w:r>
      <w:r w:rsidR="00733B50">
        <w:rPr>
          <w:rFonts w:ascii="Courier New" w:hAnsi="Courier New" w:cs="Courier New"/>
        </w:rPr>
        <w:t>regulation</w:t>
      </w:r>
      <w:r>
        <w:rPr>
          <w:rFonts w:ascii="Courier New" w:hAnsi="Courier New" w:cs="Courier New"/>
        </w:rPr>
        <w:t xml:space="preserve"> </w:t>
      </w:r>
      <w:r w:rsidR="00733B50">
        <w:rPr>
          <w:rFonts w:ascii="Courier New" w:hAnsi="Courier New" w:cs="Courier New"/>
        </w:rPr>
        <w:t>at 830 CMR 62C.25.1(9)</w:t>
      </w:r>
      <w:r w:rsidR="000D3CA8">
        <w:rPr>
          <w:rFonts w:ascii="Courier New" w:hAnsi="Courier New" w:cs="Courier New"/>
        </w:rPr>
        <w:t xml:space="preserve"> require</w:t>
      </w:r>
      <w:r w:rsidR="00733B50">
        <w:rPr>
          <w:rFonts w:ascii="Courier New" w:hAnsi="Courier New" w:cs="Courier New"/>
        </w:rPr>
        <w:t>s</w:t>
      </w:r>
      <w:r w:rsidR="000D3CA8">
        <w:rPr>
          <w:rFonts w:ascii="Courier New" w:hAnsi="Courier New" w:cs="Courier New"/>
        </w:rPr>
        <w:t xml:space="preserve"> that </w:t>
      </w:r>
      <w:r>
        <w:rPr>
          <w:rFonts w:ascii="Courier New" w:hAnsi="Courier New" w:cs="Courier New"/>
        </w:rPr>
        <w:t>taxpayers</w:t>
      </w:r>
      <w:r w:rsidR="000D3CA8">
        <w:rPr>
          <w:rFonts w:ascii="Courier New" w:hAnsi="Courier New" w:cs="Courier New"/>
        </w:rPr>
        <w:t xml:space="preserve"> claiming Schedule C deductions must</w:t>
      </w:r>
      <w:r>
        <w:rPr>
          <w:rFonts w:ascii="Courier New" w:hAnsi="Courier New" w:cs="Courier New"/>
        </w:rPr>
        <w:t xml:space="preserve"> </w:t>
      </w:r>
      <w:r>
        <w:rPr>
          <w:rFonts w:ascii="Courier New" w:hAnsi="Courier New" w:cs="Courier New"/>
        </w:rPr>
        <w:lastRenderedPageBreak/>
        <w:t>preserve and maintain “permane</w:t>
      </w:r>
      <w:r w:rsidR="000D3CA8">
        <w:rPr>
          <w:rFonts w:ascii="Courier New" w:hAnsi="Courier New" w:cs="Courier New"/>
        </w:rPr>
        <w:t>nt books of accounts or records” that</w:t>
      </w:r>
      <w:r>
        <w:rPr>
          <w:rFonts w:ascii="Courier New" w:hAnsi="Courier New" w:cs="Courier New"/>
        </w:rPr>
        <w:t xml:space="preserve"> “must be in sufficient detail and clarity to delineate and support each line item deducted on such Schedule C.”</w:t>
      </w:r>
      <w:r w:rsidR="000D3CA8">
        <w:rPr>
          <w:rFonts w:ascii="Courier New" w:hAnsi="Courier New" w:cs="Courier New"/>
        </w:rPr>
        <w:t xml:space="preserve">  </w:t>
      </w:r>
      <w:proofErr w:type="gramStart"/>
      <w:r w:rsidR="00733B50">
        <w:rPr>
          <w:rFonts w:ascii="Courier New" w:hAnsi="Courier New" w:cs="Courier New"/>
        </w:rPr>
        <w:t xml:space="preserve">In the </w:t>
      </w:r>
      <w:r w:rsidR="009B23A6">
        <w:rPr>
          <w:rFonts w:ascii="Courier New" w:hAnsi="Courier New" w:cs="Courier New"/>
        </w:rPr>
        <w:t>appeal</w:t>
      </w:r>
      <w:r w:rsidR="00733B50">
        <w:rPr>
          <w:rFonts w:ascii="Courier New" w:hAnsi="Courier New" w:cs="Courier New"/>
        </w:rPr>
        <w:t xml:space="preserve"> for Docket No.</w:t>
      </w:r>
      <w:proofErr w:type="gramEnd"/>
      <w:r w:rsidR="00733B50">
        <w:rPr>
          <w:rFonts w:ascii="Courier New" w:hAnsi="Courier New" w:cs="Courier New"/>
        </w:rPr>
        <w:t xml:space="preserve"> C329649</w:t>
      </w:r>
      <w:r w:rsidR="009B23A6">
        <w:rPr>
          <w:rFonts w:ascii="Courier New" w:hAnsi="Courier New" w:cs="Courier New"/>
        </w:rPr>
        <w:t>, Mr.</w:t>
      </w:r>
      <w:r w:rsidR="003D1C4C">
        <w:rPr>
          <w:rFonts w:ascii="Courier New" w:hAnsi="Courier New" w:cs="Courier New"/>
        </w:rPr>
        <w:t> </w:t>
      </w:r>
      <w:r w:rsidR="009B23A6">
        <w:rPr>
          <w:rFonts w:ascii="Courier New" w:hAnsi="Courier New" w:cs="Courier New"/>
        </w:rPr>
        <w:t>Allard testified that</w:t>
      </w:r>
      <w:r w:rsidR="00DF4520">
        <w:rPr>
          <w:rFonts w:ascii="Courier New" w:hAnsi="Courier New" w:cs="Courier New"/>
        </w:rPr>
        <w:t>, for the majority of the appellant’s cl</w:t>
      </w:r>
      <w:r w:rsidR="00C67374">
        <w:rPr>
          <w:rFonts w:ascii="Courier New" w:hAnsi="Courier New" w:cs="Courier New"/>
        </w:rPr>
        <w:t xml:space="preserve">aimed Schedule C expenses, </w:t>
      </w:r>
      <w:r w:rsidR="00312904">
        <w:rPr>
          <w:rFonts w:ascii="Courier New" w:hAnsi="Courier New" w:cs="Courier New"/>
        </w:rPr>
        <w:t xml:space="preserve">the appellant </w:t>
      </w:r>
      <w:r w:rsidR="00DF4520">
        <w:rPr>
          <w:rFonts w:ascii="Courier New" w:hAnsi="Courier New" w:cs="Courier New"/>
        </w:rPr>
        <w:t xml:space="preserve">failed to identify a business purpose for the expenses, failed to identify which expenses belonged to which business, and failed to reconcile the expenses with the amounts reported on his Forms 1.  </w:t>
      </w:r>
      <w:r w:rsidR="00234B5D">
        <w:rPr>
          <w:rFonts w:ascii="Courier New" w:hAnsi="Courier New" w:cs="Courier New"/>
        </w:rPr>
        <w:t>The Board found Mr.</w:t>
      </w:r>
      <w:r w:rsidR="003D1C4C">
        <w:rPr>
          <w:rFonts w:ascii="Courier New" w:hAnsi="Courier New" w:cs="Courier New"/>
        </w:rPr>
        <w:t> </w:t>
      </w:r>
      <w:r w:rsidR="00234B5D">
        <w:rPr>
          <w:rFonts w:ascii="Courier New" w:hAnsi="Courier New" w:cs="Courier New"/>
        </w:rPr>
        <w:t>Allard’s testimony</w:t>
      </w:r>
      <w:r w:rsidR="004E5BC6">
        <w:rPr>
          <w:rFonts w:ascii="Courier New" w:hAnsi="Courier New" w:cs="Courier New"/>
        </w:rPr>
        <w:t xml:space="preserve"> on this matter to be credible, and the appellant </w:t>
      </w:r>
      <w:r w:rsidR="00666AAC">
        <w:rPr>
          <w:rFonts w:ascii="Courier New" w:hAnsi="Courier New" w:cs="Courier New"/>
        </w:rPr>
        <w:t>did not</w:t>
      </w:r>
      <w:r w:rsidR="009B23A6">
        <w:rPr>
          <w:rFonts w:ascii="Courier New" w:hAnsi="Courier New" w:cs="Courier New"/>
        </w:rPr>
        <w:t xml:space="preserve"> present </w:t>
      </w:r>
      <w:r w:rsidR="00666AAC">
        <w:rPr>
          <w:rFonts w:ascii="Courier New" w:hAnsi="Courier New" w:cs="Courier New"/>
        </w:rPr>
        <w:t xml:space="preserve">additional </w:t>
      </w:r>
      <w:r w:rsidR="009B23A6">
        <w:rPr>
          <w:rFonts w:ascii="Courier New" w:hAnsi="Courier New" w:cs="Courier New"/>
        </w:rPr>
        <w:t xml:space="preserve">evidence </w:t>
      </w:r>
      <w:r w:rsidR="004E5BC6">
        <w:rPr>
          <w:rFonts w:ascii="Courier New" w:hAnsi="Courier New" w:cs="Courier New"/>
        </w:rPr>
        <w:t xml:space="preserve">at the rehearing </w:t>
      </w:r>
      <w:r w:rsidR="009B23A6">
        <w:rPr>
          <w:rFonts w:ascii="Courier New" w:hAnsi="Courier New" w:cs="Courier New"/>
        </w:rPr>
        <w:t>to substantiate his expenses</w:t>
      </w:r>
      <w:r w:rsidR="00CD5D78">
        <w:rPr>
          <w:rFonts w:ascii="Courier New" w:hAnsi="Courier New" w:cs="Courier New"/>
        </w:rPr>
        <w:t>.</w:t>
      </w:r>
      <w:r w:rsidR="00733B50">
        <w:rPr>
          <w:rFonts w:ascii="Courier New" w:hAnsi="Courier New" w:cs="Courier New"/>
        </w:rPr>
        <w:t xml:space="preserve"> </w:t>
      </w:r>
      <w:r w:rsidR="00CD5D78">
        <w:rPr>
          <w:rFonts w:ascii="Courier New" w:hAnsi="Courier New" w:cs="Courier New"/>
        </w:rPr>
        <w:t xml:space="preserve"> </w:t>
      </w:r>
      <w:r w:rsidR="004E5BC6">
        <w:rPr>
          <w:rFonts w:ascii="Courier New" w:hAnsi="Courier New" w:cs="Courier New"/>
        </w:rPr>
        <w:t xml:space="preserve">Therefore, the Board found and ruled that the </w:t>
      </w:r>
      <w:r w:rsidR="007609CC">
        <w:rPr>
          <w:rFonts w:ascii="Courier New" w:hAnsi="Courier New" w:cs="Courier New"/>
        </w:rPr>
        <w:t xml:space="preserve">majority of the </w:t>
      </w:r>
      <w:r w:rsidR="004E5BC6">
        <w:rPr>
          <w:rFonts w:ascii="Courier New" w:hAnsi="Courier New" w:cs="Courier New"/>
        </w:rPr>
        <w:t>appellant’s records were not “in sufficient detail and clarity to delineate and support each line item deducted” on his Schedule C</w:t>
      </w:r>
      <w:r w:rsidR="00CD5D78">
        <w:rPr>
          <w:rFonts w:ascii="Courier New" w:hAnsi="Courier New" w:cs="Courier New"/>
        </w:rPr>
        <w:t xml:space="preserve"> as required by 830 CMR </w:t>
      </w:r>
      <w:proofErr w:type="gramStart"/>
      <w:r w:rsidR="00CD5D78">
        <w:rPr>
          <w:rFonts w:ascii="Courier New" w:hAnsi="Courier New" w:cs="Courier New"/>
        </w:rPr>
        <w:t>62C.25.1(</w:t>
      </w:r>
      <w:proofErr w:type="gramEnd"/>
      <w:r w:rsidR="00CD5D78">
        <w:rPr>
          <w:rFonts w:ascii="Courier New" w:hAnsi="Courier New" w:cs="Courier New"/>
        </w:rPr>
        <w:t xml:space="preserve">9). </w:t>
      </w:r>
      <w:r w:rsidR="004E5BC6">
        <w:rPr>
          <w:rFonts w:ascii="Courier New" w:hAnsi="Courier New" w:cs="Courier New"/>
        </w:rPr>
        <w:t xml:space="preserve">  </w:t>
      </w:r>
    </w:p>
    <w:p w14:paraId="059D0EFF" w14:textId="635566A2" w:rsidR="007609CC" w:rsidRDefault="007609CC" w:rsidP="006A1B3B">
      <w:pPr>
        <w:spacing w:line="480" w:lineRule="auto"/>
        <w:ind w:firstLine="720"/>
        <w:jc w:val="both"/>
        <w:rPr>
          <w:rFonts w:ascii="Courier New" w:hAnsi="Courier New" w:cs="Courier New"/>
        </w:rPr>
      </w:pPr>
      <w:r>
        <w:rPr>
          <w:rFonts w:ascii="Courier New" w:hAnsi="Courier New" w:cs="Courier New"/>
        </w:rPr>
        <w:t xml:space="preserve">However, </w:t>
      </w:r>
      <w:r w:rsidR="00F96557">
        <w:rPr>
          <w:rFonts w:ascii="Courier New" w:hAnsi="Courier New" w:cs="Courier New"/>
        </w:rPr>
        <w:t xml:space="preserve">upon review, </w:t>
      </w:r>
      <w:r>
        <w:rPr>
          <w:rFonts w:ascii="Courier New" w:hAnsi="Courier New" w:cs="Courier New"/>
        </w:rPr>
        <w:t xml:space="preserve">the Commissioner </w:t>
      </w:r>
      <w:r w:rsidR="00070A5F">
        <w:rPr>
          <w:rFonts w:ascii="Courier New" w:hAnsi="Courier New" w:cs="Courier New"/>
        </w:rPr>
        <w:t>agreed</w:t>
      </w:r>
      <w:r>
        <w:rPr>
          <w:rFonts w:ascii="Courier New" w:hAnsi="Courier New" w:cs="Courier New"/>
        </w:rPr>
        <w:t xml:space="preserve"> that some of the appellant’s receipts supported his claimed Schedule C deduct</w:t>
      </w:r>
      <w:r w:rsidR="00CD5D78">
        <w:rPr>
          <w:rFonts w:ascii="Courier New" w:hAnsi="Courier New" w:cs="Courier New"/>
        </w:rPr>
        <w:t>ions.  The Commissioner agreed with</w:t>
      </w:r>
      <w:r>
        <w:rPr>
          <w:rFonts w:ascii="Courier New" w:hAnsi="Courier New" w:cs="Courier New"/>
        </w:rPr>
        <w:t xml:space="preserve"> Mr.</w:t>
      </w:r>
      <w:r w:rsidR="003D1C4C">
        <w:rPr>
          <w:rFonts w:ascii="Courier New" w:hAnsi="Courier New" w:cs="Courier New"/>
        </w:rPr>
        <w:t> </w:t>
      </w:r>
      <w:r>
        <w:rPr>
          <w:rFonts w:ascii="Courier New" w:hAnsi="Courier New" w:cs="Courier New"/>
        </w:rPr>
        <w:t>Allard’s</w:t>
      </w:r>
      <w:r w:rsidR="00CD5D78">
        <w:rPr>
          <w:rFonts w:ascii="Courier New" w:hAnsi="Courier New" w:cs="Courier New"/>
        </w:rPr>
        <w:t xml:space="preserve"> recommended</w:t>
      </w:r>
      <w:r>
        <w:rPr>
          <w:rFonts w:ascii="Courier New" w:hAnsi="Courier New" w:cs="Courier New"/>
        </w:rPr>
        <w:t xml:space="preserve"> adjustment</w:t>
      </w:r>
      <w:r w:rsidR="0020768D">
        <w:rPr>
          <w:rFonts w:ascii="Courier New" w:hAnsi="Courier New" w:cs="Courier New"/>
        </w:rPr>
        <w:t>s</w:t>
      </w:r>
      <w:r w:rsidR="00244E6F">
        <w:rPr>
          <w:rFonts w:ascii="Courier New" w:hAnsi="Courier New" w:cs="Courier New"/>
        </w:rPr>
        <w:t>, which allowed</w:t>
      </w:r>
      <w:r w:rsidR="00D44272">
        <w:rPr>
          <w:rFonts w:ascii="Courier New" w:hAnsi="Courier New" w:cs="Courier New"/>
        </w:rPr>
        <w:t xml:space="preserve"> 30 percent</w:t>
      </w:r>
      <w:r>
        <w:rPr>
          <w:rFonts w:ascii="Courier New" w:hAnsi="Courier New" w:cs="Courier New"/>
        </w:rPr>
        <w:t xml:space="preserve"> of the</w:t>
      </w:r>
      <w:r w:rsidR="0020768D">
        <w:rPr>
          <w:rFonts w:ascii="Courier New" w:hAnsi="Courier New" w:cs="Courier New"/>
        </w:rPr>
        <w:t xml:space="preserve"> appellant’s claimed</w:t>
      </w:r>
      <w:r>
        <w:rPr>
          <w:rFonts w:ascii="Courier New" w:hAnsi="Courier New" w:cs="Courier New"/>
        </w:rPr>
        <w:t xml:space="preserve"> Schedule C expenses for both tax years 2011 and 2012. </w:t>
      </w:r>
      <w:r w:rsidR="007D645B">
        <w:rPr>
          <w:rFonts w:ascii="Courier New" w:hAnsi="Courier New" w:cs="Courier New"/>
        </w:rPr>
        <w:t xml:space="preserve"> Based </w:t>
      </w:r>
      <w:r w:rsidR="00CD5D78">
        <w:rPr>
          <w:rFonts w:ascii="Courier New" w:hAnsi="Courier New" w:cs="Courier New"/>
        </w:rPr>
        <w:t>on the Commissioner’s agreement</w:t>
      </w:r>
      <w:r w:rsidR="007D645B">
        <w:rPr>
          <w:rFonts w:ascii="Courier New" w:hAnsi="Courier New" w:cs="Courier New"/>
        </w:rPr>
        <w:t>, th</w:t>
      </w:r>
      <w:r w:rsidR="00D44272">
        <w:rPr>
          <w:rFonts w:ascii="Courier New" w:hAnsi="Courier New" w:cs="Courier New"/>
        </w:rPr>
        <w:t>e Board found and ruled that 30 percent</w:t>
      </w:r>
      <w:r w:rsidR="007D645B">
        <w:rPr>
          <w:rFonts w:ascii="Courier New" w:hAnsi="Courier New" w:cs="Courier New"/>
        </w:rPr>
        <w:t xml:space="preserve"> of the </w:t>
      </w:r>
      <w:r w:rsidR="007D645B">
        <w:rPr>
          <w:rFonts w:ascii="Courier New" w:hAnsi="Courier New" w:cs="Courier New"/>
        </w:rPr>
        <w:lastRenderedPageBreak/>
        <w:t>appellant’s claimed Schedule C expenses were sufficiently supported to allow for their deduction.</w:t>
      </w:r>
    </w:p>
    <w:p w14:paraId="0D2D6189" w14:textId="4F90AF20" w:rsidR="007D645B" w:rsidRDefault="007D645B" w:rsidP="006A1B3B">
      <w:pPr>
        <w:spacing w:line="480" w:lineRule="auto"/>
        <w:ind w:firstLine="720"/>
        <w:jc w:val="both"/>
        <w:rPr>
          <w:rFonts w:ascii="Courier New" w:hAnsi="Courier New" w:cs="Courier New"/>
        </w:rPr>
      </w:pPr>
      <w:r>
        <w:rPr>
          <w:rFonts w:ascii="Courier New" w:hAnsi="Courier New" w:cs="Courier New"/>
        </w:rPr>
        <w:t>Accordingly, the Board issued a decision for the appellant granting abatements of $2,039.70 for tax year 2011 and $1,009.50 for tax year 2012</w:t>
      </w:r>
      <w:r w:rsidR="0072461B">
        <w:rPr>
          <w:rFonts w:ascii="Courier New" w:hAnsi="Courier New" w:cs="Courier New"/>
        </w:rPr>
        <w:t>, plus statutory additions</w:t>
      </w:r>
      <w:r>
        <w:rPr>
          <w:rFonts w:ascii="Courier New" w:hAnsi="Courier New" w:cs="Courier New"/>
        </w:rPr>
        <w:t xml:space="preserve">.   </w:t>
      </w:r>
    </w:p>
    <w:p w14:paraId="5659CD8C" w14:textId="3ADC35D6" w:rsidR="0029567D" w:rsidRPr="0029567D" w:rsidRDefault="0029567D" w:rsidP="0029567D">
      <w:pPr>
        <w:spacing w:line="480" w:lineRule="auto"/>
        <w:jc w:val="both"/>
        <w:rPr>
          <w:rFonts w:ascii="Courier New" w:hAnsi="Courier New" w:cs="Courier New"/>
          <w:b/>
          <w:u w:val="single"/>
        </w:rPr>
      </w:pPr>
      <w:r w:rsidRPr="008F569F">
        <w:rPr>
          <w:rFonts w:ascii="Courier New" w:hAnsi="Courier New" w:cs="Courier New"/>
          <w:b/>
          <w:u w:val="single"/>
        </w:rPr>
        <w:t xml:space="preserve">2.  Docket </w:t>
      </w:r>
      <w:r w:rsidR="00CD5D78">
        <w:rPr>
          <w:rFonts w:ascii="Courier New" w:hAnsi="Courier New" w:cs="Courier New"/>
          <w:b/>
          <w:u w:val="single"/>
        </w:rPr>
        <w:t xml:space="preserve">No. </w:t>
      </w:r>
      <w:r w:rsidRPr="008F569F">
        <w:rPr>
          <w:rFonts w:ascii="Courier New" w:hAnsi="Courier New" w:cs="Courier New"/>
          <w:b/>
          <w:u w:val="single"/>
        </w:rPr>
        <w:t>C332051 - tax year 2013</w:t>
      </w:r>
    </w:p>
    <w:p w14:paraId="5BD3D906" w14:textId="24454E59" w:rsidR="00A551F1" w:rsidRDefault="00A551F1" w:rsidP="009453DC">
      <w:pPr>
        <w:spacing w:line="480" w:lineRule="auto"/>
        <w:ind w:firstLine="720"/>
        <w:jc w:val="both"/>
        <w:rPr>
          <w:rFonts w:ascii="Courier New" w:hAnsi="Courier New"/>
        </w:rPr>
      </w:pPr>
      <w:r>
        <w:rPr>
          <w:rFonts w:ascii="Courier New" w:hAnsi="Courier New"/>
        </w:rPr>
        <w:t xml:space="preserve">Pursuant to </w:t>
      </w:r>
      <w:r>
        <w:rPr>
          <w:rFonts w:ascii="Courier New" w:hAnsi="Courier New" w:cs="Courier New"/>
        </w:rPr>
        <w:t>G.L. c. 62, § 2, residents of Massachusetts are taxed on all of their income, regardless of the source, with certain exception</w:t>
      </w:r>
      <w:r w:rsidR="006630A7">
        <w:rPr>
          <w:rFonts w:ascii="Courier New" w:hAnsi="Courier New" w:cs="Courier New"/>
        </w:rPr>
        <w:t>s not here relevant.</w:t>
      </w:r>
      <w:r w:rsidR="00427E1F">
        <w:rPr>
          <w:rFonts w:ascii="Courier New" w:hAnsi="Courier New" w:cs="Courier New"/>
        </w:rPr>
        <w:t xml:space="preserve">  </w:t>
      </w:r>
      <w:r>
        <w:rPr>
          <w:rFonts w:ascii="Courier New" w:hAnsi="Courier New" w:cs="Courier New"/>
        </w:rPr>
        <w:t>Individuals seeking an abatement of tax may a</w:t>
      </w:r>
      <w:r w:rsidR="006630A7">
        <w:rPr>
          <w:rFonts w:ascii="Courier New" w:hAnsi="Courier New" w:cs="Courier New"/>
        </w:rPr>
        <w:t xml:space="preserve">pply to the Commissioner for </w:t>
      </w:r>
      <w:r>
        <w:rPr>
          <w:rFonts w:ascii="Courier New" w:hAnsi="Courier New" w:cs="Courier New"/>
        </w:rPr>
        <w:t xml:space="preserve">abatement under the provisions of </w:t>
      </w:r>
      <w:r>
        <w:rPr>
          <w:rFonts w:ascii="Courier New" w:hAnsi="Courier New"/>
        </w:rPr>
        <w:t>G.L. c. 62C, § 37.</w:t>
      </w:r>
      <w:r w:rsidR="0029567D">
        <w:rPr>
          <w:rFonts w:ascii="Courier New" w:hAnsi="Courier New"/>
        </w:rPr>
        <w:t xml:space="preserve"> </w:t>
      </w:r>
      <w:r w:rsidR="004416DF">
        <w:rPr>
          <w:rFonts w:ascii="Courier New" w:hAnsi="Courier New"/>
        </w:rPr>
        <w:t xml:space="preserve"> However,</w:t>
      </w:r>
      <w:r>
        <w:rPr>
          <w:rFonts w:ascii="Courier New" w:hAnsi="Courier New"/>
        </w:rPr>
        <w:t xml:space="preserve"> “[n]o tax assessed on any person liable to taxation shall be abated unless the person assessed shall have filed, at or before the time of bringing his application for abatement, a return as required by this chapter for the period to </w:t>
      </w:r>
      <w:r w:rsidR="004416DF">
        <w:rPr>
          <w:rFonts w:ascii="Courier New" w:hAnsi="Courier New"/>
        </w:rPr>
        <w:t>which his application relates.</w:t>
      </w:r>
      <w:r>
        <w:rPr>
          <w:rFonts w:ascii="Courier New" w:hAnsi="Courier New"/>
        </w:rPr>
        <w:t>”</w:t>
      </w:r>
      <w:r w:rsidR="00C45B7A">
        <w:rPr>
          <w:rFonts w:ascii="Courier New" w:hAnsi="Courier New"/>
        </w:rPr>
        <w:t xml:space="preserve"> </w:t>
      </w:r>
      <w:r>
        <w:rPr>
          <w:rFonts w:ascii="Courier New" w:hAnsi="Courier New"/>
        </w:rPr>
        <w:t xml:space="preserve"> </w:t>
      </w:r>
      <w:proofErr w:type="gramStart"/>
      <w:r>
        <w:rPr>
          <w:rFonts w:ascii="Courier New" w:hAnsi="Courier New"/>
        </w:rPr>
        <w:t>G.L. c. 62C, § 38.</w:t>
      </w:r>
      <w:proofErr w:type="gramEnd"/>
      <w:r>
        <w:rPr>
          <w:rFonts w:ascii="Courier New" w:hAnsi="Courier New"/>
        </w:rPr>
        <w:t xml:space="preserve"> </w:t>
      </w:r>
      <w:r w:rsidR="00C45B7A">
        <w:rPr>
          <w:rFonts w:ascii="Courier New" w:hAnsi="Courier New"/>
        </w:rPr>
        <w:t xml:space="preserve"> </w:t>
      </w:r>
      <w:r>
        <w:rPr>
          <w:rFonts w:ascii="Courier New" w:hAnsi="Courier New"/>
        </w:rPr>
        <w:t>Consistent with this express prerequisite to abatement, the Supreme Judicial Court has held that a taxpayer’s failure to file a tax return</w:t>
      </w:r>
      <w:r w:rsidR="00E305F1">
        <w:rPr>
          <w:rFonts w:ascii="Courier New" w:hAnsi="Courier New"/>
        </w:rPr>
        <w:t xml:space="preserve"> precludes the taxpayer’s right to abatement</w:t>
      </w:r>
      <w:r>
        <w:rPr>
          <w:rFonts w:ascii="Courier New" w:hAnsi="Courier New"/>
        </w:rPr>
        <w:t xml:space="preserve">. </w:t>
      </w:r>
      <w:r w:rsidR="00C45B7A">
        <w:rPr>
          <w:rFonts w:ascii="Courier New" w:hAnsi="Courier New"/>
        </w:rPr>
        <w:t xml:space="preserve"> </w:t>
      </w:r>
      <w:r>
        <w:rPr>
          <w:rFonts w:ascii="Courier New" w:hAnsi="Courier New"/>
          <w:i/>
        </w:rPr>
        <w:t xml:space="preserve">See </w:t>
      </w:r>
      <w:r w:rsidRPr="00E96EA3">
        <w:rPr>
          <w:rFonts w:ascii="Courier New" w:hAnsi="Courier New"/>
          <w:b/>
          <w:i/>
        </w:rPr>
        <w:t>Commissioner of</w:t>
      </w:r>
      <w:r>
        <w:rPr>
          <w:rFonts w:ascii="Courier New" w:hAnsi="Courier New"/>
          <w:b/>
          <w:i/>
        </w:rPr>
        <w:t> </w:t>
      </w:r>
      <w:r w:rsidRPr="00E96EA3">
        <w:rPr>
          <w:rFonts w:ascii="Courier New" w:hAnsi="Courier New"/>
          <w:b/>
          <w:i/>
        </w:rPr>
        <w:t>Revenue v. Pat’s Super Market, Inc</w:t>
      </w:r>
      <w:r w:rsidRPr="00E96EA3">
        <w:rPr>
          <w:rFonts w:ascii="Courier New" w:hAnsi="Courier New"/>
        </w:rPr>
        <w:t xml:space="preserve">., </w:t>
      </w:r>
      <w:r>
        <w:rPr>
          <w:rFonts w:ascii="Courier New" w:hAnsi="Courier New"/>
        </w:rPr>
        <w:t xml:space="preserve">387 Mass. 309, 310 (1982); </w:t>
      </w:r>
      <w:r>
        <w:rPr>
          <w:rFonts w:ascii="Courier New" w:hAnsi="Courier New" w:cs="Courier New"/>
          <w:b/>
          <w:i/>
          <w:color w:val="333333"/>
        </w:rPr>
        <w:t xml:space="preserve">Assessors of Boston v. Suffolk </w:t>
      </w:r>
      <w:r>
        <w:rPr>
          <w:rFonts w:ascii="Courier New" w:hAnsi="Courier New" w:cs="Courier New"/>
          <w:b/>
          <w:i/>
          <w:color w:val="333333"/>
        </w:rPr>
        <w:lastRenderedPageBreak/>
        <w:t xml:space="preserve">Law School, </w:t>
      </w:r>
      <w:r>
        <w:rPr>
          <w:rFonts w:ascii="Courier New" w:hAnsi="Courier New" w:cs="Courier New"/>
          <w:color w:val="333333"/>
        </w:rPr>
        <w:t xml:space="preserve">295 Mass. 489, 492 (1936) (citing </w:t>
      </w:r>
      <w:r w:rsidRPr="00711B19">
        <w:rPr>
          <w:rFonts w:ascii="Courier New" w:hAnsi="Courier New" w:cs="Courier New"/>
          <w:b/>
          <w:i/>
          <w:color w:val="333333"/>
        </w:rPr>
        <w:t>International Paper Co. v</w:t>
      </w:r>
      <w:r>
        <w:rPr>
          <w:rFonts w:ascii="Courier New" w:hAnsi="Courier New" w:cs="Courier New"/>
          <w:color w:val="333333"/>
        </w:rPr>
        <w:t xml:space="preserve">. </w:t>
      </w:r>
      <w:r>
        <w:rPr>
          <w:rFonts w:ascii="Courier New" w:hAnsi="Courier New" w:cs="Courier New"/>
          <w:b/>
          <w:i/>
          <w:color w:val="333333"/>
        </w:rPr>
        <w:t xml:space="preserve">Commonwealth, </w:t>
      </w:r>
      <w:r>
        <w:rPr>
          <w:rFonts w:ascii="Courier New" w:hAnsi="Courier New" w:cs="Courier New"/>
          <w:color w:val="333333"/>
        </w:rPr>
        <w:t>232 Mass. 7, 10 (1919))</w:t>
      </w:r>
      <w:r w:rsidR="00427E1F">
        <w:rPr>
          <w:rFonts w:ascii="Courier New" w:hAnsi="Courier New" w:cs="Courier New"/>
          <w:color w:val="333333"/>
        </w:rPr>
        <w:t>.</w:t>
      </w:r>
    </w:p>
    <w:p w14:paraId="65E2D68D" w14:textId="28C090D2" w:rsidR="00F73C9C" w:rsidRPr="00AB2B35" w:rsidRDefault="004416DF" w:rsidP="00F73C9C">
      <w:pPr>
        <w:spacing w:line="480" w:lineRule="auto"/>
        <w:ind w:firstLine="720"/>
        <w:jc w:val="both"/>
        <w:rPr>
          <w:rFonts w:ascii="Courier New" w:hAnsi="Courier New" w:cs="Courier New"/>
        </w:rPr>
      </w:pPr>
      <w:r>
        <w:rPr>
          <w:rFonts w:ascii="Courier New" w:hAnsi="Courier New"/>
        </w:rPr>
        <w:t>T</w:t>
      </w:r>
      <w:r w:rsidR="00A551F1">
        <w:rPr>
          <w:rFonts w:ascii="Courier New" w:hAnsi="Courier New"/>
        </w:rPr>
        <w:t xml:space="preserve">he appellant did not </w:t>
      </w:r>
      <w:r>
        <w:rPr>
          <w:rFonts w:ascii="Courier New" w:hAnsi="Courier New"/>
        </w:rPr>
        <w:t xml:space="preserve">file a Form 1 for tax year 2013.  The issue is whether he was “required” to do so.  During tax year 2013, the appellant’s sources of income were solely from lawsuit settlements. </w:t>
      </w:r>
      <w:r w:rsidR="00F73C9C">
        <w:rPr>
          <w:rFonts w:ascii="Courier New" w:hAnsi="Courier New"/>
        </w:rPr>
        <w:t xml:space="preserve"> The definition of “gross income” in G.L. c. 62, § 2(a) incorporates the federal definition of that same term.  The United States </w:t>
      </w:r>
      <w:r w:rsidR="008A0956">
        <w:rPr>
          <w:rFonts w:ascii="Courier New" w:hAnsi="Courier New"/>
        </w:rPr>
        <w:t xml:space="preserve">Internal Revenue </w:t>
      </w:r>
      <w:r w:rsidR="00F73C9C">
        <w:rPr>
          <w:rFonts w:ascii="Courier New" w:hAnsi="Courier New"/>
        </w:rPr>
        <w:t>Code (“Code”) at</w:t>
      </w:r>
      <w:r w:rsidR="00F73C9C">
        <w:rPr>
          <w:rFonts w:ascii="Courier New" w:hAnsi="Courier New" w:cs="Courier New"/>
        </w:rPr>
        <w:t xml:space="preserve"> § 61(a</w:t>
      </w:r>
      <w:proofErr w:type="gramStart"/>
      <w:r w:rsidR="00F73C9C">
        <w:rPr>
          <w:rFonts w:ascii="Courier New" w:hAnsi="Courier New" w:cs="Courier New"/>
        </w:rPr>
        <w:t>)(</w:t>
      </w:r>
      <w:proofErr w:type="gramEnd"/>
      <w:r w:rsidR="00F73C9C">
        <w:rPr>
          <w:rFonts w:ascii="Courier New" w:hAnsi="Courier New" w:cs="Courier New"/>
        </w:rPr>
        <w:t>1) defines</w:t>
      </w:r>
      <w:r w:rsidR="00F73C9C">
        <w:rPr>
          <w:rFonts w:ascii="Courier New" w:hAnsi="Courier New"/>
        </w:rPr>
        <w:t xml:space="preserve"> </w:t>
      </w:r>
      <w:r w:rsidR="00F73C9C">
        <w:rPr>
          <w:rFonts w:ascii="Courier New" w:hAnsi="Courier New" w:cs="Courier New"/>
        </w:rPr>
        <w:t>“gross income” as “</w:t>
      </w:r>
      <w:r w:rsidR="00F73C9C" w:rsidRPr="003921A0">
        <w:rPr>
          <w:rFonts w:ascii="Courier New" w:hAnsi="Courier New" w:cs="Courier New"/>
          <w:b/>
          <w:i/>
        </w:rPr>
        <w:t>all</w:t>
      </w:r>
      <w:r w:rsidR="00F73C9C">
        <w:rPr>
          <w:rFonts w:ascii="Courier New" w:hAnsi="Courier New" w:cs="Courier New"/>
        </w:rPr>
        <w:t xml:space="preserve"> income from </w:t>
      </w:r>
      <w:r w:rsidR="00F73C9C" w:rsidRPr="003921A0">
        <w:rPr>
          <w:rFonts w:ascii="Courier New" w:hAnsi="Courier New" w:cs="Courier New"/>
          <w:b/>
          <w:i/>
        </w:rPr>
        <w:t>whatever source derived</w:t>
      </w:r>
      <w:r w:rsidR="00F73C9C">
        <w:rPr>
          <w:rFonts w:ascii="Courier New" w:hAnsi="Courier New" w:cs="Courier New"/>
        </w:rPr>
        <w:t>.” (</w:t>
      </w:r>
      <w:proofErr w:type="gramStart"/>
      <w:r w:rsidR="00F73C9C">
        <w:rPr>
          <w:rFonts w:ascii="Courier New" w:hAnsi="Courier New" w:cs="Courier New"/>
        </w:rPr>
        <w:t>emphasis</w:t>
      </w:r>
      <w:proofErr w:type="gramEnd"/>
      <w:r w:rsidR="00F73C9C">
        <w:rPr>
          <w:rFonts w:ascii="Courier New" w:hAnsi="Courier New" w:cs="Courier New"/>
        </w:rPr>
        <w:t xml:space="preserve"> added).  The Supreme Court has held that Code § 61 was intended by Congress to exert “the full measure of its taxing power” over all income from whatever source derived.  </w:t>
      </w:r>
      <w:proofErr w:type="gramStart"/>
      <w:r w:rsidR="00F73C9C" w:rsidRPr="00243FE1">
        <w:rPr>
          <w:rFonts w:ascii="Courier New" w:hAnsi="Courier New" w:cs="Courier New"/>
          <w:b/>
          <w:i/>
        </w:rPr>
        <w:t>Commissioner of Internal Revenue v. Glenshaw Glass Co</w:t>
      </w:r>
      <w:r w:rsidR="00F73C9C">
        <w:rPr>
          <w:rFonts w:ascii="Courier New" w:hAnsi="Courier New" w:cs="Courier New"/>
        </w:rPr>
        <w:t>., 348</w:t>
      </w:r>
      <w:r w:rsidR="003D1C4C">
        <w:rPr>
          <w:rFonts w:ascii="Courier New" w:hAnsi="Courier New" w:cs="Courier New"/>
        </w:rPr>
        <w:t> </w:t>
      </w:r>
      <w:r w:rsidR="00F73C9C">
        <w:rPr>
          <w:rFonts w:ascii="Courier New" w:hAnsi="Courier New" w:cs="Courier New"/>
        </w:rPr>
        <w:t xml:space="preserve">U.S. 426, </w:t>
      </w:r>
      <w:r w:rsidR="00F73C9C" w:rsidRPr="00AB2B35">
        <w:rPr>
          <w:rFonts w:ascii="Courier New" w:hAnsi="Courier New" w:cs="Courier New"/>
        </w:rPr>
        <w:t>429 (1955) (citations omitted).</w:t>
      </w:r>
      <w:proofErr w:type="gramEnd"/>
    </w:p>
    <w:p w14:paraId="56CD1CDD" w14:textId="1154B387" w:rsidR="00C05300" w:rsidRPr="00C05300" w:rsidRDefault="003D0A14" w:rsidP="00C05300">
      <w:pPr>
        <w:pStyle w:val="NoSpacing"/>
        <w:tabs>
          <w:tab w:val="left" w:pos="0"/>
        </w:tabs>
        <w:spacing w:line="480" w:lineRule="auto"/>
        <w:ind w:firstLine="720"/>
        <w:jc w:val="both"/>
        <w:rPr>
          <w:rFonts w:ascii="Courier New" w:hAnsi="Courier New" w:cs="Courier New"/>
          <w:color w:val="373739"/>
          <w:sz w:val="24"/>
          <w:szCs w:val="24"/>
          <w:shd w:val="clear" w:color="auto" w:fill="FFFFFF"/>
        </w:rPr>
      </w:pPr>
      <w:r>
        <w:rPr>
          <w:rFonts w:ascii="Courier New" w:hAnsi="Courier New" w:cs="Courier New"/>
          <w:sz w:val="24"/>
          <w:szCs w:val="24"/>
        </w:rPr>
        <w:t xml:space="preserve">The Code does specify certain exemptions from gross income.  </w:t>
      </w:r>
      <w:r w:rsidR="00E1266A">
        <w:rPr>
          <w:rFonts w:ascii="Courier New" w:hAnsi="Courier New" w:cs="Courier New"/>
          <w:sz w:val="24"/>
          <w:szCs w:val="24"/>
        </w:rPr>
        <w:t>Code § 104(a</w:t>
      </w:r>
      <w:proofErr w:type="gramStart"/>
      <w:r w:rsidR="00E1266A">
        <w:rPr>
          <w:rFonts w:ascii="Courier New" w:hAnsi="Courier New" w:cs="Courier New"/>
          <w:sz w:val="24"/>
          <w:szCs w:val="24"/>
        </w:rPr>
        <w:t>)(</w:t>
      </w:r>
      <w:proofErr w:type="gramEnd"/>
      <w:r w:rsidR="00E1266A">
        <w:rPr>
          <w:rFonts w:ascii="Courier New" w:hAnsi="Courier New" w:cs="Courier New"/>
          <w:sz w:val="24"/>
          <w:szCs w:val="24"/>
        </w:rPr>
        <w:t>2) excludes from income</w:t>
      </w:r>
      <w:r w:rsidR="00E1266A" w:rsidRPr="00E1266A">
        <w:rPr>
          <w:rStyle w:val="apple-converted-space"/>
          <w:rFonts w:ascii="Courier New" w:hAnsi="Courier New" w:cs="Courier New"/>
          <w:color w:val="373739"/>
          <w:sz w:val="24"/>
          <w:szCs w:val="24"/>
          <w:shd w:val="clear" w:color="auto" w:fill="FFFFFF"/>
        </w:rPr>
        <w:t> </w:t>
      </w:r>
      <w:r w:rsidR="00E1266A">
        <w:rPr>
          <w:rStyle w:val="apple-converted-space"/>
          <w:rFonts w:ascii="Courier New" w:hAnsi="Courier New" w:cs="Courier New"/>
          <w:color w:val="373739"/>
          <w:sz w:val="24"/>
          <w:szCs w:val="24"/>
          <w:shd w:val="clear" w:color="auto" w:fill="FFFFFF"/>
        </w:rPr>
        <w:t>“</w:t>
      </w:r>
      <w:r w:rsidR="00E1266A" w:rsidRPr="00E1266A">
        <w:rPr>
          <w:rFonts w:ascii="Courier New" w:hAnsi="Courier New" w:cs="Courier New"/>
          <w:color w:val="373739"/>
          <w:sz w:val="24"/>
          <w:szCs w:val="24"/>
          <w:shd w:val="clear" w:color="auto" w:fill="FFFFFF"/>
        </w:rPr>
        <w:t>the amount of any damages (other than punitive damages) received (whether by suit or agreement and whether as lump sums or as periodic payments) on account of personal physical injuries or physical sickness</w:t>
      </w:r>
      <w:r w:rsidR="00CA40A5">
        <w:rPr>
          <w:rFonts w:ascii="Courier New" w:hAnsi="Courier New" w:cs="Courier New"/>
          <w:color w:val="373739"/>
          <w:sz w:val="24"/>
          <w:szCs w:val="24"/>
          <w:shd w:val="clear" w:color="auto" w:fill="FFFFFF"/>
        </w:rPr>
        <w:t>.” This provision further specifies that</w:t>
      </w:r>
      <w:r w:rsidR="00E1266A">
        <w:rPr>
          <w:rFonts w:ascii="Courier New" w:hAnsi="Courier New" w:cs="Courier New"/>
          <w:color w:val="373739"/>
          <w:sz w:val="24"/>
          <w:szCs w:val="24"/>
          <w:shd w:val="clear" w:color="auto" w:fill="FFFFFF"/>
        </w:rPr>
        <w:t xml:space="preserve"> “</w:t>
      </w:r>
      <w:r w:rsidR="00E1266A" w:rsidRPr="00E1266A">
        <w:rPr>
          <w:rFonts w:ascii="Courier New" w:hAnsi="Courier New" w:cs="Courier New"/>
          <w:color w:val="373739"/>
          <w:sz w:val="24"/>
          <w:szCs w:val="24"/>
          <w:shd w:val="clear" w:color="auto" w:fill="FFFFFF"/>
        </w:rPr>
        <w:t>emotional distress shall not be treated as a physical injury or physical sickness.</w:t>
      </w:r>
      <w:r w:rsidR="00E1266A">
        <w:rPr>
          <w:rFonts w:ascii="Courier New" w:hAnsi="Courier New" w:cs="Courier New"/>
          <w:color w:val="373739"/>
          <w:sz w:val="24"/>
          <w:szCs w:val="24"/>
          <w:shd w:val="clear" w:color="auto" w:fill="FFFFFF"/>
        </w:rPr>
        <w:t>”</w:t>
      </w:r>
      <w:r w:rsidR="00E1266A" w:rsidRPr="00E1266A">
        <w:rPr>
          <w:rFonts w:ascii="Courier New" w:hAnsi="Courier New" w:cs="Courier New"/>
          <w:color w:val="373739"/>
          <w:sz w:val="24"/>
          <w:szCs w:val="24"/>
          <w:shd w:val="clear" w:color="auto" w:fill="FFFFFF"/>
        </w:rPr>
        <w:t xml:space="preserve"> </w:t>
      </w:r>
      <w:r w:rsidR="00E1266A">
        <w:rPr>
          <w:rFonts w:ascii="Courier New" w:hAnsi="Courier New" w:cs="Courier New"/>
          <w:color w:val="373739"/>
          <w:sz w:val="24"/>
          <w:szCs w:val="24"/>
          <w:shd w:val="clear" w:color="auto" w:fill="FFFFFF"/>
        </w:rPr>
        <w:t xml:space="preserve"> Code § 104(a</w:t>
      </w:r>
      <w:proofErr w:type="gramStart"/>
      <w:r w:rsidR="00E1266A">
        <w:rPr>
          <w:rFonts w:ascii="Courier New" w:hAnsi="Courier New" w:cs="Courier New"/>
          <w:color w:val="373739"/>
          <w:sz w:val="24"/>
          <w:szCs w:val="24"/>
          <w:shd w:val="clear" w:color="auto" w:fill="FFFFFF"/>
        </w:rPr>
        <w:t>)(</w:t>
      </w:r>
      <w:proofErr w:type="gramEnd"/>
      <w:r w:rsidR="00E1266A">
        <w:rPr>
          <w:rFonts w:ascii="Courier New" w:hAnsi="Courier New" w:cs="Courier New"/>
          <w:color w:val="373739"/>
          <w:sz w:val="24"/>
          <w:szCs w:val="24"/>
          <w:shd w:val="clear" w:color="auto" w:fill="FFFFFF"/>
        </w:rPr>
        <w:t xml:space="preserve">6).  </w:t>
      </w:r>
      <w:r w:rsidR="0004543D" w:rsidRPr="0004543D">
        <w:rPr>
          <w:rFonts w:ascii="Courier New" w:hAnsi="Courier New" w:cs="Courier New"/>
          <w:i/>
          <w:color w:val="373739"/>
          <w:sz w:val="24"/>
          <w:szCs w:val="24"/>
          <w:shd w:val="clear" w:color="auto" w:fill="FFFFFF"/>
        </w:rPr>
        <w:t>See</w:t>
      </w:r>
      <w:r w:rsidR="0004543D">
        <w:rPr>
          <w:rFonts w:ascii="Courier New" w:hAnsi="Courier New" w:cs="Courier New"/>
          <w:color w:val="373739"/>
          <w:sz w:val="24"/>
          <w:szCs w:val="24"/>
          <w:shd w:val="clear" w:color="auto" w:fill="FFFFFF"/>
        </w:rPr>
        <w:t xml:space="preserve"> </w:t>
      </w:r>
      <w:proofErr w:type="spellStart"/>
      <w:r w:rsidR="0004543D" w:rsidRPr="0004543D">
        <w:rPr>
          <w:rFonts w:ascii="Courier New" w:hAnsi="Courier New" w:cs="Courier New"/>
          <w:b/>
          <w:i/>
          <w:color w:val="373739"/>
          <w:sz w:val="24"/>
          <w:szCs w:val="24"/>
          <w:shd w:val="clear" w:color="auto" w:fill="FFFFFF"/>
        </w:rPr>
        <w:t>Maciu</w:t>
      </w:r>
      <w:r w:rsidR="0004543D">
        <w:rPr>
          <w:rFonts w:ascii="Courier New" w:hAnsi="Courier New" w:cs="Courier New"/>
          <w:b/>
          <w:i/>
          <w:color w:val="373739"/>
          <w:sz w:val="24"/>
          <w:szCs w:val="24"/>
          <w:shd w:val="clear" w:color="auto" w:fill="FFFFFF"/>
        </w:rPr>
        <w:t>jec</w:t>
      </w:r>
      <w:proofErr w:type="spellEnd"/>
      <w:r w:rsidR="0004543D">
        <w:rPr>
          <w:rFonts w:ascii="Courier New" w:hAnsi="Courier New" w:cs="Courier New"/>
          <w:b/>
          <w:i/>
          <w:color w:val="373739"/>
          <w:sz w:val="24"/>
          <w:szCs w:val="24"/>
          <w:shd w:val="clear" w:color="auto" w:fill="FFFFFF"/>
        </w:rPr>
        <w:t xml:space="preserve"> v. Commissioner of Internal</w:t>
      </w:r>
      <w:r w:rsidR="0004543D" w:rsidRPr="0004543D">
        <w:rPr>
          <w:rFonts w:ascii="Courier New" w:hAnsi="Courier New" w:cs="Courier New"/>
          <w:b/>
          <w:i/>
          <w:color w:val="373739"/>
          <w:sz w:val="24"/>
          <w:szCs w:val="24"/>
          <w:shd w:val="clear" w:color="auto" w:fill="FFFFFF"/>
        </w:rPr>
        <w:t xml:space="preserve"> Revenue</w:t>
      </w:r>
      <w:r w:rsidR="0004543D">
        <w:rPr>
          <w:rFonts w:ascii="Courier New" w:hAnsi="Courier New" w:cs="Courier New"/>
          <w:color w:val="373739"/>
          <w:sz w:val="24"/>
          <w:szCs w:val="24"/>
          <w:shd w:val="clear" w:color="auto" w:fill="FFFFFF"/>
        </w:rPr>
        <w:t xml:space="preserve">, T.C. </w:t>
      </w:r>
      <w:r w:rsidR="0004543D">
        <w:rPr>
          <w:rFonts w:ascii="Courier New" w:hAnsi="Courier New" w:cs="Courier New"/>
          <w:color w:val="373739"/>
          <w:sz w:val="24"/>
          <w:szCs w:val="24"/>
          <w:shd w:val="clear" w:color="auto" w:fill="FFFFFF"/>
        </w:rPr>
        <w:lastRenderedPageBreak/>
        <w:t>Summary Opinion 2017-49 (July 12, 2017).</w:t>
      </w:r>
      <w:r w:rsidR="00CA40A5">
        <w:rPr>
          <w:rFonts w:ascii="Courier New" w:hAnsi="Courier New" w:cs="Courier New"/>
          <w:color w:val="373739"/>
          <w:sz w:val="24"/>
          <w:szCs w:val="24"/>
          <w:shd w:val="clear" w:color="auto" w:fill="FFFFFF"/>
        </w:rPr>
        <w:t xml:space="preserve"> </w:t>
      </w:r>
      <w:r w:rsidR="0004543D">
        <w:rPr>
          <w:rFonts w:ascii="Courier New" w:hAnsi="Courier New" w:cs="Courier New"/>
          <w:color w:val="373739"/>
          <w:sz w:val="24"/>
          <w:szCs w:val="24"/>
          <w:shd w:val="clear" w:color="auto" w:fill="FFFFFF"/>
        </w:rPr>
        <w:t xml:space="preserve"> </w:t>
      </w:r>
      <w:r w:rsidR="00CA40A5">
        <w:rPr>
          <w:rFonts w:ascii="Courier New" w:hAnsi="Courier New" w:cs="Courier New"/>
          <w:color w:val="373739"/>
          <w:sz w:val="24"/>
          <w:szCs w:val="24"/>
          <w:shd w:val="clear" w:color="auto" w:fill="FFFFFF"/>
        </w:rPr>
        <w:t>The Code, however, allows deduction</w:t>
      </w:r>
      <w:r w:rsidR="008A0956">
        <w:rPr>
          <w:rFonts w:ascii="Courier New" w:hAnsi="Courier New" w:cs="Courier New"/>
          <w:color w:val="373739"/>
          <w:sz w:val="24"/>
          <w:szCs w:val="24"/>
          <w:shd w:val="clear" w:color="auto" w:fill="FFFFFF"/>
        </w:rPr>
        <w:t>s</w:t>
      </w:r>
      <w:r w:rsidR="00CA40A5">
        <w:rPr>
          <w:rFonts w:ascii="Courier New" w:hAnsi="Courier New" w:cs="Courier New"/>
          <w:color w:val="373739"/>
          <w:sz w:val="24"/>
          <w:szCs w:val="24"/>
          <w:shd w:val="clear" w:color="auto" w:fill="FFFFFF"/>
        </w:rPr>
        <w:t xml:space="preserve"> for</w:t>
      </w:r>
      <w:r w:rsidR="00E1266A" w:rsidRPr="00C05300">
        <w:rPr>
          <w:rFonts w:ascii="Courier New" w:hAnsi="Courier New" w:cs="Courier New"/>
          <w:color w:val="373739"/>
          <w:sz w:val="24"/>
          <w:szCs w:val="24"/>
          <w:shd w:val="clear" w:color="auto" w:fill="FFFFFF"/>
        </w:rPr>
        <w:t xml:space="preserve"> “damages not in excess of the amount paid for medical care . . . attributable to emotional distress.” </w:t>
      </w:r>
      <w:r w:rsidR="00CA40A5">
        <w:rPr>
          <w:rFonts w:ascii="Courier New" w:hAnsi="Courier New" w:cs="Courier New"/>
          <w:color w:val="373739"/>
          <w:sz w:val="24"/>
          <w:szCs w:val="24"/>
          <w:shd w:val="clear" w:color="auto" w:fill="FFFFFF"/>
        </w:rPr>
        <w:t xml:space="preserve"> Code § 104(a</w:t>
      </w:r>
      <w:proofErr w:type="gramStart"/>
      <w:r w:rsidR="00CA40A5">
        <w:rPr>
          <w:rFonts w:ascii="Courier New" w:hAnsi="Courier New" w:cs="Courier New"/>
          <w:color w:val="373739"/>
          <w:sz w:val="24"/>
          <w:szCs w:val="24"/>
          <w:shd w:val="clear" w:color="auto" w:fill="FFFFFF"/>
        </w:rPr>
        <w:t>)(</w:t>
      </w:r>
      <w:proofErr w:type="gramEnd"/>
      <w:r w:rsidR="00CA40A5">
        <w:rPr>
          <w:rFonts w:ascii="Courier New" w:hAnsi="Courier New" w:cs="Courier New"/>
          <w:color w:val="373739"/>
          <w:sz w:val="24"/>
          <w:szCs w:val="24"/>
          <w:shd w:val="clear" w:color="auto" w:fill="FFFFFF"/>
        </w:rPr>
        <w:t>6).</w:t>
      </w:r>
    </w:p>
    <w:p w14:paraId="28C15046" w14:textId="21F6ABC5" w:rsidR="00A551F1" w:rsidRDefault="008A0956" w:rsidP="00C05300">
      <w:pPr>
        <w:pStyle w:val="NoSpacing"/>
        <w:tabs>
          <w:tab w:val="left" w:pos="0"/>
        </w:tabs>
        <w:spacing w:line="480" w:lineRule="auto"/>
        <w:ind w:firstLine="720"/>
        <w:jc w:val="both"/>
        <w:rPr>
          <w:rFonts w:ascii="Courier New" w:hAnsi="Courier New"/>
          <w:sz w:val="24"/>
          <w:szCs w:val="24"/>
        </w:rPr>
      </w:pPr>
      <w:r>
        <w:rPr>
          <w:rFonts w:ascii="Courier New" w:hAnsi="Courier New"/>
          <w:sz w:val="24"/>
          <w:szCs w:val="24"/>
        </w:rPr>
        <w:t>A taxpayer</w:t>
      </w:r>
      <w:r w:rsidR="00C05300">
        <w:rPr>
          <w:rFonts w:ascii="Courier New" w:hAnsi="Courier New"/>
          <w:sz w:val="24"/>
          <w:szCs w:val="24"/>
        </w:rPr>
        <w:t xml:space="preserve"> bears the burden of proving facts sufficient</w:t>
      </w:r>
      <w:r w:rsidR="00952AF2">
        <w:rPr>
          <w:rFonts w:ascii="Courier New" w:hAnsi="Courier New"/>
          <w:sz w:val="24"/>
          <w:szCs w:val="24"/>
        </w:rPr>
        <w:t xml:space="preserve"> to sustain a claim of abatement</w:t>
      </w:r>
      <w:r w:rsidR="00C05300">
        <w:rPr>
          <w:rFonts w:ascii="Courier New" w:hAnsi="Courier New"/>
          <w:sz w:val="24"/>
          <w:szCs w:val="24"/>
        </w:rPr>
        <w:t xml:space="preserve">.  </w:t>
      </w:r>
      <w:r w:rsidR="00C05300" w:rsidRPr="00C66100">
        <w:rPr>
          <w:rFonts w:ascii="Courier New" w:hAnsi="Courier New" w:cs="Courier New"/>
          <w:i/>
          <w:sz w:val="24"/>
          <w:szCs w:val="24"/>
        </w:rPr>
        <w:t>See</w:t>
      </w:r>
      <w:r w:rsidR="00C05300" w:rsidRPr="00C66100">
        <w:rPr>
          <w:rFonts w:ascii="Courier New" w:hAnsi="Courier New" w:cs="Courier New"/>
          <w:sz w:val="24"/>
          <w:szCs w:val="24"/>
        </w:rPr>
        <w:t xml:space="preserve"> </w:t>
      </w:r>
      <w:r w:rsidR="00C05300" w:rsidRPr="00C66100">
        <w:rPr>
          <w:rFonts w:ascii="Courier New" w:hAnsi="Courier New" w:cs="Courier New"/>
          <w:b/>
          <w:i/>
          <w:sz w:val="24"/>
          <w:szCs w:val="24"/>
        </w:rPr>
        <w:t xml:space="preserve">M &amp; T Charters, Inc. v. Commissioner of Revenue, </w:t>
      </w:r>
      <w:r w:rsidR="00C05300" w:rsidRPr="00C66100">
        <w:rPr>
          <w:rFonts w:ascii="Courier New" w:hAnsi="Courier New" w:cs="Courier New"/>
          <w:sz w:val="24"/>
          <w:szCs w:val="24"/>
        </w:rPr>
        <w:t>404 Mass. 137, 140 (1989);</w:t>
      </w:r>
      <w:r w:rsidR="00C05300" w:rsidRPr="00C66100">
        <w:rPr>
          <w:rFonts w:ascii="Courier New" w:hAnsi="Courier New" w:cs="Courier New"/>
          <w:b/>
          <w:i/>
          <w:sz w:val="24"/>
          <w:szCs w:val="24"/>
        </w:rPr>
        <w:t xml:space="preserve"> Stone </w:t>
      </w:r>
      <w:r w:rsidR="00C05300" w:rsidRPr="00C66100">
        <w:rPr>
          <w:rFonts w:ascii="Courier New" w:hAnsi="Courier New" w:cs="Courier New"/>
          <w:b/>
          <w:sz w:val="24"/>
          <w:szCs w:val="24"/>
        </w:rPr>
        <w:t>v</w:t>
      </w:r>
      <w:r w:rsidR="00C05300" w:rsidRPr="00C66100">
        <w:rPr>
          <w:rFonts w:ascii="Courier New" w:hAnsi="Courier New" w:cs="Courier New"/>
          <w:sz w:val="24"/>
          <w:szCs w:val="24"/>
        </w:rPr>
        <w:t>. </w:t>
      </w:r>
      <w:r w:rsidR="00C05300" w:rsidRPr="00C66100">
        <w:rPr>
          <w:rFonts w:ascii="Courier New" w:hAnsi="Courier New" w:cs="Courier New"/>
          <w:b/>
          <w:i/>
          <w:sz w:val="24"/>
          <w:szCs w:val="24"/>
        </w:rPr>
        <w:t>State Tax Commission</w:t>
      </w:r>
      <w:r w:rsidR="00C05300" w:rsidRPr="00C66100">
        <w:rPr>
          <w:rFonts w:ascii="Courier New" w:hAnsi="Courier New" w:cs="Courier New"/>
          <w:sz w:val="24"/>
          <w:szCs w:val="24"/>
        </w:rPr>
        <w:t>, 363 Mass. 64, 65-66 (1973); </w:t>
      </w:r>
      <w:r w:rsidR="00C05300" w:rsidRPr="00C66100">
        <w:rPr>
          <w:rFonts w:ascii="Courier New" w:hAnsi="Courier New" w:cs="Courier New"/>
          <w:b/>
          <w:i/>
          <w:sz w:val="24"/>
          <w:szCs w:val="24"/>
        </w:rPr>
        <w:t xml:space="preserve">Staples v. Commissioner of Corps. </w:t>
      </w:r>
      <w:proofErr w:type="gramStart"/>
      <w:r w:rsidR="00C05300">
        <w:rPr>
          <w:rFonts w:ascii="Courier New" w:hAnsi="Courier New" w:cs="Courier New"/>
          <w:b/>
          <w:i/>
          <w:sz w:val="24"/>
          <w:szCs w:val="24"/>
        </w:rPr>
        <w:t>a</w:t>
      </w:r>
      <w:r w:rsidR="00C05300" w:rsidRPr="00C66100">
        <w:rPr>
          <w:rFonts w:ascii="Courier New" w:hAnsi="Courier New" w:cs="Courier New"/>
          <w:b/>
          <w:i/>
          <w:sz w:val="24"/>
          <w:szCs w:val="24"/>
        </w:rPr>
        <w:t>nd</w:t>
      </w:r>
      <w:proofErr w:type="gramEnd"/>
      <w:r w:rsidR="00C05300" w:rsidRPr="00C66100">
        <w:rPr>
          <w:rFonts w:ascii="Courier New" w:hAnsi="Courier New" w:cs="Courier New"/>
          <w:b/>
          <w:i/>
          <w:sz w:val="24"/>
          <w:szCs w:val="24"/>
        </w:rPr>
        <w:t xml:space="preserve"> Taxation, </w:t>
      </w:r>
      <w:r w:rsidR="00C05300" w:rsidRPr="00C66100">
        <w:rPr>
          <w:rFonts w:ascii="Courier New" w:hAnsi="Courier New" w:cs="Courier New"/>
          <w:sz w:val="24"/>
          <w:szCs w:val="24"/>
        </w:rPr>
        <w:t xml:space="preserve">305 Mass. 20, 26 (1940). </w:t>
      </w:r>
      <w:r w:rsidR="00952AF2">
        <w:rPr>
          <w:rFonts w:ascii="Courier New" w:hAnsi="Courier New" w:cs="Courier New"/>
          <w:sz w:val="24"/>
          <w:szCs w:val="24"/>
        </w:rPr>
        <w:t xml:space="preserve"> While the appellant made bare assertions that he had suffered physical injuries from his emotional distress, he did not submit evidence establishing that the lawsuit settlements were awarded as compensation for specific physical injuries or as repayment for medical care.  </w:t>
      </w:r>
      <w:r w:rsidR="004416DF" w:rsidRPr="00C05300">
        <w:rPr>
          <w:rFonts w:ascii="Courier New" w:hAnsi="Courier New"/>
          <w:sz w:val="24"/>
          <w:szCs w:val="24"/>
        </w:rPr>
        <w:t xml:space="preserve">The Board </w:t>
      </w:r>
      <w:r w:rsidR="00952AF2">
        <w:rPr>
          <w:rFonts w:ascii="Courier New" w:hAnsi="Courier New"/>
          <w:sz w:val="24"/>
          <w:szCs w:val="24"/>
        </w:rPr>
        <w:t xml:space="preserve">thus </w:t>
      </w:r>
      <w:r w:rsidR="004416DF" w:rsidRPr="00C05300">
        <w:rPr>
          <w:rFonts w:ascii="Courier New" w:hAnsi="Courier New"/>
          <w:sz w:val="24"/>
          <w:szCs w:val="24"/>
        </w:rPr>
        <w:t>found</w:t>
      </w:r>
      <w:r w:rsidR="00952AF2">
        <w:rPr>
          <w:rFonts w:ascii="Courier New" w:hAnsi="Courier New"/>
          <w:sz w:val="24"/>
          <w:szCs w:val="24"/>
        </w:rPr>
        <w:t xml:space="preserve"> and ruled</w:t>
      </w:r>
      <w:r w:rsidR="004416DF" w:rsidRPr="00C05300">
        <w:rPr>
          <w:rFonts w:ascii="Courier New" w:hAnsi="Courier New"/>
          <w:sz w:val="24"/>
          <w:szCs w:val="24"/>
        </w:rPr>
        <w:t xml:space="preserve"> that the appellant did not meet </w:t>
      </w:r>
      <w:r w:rsidR="00952AF2">
        <w:rPr>
          <w:rFonts w:ascii="Courier New" w:hAnsi="Courier New"/>
          <w:sz w:val="24"/>
          <w:szCs w:val="24"/>
        </w:rPr>
        <w:t>his burden of proving that the</w:t>
      </w:r>
      <w:r w:rsidR="004416DF" w:rsidRPr="00C05300">
        <w:rPr>
          <w:rFonts w:ascii="Courier New" w:hAnsi="Courier New"/>
          <w:sz w:val="24"/>
          <w:szCs w:val="24"/>
        </w:rPr>
        <w:t xml:space="preserve"> settlement amounts </w:t>
      </w:r>
      <w:r w:rsidR="00952AF2">
        <w:rPr>
          <w:rFonts w:ascii="Courier New" w:hAnsi="Courier New"/>
          <w:sz w:val="24"/>
          <w:szCs w:val="24"/>
        </w:rPr>
        <w:t xml:space="preserve">he received </w:t>
      </w:r>
      <w:r w:rsidR="004416DF" w:rsidRPr="00C05300">
        <w:rPr>
          <w:rFonts w:ascii="Courier New" w:hAnsi="Courier New"/>
          <w:sz w:val="24"/>
          <w:szCs w:val="24"/>
        </w:rPr>
        <w:t xml:space="preserve">were designed to compensate him for </w:t>
      </w:r>
      <w:r w:rsidR="00952AF2">
        <w:rPr>
          <w:rFonts w:ascii="Courier New" w:hAnsi="Courier New"/>
          <w:sz w:val="24"/>
          <w:szCs w:val="24"/>
        </w:rPr>
        <w:t xml:space="preserve">any </w:t>
      </w:r>
      <w:r w:rsidR="004416DF" w:rsidRPr="00C05300">
        <w:rPr>
          <w:rFonts w:ascii="Courier New" w:hAnsi="Courier New"/>
          <w:sz w:val="24"/>
          <w:szCs w:val="24"/>
        </w:rPr>
        <w:t>physical injury</w:t>
      </w:r>
      <w:r w:rsidR="00952AF2">
        <w:rPr>
          <w:rFonts w:ascii="Courier New" w:hAnsi="Courier New"/>
          <w:sz w:val="24"/>
          <w:szCs w:val="24"/>
        </w:rPr>
        <w:t>.  Therefore, the lawsuit</w:t>
      </w:r>
      <w:r>
        <w:rPr>
          <w:rFonts w:ascii="Courier New" w:hAnsi="Courier New"/>
          <w:sz w:val="24"/>
          <w:szCs w:val="24"/>
        </w:rPr>
        <w:t>-</w:t>
      </w:r>
      <w:r w:rsidR="00952AF2">
        <w:rPr>
          <w:rFonts w:ascii="Courier New" w:hAnsi="Courier New"/>
          <w:sz w:val="24"/>
          <w:szCs w:val="24"/>
        </w:rPr>
        <w:t>settlement amounts were required to be included as income on the appellant’s Form 1 for tax year 2013.</w:t>
      </w:r>
    </w:p>
    <w:p w14:paraId="2516887B" w14:textId="0A4F1E47" w:rsidR="00630B54" w:rsidRDefault="000F5A2E" w:rsidP="00427E1F">
      <w:pPr>
        <w:spacing w:line="480" w:lineRule="auto"/>
        <w:ind w:firstLine="720"/>
        <w:jc w:val="both"/>
        <w:rPr>
          <w:rFonts w:ascii="Courier New" w:hAnsi="Courier New" w:cs="Courier New"/>
        </w:rPr>
      </w:pPr>
      <w:r>
        <w:rPr>
          <w:rFonts w:ascii="Courier New" w:hAnsi="Courier New" w:cs="Courier New"/>
        </w:rPr>
        <w:t xml:space="preserve">The </w:t>
      </w:r>
      <w:r w:rsidR="006E7F0F">
        <w:rPr>
          <w:rFonts w:ascii="Courier New" w:hAnsi="Courier New" w:cs="Courier New"/>
        </w:rPr>
        <w:t xml:space="preserve">minimum </w:t>
      </w:r>
      <w:r>
        <w:rPr>
          <w:rFonts w:ascii="Courier New" w:hAnsi="Courier New" w:cs="Courier New"/>
        </w:rPr>
        <w:t xml:space="preserve">threshold amount for the required filing of a Form 1 is $8,000 for an individual.  </w:t>
      </w:r>
      <w:proofErr w:type="gramStart"/>
      <w:r w:rsidR="006E7F0F">
        <w:rPr>
          <w:rFonts w:ascii="Courier New" w:hAnsi="Courier New" w:cs="Courier New"/>
        </w:rPr>
        <w:t>G.L. c. 62C</w:t>
      </w:r>
      <w:r w:rsidR="00F96557">
        <w:rPr>
          <w:rFonts w:ascii="Courier New" w:hAnsi="Courier New" w:cs="Courier New"/>
        </w:rPr>
        <w:t>, § 6.</w:t>
      </w:r>
      <w:proofErr w:type="gramEnd"/>
      <w:r w:rsidR="00F96557">
        <w:rPr>
          <w:rFonts w:ascii="Courier New" w:hAnsi="Courier New" w:cs="Courier New"/>
        </w:rPr>
        <w:t xml:space="preserve">  Because the appellant had at least $74,250 in </w:t>
      </w:r>
      <w:r w:rsidR="006E7F0F">
        <w:rPr>
          <w:rFonts w:ascii="Courier New" w:hAnsi="Courier New" w:cs="Courier New"/>
        </w:rPr>
        <w:t>income</w:t>
      </w:r>
      <w:r w:rsidR="00F96557">
        <w:rPr>
          <w:rFonts w:ascii="Courier New" w:hAnsi="Courier New" w:cs="Courier New"/>
        </w:rPr>
        <w:t xml:space="preserve"> in tax year 2013, which</w:t>
      </w:r>
      <w:r w:rsidR="006E7F0F">
        <w:rPr>
          <w:rFonts w:ascii="Courier New" w:hAnsi="Courier New" w:cs="Courier New"/>
        </w:rPr>
        <w:t xml:space="preserve"> far exceeded</w:t>
      </w:r>
      <w:r w:rsidR="00F96557">
        <w:rPr>
          <w:rFonts w:ascii="Courier New" w:hAnsi="Courier New" w:cs="Courier New"/>
        </w:rPr>
        <w:t xml:space="preserve"> the</w:t>
      </w:r>
      <w:r w:rsidR="006E7F0F">
        <w:rPr>
          <w:rFonts w:ascii="Courier New" w:hAnsi="Courier New" w:cs="Courier New"/>
        </w:rPr>
        <w:t xml:space="preserve"> $8,000</w:t>
      </w:r>
      <w:r w:rsidR="00F96557">
        <w:rPr>
          <w:rFonts w:ascii="Courier New" w:hAnsi="Courier New" w:cs="Courier New"/>
        </w:rPr>
        <w:t xml:space="preserve"> filing threshold</w:t>
      </w:r>
      <w:r w:rsidR="006E7F0F">
        <w:rPr>
          <w:rFonts w:ascii="Courier New" w:hAnsi="Courier New" w:cs="Courier New"/>
        </w:rPr>
        <w:t xml:space="preserve">, </w:t>
      </w:r>
      <w:r w:rsidR="006E7F0F">
        <w:rPr>
          <w:rFonts w:ascii="Courier New" w:hAnsi="Courier New" w:cs="Courier New"/>
        </w:rPr>
        <w:lastRenderedPageBreak/>
        <w:t xml:space="preserve">the appellant was required to file a Form 1 for tax year 2013. </w:t>
      </w:r>
      <w:r w:rsidR="00CE290B">
        <w:rPr>
          <w:rFonts w:ascii="Courier New" w:hAnsi="Courier New" w:cs="Courier New"/>
        </w:rPr>
        <w:t>T</w:t>
      </w:r>
      <w:r w:rsidR="00AD3411">
        <w:rPr>
          <w:rFonts w:ascii="Courier New" w:hAnsi="Courier New" w:cs="Courier New"/>
        </w:rPr>
        <w:t>h</w:t>
      </w:r>
      <w:r w:rsidR="00CD0181">
        <w:rPr>
          <w:rFonts w:ascii="Courier New" w:hAnsi="Courier New" w:cs="Courier New"/>
        </w:rPr>
        <w:t xml:space="preserve">e appellant’s entitlement to </w:t>
      </w:r>
      <w:r w:rsidR="00AD3411">
        <w:rPr>
          <w:rFonts w:ascii="Courier New" w:hAnsi="Courier New" w:cs="Courier New"/>
        </w:rPr>
        <w:t>abatement is predica</w:t>
      </w:r>
      <w:r w:rsidR="00CE290B">
        <w:rPr>
          <w:rFonts w:ascii="Courier New" w:hAnsi="Courier New" w:cs="Courier New"/>
        </w:rPr>
        <w:t>ted upon the filing of a return pursuant to</w:t>
      </w:r>
      <w:r w:rsidR="00AD3411">
        <w:rPr>
          <w:rFonts w:ascii="Courier New" w:hAnsi="Courier New" w:cs="Courier New"/>
        </w:rPr>
        <w:t xml:space="preserve"> G.L.</w:t>
      </w:r>
      <w:r w:rsidR="003D1C4C">
        <w:rPr>
          <w:rFonts w:ascii="Courier New" w:hAnsi="Courier New" w:cs="Courier New"/>
        </w:rPr>
        <w:t> </w:t>
      </w:r>
      <w:r w:rsidR="00AD3411">
        <w:rPr>
          <w:rFonts w:ascii="Courier New" w:hAnsi="Courier New" w:cs="Courier New"/>
        </w:rPr>
        <w:t>c.</w:t>
      </w:r>
      <w:r w:rsidR="003D1C4C">
        <w:rPr>
          <w:rFonts w:ascii="Courier New" w:hAnsi="Courier New" w:cs="Courier New"/>
        </w:rPr>
        <w:t> </w:t>
      </w:r>
      <w:r w:rsidR="00AD3411">
        <w:rPr>
          <w:rFonts w:ascii="Courier New" w:hAnsi="Courier New" w:cs="Courier New"/>
        </w:rPr>
        <w:t>62C, § 38.  The appellant did not file a Form 1 for tax year 2013</w:t>
      </w:r>
      <w:r w:rsidR="00C03F44">
        <w:rPr>
          <w:rFonts w:ascii="Courier New" w:hAnsi="Courier New" w:cs="Courier New"/>
        </w:rPr>
        <w:t>.  T</w:t>
      </w:r>
      <w:r w:rsidR="00AD3411">
        <w:rPr>
          <w:rFonts w:ascii="Courier New" w:hAnsi="Courier New" w:cs="Courier New"/>
        </w:rPr>
        <w:t xml:space="preserve">herefore, the </w:t>
      </w:r>
      <w:r w:rsidR="00CE290B">
        <w:rPr>
          <w:rFonts w:ascii="Courier New" w:hAnsi="Courier New" w:cs="Courier New"/>
        </w:rPr>
        <w:t xml:space="preserve">Board found and ruled that the </w:t>
      </w:r>
      <w:r w:rsidR="00AD3411">
        <w:rPr>
          <w:rFonts w:ascii="Courier New" w:hAnsi="Courier New" w:cs="Courier New"/>
        </w:rPr>
        <w:t>appellant</w:t>
      </w:r>
      <w:r w:rsidR="00CE290B">
        <w:rPr>
          <w:rFonts w:ascii="Courier New" w:hAnsi="Courier New" w:cs="Courier New"/>
        </w:rPr>
        <w:t xml:space="preserve"> did</w:t>
      </w:r>
      <w:r w:rsidR="00C03F44">
        <w:rPr>
          <w:rFonts w:ascii="Courier New" w:hAnsi="Courier New" w:cs="Courier New"/>
        </w:rPr>
        <w:t xml:space="preserve"> not meet the necessary </w:t>
      </w:r>
      <w:r w:rsidR="00587DFE">
        <w:rPr>
          <w:rFonts w:ascii="Courier New" w:hAnsi="Courier New" w:cs="Courier New"/>
        </w:rPr>
        <w:t>threshold requirement</w:t>
      </w:r>
      <w:r w:rsidR="00C03F44">
        <w:rPr>
          <w:rFonts w:ascii="Courier New" w:hAnsi="Courier New" w:cs="Courier New"/>
        </w:rPr>
        <w:t xml:space="preserve"> for</w:t>
      </w:r>
      <w:r w:rsidR="00F96557">
        <w:rPr>
          <w:rFonts w:ascii="Courier New" w:hAnsi="Courier New" w:cs="Courier New"/>
        </w:rPr>
        <w:t xml:space="preserve"> </w:t>
      </w:r>
      <w:proofErr w:type="gramStart"/>
      <w:r w:rsidR="00F96557">
        <w:rPr>
          <w:rFonts w:ascii="Courier New" w:hAnsi="Courier New" w:cs="Courier New"/>
        </w:rPr>
        <w:t>an abatement</w:t>
      </w:r>
      <w:proofErr w:type="gramEnd"/>
      <w:r w:rsidR="00F96557">
        <w:rPr>
          <w:rFonts w:ascii="Courier New" w:hAnsi="Courier New" w:cs="Courier New"/>
        </w:rPr>
        <w:t>, as the Board did not have jurisdiction to grant an abatement</w:t>
      </w:r>
      <w:r w:rsidR="00AD3411">
        <w:rPr>
          <w:rFonts w:ascii="Courier New" w:hAnsi="Courier New" w:cs="Courier New"/>
        </w:rPr>
        <w:t>.</w:t>
      </w:r>
      <w:r w:rsidR="00F96557">
        <w:rPr>
          <w:rFonts w:ascii="Courier New" w:hAnsi="Courier New" w:cs="Courier New"/>
        </w:rPr>
        <w:t xml:space="preserve"> </w:t>
      </w:r>
      <w:r w:rsidR="00B719E2" w:rsidRPr="00B719E2">
        <w:rPr>
          <w:rFonts w:ascii="Courier New" w:hAnsi="Courier New" w:cs="Courier New"/>
          <w:i/>
        </w:rPr>
        <w:t>See</w:t>
      </w:r>
      <w:r w:rsidR="00B719E2">
        <w:rPr>
          <w:rFonts w:ascii="Courier New" w:hAnsi="Courier New" w:cs="Courier New"/>
        </w:rPr>
        <w:t xml:space="preserve"> </w:t>
      </w:r>
      <w:r w:rsidR="00B719E2" w:rsidRPr="00B719E2">
        <w:rPr>
          <w:rFonts w:ascii="Courier New" w:hAnsi="Courier New" w:cs="Courier New"/>
          <w:b/>
          <w:i/>
        </w:rPr>
        <w:t>Pat’s Super Market</w:t>
      </w:r>
      <w:r w:rsidR="00B719E2">
        <w:rPr>
          <w:rFonts w:ascii="Courier New" w:hAnsi="Courier New" w:cs="Courier New"/>
        </w:rPr>
        <w:t>, 387 Mass. at</w:t>
      </w:r>
      <w:r w:rsidR="002B6D6D">
        <w:rPr>
          <w:rFonts w:ascii="Courier New" w:hAnsi="Courier New" w:cs="Courier New"/>
        </w:rPr>
        <w:t xml:space="preserve"> 310</w:t>
      </w:r>
      <w:r w:rsidR="00B719E2">
        <w:rPr>
          <w:rFonts w:ascii="Courier New" w:hAnsi="Courier New" w:cs="Courier New"/>
        </w:rPr>
        <w:t xml:space="preserve"> </w:t>
      </w:r>
      <w:r w:rsidR="002B6D6D">
        <w:rPr>
          <w:rFonts w:ascii="Courier New" w:hAnsi="Courier New" w:cs="Courier New"/>
        </w:rPr>
        <w:t>(ruling that the Board lacks jurisdiction to abate a tax where a taxpayer is required to, but does not, file a return).</w:t>
      </w:r>
    </w:p>
    <w:p w14:paraId="2DA5A5BC" w14:textId="6349C8B6" w:rsidR="00255E4B" w:rsidRDefault="00AD3411" w:rsidP="00AD3411">
      <w:pPr>
        <w:spacing w:line="480" w:lineRule="auto"/>
        <w:ind w:firstLine="720"/>
        <w:jc w:val="both"/>
        <w:rPr>
          <w:rFonts w:ascii="Courier New" w:hAnsi="Courier New" w:cs="Courier New"/>
        </w:rPr>
      </w:pPr>
      <w:r>
        <w:rPr>
          <w:rFonts w:ascii="Courier New" w:hAnsi="Courier New" w:cs="Courier New"/>
        </w:rPr>
        <w:t>Additionally, the appellant did no</w:t>
      </w:r>
      <w:r w:rsidR="00CE290B">
        <w:rPr>
          <w:rFonts w:ascii="Courier New" w:hAnsi="Courier New" w:cs="Courier New"/>
        </w:rPr>
        <w:t xml:space="preserve">t file an abatement application, despite </w:t>
      </w:r>
      <w:r w:rsidR="00CE290B" w:rsidRPr="00CC6903">
        <w:rPr>
          <w:rFonts w:ascii="Courier New" w:hAnsi="Courier New" w:cs="Courier New"/>
        </w:rPr>
        <w:t>being instructed by</w:t>
      </w:r>
      <w:r w:rsidR="00CE290B">
        <w:rPr>
          <w:rFonts w:ascii="Courier New" w:hAnsi="Courier New" w:cs="Courier New"/>
        </w:rPr>
        <w:t xml:space="preserve"> </w:t>
      </w:r>
      <w:r w:rsidR="00CC6903">
        <w:rPr>
          <w:rFonts w:ascii="Courier New" w:hAnsi="Courier New" w:cs="Courier New"/>
        </w:rPr>
        <w:t>the Office of Appeals to do so; in fact, the Offic</w:t>
      </w:r>
      <w:r w:rsidR="00465200">
        <w:rPr>
          <w:rFonts w:ascii="Courier New" w:hAnsi="Courier New" w:cs="Courier New"/>
        </w:rPr>
        <w:t>e of Appeals sent him a form</w:t>
      </w:r>
      <w:r w:rsidR="00CC6903">
        <w:rPr>
          <w:rFonts w:ascii="Courier New" w:hAnsi="Courier New" w:cs="Courier New"/>
        </w:rPr>
        <w:t xml:space="preserve"> to use for this purpose.</w:t>
      </w:r>
      <w:r w:rsidR="003017A1">
        <w:rPr>
          <w:rFonts w:ascii="Courier New" w:hAnsi="Courier New" w:cs="Courier New"/>
        </w:rPr>
        <w:t xml:space="preserve">  </w:t>
      </w:r>
      <w:r w:rsidR="00CC6903">
        <w:rPr>
          <w:rFonts w:ascii="Courier New" w:hAnsi="Courier New" w:cs="Courier New"/>
        </w:rPr>
        <w:t xml:space="preserve">The Board found that the appellant’s settlement request </w:t>
      </w:r>
      <w:r w:rsidR="00465200">
        <w:rPr>
          <w:rFonts w:ascii="Courier New" w:hAnsi="Courier New" w:cs="Courier New"/>
        </w:rPr>
        <w:t xml:space="preserve">form </w:t>
      </w:r>
      <w:r w:rsidR="00CC6903">
        <w:rPr>
          <w:rFonts w:ascii="Courier New" w:hAnsi="Courier New" w:cs="Courier New"/>
        </w:rPr>
        <w:t>was not an abatement application, because a settlement request</w:t>
      </w:r>
      <w:r w:rsidR="00465200">
        <w:rPr>
          <w:rFonts w:ascii="Courier New" w:hAnsi="Courier New" w:cs="Courier New"/>
        </w:rPr>
        <w:t xml:space="preserve"> form</w:t>
      </w:r>
      <w:r w:rsidR="00CC6903">
        <w:rPr>
          <w:rFonts w:ascii="Courier New" w:hAnsi="Courier New" w:cs="Courier New"/>
        </w:rPr>
        <w:t xml:space="preserve"> is not </w:t>
      </w:r>
      <w:r w:rsidR="004F4FD7">
        <w:rPr>
          <w:rFonts w:ascii="Courier New" w:hAnsi="Courier New" w:cs="Courier New"/>
        </w:rPr>
        <w:t xml:space="preserve">“a form approved by the commissioner” for the purpose of seeking abatement.  </w:t>
      </w:r>
      <w:proofErr w:type="gramStart"/>
      <w:r w:rsidR="00CC6903">
        <w:rPr>
          <w:rFonts w:ascii="Courier New" w:hAnsi="Courier New" w:cs="Courier New"/>
        </w:rPr>
        <w:t xml:space="preserve">G.L. c. </w:t>
      </w:r>
      <w:r w:rsidR="004F4FD7">
        <w:rPr>
          <w:rFonts w:ascii="Courier New" w:hAnsi="Courier New" w:cs="Courier New"/>
        </w:rPr>
        <w:t>62C, § 37.</w:t>
      </w:r>
      <w:proofErr w:type="gramEnd"/>
      <w:r w:rsidR="00CC6903">
        <w:rPr>
          <w:rFonts w:ascii="Courier New" w:hAnsi="Courier New" w:cs="Courier New"/>
        </w:rPr>
        <w:t xml:space="preserve"> </w:t>
      </w:r>
      <w:r w:rsidR="004F4FD7">
        <w:rPr>
          <w:rFonts w:ascii="Courier New" w:hAnsi="Courier New" w:cs="Courier New"/>
        </w:rPr>
        <w:t xml:space="preserve"> </w:t>
      </w:r>
    </w:p>
    <w:p w14:paraId="36A54CF7" w14:textId="2973ACD9" w:rsidR="00952AF2" w:rsidRDefault="00E305F1" w:rsidP="00932EE5">
      <w:pPr>
        <w:spacing w:line="480" w:lineRule="auto"/>
        <w:ind w:firstLine="720"/>
        <w:jc w:val="both"/>
        <w:rPr>
          <w:rFonts w:ascii="Courier New" w:hAnsi="Courier New" w:cs="Courier New"/>
        </w:rPr>
      </w:pPr>
      <w:r>
        <w:rPr>
          <w:rFonts w:ascii="Courier New" w:hAnsi="Courier New" w:cs="Courier New"/>
          <w:color w:val="333333"/>
        </w:rPr>
        <w:t xml:space="preserve">Abatement is a remedy created by statute; therefore, the Board has only that jurisdiction conferred on it by statute.  </w:t>
      </w:r>
      <w:proofErr w:type="gramStart"/>
      <w:r>
        <w:rPr>
          <w:rFonts w:ascii="Courier New" w:hAnsi="Courier New" w:cs="Courier New"/>
          <w:b/>
          <w:i/>
          <w:color w:val="333333"/>
        </w:rPr>
        <w:t>P</w:t>
      </w:r>
      <w:r w:rsidRPr="00FF2C35">
        <w:rPr>
          <w:rFonts w:ascii="Courier New" w:hAnsi="Courier New" w:cs="Courier New"/>
          <w:b/>
          <w:i/>
          <w:color w:val="333333"/>
        </w:rPr>
        <w:t>at’s Super Market</w:t>
      </w:r>
      <w:r>
        <w:rPr>
          <w:rFonts w:ascii="Courier New" w:hAnsi="Courier New" w:cs="Courier New"/>
          <w:color w:val="333333"/>
        </w:rPr>
        <w:t xml:space="preserve">, 387 Mass. </w:t>
      </w:r>
      <w:r w:rsidR="002B6D6D">
        <w:rPr>
          <w:rFonts w:ascii="Courier New" w:hAnsi="Courier New" w:cs="Courier New"/>
          <w:color w:val="333333"/>
        </w:rPr>
        <w:t>at 311;</w:t>
      </w:r>
      <w:r>
        <w:rPr>
          <w:rFonts w:ascii="Courier New" w:hAnsi="Courier New" w:cs="Courier New"/>
          <w:color w:val="333333"/>
        </w:rPr>
        <w:t xml:space="preserve"> </w:t>
      </w:r>
      <w:r w:rsidRPr="00E40D7B">
        <w:rPr>
          <w:rFonts w:ascii="Courier New" w:hAnsi="Courier New" w:cs="Courier New"/>
          <w:b/>
          <w:i/>
          <w:color w:val="333333"/>
        </w:rPr>
        <w:t>Theodore and Joan Levitt</w:t>
      </w:r>
      <w:r>
        <w:rPr>
          <w:rFonts w:ascii="Courier New" w:hAnsi="Courier New"/>
          <w:b/>
          <w:i/>
        </w:rPr>
        <w:t xml:space="preserve">, </w:t>
      </w:r>
      <w:r>
        <w:rPr>
          <w:rFonts w:ascii="Courier New" w:hAnsi="Courier New"/>
        </w:rPr>
        <w:t>Mass.</w:t>
      </w:r>
      <w:proofErr w:type="gramEnd"/>
      <w:r>
        <w:rPr>
          <w:rFonts w:ascii="Courier New" w:hAnsi="Courier New"/>
        </w:rPr>
        <w:t xml:space="preserve">  ATB Findings of Fact and Reports 1997-38, 45 </w:t>
      </w:r>
      <w:r>
        <w:rPr>
          <w:rFonts w:ascii="Courier New" w:hAnsi="Courier New" w:cs="Courier New"/>
          <w:color w:val="333333"/>
        </w:rPr>
        <w:t xml:space="preserve">(citing </w:t>
      </w:r>
      <w:r w:rsidRPr="000E538B">
        <w:rPr>
          <w:rFonts w:ascii="Courier New" w:hAnsi="Courier New"/>
          <w:b/>
          <w:i/>
        </w:rPr>
        <w:t>Commissioner</w:t>
      </w:r>
      <w:r w:rsidRPr="00E96EA3">
        <w:rPr>
          <w:rFonts w:ascii="Courier New" w:hAnsi="Courier New"/>
          <w:b/>
          <w:i/>
        </w:rPr>
        <w:t xml:space="preserve"> of Revenue</w:t>
      </w:r>
      <w:r w:rsidR="009042B8">
        <w:rPr>
          <w:rFonts w:ascii="Courier New" w:hAnsi="Courier New"/>
          <w:b/>
          <w:i/>
        </w:rPr>
        <w:t xml:space="preserve"> </w:t>
      </w:r>
      <w:r w:rsidR="00070A5F">
        <w:rPr>
          <w:rFonts w:ascii="Courier New" w:hAnsi="Courier New"/>
          <w:b/>
          <w:i/>
        </w:rPr>
        <w:t xml:space="preserve">v. </w:t>
      </w:r>
      <w:r w:rsidR="009042B8" w:rsidRPr="007223F2">
        <w:rPr>
          <w:rFonts w:ascii="Courier New" w:hAnsi="Courier New" w:cs="Courier New"/>
          <w:b/>
          <w:i/>
          <w:color w:val="333333"/>
        </w:rPr>
        <w:t xml:space="preserve">A.W. </w:t>
      </w:r>
      <w:r w:rsidR="009042B8" w:rsidRPr="007223F2">
        <w:rPr>
          <w:rFonts w:ascii="Courier New" w:hAnsi="Courier New" w:cs="Courier New"/>
          <w:b/>
          <w:i/>
          <w:color w:val="333333"/>
        </w:rPr>
        <w:lastRenderedPageBreak/>
        <w:t>Chesterton</w:t>
      </w:r>
      <w:r w:rsidRPr="00E96EA3">
        <w:rPr>
          <w:rFonts w:ascii="Courier New" w:hAnsi="Courier New"/>
        </w:rPr>
        <w:t xml:space="preserve">, </w:t>
      </w:r>
      <w:r w:rsidR="002251B2">
        <w:rPr>
          <w:rFonts w:ascii="Courier New" w:hAnsi="Courier New"/>
        </w:rPr>
        <w:t>406 Mass. 466, 468 (1990)</w:t>
      </w:r>
      <w:r w:rsidR="00070A5F">
        <w:rPr>
          <w:rFonts w:ascii="Courier New" w:hAnsi="Courier New"/>
        </w:rPr>
        <w:t xml:space="preserve"> </w:t>
      </w:r>
      <w:r w:rsidR="002251B2">
        <w:rPr>
          <w:rFonts w:ascii="Courier New" w:hAnsi="Courier New"/>
        </w:rPr>
        <w:t>(“[T]</w:t>
      </w:r>
      <w:r>
        <w:rPr>
          <w:rFonts w:ascii="Courier New" w:hAnsi="Courier New"/>
        </w:rPr>
        <w:t xml:space="preserve">he Board has no jurisdiction to order an abatement unless it finds that the proceedings were </w:t>
      </w:r>
      <w:r>
        <w:rPr>
          <w:rFonts w:ascii="Courier New" w:hAnsi="Courier New" w:cs="Courier New"/>
          <w:color w:val="333333"/>
        </w:rPr>
        <w:t>. . . prosecuted in the manner specifically prescribed by the governing statute.”</w:t>
      </w:r>
      <w:r>
        <w:rPr>
          <w:rFonts w:ascii="Courier New" w:hAnsi="Courier New"/>
        </w:rPr>
        <w:t>)</w:t>
      </w:r>
      <w:r w:rsidR="002251B2">
        <w:rPr>
          <w:rFonts w:ascii="Courier New" w:hAnsi="Courier New"/>
        </w:rPr>
        <w:t>)</w:t>
      </w:r>
      <w:r>
        <w:rPr>
          <w:rFonts w:ascii="Courier New" w:hAnsi="Courier New"/>
        </w:rPr>
        <w:t xml:space="preserve">.  </w:t>
      </w:r>
      <w:r w:rsidR="003017A1">
        <w:rPr>
          <w:rFonts w:ascii="Courier New" w:hAnsi="Courier New" w:cs="Courier New"/>
        </w:rPr>
        <w:t>Pursuant to G. L. c. 62C, § 39, the filing of an abatement application is a jurisdictional prerequisite to the Board’s authority to grant an abatement:  “Any person aggrieved by the refusal of the commissioner to abate or to refund a</w:t>
      </w:r>
      <w:r w:rsidR="00925536">
        <w:rPr>
          <w:rFonts w:ascii="Courier New" w:hAnsi="Courier New" w:cs="Courier New"/>
        </w:rPr>
        <w:t xml:space="preserve"> tax, in whole or in part, whet</w:t>
      </w:r>
      <w:r w:rsidR="003017A1">
        <w:rPr>
          <w:rFonts w:ascii="Courier New" w:hAnsi="Courier New" w:cs="Courier New"/>
        </w:rPr>
        <w:t>h</w:t>
      </w:r>
      <w:r w:rsidR="00925536">
        <w:rPr>
          <w:rFonts w:ascii="Courier New" w:hAnsi="Courier New" w:cs="Courier New"/>
        </w:rPr>
        <w:t>e</w:t>
      </w:r>
      <w:r w:rsidR="003017A1">
        <w:rPr>
          <w:rFonts w:ascii="Courier New" w:hAnsi="Courier New" w:cs="Courier New"/>
        </w:rPr>
        <w:t xml:space="preserve">r such refusal results from the denial of an abatement application made under section 36 or 37, may appeal therefrom.” </w:t>
      </w:r>
      <w:r w:rsidR="003017A1" w:rsidRPr="00925536">
        <w:rPr>
          <w:rFonts w:ascii="Courier New" w:hAnsi="Courier New" w:cs="Courier New"/>
          <w:i/>
        </w:rPr>
        <w:t>See also</w:t>
      </w:r>
      <w:r w:rsidR="003017A1">
        <w:rPr>
          <w:rFonts w:ascii="Courier New" w:hAnsi="Courier New" w:cs="Courier New"/>
        </w:rPr>
        <w:t xml:space="preserve"> </w:t>
      </w:r>
      <w:r w:rsidR="000F575C">
        <w:rPr>
          <w:rFonts w:ascii="Courier New" w:hAnsi="Courier New" w:cs="Courier New"/>
          <w:b/>
          <w:i/>
        </w:rPr>
        <w:t>Boston Safe Deposit &amp; Trust Co.</w:t>
      </w:r>
      <w:r w:rsidR="003017A1" w:rsidRPr="00FF2C35">
        <w:rPr>
          <w:rFonts w:ascii="Courier New" w:hAnsi="Courier New" w:cs="Courier New"/>
          <w:b/>
          <w:i/>
        </w:rPr>
        <w:t>, Executor,</w:t>
      </w:r>
      <w:r w:rsidR="003017A1">
        <w:rPr>
          <w:rFonts w:ascii="Courier New" w:hAnsi="Courier New" w:cs="Courier New"/>
        </w:rPr>
        <w:t xml:space="preserve"> </w:t>
      </w:r>
      <w:r w:rsidR="003017A1" w:rsidRPr="00FF2C35">
        <w:rPr>
          <w:rFonts w:ascii="Courier New" w:hAnsi="Courier New" w:cs="Courier New"/>
          <w:b/>
          <w:i/>
        </w:rPr>
        <w:t>Estate of Peter T. Hartmann v. Commissi</w:t>
      </w:r>
      <w:r w:rsidR="008D7786" w:rsidRPr="00FF2C35">
        <w:rPr>
          <w:rFonts w:ascii="Courier New" w:hAnsi="Courier New" w:cs="Courier New"/>
          <w:b/>
          <w:i/>
        </w:rPr>
        <w:t>oner of Revenue</w:t>
      </w:r>
      <w:r w:rsidR="008D7786">
        <w:rPr>
          <w:rFonts w:ascii="Courier New" w:hAnsi="Courier New" w:cs="Courier New"/>
        </w:rPr>
        <w:t>, Mass</w:t>
      </w:r>
      <w:r w:rsidR="00070A5F">
        <w:rPr>
          <w:rFonts w:ascii="Courier New" w:hAnsi="Courier New" w:cs="Courier New"/>
        </w:rPr>
        <w:t>.</w:t>
      </w:r>
      <w:r w:rsidR="008D7786">
        <w:rPr>
          <w:rFonts w:ascii="Courier New" w:hAnsi="Courier New" w:cs="Courier New"/>
        </w:rPr>
        <w:t xml:space="preserve"> ATB Findi</w:t>
      </w:r>
      <w:r w:rsidR="003017A1">
        <w:rPr>
          <w:rFonts w:ascii="Courier New" w:hAnsi="Courier New" w:cs="Courier New"/>
        </w:rPr>
        <w:t>n</w:t>
      </w:r>
      <w:r w:rsidR="008D7786">
        <w:rPr>
          <w:rFonts w:ascii="Courier New" w:hAnsi="Courier New" w:cs="Courier New"/>
        </w:rPr>
        <w:t>g</w:t>
      </w:r>
      <w:r w:rsidR="003017A1">
        <w:rPr>
          <w:rFonts w:ascii="Courier New" w:hAnsi="Courier New" w:cs="Courier New"/>
        </w:rPr>
        <w:t>s of Fact and Reports 1995-238, 242 (ruling that the Board has no jurisdiction over an appeal where a taxpayer failed to file an abatement app</w:t>
      </w:r>
      <w:r w:rsidR="000835B2">
        <w:rPr>
          <w:rFonts w:ascii="Courier New" w:hAnsi="Courier New" w:cs="Courier New"/>
        </w:rPr>
        <w:t>lication with the Commissioner);</w:t>
      </w:r>
      <w:r w:rsidR="00AD3411">
        <w:rPr>
          <w:rFonts w:ascii="Courier New" w:hAnsi="Courier New" w:cs="Courier New"/>
        </w:rPr>
        <w:t xml:space="preserve"> </w:t>
      </w:r>
      <w:r w:rsidR="003017A1" w:rsidRPr="00B5743C">
        <w:rPr>
          <w:rFonts w:ascii="Courier New" w:hAnsi="Courier New" w:cs="Courier New"/>
          <w:b/>
          <w:i/>
          <w:color w:val="333333"/>
        </w:rPr>
        <w:t>Dana Lease Finance Corp. v. Commissioner</w:t>
      </w:r>
      <w:r w:rsidR="007D66EF">
        <w:rPr>
          <w:rFonts w:ascii="Courier New" w:hAnsi="Courier New" w:cs="Courier New"/>
          <w:b/>
          <w:i/>
          <w:color w:val="333333"/>
        </w:rPr>
        <w:t xml:space="preserve"> of Revenue</w:t>
      </w:r>
      <w:r w:rsidR="003017A1">
        <w:rPr>
          <w:rFonts w:ascii="Courier New" w:hAnsi="Courier New" w:cs="Courier New"/>
          <w:color w:val="333333"/>
        </w:rPr>
        <w:t xml:space="preserve">, </w:t>
      </w:r>
      <w:r w:rsidR="00932EE5">
        <w:rPr>
          <w:rFonts w:ascii="Courier New" w:hAnsi="Courier New" w:cs="Courier New"/>
          <w:color w:val="333333"/>
        </w:rPr>
        <w:t>53 Mass. App. Ct</w:t>
      </w:r>
      <w:r w:rsidR="00070A5F">
        <w:rPr>
          <w:rFonts w:ascii="Courier New" w:hAnsi="Courier New" w:cs="Courier New"/>
          <w:color w:val="333333"/>
        </w:rPr>
        <w:t>.</w:t>
      </w:r>
      <w:r w:rsidR="00932EE5">
        <w:rPr>
          <w:rFonts w:ascii="Courier New" w:hAnsi="Courier New" w:cs="Courier New"/>
          <w:color w:val="333333"/>
        </w:rPr>
        <w:t xml:space="preserve"> 840, 843 (2002); </w:t>
      </w:r>
      <w:proofErr w:type="spellStart"/>
      <w:r w:rsidR="00932EE5" w:rsidRPr="00B5743C">
        <w:rPr>
          <w:rFonts w:ascii="Courier New" w:hAnsi="Courier New" w:cs="Courier New"/>
          <w:b/>
          <w:i/>
          <w:color w:val="333333"/>
        </w:rPr>
        <w:t>Tilcon</w:t>
      </w:r>
      <w:proofErr w:type="spellEnd"/>
      <w:r w:rsidR="00932EE5" w:rsidRPr="00B5743C">
        <w:rPr>
          <w:rFonts w:ascii="Courier New" w:hAnsi="Courier New" w:cs="Courier New"/>
          <w:b/>
          <w:i/>
          <w:color w:val="333333"/>
        </w:rPr>
        <w:t xml:space="preserve"> Massachusetts, Inc. v. Commissioner</w:t>
      </w:r>
      <w:r w:rsidR="007D66EF">
        <w:rPr>
          <w:rFonts w:ascii="Courier New" w:hAnsi="Courier New" w:cs="Courier New"/>
          <w:b/>
          <w:i/>
          <w:color w:val="333333"/>
        </w:rPr>
        <w:t xml:space="preserve"> of Revenue</w:t>
      </w:r>
      <w:r w:rsidR="00932EE5">
        <w:rPr>
          <w:rFonts w:ascii="Courier New" w:hAnsi="Courier New" w:cs="Courier New"/>
          <w:color w:val="333333"/>
        </w:rPr>
        <w:t xml:space="preserve">, 30 Mass. App. </w:t>
      </w:r>
      <w:r w:rsidR="00B5743C">
        <w:rPr>
          <w:rFonts w:ascii="Courier New" w:hAnsi="Courier New" w:cs="Courier New"/>
          <w:color w:val="333333"/>
        </w:rPr>
        <w:t>Ct</w:t>
      </w:r>
      <w:r w:rsidR="00932EE5">
        <w:rPr>
          <w:rFonts w:ascii="Courier New" w:hAnsi="Courier New" w:cs="Courier New"/>
          <w:color w:val="333333"/>
        </w:rPr>
        <w:t xml:space="preserve">. 264, 264-67 (1991).  </w:t>
      </w:r>
      <w:r w:rsidR="00932EE5">
        <w:rPr>
          <w:rFonts w:ascii="Courier New" w:hAnsi="Courier New" w:cs="Courier New"/>
        </w:rPr>
        <w:t>T</w:t>
      </w:r>
      <w:r w:rsidR="00B5743C">
        <w:rPr>
          <w:rFonts w:ascii="Courier New" w:hAnsi="Courier New" w:cs="Courier New"/>
        </w:rPr>
        <w:t xml:space="preserve">he </w:t>
      </w:r>
      <w:r w:rsidR="002F6CFC">
        <w:rPr>
          <w:rFonts w:ascii="Courier New" w:hAnsi="Courier New" w:cs="Courier New"/>
        </w:rPr>
        <w:t xml:space="preserve">appellant here failed to file an abatement application.  The </w:t>
      </w:r>
      <w:r w:rsidR="00B5743C">
        <w:rPr>
          <w:rFonts w:ascii="Courier New" w:hAnsi="Courier New" w:cs="Courier New"/>
        </w:rPr>
        <w:t xml:space="preserve">Board, therefore, found and ruled that it </w:t>
      </w:r>
      <w:r w:rsidR="00D372C5">
        <w:rPr>
          <w:rFonts w:ascii="Courier New" w:hAnsi="Courier New" w:cs="Courier New"/>
        </w:rPr>
        <w:t>had</w:t>
      </w:r>
      <w:r w:rsidR="006E7F0F">
        <w:rPr>
          <w:rFonts w:ascii="Courier New" w:hAnsi="Courier New" w:cs="Courier New"/>
        </w:rPr>
        <w:t xml:space="preserve"> no jurisdiction to</w:t>
      </w:r>
      <w:r w:rsidR="00932EE5">
        <w:rPr>
          <w:rFonts w:ascii="Courier New" w:hAnsi="Courier New" w:cs="Courier New"/>
        </w:rPr>
        <w:t xml:space="preserve"> hear the appeal for tax year 2013</w:t>
      </w:r>
      <w:r w:rsidR="00D44272">
        <w:rPr>
          <w:rFonts w:ascii="Courier New" w:hAnsi="Courier New" w:cs="Courier New"/>
        </w:rPr>
        <w:t xml:space="preserve"> based on this additional jurisdictional ground</w:t>
      </w:r>
      <w:r w:rsidR="00932EE5">
        <w:rPr>
          <w:rFonts w:ascii="Courier New" w:hAnsi="Courier New" w:cs="Courier New"/>
        </w:rPr>
        <w:t>.</w:t>
      </w:r>
    </w:p>
    <w:p w14:paraId="44E04DEF" w14:textId="77777777" w:rsidR="006F57F1" w:rsidRDefault="006F57F1">
      <w:pPr>
        <w:rPr>
          <w:rFonts w:ascii="Courier New" w:hAnsi="Courier New" w:cs="Courier New"/>
          <w:b/>
        </w:rPr>
      </w:pPr>
      <w:r>
        <w:rPr>
          <w:rFonts w:ascii="Courier New" w:hAnsi="Courier New" w:cs="Courier New"/>
          <w:b/>
        </w:rPr>
        <w:br w:type="page"/>
      </w:r>
    </w:p>
    <w:p w14:paraId="2397A723" w14:textId="32821EB1" w:rsidR="00E305F1" w:rsidRPr="00E305F1" w:rsidRDefault="00E305F1" w:rsidP="00FA5966">
      <w:pPr>
        <w:spacing w:line="480" w:lineRule="auto"/>
        <w:rPr>
          <w:rFonts w:ascii="Courier New" w:hAnsi="Courier New" w:cs="Courier New"/>
          <w:b/>
        </w:rPr>
      </w:pPr>
      <w:r w:rsidRPr="00E305F1">
        <w:rPr>
          <w:rFonts w:ascii="Courier New" w:hAnsi="Courier New" w:cs="Courier New"/>
          <w:b/>
        </w:rPr>
        <w:lastRenderedPageBreak/>
        <w:t>Conclusion</w:t>
      </w:r>
    </w:p>
    <w:p w14:paraId="13403C84" w14:textId="5896B447" w:rsidR="00E305F1" w:rsidRDefault="00FB4F9F" w:rsidP="00E305F1">
      <w:pPr>
        <w:spacing w:line="480" w:lineRule="auto"/>
        <w:ind w:firstLine="720"/>
        <w:jc w:val="both"/>
        <w:rPr>
          <w:rFonts w:ascii="Courier New" w:hAnsi="Courier New" w:cs="Courier New"/>
        </w:rPr>
      </w:pPr>
      <w:proofErr w:type="gramStart"/>
      <w:r>
        <w:rPr>
          <w:rFonts w:ascii="Courier New" w:hAnsi="Courier New" w:cs="Courier New"/>
        </w:rPr>
        <w:t xml:space="preserve">In Docket </w:t>
      </w:r>
      <w:r w:rsidR="00D372C5">
        <w:rPr>
          <w:rFonts w:ascii="Courier New" w:hAnsi="Courier New" w:cs="Courier New"/>
        </w:rPr>
        <w:t>No.</w:t>
      </w:r>
      <w:proofErr w:type="gramEnd"/>
      <w:r w:rsidR="00D372C5">
        <w:rPr>
          <w:rFonts w:ascii="Courier New" w:hAnsi="Courier New" w:cs="Courier New"/>
        </w:rPr>
        <w:t xml:space="preserve"> </w:t>
      </w:r>
      <w:r w:rsidR="00E305F1">
        <w:rPr>
          <w:rFonts w:ascii="Courier New" w:hAnsi="Courier New" w:cs="Courier New"/>
        </w:rPr>
        <w:t xml:space="preserve">C329649, based </w:t>
      </w:r>
      <w:r w:rsidR="00D372C5">
        <w:rPr>
          <w:rFonts w:ascii="Courier New" w:hAnsi="Courier New" w:cs="Courier New"/>
        </w:rPr>
        <w:t>on the Commissioner’s agreement</w:t>
      </w:r>
      <w:r w:rsidR="00E305F1">
        <w:rPr>
          <w:rFonts w:ascii="Courier New" w:hAnsi="Courier New" w:cs="Courier New"/>
        </w:rPr>
        <w:t>, th</w:t>
      </w:r>
      <w:r w:rsidR="00D44272">
        <w:rPr>
          <w:rFonts w:ascii="Courier New" w:hAnsi="Courier New" w:cs="Courier New"/>
        </w:rPr>
        <w:t>e Board found and ruled that 30 percent</w:t>
      </w:r>
      <w:r w:rsidR="00E305F1">
        <w:rPr>
          <w:rFonts w:ascii="Courier New" w:hAnsi="Courier New" w:cs="Courier New"/>
        </w:rPr>
        <w:t xml:space="preserve"> of the appellant’s claimed Schedule C expenses were sufficiently supported to allow for their deduction.  Accordingly, the Board issued a decision for the appellant granting abatements of</w:t>
      </w:r>
      <w:r w:rsidR="00D372C5">
        <w:rPr>
          <w:rFonts w:ascii="Courier New" w:hAnsi="Courier New" w:cs="Courier New"/>
        </w:rPr>
        <w:t xml:space="preserve"> tax of</w:t>
      </w:r>
      <w:r w:rsidR="00E305F1">
        <w:rPr>
          <w:rFonts w:ascii="Courier New" w:hAnsi="Courier New" w:cs="Courier New"/>
        </w:rPr>
        <w:t xml:space="preserve"> $2,039.70 for tax year 2011 and $1,009.50 for tax year 2012</w:t>
      </w:r>
      <w:r w:rsidR="008F6A46">
        <w:rPr>
          <w:rFonts w:ascii="Courier New" w:hAnsi="Courier New" w:cs="Courier New"/>
        </w:rPr>
        <w:t>, plus statutory additions</w:t>
      </w:r>
      <w:r w:rsidR="00E305F1">
        <w:rPr>
          <w:rFonts w:ascii="Courier New" w:hAnsi="Courier New" w:cs="Courier New"/>
        </w:rPr>
        <w:t xml:space="preserve">.   </w:t>
      </w:r>
    </w:p>
    <w:p w14:paraId="6D41E1CA" w14:textId="57916399" w:rsidR="00932EE5" w:rsidRPr="00E305F1" w:rsidRDefault="0072461B" w:rsidP="00E305F1">
      <w:pPr>
        <w:spacing w:line="480" w:lineRule="auto"/>
        <w:ind w:firstLine="720"/>
        <w:jc w:val="both"/>
        <w:rPr>
          <w:rFonts w:ascii="Courier New" w:hAnsi="Courier New" w:cs="Courier New"/>
        </w:rPr>
      </w:pPr>
      <w:proofErr w:type="gramStart"/>
      <w:r>
        <w:rPr>
          <w:rFonts w:ascii="Courier New" w:hAnsi="Courier New" w:cs="Courier New"/>
        </w:rPr>
        <w:t>In D</w:t>
      </w:r>
      <w:r w:rsidR="00D372C5">
        <w:rPr>
          <w:rFonts w:ascii="Courier New" w:hAnsi="Courier New" w:cs="Courier New"/>
        </w:rPr>
        <w:t>ocket N</w:t>
      </w:r>
      <w:r w:rsidR="00E305F1">
        <w:rPr>
          <w:rFonts w:ascii="Courier New" w:hAnsi="Courier New" w:cs="Courier New"/>
        </w:rPr>
        <w:t>o.</w:t>
      </w:r>
      <w:proofErr w:type="gramEnd"/>
      <w:r w:rsidR="00E305F1">
        <w:rPr>
          <w:rFonts w:ascii="Courier New" w:hAnsi="Courier New" w:cs="Courier New"/>
        </w:rPr>
        <w:t xml:space="preserve"> C332051, the Board found and ruled that</w:t>
      </w:r>
      <w:r w:rsidR="00D44272">
        <w:rPr>
          <w:rFonts w:ascii="Courier New" w:hAnsi="Courier New" w:cs="Courier New"/>
        </w:rPr>
        <w:t xml:space="preserve"> it did not have jurisdiction on the independent grounds that the appellant neither filed a tax return nor an abatement application for tax year 2013. </w:t>
      </w:r>
      <w:r w:rsidR="00E305F1">
        <w:rPr>
          <w:rFonts w:ascii="Courier New" w:hAnsi="Courier New" w:cs="Courier New"/>
        </w:rPr>
        <w:t xml:space="preserve"> </w:t>
      </w:r>
      <w:r w:rsidR="00932EE5">
        <w:rPr>
          <w:rFonts w:ascii="Courier New" w:hAnsi="Courier New" w:cs="Courier New"/>
        </w:rPr>
        <w:t>Accordingly, the Board issued</w:t>
      </w:r>
      <w:r w:rsidR="002F6CFC">
        <w:rPr>
          <w:rFonts w:ascii="Courier New" w:hAnsi="Courier New" w:cs="Courier New"/>
        </w:rPr>
        <w:t xml:space="preserve"> a decision for the appellee</w:t>
      </w:r>
      <w:r w:rsidR="00932EE5">
        <w:rPr>
          <w:rFonts w:ascii="Courier New" w:hAnsi="Courier New" w:cs="Courier New"/>
        </w:rPr>
        <w:t xml:space="preserve"> in Docket </w:t>
      </w:r>
      <w:r w:rsidR="00D372C5">
        <w:rPr>
          <w:rFonts w:ascii="Courier New" w:hAnsi="Courier New" w:cs="Courier New"/>
        </w:rPr>
        <w:t xml:space="preserve">No. </w:t>
      </w:r>
      <w:r w:rsidR="00932EE5">
        <w:rPr>
          <w:rFonts w:ascii="Courier New" w:hAnsi="Courier New" w:cs="Courier New"/>
        </w:rPr>
        <w:t>C332051.</w:t>
      </w:r>
    </w:p>
    <w:p w14:paraId="0CA05AAB" w14:textId="77777777" w:rsidR="00E305F1" w:rsidRDefault="00E305F1" w:rsidP="00E305F1">
      <w:pPr>
        <w:ind w:left="2880" w:firstLine="720"/>
        <w:jc w:val="both"/>
        <w:rPr>
          <w:rFonts w:ascii="Courier New" w:hAnsi="Courier New" w:cs="Courier New"/>
          <w:b/>
        </w:rPr>
      </w:pPr>
      <w:r>
        <w:rPr>
          <w:rFonts w:ascii="Courier New" w:hAnsi="Courier New" w:cs="Courier New"/>
          <w:b/>
        </w:rPr>
        <w:t>  </w:t>
      </w:r>
      <w:r w:rsidRPr="006C660D">
        <w:rPr>
          <w:rFonts w:ascii="Courier New" w:hAnsi="Courier New" w:cs="Courier New"/>
          <w:b/>
        </w:rPr>
        <w:t>THE APPELLATE TAX BOARD</w:t>
      </w:r>
    </w:p>
    <w:p w14:paraId="397EACB1" w14:textId="77777777" w:rsidR="006F57F1" w:rsidRDefault="006F57F1" w:rsidP="00E305F1">
      <w:pPr>
        <w:ind w:left="2880" w:firstLine="720"/>
        <w:jc w:val="both"/>
        <w:rPr>
          <w:rFonts w:ascii="Courier New" w:hAnsi="Courier New" w:cs="Courier New"/>
          <w:b/>
        </w:rPr>
      </w:pPr>
    </w:p>
    <w:p w14:paraId="7EC30CF0" w14:textId="77777777" w:rsidR="00E305F1" w:rsidRDefault="00E305F1" w:rsidP="00E305F1">
      <w:pPr>
        <w:ind w:left="2880" w:firstLine="720"/>
        <w:jc w:val="both"/>
        <w:rPr>
          <w:rFonts w:ascii="Courier New" w:hAnsi="Courier New" w:cs="Courier New"/>
          <w:b/>
        </w:rPr>
      </w:pPr>
    </w:p>
    <w:p w14:paraId="1BD44395" w14:textId="77777777" w:rsidR="00E305F1" w:rsidRDefault="00E305F1" w:rsidP="00E305F1">
      <w:pPr>
        <w:ind w:left="2880" w:firstLine="720"/>
        <w:jc w:val="both"/>
        <w:rPr>
          <w:rFonts w:ascii="Courier New" w:hAnsi="Courier New" w:cs="Courier New"/>
          <w:b/>
        </w:rPr>
      </w:pPr>
    </w:p>
    <w:p w14:paraId="3931704A" w14:textId="77777777" w:rsidR="00E305F1" w:rsidRPr="006C660D" w:rsidRDefault="00E305F1" w:rsidP="00E305F1">
      <w:pPr>
        <w:ind w:left="2880" w:firstLine="720"/>
        <w:jc w:val="both"/>
        <w:rPr>
          <w:rFonts w:ascii="Courier New" w:hAnsi="Courier New" w:cs="Courier New"/>
          <w:b/>
        </w:rPr>
      </w:pPr>
    </w:p>
    <w:p w14:paraId="38AD9376" w14:textId="77777777" w:rsidR="00E305F1" w:rsidRDefault="00E305F1" w:rsidP="00E305F1">
      <w:pPr>
        <w:ind w:left="2160" w:firstLine="720"/>
        <w:jc w:val="both"/>
        <w:rPr>
          <w:rFonts w:ascii="Courier New" w:hAnsi="Courier New" w:cs="Courier New"/>
          <w:b/>
        </w:rPr>
      </w:pPr>
      <w:r w:rsidRPr="006C660D">
        <w:rPr>
          <w:rFonts w:ascii="Courier New" w:hAnsi="Courier New" w:cs="Courier New"/>
          <w:b/>
        </w:rPr>
        <w:t>B</w:t>
      </w:r>
      <w:r>
        <w:rPr>
          <w:rFonts w:ascii="Courier New" w:hAnsi="Courier New" w:cs="Courier New"/>
          <w:b/>
        </w:rPr>
        <w:t xml:space="preserve">y:    _______________________________       </w:t>
      </w:r>
    </w:p>
    <w:p w14:paraId="75FEE1C4" w14:textId="77777777" w:rsidR="00E305F1" w:rsidRPr="006C660D" w:rsidRDefault="00E305F1" w:rsidP="00E305F1">
      <w:pPr>
        <w:ind w:left="3315" w:firstLine="285"/>
        <w:jc w:val="both"/>
        <w:rPr>
          <w:rFonts w:ascii="Courier New" w:hAnsi="Courier New" w:cs="Courier New"/>
          <w:b/>
        </w:rPr>
      </w:pPr>
      <w:r>
        <w:rPr>
          <w:rFonts w:ascii="Courier New" w:hAnsi="Courier New" w:cs="Courier New"/>
          <w:b/>
        </w:rPr>
        <w:t xml:space="preserve">  </w:t>
      </w:r>
      <w:r w:rsidRPr="006C660D">
        <w:rPr>
          <w:rFonts w:ascii="Courier New" w:hAnsi="Courier New" w:cs="Courier New"/>
          <w:b/>
        </w:rPr>
        <w:t xml:space="preserve">Thomas </w:t>
      </w:r>
      <w:r>
        <w:rPr>
          <w:rFonts w:ascii="Courier New" w:hAnsi="Courier New" w:cs="Courier New"/>
          <w:b/>
        </w:rPr>
        <w:t>W. Hammond, Jr.</w:t>
      </w:r>
      <w:r w:rsidRPr="006C660D">
        <w:rPr>
          <w:rFonts w:ascii="Courier New" w:hAnsi="Courier New" w:cs="Courier New"/>
          <w:b/>
        </w:rPr>
        <w:t>, C</w:t>
      </w:r>
      <w:r>
        <w:rPr>
          <w:rFonts w:ascii="Courier New" w:hAnsi="Courier New" w:cs="Courier New"/>
          <w:b/>
        </w:rPr>
        <w:t>hairman</w:t>
      </w:r>
      <w:r w:rsidRPr="006C660D">
        <w:rPr>
          <w:rFonts w:ascii="Courier New" w:hAnsi="Courier New" w:cs="Courier New"/>
          <w:b/>
        </w:rPr>
        <w:t xml:space="preserve"> </w:t>
      </w:r>
    </w:p>
    <w:p w14:paraId="4E281C7B" w14:textId="77777777" w:rsidR="00E305F1" w:rsidRPr="006C660D" w:rsidRDefault="00E305F1" w:rsidP="00E305F1">
      <w:pPr>
        <w:jc w:val="both"/>
        <w:rPr>
          <w:rFonts w:ascii="Courier New" w:hAnsi="Courier New" w:cs="Courier New"/>
          <w:b/>
        </w:rPr>
      </w:pPr>
    </w:p>
    <w:p w14:paraId="6C1A974C" w14:textId="77777777" w:rsidR="006F57F1" w:rsidRDefault="006F57F1" w:rsidP="00E305F1">
      <w:pPr>
        <w:jc w:val="both"/>
        <w:rPr>
          <w:rFonts w:ascii="Courier New" w:hAnsi="Courier New" w:cs="Courier New"/>
          <w:b/>
        </w:rPr>
      </w:pPr>
    </w:p>
    <w:p w14:paraId="532B37C5" w14:textId="77777777" w:rsidR="006F57F1" w:rsidRDefault="006F57F1" w:rsidP="00E305F1">
      <w:pPr>
        <w:jc w:val="both"/>
        <w:rPr>
          <w:rFonts w:ascii="Courier New" w:hAnsi="Courier New" w:cs="Courier New"/>
          <w:b/>
        </w:rPr>
      </w:pPr>
    </w:p>
    <w:p w14:paraId="3C074F77" w14:textId="77777777" w:rsidR="006F57F1" w:rsidRDefault="006F57F1" w:rsidP="00E305F1">
      <w:pPr>
        <w:jc w:val="both"/>
        <w:rPr>
          <w:rFonts w:ascii="Courier New" w:hAnsi="Courier New" w:cs="Courier New"/>
          <w:b/>
        </w:rPr>
      </w:pPr>
    </w:p>
    <w:p w14:paraId="6538A909" w14:textId="77777777" w:rsidR="001E240F" w:rsidRDefault="001E240F" w:rsidP="001E240F">
      <w:pPr>
        <w:jc w:val="both"/>
        <w:rPr>
          <w:rFonts w:ascii="Courier New" w:hAnsi="Courier New" w:cs="Courier New"/>
          <w:b/>
        </w:rPr>
      </w:pPr>
      <w:r w:rsidRPr="006C660D">
        <w:rPr>
          <w:rFonts w:ascii="Courier New" w:hAnsi="Courier New" w:cs="Courier New"/>
          <w:b/>
        </w:rPr>
        <w:t xml:space="preserve">A </w:t>
      </w:r>
      <w:r w:rsidRPr="00EB27DC">
        <w:rPr>
          <w:rFonts w:ascii="Courier New" w:hAnsi="Courier New" w:cs="Courier New"/>
          <w:b/>
        </w:rPr>
        <w:t>true copy,</w:t>
      </w:r>
    </w:p>
    <w:p w14:paraId="49B9AC90" w14:textId="77777777" w:rsidR="001E240F" w:rsidRDefault="001E240F" w:rsidP="001E240F">
      <w:pPr>
        <w:jc w:val="both"/>
        <w:rPr>
          <w:rFonts w:ascii="Courier New" w:hAnsi="Courier New" w:cs="Courier New"/>
          <w:b/>
        </w:rPr>
      </w:pPr>
    </w:p>
    <w:p w14:paraId="731DF889" w14:textId="77777777" w:rsidR="001E240F" w:rsidRPr="00EB27DC" w:rsidRDefault="001E240F" w:rsidP="001E240F">
      <w:pPr>
        <w:jc w:val="both"/>
        <w:rPr>
          <w:rFonts w:ascii="Courier New" w:hAnsi="Courier New" w:cs="Courier New"/>
          <w:b/>
        </w:rPr>
      </w:pPr>
    </w:p>
    <w:p w14:paraId="5FD49302" w14:textId="77777777" w:rsidR="001E240F" w:rsidRDefault="001E240F" w:rsidP="001E240F">
      <w:pPr>
        <w:jc w:val="both"/>
        <w:rPr>
          <w:rFonts w:ascii="Courier New" w:hAnsi="Courier New" w:cs="Courier New"/>
          <w:b/>
          <w:u w:val="single"/>
        </w:rPr>
      </w:pPr>
      <w:r w:rsidRPr="00EB27DC">
        <w:rPr>
          <w:rFonts w:ascii="Courier New" w:hAnsi="Courier New" w:cs="Courier New"/>
          <w:b/>
        </w:rPr>
        <w:t>Atte</w:t>
      </w:r>
      <w:r>
        <w:rPr>
          <w:rFonts w:ascii="Courier New" w:hAnsi="Courier New" w:cs="Courier New"/>
          <w:b/>
        </w:rPr>
        <w:t>st: ________________________</w:t>
      </w:r>
    </w:p>
    <w:p w14:paraId="79189B80" w14:textId="77777777" w:rsidR="001E240F" w:rsidRPr="00E305F1" w:rsidRDefault="001E240F" w:rsidP="001E240F">
      <w:pPr>
        <w:jc w:val="both"/>
        <w:rPr>
          <w:rFonts w:ascii="Courier New" w:hAnsi="Courier New" w:cs="Courier New"/>
          <w:b/>
        </w:rPr>
      </w:pPr>
      <w:r w:rsidRPr="00EB27DC">
        <w:rPr>
          <w:rFonts w:ascii="Courier New" w:hAnsi="Courier New" w:cs="Courier New"/>
        </w:rPr>
        <w:tab/>
      </w:r>
      <w:r w:rsidRPr="00EB27DC">
        <w:rPr>
          <w:rFonts w:ascii="Courier New" w:hAnsi="Courier New" w:cs="Courier New"/>
          <w:b/>
        </w:rPr>
        <w:t xml:space="preserve">  </w:t>
      </w:r>
      <w:r>
        <w:rPr>
          <w:rFonts w:ascii="Courier New" w:hAnsi="Courier New" w:cs="Courier New"/>
          <w:b/>
        </w:rPr>
        <w:t xml:space="preserve">   </w:t>
      </w:r>
      <w:r w:rsidRPr="00EB27DC">
        <w:rPr>
          <w:rFonts w:ascii="Courier New" w:hAnsi="Courier New" w:cs="Courier New"/>
          <w:b/>
        </w:rPr>
        <w:t xml:space="preserve"> Clerk of the Board</w:t>
      </w:r>
    </w:p>
    <w:p w14:paraId="7F806C55" w14:textId="77777777" w:rsidR="006F57F1" w:rsidRDefault="006F57F1" w:rsidP="00E305F1">
      <w:pPr>
        <w:jc w:val="both"/>
        <w:rPr>
          <w:rFonts w:ascii="Courier New" w:hAnsi="Courier New" w:cs="Courier New"/>
          <w:b/>
        </w:rPr>
      </w:pPr>
    </w:p>
    <w:sectPr w:rsidR="006F57F1" w:rsidSect="001E240F">
      <w:footerReference w:type="default" r:id="rId9"/>
      <w:pgSz w:w="12240" w:h="15840"/>
      <w:pgMar w:top="1440" w:right="1800" w:bottom="1440" w:left="1800" w:header="720" w:footer="720" w:gutter="0"/>
      <w:pgNumType w:start="5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5E060" w14:textId="77777777" w:rsidR="004F4FD7" w:rsidRDefault="004F4FD7" w:rsidP="005C4D39">
      <w:r>
        <w:separator/>
      </w:r>
    </w:p>
  </w:endnote>
  <w:endnote w:type="continuationSeparator" w:id="0">
    <w:p w14:paraId="505BBF23" w14:textId="77777777" w:rsidR="004F4FD7" w:rsidRDefault="004F4FD7" w:rsidP="005C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971662048"/>
      <w:docPartObj>
        <w:docPartGallery w:val="Page Numbers (Bottom of Page)"/>
        <w:docPartUnique/>
      </w:docPartObj>
    </w:sdtPr>
    <w:sdtEndPr>
      <w:rPr>
        <w:rFonts w:ascii="Times New Roman" w:hAnsi="Times New Roman" w:cs="Times New Roman"/>
        <w:b w:val="0"/>
        <w:noProof/>
      </w:rPr>
    </w:sdtEndPr>
    <w:sdtContent>
      <w:p w14:paraId="1CEC659D" w14:textId="6B2A7E2E" w:rsidR="004F4FD7" w:rsidRDefault="001E240F" w:rsidP="001E240F">
        <w:pPr>
          <w:pStyle w:val="Footer"/>
          <w:jc w:val="center"/>
        </w:pPr>
        <w:r w:rsidRPr="001E240F">
          <w:rPr>
            <w:rFonts w:ascii="Courier New" w:hAnsi="Courier New" w:cs="Courier New"/>
            <w:b/>
          </w:rPr>
          <w:t>ATB 2018-</w:t>
        </w:r>
        <w:r w:rsidR="004F4FD7" w:rsidRPr="001E240F">
          <w:rPr>
            <w:rFonts w:ascii="Courier New" w:hAnsi="Courier New" w:cs="Courier New"/>
            <w:b/>
          </w:rPr>
          <w:fldChar w:fldCharType="begin"/>
        </w:r>
        <w:r w:rsidR="004F4FD7" w:rsidRPr="001E240F">
          <w:rPr>
            <w:rFonts w:ascii="Courier New" w:hAnsi="Courier New" w:cs="Courier New"/>
            <w:b/>
          </w:rPr>
          <w:instrText xml:space="preserve"> PAGE   \* MERGEFORMAT </w:instrText>
        </w:r>
        <w:r w:rsidR="004F4FD7" w:rsidRPr="001E240F">
          <w:rPr>
            <w:rFonts w:ascii="Courier New" w:hAnsi="Courier New" w:cs="Courier New"/>
            <w:b/>
          </w:rPr>
          <w:fldChar w:fldCharType="separate"/>
        </w:r>
        <w:r w:rsidR="004F5659">
          <w:rPr>
            <w:rFonts w:ascii="Courier New" w:hAnsi="Courier New" w:cs="Courier New"/>
            <w:b/>
            <w:noProof/>
          </w:rPr>
          <w:t>560</w:t>
        </w:r>
        <w:r w:rsidR="004F4FD7" w:rsidRPr="001E240F">
          <w:rPr>
            <w:rFonts w:ascii="Courier New" w:hAnsi="Courier New" w:cs="Courier New"/>
            <w:b/>
            <w:noProof/>
          </w:rPr>
          <w:fldChar w:fldCharType="end"/>
        </w:r>
      </w:p>
    </w:sdtContent>
  </w:sdt>
  <w:p w14:paraId="12A71C86" w14:textId="77777777" w:rsidR="004F4FD7" w:rsidRDefault="004F4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FECE2" w14:textId="77777777" w:rsidR="004F4FD7" w:rsidRDefault="004F4FD7" w:rsidP="005C4D39">
      <w:r>
        <w:separator/>
      </w:r>
    </w:p>
  </w:footnote>
  <w:footnote w:type="continuationSeparator" w:id="0">
    <w:p w14:paraId="487733CE" w14:textId="77777777" w:rsidR="004F4FD7" w:rsidRDefault="004F4FD7" w:rsidP="005C4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21437"/>
    <w:multiLevelType w:val="hybridMultilevel"/>
    <w:tmpl w:val="9E32877C"/>
    <w:lvl w:ilvl="0" w:tplc="9A4A7896">
      <w:start w:val="2"/>
      <w:numFmt w:val="bullet"/>
      <w:lvlText w:val=""/>
      <w:lvlJc w:val="left"/>
      <w:pPr>
        <w:ind w:left="1800" w:hanging="108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92"/>
    <w:rsid w:val="00001851"/>
    <w:rsid w:val="00003081"/>
    <w:rsid w:val="000033EF"/>
    <w:rsid w:val="00003A27"/>
    <w:rsid w:val="00006EE3"/>
    <w:rsid w:val="00014E29"/>
    <w:rsid w:val="00017969"/>
    <w:rsid w:val="0003417E"/>
    <w:rsid w:val="0004543D"/>
    <w:rsid w:val="00046322"/>
    <w:rsid w:val="00070A5F"/>
    <w:rsid w:val="00070CEA"/>
    <w:rsid w:val="000726B9"/>
    <w:rsid w:val="00075EB8"/>
    <w:rsid w:val="0008011E"/>
    <w:rsid w:val="00081A0B"/>
    <w:rsid w:val="000835B2"/>
    <w:rsid w:val="00092D4F"/>
    <w:rsid w:val="00093BEE"/>
    <w:rsid w:val="000A2BBF"/>
    <w:rsid w:val="000A2C3E"/>
    <w:rsid w:val="000A2E7D"/>
    <w:rsid w:val="000B1A13"/>
    <w:rsid w:val="000C092C"/>
    <w:rsid w:val="000C47CD"/>
    <w:rsid w:val="000C6EE7"/>
    <w:rsid w:val="000D3CA8"/>
    <w:rsid w:val="000F575C"/>
    <w:rsid w:val="000F5A2E"/>
    <w:rsid w:val="00102D63"/>
    <w:rsid w:val="00102E67"/>
    <w:rsid w:val="00126DF3"/>
    <w:rsid w:val="001308CE"/>
    <w:rsid w:val="00141EC6"/>
    <w:rsid w:val="00144C58"/>
    <w:rsid w:val="001456E8"/>
    <w:rsid w:val="00146FC5"/>
    <w:rsid w:val="00153B68"/>
    <w:rsid w:val="00175251"/>
    <w:rsid w:val="00193C05"/>
    <w:rsid w:val="00195251"/>
    <w:rsid w:val="00197F0D"/>
    <w:rsid w:val="001A1AB2"/>
    <w:rsid w:val="001A51E3"/>
    <w:rsid w:val="001A6A3A"/>
    <w:rsid w:val="001B01E3"/>
    <w:rsid w:val="001B3D59"/>
    <w:rsid w:val="001B429D"/>
    <w:rsid w:val="001D483D"/>
    <w:rsid w:val="001E20EB"/>
    <w:rsid w:val="001E240F"/>
    <w:rsid w:val="001F0E58"/>
    <w:rsid w:val="001F2D17"/>
    <w:rsid w:val="00202F9B"/>
    <w:rsid w:val="00203C1E"/>
    <w:rsid w:val="0020768D"/>
    <w:rsid w:val="00224BE3"/>
    <w:rsid w:val="002251B2"/>
    <w:rsid w:val="0022555C"/>
    <w:rsid w:val="00234B5D"/>
    <w:rsid w:val="00240287"/>
    <w:rsid w:val="00244E6F"/>
    <w:rsid w:val="00255E4B"/>
    <w:rsid w:val="00257589"/>
    <w:rsid w:val="00281B4E"/>
    <w:rsid w:val="00284304"/>
    <w:rsid w:val="0028474C"/>
    <w:rsid w:val="00285AB2"/>
    <w:rsid w:val="0029567D"/>
    <w:rsid w:val="002964C6"/>
    <w:rsid w:val="002A2404"/>
    <w:rsid w:val="002A5C92"/>
    <w:rsid w:val="002B38AA"/>
    <w:rsid w:val="002B6D6D"/>
    <w:rsid w:val="002B7E20"/>
    <w:rsid w:val="002C3126"/>
    <w:rsid w:val="002C4A2F"/>
    <w:rsid w:val="002D3C61"/>
    <w:rsid w:val="002D43C9"/>
    <w:rsid w:val="002E753E"/>
    <w:rsid w:val="002F1EE6"/>
    <w:rsid w:val="002F6CAE"/>
    <w:rsid w:val="002F6CFC"/>
    <w:rsid w:val="00301727"/>
    <w:rsid w:val="003017A1"/>
    <w:rsid w:val="00310E81"/>
    <w:rsid w:val="00312904"/>
    <w:rsid w:val="003300AF"/>
    <w:rsid w:val="00345228"/>
    <w:rsid w:val="00347ECD"/>
    <w:rsid w:val="00352E52"/>
    <w:rsid w:val="0037140A"/>
    <w:rsid w:val="0039458B"/>
    <w:rsid w:val="003A0A40"/>
    <w:rsid w:val="003A5363"/>
    <w:rsid w:val="003B11F3"/>
    <w:rsid w:val="003B39A3"/>
    <w:rsid w:val="003B3AFA"/>
    <w:rsid w:val="003C0D80"/>
    <w:rsid w:val="003D0A14"/>
    <w:rsid w:val="003D0A64"/>
    <w:rsid w:val="003D1C4C"/>
    <w:rsid w:val="003D394A"/>
    <w:rsid w:val="003D43F8"/>
    <w:rsid w:val="004078F4"/>
    <w:rsid w:val="004206D5"/>
    <w:rsid w:val="00427E1F"/>
    <w:rsid w:val="00427EB9"/>
    <w:rsid w:val="004416DF"/>
    <w:rsid w:val="00441913"/>
    <w:rsid w:val="00457E34"/>
    <w:rsid w:val="00461961"/>
    <w:rsid w:val="00465200"/>
    <w:rsid w:val="0046583B"/>
    <w:rsid w:val="00467C9E"/>
    <w:rsid w:val="0047152C"/>
    <w:rsid w:val="00494FF3"/>
    <w:rsid w:val="004E5BC6"/>
    <w:rsid w:val="004E70B6"/>
    <w:rsid w:val="004F2651"/>
    <w:rsid w:val="004F3B6B"/>
    <w:rsid w:val="004F4FD7"/>
    <w:rsid w:val="004F52E6"/>
    <w:rsid w:val="004F5659"/>
    <w:rsid w:val="00511B31"/>
    <w:rsid w:val="00532967"/>
    <w:rsid w:val="00534B70"/>
    <w:rsid w:val="00580238"/>
    <w:rsid w:val="005817C2"/>
    <w:rsid w:val="005851CB"/>
    <w:rsid w:val="00587B1E"/>
    <w:rsid w:val="00587DFE"/>
    <w:rsid w:val="005942DD"/>
    <w:rsid w:val="00595CD4"/>
    <w:rsid w:val="005B3ADF"/>
    <w:rsid w:val="005B501F"/>
    <w:rsid w:val="005B68C8"/>
    <w:rsid w:val="005C1D96"/>
    <w:rsid w:val="005C4D39"/>
    <w:rsid w:val="005C5B7F"/>
    <w:rsid w:val="005C6832"/>
    <w:rsid w:val="005E0A29"/>
    <w:rsid w:val="005E1BEA"/>
    <w:rsid w:val="005E3F22"/>
    <w:rsid w:val="005F0D7D"/>
    <w:rsid w:val="006113A3"/>
    <w:rsid w:val="00611D37"/>
    <w:rsid w:val="00630B54"/>
    <w:rsid w:val="00632923"/>
    <w:rsid w:val="006350EC"/>
    <w:rsid w:val="00636E09"/>
    <w:rsid w:val="00644A27"/>
    <w:rsid w:val="00647E10"/>
    <w:rsid w:val="00652E94"/>
    <w:rsid w:val="006555CE"/>
    <w:rsid w:val="006630A7"/>
    <w:rsid w:val="006647E9"/>
    <w:rsid w:val="00666AAC"/>
    <w:rsid w:val="006703A6"/>
    <w:rsid w:val="00674302"/>
    <w:rsid w:val="00676150"/>
    <w:rsid w:val="006762FF"/>
    <w:rsid w:val="006833CD"/>
    <w:rsid w:val="006841C2"/>
    <w:rsid w:val="006A1B3B"/>
    <w:rsid w:val="006A269C"/>
    <w:rsid w:val="006C4C27"/>
    <w:rsid w:val="006D23C2"/>
    <w:rsid w:val="006D2964"/>
    <w:rsid w:val="006D667B"/>
    <w:rsid w:val="006E06F4"/>
    <w:rsid w:val="006E7F0F"/>
    <w:rsid w:val="006F229A"/>
    <w:rsid w:val="006F57F1"/>
    <w:rsid w:val="0072461B"/>
    <w:rsid w:val="00725EE6"/>
    <w:rsid w:val="007300FC"/>
    <w:rsid w:val="00733B50"/>
    <w:rsid w:val="007579D6"/>
    <w:rsid w:val="007609CC"/>
    <w:rsid w:val="00763A7D"/>
    <w:rsid w:val="0076721A"/>
    <w:rsid w:val="007874DF"/>
    <w:rsid w:val="00794331"/>
    <w:rsid w:val="00794DC8"/>
    <w:rsid w:val="007963FF"/>
    <w:rsid w:val="007A357D"/>
    <w:rsid w:val="007B042B"/>
    <w:rsid w:val="007B66F0"/>
    <w:rsid w:val="007C27A0"/>
    <w:rsid w:val="007C4EE9"/>
    <w:rsid w:val="007C5F77"/>
    <w:rsid w:val="007D4391"/>
    <w:rsid w:val="007D59F4"/>
    <w:rsid w:val="007D645B"/>
    <w:rsid w:val="007D66EF"/>
    <w:rsid w:val="00801F93"/>
    <w:rsid w:val="00825481"/>
    <w:rsid w:val="0082728C"/>
    <w:rsid w:val="00854BCE"/>
    <w:rsid w:val="00864E29"/>
    <w:rsid w:val="0086692D"/>
    <w:rsid w:val="0088287A"/>
    <w:rsid w:val="008847AD"/>
    <w:rsid w:val="008A0956"/>
    <w:rsid w:val="008C252F"/>
    <w:rsid w:val="008C5589"/>
    <w:rsid w:val="008D136B"/>
    <w:rsid w:val="008D2036"/>
    <w:rsid w:val="008D267E"/>
    <w:rsid w:val="008D280D"/>
    <w:rsid w:val="008D7786"/>
    <w:rsid w:val="008F3F62"/>
    <w:rsid w:val="008F569F"/>
    <w:rsid w:val="008F6A46"/>
    <w:rsid w:val="009000E6"/>
    <w:rsid w:val="00900713"/>
    <w:rsid w:val="00902979"/>
    <w:rsid w:val="009042B8"/>
    <w:rsid w:val="00910ABF"/>
    <w:rsid w:val="00925229"/>
    <w:rsid w:val="00925536"/>
    <w:rsid w:val="00932329"/>
    <w:rsid w:val="00932EE5"/>
    <w:rsid w:val="00937445"/>
    <w:rsid w:val="009453DC"/>
    <w:rsid w:val="00952AF2"/>
    <w:rsid w:val="00952E73"/>
    <w:rsid w:val="00967204"/>
    <w:rsid w:val="00984146"/>
    <w:rsid w:val="00985FA2"/>
    <w:rsid w:val="0098649F"/>
    <w:rsid w:val="00986CA9"/>
    <w:rsid w:val="0099006A"/>
    <w:rsid w:val="0099340A"/>
    <w:rsid w:val="009951AA"/>
    <w:rsid w:val="0099625D"/>
    <w:rsid w:val="009A2CDD"/>
    <w:rsid w:val="009A3771"/>
    <w:rsid w:val="009B23A6"/>
    <w:rsid w:val="009C0461"/>
    <w:rsid w:val="009C552B"/>
    <w:rsid w:val="009C684E"/>
    <w:rsid w:val="009D282F"/>
    <w:rsid w:val="009D30FB"/>
    <w:rsid w:val="009D5E52"/>
    <w:rsid w:val="009E5542"/>
    <w:rsid w:val="009F6B7A"/>
    <w:rsid w:val="00A04567"/>
    <w:rsid w:val="00A23A70"/>
    <w:rsid w:val="00A551F1"/>
    <w:rsid w:val="00A57193"/>
    <w:rsid w:val="00A6020E"/>
    <w:rsid w:val="00A61B88"/>
    <w:rsid w:val="00A6388A"/>
    <w:rsid w:val="00A63A8D"/>
    <w:rsid w:val="00A6674A"/>
    <w:rsid w:val="00A66DE0"/>
    <w:rsid w:val="00A8436F"/>
    <w:rsid w:val="00A8723A"/>
    <w:rsid w:val="00AA2F5E"/>
    <w:rsid w:val="00AA6813"/>
    <w:rsid w:val="00AB2B35"/>
    <w:rsid w:val="00AD0A09"/>
    <w:rsid w:val="00AD16E2"/>
    <w:rsid w:val="00AD3411"/>
    <w:rsid w:val="00AD3512"/>
    <w:rsid w:val="00AE0877"/>
    <w:rsid w:val="00B05310"/>
    <w:rsid w:val="00B37AE6"/>
    <w:rsid w:val="00B45F9A"/>
    <w:rsid w:val="00B47CCE"/>
    <w:rsid w:val="00B50DF8"/>
    <w:rsid w:val="00B5228E"/>
    <w:rsid w:val="00B54896"/>
    <w:rsid w:val="00B5743C"/>
    <w:rsid w:val="00B65941"/>
    <w:rsid w:val="00B719E2"/>
    <w:rsid w:val="00B74D2F"/>
    <w:rsid w:val="00B762B2"/>
    <w:rsid w:val="00B87E2A"/>
    <w:rsid w:val="00B91AF2"/>
    <w:rsid w:val="00BB030E"/>
    <w:rsid w:val="00BC60BF"/>
    <w:rsid w:val="00BD31FB"/>
    <w:rsid w:val="00BE4732"/>
    <w:rsid w:val="00C01B7A"/>
    <w:rsid w:val="00C03F44"/>
    <w:rsid w:val="00C05300"/>
    <w:rsid w:val="00C0566F"/>
    <w:rsid w:val="00C25B12"/>
    <w:rsid w:val="00C31D76"/>
    <w:rsid w:val="00C33083"/>
    <w:rsid w:val="00C45B7A"/>
    <w:rsid w:val="00C645E7"/>
    <w:rsid w:val="00C67374"/>
    <w:rsid w:val="00C81905"/>
    <w:rsid w:val="00C847B8"/>
    <w:rsid w:val="00C90A7D"/>
    <w:rsid w:val="00C9456D"/>
    <w:rsid w:val="00C9583C"/>
    <w:rsid w:val="00CA2F5A"/>
    <w:rsid w:val="00CA40A5"/>
    <w:rsid w:val="00CB6924"/>
    <w:rsid w:val="00CC6903"/>
    <w:rsid w:val="00CD0181"/>
    <w:rsid w:val="00CD5D78"/>
    <w:rsid w:val="00CE290B"/>
    <w:rsid w:val="00CE47D9"/>
    <w:rsid w:val="00CF4B17"/>
    <w:rsid w:val="00CF4C7F"/>
    <w:rsid w:val="00CF4DAF"/>
    <w:rsid w:val="00CF6179"/>
    <w:rsid w:val="00D065AD"/>
    <w:rsid w:val="00D06AB7"/>
    <w:rsid w:val="00D06AC3"/>
    <w:rsid w:val="00D10BAE"/>
    <w:rsid w:val="00D32747"/>
    <w:rsid w:val="00D372C5"/>
    <w:rsid w:val="00D41A4A"/>
    <w:rsid w:val="00D44272"/>
    <w:rsid w:val="00D500D0"/>
    <w:rsid w:val="00D50F4E"/>
    <w:rsid w:val="00D715FD"/>
    <w:rsid w:val="00D75068"/>
    <w:rsid w:val="00D86634"/>
    <w:rsid w:val="00D971FD"/>
    <w:rsid w:val="00DC4B30"/>
    <w:rsid w:val="00DC6646"/>
    <w:rsid w:val="00DD0072"/>
    <w:rsid w:val="00DD09AC"/>
    <w:rsid w:val="00DD527E"/>
    <w:rsid w:val="00DE602F"/>
    <w:rsid w:val="00DF0C47"/>
    <w:rsid w:val="00DF3465"/>
    <w:rsid w:val="00DF4520"/>
    <w:rsid w:val="00E1266A"/>
    <w:rsid w:val="00E305F1"/>
    <w:rsid w:val="00E45040"/>
    <w:rsid w:val="00E4768C"/>
    <w:rsid w:val="00E60100"/>
    <w:rsid w:val="00E67C83"/>
    <w:rsid w:val="00EA0009"/>
    <w:rsid w:val="00EA5017"/>
    <w:rsid w:val="00EC3111"/>
    <w:rsid w:val="00EC5B80"/>
    <w:rsid w:val="00EF641C"/>
    <w:rsid w:val="00EF73F2"/>
    <w:rsid w:val="00F000B5"/>
    <w:rsid w:val="00F057C3"/>
    <w:rsid w:val="00F05DC1"/>
    <w:rsid w:val="00F15494"/>
    <w:rsid w:val="00F228C9"/>
    <w:rsid w:val="00F35D08"/>
    <w:rsid w:val="00F44A2F"/>
    <w:rsid w:val="00F45575"/>
    <w:rsid w:val="00F4606B"/>
    <w:rsid w:val="00F475C1"/>
    <w:rsid w:val="00F6419E"/>
    <w:rsid w:val="00F73C9C"/>
    <w:rsid w:val="00F86E0C"/>
    <w:rsid w:val="00F93043"/>
    <w:rsid w:val="00F96557"/>
    <w:rsid w:val="00FA5966"/>
    <w:rsid w:val="00FB4F9F"/>
    <w:rsid w:val="00FC1B07"/>
    <w:rsid w:val="00FD6C07"/>
    <w:rsid w:val="00FE5023"/>
    <w:rsid w:val="00FF2AF7"/>
    <w:rsid w:val="00FF2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0756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92"/>
    <w:rPr>
      <w:rFonts w:ascii="Times New Roman" w:eastAsia="Times New Roman" w:hAnsi="Times New Roman" w:cs="Times New Roman"/>
    </w:rPr>
  </w:style>
  <w:style w:type="paragraph" w:styleId="Heading1">
    <w:name w:val="heading 1"/>
    <w:basedOn w:val="Normal"/>
    <w:next w:val="Normal"/>
    <w:link w:val="Heading1Char"/>
    <w:qFormat/>
    <w:rsid w:val="002A5C92"/>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2A5C92"/>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C92"/>
    <w:rPr>
      <w:rFonts w:ascii="Courier New" w:eastAsia="Times New Roman" w:hAnsi="Courier New" w:cs="Courier New"/>
      <w:b/>
      <w:bCs/>
    </w:rPr>
  </w:style>
  <w:style w:type="character" w:customStyle="1" w:styleId="Heading2Char">
    <w:name w:val="Heading 2 Char"/>
    <w:basedOn w:val="DefaultParagraphFont"/>
    <w:link w:val="Heading2"/>
    <w:rsid w:val="002A5C92"/>
    <w:rPr>
      <w:rFonts w:ascii="Courier New" w:eastAsia="Times New Roman" w:hAnsi="Courier New" w:cs="Courier New"/>
      <w:b/>
      <w:bCs/>
    </w:rPr>
  </w:style>
  <w:style w:type="paragraph" w:styleId="Header">
    <w:name w:val="header"/>
    <w:basedOn w:val="Normal"/>
    <w:link w:val="HeaderChar"/>
    <w:uiPriority w:val="99"/>
    <w:unhideWhenUsed/>
    <w:rsid w:val="005C4D39"/>
    <w:pPr>
      <w:tabs>
        <w:tab w:val="center" w:pos="4680"/>
        <w:tab w:val="right" w:pos="9360"/>
      </w:tabs>
    </w:pPr>
  </w:style>
  <w:style w:type="character" w:customStyle="1" w:styleId="HeaderChar">
    <w:name w:val="Header Char"/>
    <w:basedOn w:val="DefaultParagraphFont"/>
    <w:link w:val="Header"/>
    <w:uiPriority w:val="99"/>
    <w:rsid w:val="005C4D39"/>
    <w:rPr>
      <w:rFonts w:ascii="Times New Roman" w:eastAsia="Times New Roman" w:hAnsi="Times New Roman" w:cs="Times New Roman"/>
    </w:rPr>
  </w:style>
  <w:style w:type="paragraph" w:styleId="Footer">
    <w:name w:val="footer"/>
    <w:basedOn w:val="Normal"/>
    <w:link w:val="FooterChar"/>
    <w:uiPriority w:val="99"/>
    <w:unhideWhenUsed/>
    <w:rsid w:val="005C4D39"/>
    <w:pPr>
      <w:tabs>
        <w:tab w:val="center" w:pos="4680"/>
        <w:tab w:val="right" w:pos="9360"/>
      </w:tabs>
    </w:pPr>
  </w:style>
  <w:style w:type="character" w:customStyle="1" w:styleId="FooterChar">
    <w:name w:val="Footer Char"/>
    <w:basedOn w:val="DefaultParagraphFont"/>
    <w:link w:val="Footer"/>
    <w:uiPriority w:val="99"/>
    <w:rsid w:val="005C4D39"/>
    <w:rPr>
      <w:rFonts w:ascii="Times New Roman" w:eastAsia="Times New Roman" w:hAnsi="Times New Roman" w:cs="Times New Roman"/>
    </w:rPr>
  </w:style>
  <w:style w:type="paragraph" w:styleId="Title">
    <w:name w:val="Title"/>
    <w:basedOn w:val="Normal"/>
    <w:link w:val="TitleChar"/>
    <w:qFormat/>
    <w:rsid w:val="006113A3"/>
    <w:pPr>
      <w:jc w:val="center"/>
    </w:pPr>
    <w:rPr>
      <w:rFonts w:ascii="Courier New" w:hAnsi="Courier New" w:cs="Courier New"/>
      <w:b/>
      <w:bCs/>
    </w:rPr>
  </w:style>
  <w:style w:type="character" w:customStyle="1" w:styleId="TitleChar">
    <w:name w:val="Title Char"/>
    <w:basedOn w:val="DefaultParagraphFont"/>
    <w:link w:val="Title"/>
    <w:rsid w:val="006113A3"/>
    <w:rPr>
      <w:rFonts w:ascii="Courier New" w:eastAsia="Times New Roman" w:hAnsi="Courier New" w:cs="Courier New"/>
      <w:b/>
      <w:bCs/>
    </w:rPr>
  </w:style>
  <w:style w:type="paragraph" w:styleId="BodyText2">
    <w:name w:val="Body Text 2"/>
    <w:basedOn w:val="Normal"/>
    <w:link w:val="BodyText2Char"/>
    <w:rsid w:val="00902979"/>
    <w:pPr>
      <w:spacing w:after="120" w:line="480" w:lineRule="auto"/>
    </w:pPr>
  </w:style>
  <w:style w:type="character" w:customStyle="1" w:styleId="BodyText2Char">
    <w:name w:val="Body Text 2 Char"/>
    <w:basedOn w:val="DefaultParagraphFont"/>
    <w:link w:val="BodyText2"/>
    <w:rsid w:val="00902979"/>
    <w:rPr>
      <w:rFonts w:ascii="Times New Roman" w:eastAsia="Times New Roman" w:hAnsi="Times New Roman" w:cs="Times New Roman"/>
    </w:rPr>
  </w:style>
  <w:style w:type="character" w:customStyle="1" w:styleId="term1">
    <w:name w:val="term1"/>
    <w:rsid w:val="00A551F1"/>
    <w:rPr>
      <w:b/>
      <w:bCs/>
    </w:rPr>
  </w:style>
  <w:style w:type="paragraph" w:styleId="ListParagraph">
    <w:name w:val="List Paragraph"/>
    <w:basedOn w:val="Normal"/>
    <w:uiPriority w:val="34"/>
    <w:qFormat/>
    <w:rsid w:val="00636E09"/>
    <w:pPr>
      <w:ind w:left="720"/>
      <w:contextualSpacing/>
    </w:pPr>
  </w:style>
  <w:style w:type="paragraph" w:styleId="FootnoteText">
    <w:name w:val="footnote text"/>
    <w:basedOn w:val="Normal"/>
    <w:link w:val="FootnoteTextChar"/>
    <w:uiPriority w:val="99"/>
    <w:unhideWhenUsed/>
    <w:rsid w:val="00AA2F5E"/>
  </w:style>
  <w:style w:type="character" w:customStyle="1" w:styleId="FootnoteTextChar">
    <w:name w:val="Footnote Text Char"/>
    <w:basedOn w:val="DefaultParagraphFont"/>
    <w:link w:val="FootnoteText"/>
    <w:uiPriority w:val="99"/>
    <w:rsid w:val="00AA2F5E"/>
    <w:rPr>
      <w:rFonts w:ascii="Times New Roman" w:eastAsia="Times New Roman" w:hAnsi="Times New Roman" w:cs="Times New Roman"/>
    </w:rPr>
  </w:style>
  <w:style w:type="character" w:styleId="FootnoteReference">
    <w:name w:val="footnote reference"/>
    <w:basedOn w:val="DefaultParagraphFont"/>
    <w:uiPriority w:val="99"/>
    <w:unhideWhenUsed/>
    <w:rsid w:val="00AA2F5E"/>
    <w:rPr>
      <w:vertAlign w:val="superscript"/>
    </w:rPr>
  </w:style>
  <w:style w:type="paragraph" w:styleId="NoSpacing">
    <w:name w:val="No Spacing"/>
    <w:uiPriority w:val="1"/>
    <w:qFormat/>
    <w:rsid w:val="00AB2B35"/>
    <w:rPr>
      <w:rFonts w:ascii="Calibri" w:eastAsia="Calibri" w:hAnsi="Calibri" w:cs="Times New Roman"/>
      <w:sz w:val="22"/>
      <w:szCs w:val="22"/>
    </w:rPr>
  </w:style>
  <w:style w:type="character" w:customStyle="1" w:styleId="apple-converted-space">
    <w:name w:val="apple-converted-space"/>
    <w:basedOn w:val="DefaultParagraphFont"/>
    <w:rsid w:val="00E1266A"/>
  </w:style>
  <w:style w:type="character" w:styleId="Hyperlink">
    <w:name w:val="Hyperlink"/>
    <w:basedOn w:val="DefaultParagraphFont"/>
    <w:uiPriority w:val="99"/>
    <w:semiHidden/>
    <w:unhideWhenUsed/>
    <w:rsid w:val="00E1266A"/>
    <w:rPr>
      <w:color w:val="0000FF"/>
      <w:u w:val="single"/>
    </w:rPr>
  </w:style>
  <w:style w:type="character" w:styleId="Strong">
    <w:name w:val="Strong"/>
    <w:basedOn w:val="DefaultParagraphFont"/>
    <w:uiPriority w:val="22"/>
    <w:qFormat/>
    <w:rsid w:val="00825481"/>
    <w:rPr>
      <w:b/>
      <w:bCs/>
    </w:rPr>
  </w:style>
  <w:style w:type="paragraph" w:styleId="BalloonText">
    <w:name w:val="Balloon Text"/>
    <w:basedOn w:val="Normal"/>
    <w:link w:val="BalloonTextChar"/>
    <w:uiPriority w:val="99"/>
    <w:semiHidden/>
    <w:unhideWhenUsed/>
    <w:rsid w:val="00E60100"/>
    <w:rPr>
      <w:rFonts w:ascii="Tahoma" w:hAnsi="Tahoma" w:cs="Tahoma"/>
      <w:sz w:val="16"/>
      <w:szCs w:val="16"/>
    </w:rPr>
  </w:style>
  <w:style w:type="character" w:customStyle="1" w:styleId="BalloonTextChar">
    <w:name w:val="Balloon Text Char"/>
    <w:basedOn w:val="DefaultParagraphFont"/>
    <w:link w:val="BalloonText"/>
    <w:uiPriority w:val="99"/>
    <w:semiHidden/>
    <w:rsid w:val="00E601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92"/>
    <w:rPr>
      <w:rFonts w:ascii="Times New Roman" w:eastAsia="Times New Roman" w:hAnsi="Times New Roman" w:cs="Times New Roman"/>
    </w:rPr>
  </w:style>
  <w:style w:type="paragraph" w:styleId="Heading1">
    <w:name w:val="heading 1"/>
    <w:basedOn w:val="Normal"/>
    <w:next w:val="Normal"/>
    <w:link w:val="Heading1Char"/>
    <w:qFormat/>
    <w:rsid w:val="002A5C92"/>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2A5C92"/>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C92"/>
    <w:rPr>
      <w:rFonts w:ascii="Courier New" w:eastAsia="Times New Roman" w:hAnsi="Courier New" w:cs="Courier New"/>
      <w:b/>
      <w:bCs/>
    </w:rPr>
  </w:style>
  <w:style w:type="character" w:customStyle="1" w:styleId="Heading2Char">
    <w:name w:val="Heading 2 Char"/>
    <w:basedOn w:val="DefaultParagraphFont"/>
    <w:link w:val="Heading2"/>
    <w:rsid w:val="002A5C92"/>
    <w:rPr>
      <w:rFonts w:ascii="Courier New" w:eastAsia="Times New Roman" w:hAnsi="Courier New" w:cs="Courier New"/>
      <w:b/>
      <w:bCs/>
    </w:rPr>
  </w:style>
  <w:style w:type="paragraph" w:styleId="Header">
    <w:name w:val="header"/>
    <w:basedOn w:val="Normal"/>
    <w:link w:val="HeaderChar"/>
    <w:uiPriority w:val="99"/>
    <w:unhideWhenUsed/>
    <w:rsid w:val="005C4D39"/>
    <w:pPr>
      <w:tabs>
        <w:tab w:val="center" w:pos="4680"/>
        <w:tab w:val="right" w:pos="9360"/>
      </w:tabs>
    </w:pPr>
  </w:style>
  <w:style w:type="character" w:customStyle="1" w:styleId="HeaderChar">
    <w:name w:val="Header Char"/>
    <w:basedOn w:val="DefaultParagraphFont"/>
    <w:link w:val="Header"/>
    <w:uiPriority w:val="99"/>
    <w:rsid w:val="005C4D39"/>
    <w:rPr>
      <w:rFonts w:ascii="Times New Roman" w:eastAsia="Times New Roman" w:hAnsi="Times New Roman" w:cs="Times New Roman"/>
    </w:rPr>
  </w:style>
  <w:style w:type="paragraph" w:styleId="Footer">
    <w:name w:val="footer"/>
    <w:basedOn w:val="Normal"/>
    <w:link w:val="FooterChar"/>
    <w:uiPriority w:val="99"/>
    <w:unhideWhenUsed/>
    <w:rsid w:val="005C4D39"/>
    <w:pPr>
      <w:tabs>
        <w:tab w:val="center" w:pos="4680"/>
        <w:tab w:val="right" w:pos="9360"/>
      </w:tabs>
    </w:pPr>
  </w:style>
  <w:style w:type="character" w:customStyle="1" w:styleId="FooterChar">
    <w:name w:val="Footer Char"/>
    <w:basedOn w:val="DefaultParagraphFont"/>
    <w:link w:val="Footer"/>
    <w:uiPriority w:val="99"/>
    <w:rsid w:val="005C4D39"/>
    <w:rPr>
      <w:rFonts w:ascii="Times New Roman" w:eastAsia="Times New Roman" w:hAnsi="Times New Roman" w:cs="Times New Roman"/>
    </w:rPr>
  </w:style>
  <w:style w:type="paragraph" w:styleId="Title">
    <w:name w:val="Title"/>
    <w:basedOn w:val="Normal"/>
    <w:link w:val="TitleChar"/>
    <w:qFormat/>
    <w:rsid w:val="006113A3"/>
    <w:pPr>
      <w:jc w:val="center"/>
    </w:pPr>
    <w:rPr>
      <w:rFonts w:ascii="Courier New" w:hAnsi="Courier New" w:cs="Courier New"/>
      <w:b/>
      <w:bCs/>
    </w:rPr>
  </w:style>
  <w:style w:type="character" w:customStyle="1" w:styleId="TitleChar">
    <w:name w:val="Title Char"/>
    <w:basedOn w:val="DefaultParagraphFont"/>
    <w:link w:val="Title"/>
    <w:rsid w:val="006113A3"/>
    <w:rPr>
      <w:rFonts w:ascii="Courier New" w:eastAsia="Times New Roman" w:hAnsi="Courier New" w:cs="Courier New"/>
      <w:b/>
      <w:bCs/>
    </w:rPr>
  </w:style>
  <w:style w:type="paragraph" w:styleId="BodyText2">
    <w:name w:val="Body Text 2"/>
    <w:basedOn w:val="Normal"/>
    <w:link w:val="BodyText2Char"/>
    <w:rsid w:val="00902979"/>
    <w:pPr>
      <w:spacing w:after="120" w:line="480" w:lineRule="auto"/>
    </w:pPr>
  </w:style>
  <w:style w:type="character" w:customStyle="1" w:styleId="BodyText2Char">
    <w:name w:val="Body Text 2 Char"/>
    <w:basedOn w:val="DefaultParagraphFont"/>
    <w:link w:val="BodyText2"/>
    <w:rsid w:val="00902979"/>
    <w:rPr>
      <w:rFonts w:ascii="Times New Roman" w:eastAsia="Times New Roman" w:hAnsi="Times New Roman" w:cs="Times New Roman"/>
    </w:rPr>
  </w:style>
  <w:style w:type="character" w:customStyle="1" w:styleId="term1">
    <w:name w:val="term1"/>
    <w:rsid w:val="00A551F1"/>
    <w:rPr>
      <w:b/>
      <w:bCs/>
    </w:rPr>
  </w:style>
  <w:style w:type="paragraph" w:styleId="ListParagraph">
    <w:name w:val="List Paragraph"/>
    <w:basedOn w:val="Normal"/>
    <w:uiPriority w:val="34"/>
    <w:qFormat/>
    <w:rsid w:val="00636E09"/>
    <w:pPr>
      <w:ind w:left="720"/>
      <w:contextualSpacing/>
    </w:pPr>
  </w:style>
  <w:style w:type="paragraph" w:styleId="FootnoteText">
    <w:name w:val="footnote text"/>
    <w:basedOn w:val="Normal"/>
    <w:link w:val="FootnoteTextChar"/>
    <w:uiPriority w:val="99"/>
    <w:unhideWhenUsed/>
    <w:rsid w:val="00AA2F5E"/>
  </w:style>
  <w:style w:type="character" w:customStyle="1" w:styleId="FootnoteTextChar">
    <w:name w:val="Footnote Text Char"/>
    <w:basedOn w:val="DefaultParagraphFont"/>
    <w:link w:val="FootnoteText"/>
    <w:uiPriority w:val="99"/>
    <w:rsid w:val="00AA2F5E"/>
    <w:rPr>
      <w:rFonts w:ascii="Times New Roman" w:eastAsia="Times New Roman" w:hAnsi="Times New Roman" w:cs="Times New Roman"/>
    </w:rPr>
  </w:style>
  <w:style w:type="character" w:styleId="FootnoteReference">
    <w:name w:val="footnote reference"/>
    <w:basedOn w:val="DefaultParagraphFont"/>
    <w:uiPriority w:val="99"/>
    <w:unhideWhenUsed/>
    <w:rsid w:val="00AA2F5E"/>
    <w:rPr>
      <w:vertAlign w:val="superscript"/>
    </w:rPr>
  </w:style>
  <w:style w:type="paragraph" w:styleId="NoSpacing">
    <w:name w:val="No Spacing"/>
    <w:uiPriority w:val="1"/>
    <w:qFormat/>
    <w:rsid w:val="00AB2B35"/>
    <w:rPr>
      <w:rFonts w:ascii="Calibri" w:eastAsia="Calibri" w:hAnsi="Calibri" w:cs="Times New Roman"/>
      <w:sz w:val="22"/>
      <w:szCs w:val="22"/>
    </w:rPr>
  </w:style>
  <w:style w:type="character" w:customStyle="1" w:styleId="apple-converted-space">
    <w:name w:val="apple-converted-space"/>
    <w:basedOn w:val="DefaultParagraphFont"/>
    <w:rsid w:val="00E1266A"/>
  </w:style>
  <w:style w:type="character" w:styleId="Hyperlink">
    <w:name w:val="Hyperlink"/>
    <w:basedOn w:val="DefaultParagraphFont"/>
    <w:uiPriority w:val="99"/>
    <w:semiHidden/>
    <w:unhideWhenUsed/>
    <w:rsid w:val="00E1266A"/>
    <w:rPr>
      <w:color w:val="0000FF"/>
      <w:u w:val="single"/>
    </w:rPr>
  </w:style>
  <w:style w:type="character" w:styleId="Strong">
    <w:name w:val="Strong"/>
    <w:basedOn w:val="DefaultParagraphFont"/>
    <w:uiPriority w:val="22"/>
    <w:qFormat/>
    <w:rsid w:val="00825481"/>
    <w:rPr>
      <w:b/>
      <w:bCs/>
    </w:rPr>
  </w:style>
  <w:style w:type="paragraph" w:styleId="BalloonText">
    <w:name w:val="Balloon Text"/>
    <w:basedOn w:val="Normal"/>
    <w:link w:val="BalloonTextChar"/>
    <w:uiPriority w:val="99"/>
    <w:semiHidden/>
    <w:unhideWhenUsed/>
    <w:rsid w:val="00E60100"/>
    <w:rPr>
      <w:rFonts w:ascii="Tahoma" w:hAnsi="Tahoma" w:cs="Tahoma"/>
      <w:sz w:val="16"/>
      <w:szCs w:val="16"/>
    </w:rPr>
  </w:style>
  <w:style w:type="character" w:customStyle="1" w:styleId="BalloonTextChar">
    <w:name w:val="Balloon Text Char"/>
    <w:basedOn w:val="DefaultParagraphFont"/>
    <w:link w:val="BalloonText"/>
    <w:uiPriority w:val="99"/>
    <w:semiHidden/>
    <w:rsid w:val="00E601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50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44FD-FB62-4D3D-B7FA-75595D10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2943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2</cp:revision>
  <cp:lastPrinted>2018-11-06T15:19:00Z</cp:lastPrinted>
  <dcterms:created xsi:type="dcterms:W3CDTF">2018-11-06T15:36:00Z</dcterms:created>
  <dcterms:modified xsi:type="dcterms:W3CDTF">2018-11-06T15:36:00Z</dcterms:modified>
</cp:coreProperties>
</file>