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C9" w:rsidRDefault="00F11AC9" w:rsidP="00F11AC9">
      <w:pPr>
        <w:pStyle w:val="Normal1"/>
        <w:spacing w:line="480" w:lineRule="auto"/>
        <w:contextualSpacing w:val="0"/>
        <w:jc w:val="center"/>
        <w:rPr>
          <w:rFonts w:ascii="Courier New" w:eastAsia="Courier New" w:hAnsi="Courier New" w:cs="Courier New"/>
          <w:b/>
          <w:sz w:val="24"/>
          <w:szCs w:val="24"/>
        </w:rPr>
      </w:pPr>
      <w:bookmarkStart w:id="0" w:name="_GoBack"/>
      <w:bookmarkEnd w:id="0"/>
      <w:r>
        <w:rPr>
          <w:rFonts w:ascii="Courier New" w:eastAsia="Courier New" w:hAnsi="Courier New" w:cs="Courier New"/>
          <w:b/>
          <w:sz w:val="24"/>
          <w:szCs w:val="24"/>
        </w:rPr>
        <w:t>COMMONWEALTH OF MASSACHUSETTS</w:t>
      </w:r>
    </w:p>
    <w:p w:rsidR="00F11AC9" w:rsidRDefault="00F11AC9" w:rsidP="00F11AC9">
      <w:pPr>
        <w:pStyle w:val="Normal1"/>
        <w:spacing w:line="480" w:lineRule="auto"/>
        <w:contextualSpacing w:val="0"/>
        <w:jc w:val="center"/>
        <w:rPr>
          <w:rFonts w:ascii="Courier New" w:eastAsia="Courier New" w:hAnsi="Courier New" w:cs="Courier New"/>
          <w:b/>
          <w:sz w:val="24"/>
          <w:szCs w:val="24"/>
        </w:rPr>
      </w:pPr>
      <w:r>
        <w:rPr>
          <w:rFonts w:ascii="Courier New" w:eastAsia="Courier New" w:hAnsi="Courier New" w:cs="Courier New"/>
          <w:b/>
          <w:sz w:val="24"/>
          <w:szCs w:val="24"/>
        </w:rPr>
        <w:t>APPELLATE TAX BOARD</w:t>
      </w:r>
    </w:p>
    <w:p w:rsidR="00F11AC9" w:rsidRDefault="00F11AC9" w:rsidP="00F11AC9">
      <w:pPr>
        <w:pStyle w:val="Normal1"/>
        <w:spacing w:line="240" w:lineRule="auto"/>
        <w:contextualSpacing w:val="0"/>
        <w:jc w:val="center"/>
        <w:rPr>
          <w:rFonts w:ascii="Courier New" w:eastAsia="Courier New" w:hAnsi="Courier New" w:cs="Courier New"/>
          <w:b/>
          <w:sz w:val="24"/>
          <w:szCs w:val="24"/>
        </w:rPr>
      </w:pPr>
    </w:p>
    <w:p w:rsidR="00F11AC9" w:rsidRDefault="00F11AC9" w:rsidP="00F11AC9">
      <w:pPr>
        <w:pStyle w:val="Normal1"/>
        <w:spacing w:line="480" w:lineRule="auto"/>
        <w:contextualSpacing w:val="0"/>
        <w:rPr>
          <w:rFonts w:ascii="Courier New" w:eastAsia="Courier New" w:hAnsi="Courier New" w:cs="Courier New"/>
          <w:b/>
          <w:sz w:val="24"/>
          <w:szCs w:val="24"/>
        </w:rPr>
      </w:pPr>
      <w:r>
        <w:rPr>
          <w:rFonts w:ascii="Courier New" w:eastAsia="Courier New" w:hAnsi="Courier New" w:cs="Courier New"/>
          <w:b/>
          <w:sz w:val="24"/>
          <w:szCs w:val="24"/>
        </w:rPr>
        <w:t>JORDAN’S FURNITURE, INC.</w:t>
      </w:r>
      <w:r>
        <w:rPr>
          <w:rFonts w:ascii="Courier New" w:eastAsia="Courier New" w:hAnsi="Courier New" w:cs="Courier New"/>
          <w:b/>
          <w:sz w:val="24"/>
          <w:szCs w:val="24"/>
        </w:rPr>
        <w:tab/>
      </w:r>
      <w:r>
        <w:rPr>
          <w:rFonts w:ascii="Courier New" w:eastAsia="Courier New" w:hAnsi="Courier New" w:cs="Courier New"/>
          <w:b/>
          <w:sz w:val="24"/>
          <w:szCs w:val="24"/>
        </w:rPr>
        <w:tab/>
        <w:t>v.</w:t>
      </w:r>
      <w:r>
        <w:rPr>
          <w:rFonts w:ascii="Courier New" w:eastAsia="Courier New" w:hAnsi="Courier New" w:cs="Courier New"/>
          <w:b/>
          <w:sz w:val="24"/>
          <w:szCs w:val="24"/>
        </w:rPr>
        <w:tab/>
      </w:r>
      <w:r>
        <w:rPr>
          <w:rFonts w:ascii="Courier New" w:eastAsia="Courier New" w:hAnsi="Courier New" w:cs="Courier New"/>
          <w:b/>
          <w:sz w:val="24"/>
          <w:szCs w:val="24"/>
        </w:rPr>
        <w:tab/>
        <w:t>COMMISSIONER OF REVENUE</w:t>
      </w:r>
      <w:r>
        <w:rPr>
          <w:rFonts w:ascii="Courier New" w:eastAsia="Courier New" w:hAnsi="Courier New" w:cs="Courier New"/>
          <w:b/>
          <w:sz w:val="24"/>
          <w:szCs w:val="24"/>
        </w:rPr>
        <w:tab/>
      </w:r>
    </w:p>
    <w:p w:rsidR="00F11AC9" w:rsidRDefault="00F11AC9" w:rsidP="00F95B59">
      <w:pPr>
        <w:pStyle w:val="Normal1"/>
        <w:spacing w:line="240" w:lineRule="auto"/>
        <w:contextualSpacing w:val="0"/>
        <w:rPr>
          <w:rFonts w:ascii="Courier New" w:eastAsia="Courier New" w:hAnsi="Courier New" w:cs="Courier New"/>
          <w:sz w:val="24"/>
          <w:szCs w:val="24"/>
        </w:rPr>
      </w:pPr>
      <w:r>
        <w:rPr>
          <w:rFonts w:ascii="Courier New" w:eastAsia="Courier New" w:hAnsi="Courier New" w:cs="Courier New"/>
          <w:sz w:val="24"/>
          <w:szCs w:val="24"/>
        </w:rPr>
        <w:t>Docket No. C325420</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Promulgated:</w:t>
      </w:r>
    </w:p>
    <w:p w:rsidR="00F95B59" w:rsidRDefault="00F95B59" w:rsidP="00F95B59">
      <w:pPr>
        <w:pStyle w:val="Normal1"/>
        <w:spacing w:line="240" w:lineRule="auto"/>
        <w:contextualSpacing w:val="0"/>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sidR="001B45CB">
        <w:rPr>
          <w:rFonts w:ascii="Courier New" w:eastAsia="Courier New" w:hAnsi="Courier New" w:cs="Courier New"/>
          <w:sz w:val="24"/>
          <w:szCs w:val="24"/>
        </w:rPr>
        <w:t>September 27, 2018</w:t>
      </w:r>
    </w:p>
    <w:p w:rsidR="00F11AC9" w:rsidRDefault="00F11AC9" w:rsidP="00F95B59">
      <w:pPr>
        <w:pStyle w:val="Normal1"/>
        <w:spacing w:line="240" w:lineRule="auto"/>
        <w:contextualSpacing w:val="0"/>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p>
    <w:p w:rsidR="00F11AC9" w:rsidRDefault="00F11AC9" w:rsidP="00F11AC9">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This is an appeal filed under the formal procedure pursuant to G.L. c. 58A, § 7 and G.L. c. 62C, § 39, from the refusal of the Commissioner of Revenue (“Commissioner”) to abate sales tax, interest, and penalties assessed to Jordan’s Furniture, Inc. (“appellant”) for the </w:t>
      </w:r>
      <w:r w:rsidR="008E5397">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periods </w:t>
      </w:r>
      <w:r w:rsidR="00D90CC3">
        <w:rPr>
          <w:rFonts w:ascii="Courier New" w:eastAsia="Courier New" w:hAnsi="Courier New" w:cs="Courier New"/>
          <w:sz w:val="24"/>
          <w:szCs w:val="24"/>
        </w:rPr>
        <w:t xml:space="preserve">ending </w:t>
      </w:r>
      <w:r w:rsidR="007B6742">
        <w:rPr>
          <w:rFonts w:ascii="Courier New" w:eastAsia="Courier New" w:hAnsi="Courier New" w:cs="Courier New"/>
          <w:sz w:val="24"/>
          <w:szCs w:val="24"/>
        </w:rPr>
        <w:t>August 31, 2010, August 31, 2011, and August 31, 2012</w:t>
      </w:r>
      <w:r>
        <w:rPr>
          <w:rFonts w:ascii="Courier New" w:eastAsia="Courier New" w:hAnsi="Courier New" w:cs="Courier New"/>
          <w:sz w:val="24"/>
          <w:szCs w:val="24"/>
        </w:rPr>
        <w:t xml:space="preserve"> (“periods at issue”). </w:t>
      </w:r>
    </w:p>
    <w:p w:rsidR="00F11AC9" w:rsidRDefault="00F11AC9" w:rsidP="00F11AC9">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Commissioner Scharaffa heard the appeal and was joined by Chairman Hammond and Commissioners Rose and Chmielinski in the decision for the appellant, granting an abatement of sales tax in the amount of $2,306,806, plus penalties pursuant to G.L.</w:t>
      </w:r>
      <w:r w:rsidR="00F95B59">
        <w:rPr>
          <w:rFonts w:ascii="Courier New" w:eastAsia="Courier New" w:hAnsi="Courier New" w:cs="Courier New"/>
          <w:sz w:val="24"/>
          <w:szCs w:val="24"/>
        </w:rPr>
        <w:t> </w:t>
      </w:r>
      <w:r>
        <w:rPr>
          <w:rFonts w:ascii="Courier New" w:eastAsia="Courier New" w:hAnsi="Courier New" w:cs="Courier New"/>
          <w:sz w:val="24"/>
          <w:szCs w:val="24"/>
        </w:rPr>
        <w:t>c.</w:t>
      </w:r>
      <w:r w:rsidR="00F95B59">
        <w:rPr>
          <w:rFonts w:ascii="Courier New" w:eastAsia="Courier New" w:hAnsi="Courier New" w:cs="Courier New"/>
          <w:sz w:val="24"/>
          <w:szCs w:val="24"/>
        </w:rPr>
        <w:t> </w:t>
      </w:r>
      <w:r>
        <w:rPr>
          <w:rFonts w:ascii="Courier New" w:eastAsia="Courier New" w:hAnsi="Courier New" w:cs="Courier New"/>
          <w:sz w:val="24"/>
          <w:szCs w:val="24"/>
        </w:rPr>
        <w:t>62C, § 35A</w:t>
      </w:r>
      <w:r w:rsidR="002B0F50">
        <w:rPr>
          <w:rFonts w:ascii="Courier New" w:eastAsia="Courier New" w:hAnsi="Courier New" w:cs="Courier New"/>
          <w:sz w:val="24"/>
          <w:szCs w:val="24"/>
        </w:rPr>
        <w:t>,</w:t>
      </w:r>
      <w:r>
        <w:rPr>
          <w:rFonts w:ascii="Courier New" w:eastAsia="Courier New" w:hAnsi="Courier New" w:cs="Courier New"/>
          <w:sz w:val="24"/>
          <w:szCs w:val="24"/>
        </w:rPr>
        <w:t xml:space="preserve"> and statutory interest under G.L. c. 62C, § 40. </w:t>
      </w:r>
    </w:p>
    <w:p w:rsidR="00F11AC9" w:rsidRDefault="00F11AC9" w:rsidP="00F11AC9">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These findings of fact and report are made pursuant to requests by both the appellant and the Commissioner under G.L.</w:t>
      </w:r>
      <w:r w:rsidR="00F95B59">
        <w:rPr>
          <w:rFonts w:ascii="Courier New" w:eastAsia="Courier New" w:hAnsi="Courier New" w:cs="Courier New"/>
          <w:sz w:val="24"/>
          <w:szCs w:val="24"/>
        </w:rPr>
        <w:t> </w:t>
      </w:r>
      <w:r>
        <w:rPr>
          <w:rFonts w:ascii="Courier New" w:eastAsia="Courier New" w:hAnsi="Courier New" w:cs="Courier New"/>
          <w:sz w:val="24"/>
          <w:szCs w:val="24"/>
        </w:rPr>
        <w:t>c. 58A, § 13 and 831 CMR 1.32.</w:t>
      </w:r>
    </w:p>
    <w:p w:rsidR="0000049F" w:rsidRDefault="0000049F" w:rsidP="00F11AC9">
      <w:pPr>
        <w:pStyle w:val="Normal1"/>
        <w:spacing w:line="480" w:lineRule="auto"/>
        <w:ind w:firstLine="720"/>
        <w:contextualSpacing w:val="0"/>
        <w:jc w:val="both"/>
        <w:rPr>
          <w:rFonts w:ascii="Courier New" w:eastAsia="Courier New" w:hAnsi="Courier New" w:cs="Courier New"/>
          <w:sz w:val="24"/>
          <w:szCs w:val="24"/>
        </w:rPr>
      </w:pPr>
    </w:p>
    <w:p w:rsidR="00F11AC9" w:rsidRDefault="00F11AC9" w:rsidP="00F11AC9">
      <w:pPr>
        <w:pStyle w:val="Normal1"/>
        <w:spacing w:line="240" w:lineRule="auto"/>
        <w:contextualSpacing w:val="0"/>
        <w:jc w:val="both"/>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i/>
          <w:sz w:val="24"/>
          <w:szCs w:val="24"/>
        </w:rPr>
        <w:t>John S. Brown</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Esq., </w:t>
      </w:r>
      <w:r>
        <w:rPr>
          <w:rFonts w:ascii="Courier New" w:eastAsia="Courier New" w:hAnsi="Courier New" w:cs="Courier New"/>
          <w:i/>
          <w:sz w:val="24"/>
          <w:szCs w:val="24"/>
        </w:rPr>
        <w:t>George P. Mair</w:t>
      </w:r>
      <w:r>
        <w:rPr>
          <w:rFonts w:ascii="Courier New" w:eastAsia="Courier New" w:hAnsi="Courier New" w:cs="Courier New"/>
          <w:sz w:val="24"/>
          <w:szCs w:val="24"/>
        </w:rPr>
        <w:t xml:space="preserve">, Esq., </w:t>
      </w:r>
      <w:r>
        <w:rPr>
          <w:rFonts w:ascii="Courier New" w:eastAsia="Courier New" w:hAnsi="Courier New" w:cs="Courier New"/>
          <w:i/>
          <w:sz w:val="24"/>
          <w:szCs w:val="24"/>
        </w:rPr>
        <w:t>Donald-Bruce Abrams</w:t>
      </w:r>
      <w:r>
        <w:rPr>
          <w:rFonts w:ascii="Courier New" w:eastAsia="Courier New" w:hAnsi="Courier New" w:cs="Courier New"/>
          <w:sz w:val="24"/>
          <w:szCs w:val="24"/>
        </w:rPr>
        <w:t xml:space="preserve">, Esq., and </w:t>
      </w:r>
      <w:r>
        <w:rPr>
          <w:rFonts w:ascii="Courier New" w:eastAsia="Courier New" w:hAnsi="Courier New" w:cs="Courier New"/>
          <w:i/>
          <w:sz w:val="24"/>
          <w:szCs w:val="24"/>
        </w:rPr>
        <w:t>Darcy A. Ryding</w:t>
      </w:r>
      <w:r>
        <w:rPr>
          <w:rFonts w:ascii="Courier New" w:eastAsia="Courier New" w:hAnsi="Courier New" w:cs="Courier New"/>
          <w:sz w:val="24"/>
          <w:szCs w:val="24"/>
        </w:rPr>
        <w:t>, Esq. for the appellant.</w:t>
      </w:r>
    </w:p>
    <w:p w:rsidR="00F11AC9" w:rsidRDefault="00F11AC9" w:rsidP="00F11AC9">
      <w:pPr>
        <w:pStyle w:val="Normal1"/>
        <w:spacing w:line="240" w:lineRule="auto"/>
        <w:ind w:firstLine="720"/>
        <w:contextualSpacing w:val="0"/>
        <w:jc w:val="both"/>
        <w:rPr>
          <w:rFonts w:ascii="Courier New" w:eastAsia="Courier New" w:hAnsi="Courier New" w:cs="Courier New"/>
          <w:i/>
          <w:sz w:val="24"/>
          <w:szCs w:val="24"/>
        </w:rPr>
      </w:pPr>
    </w:p>
    <w:p w:rsidR="00F11AC9" w:rsidRDefault="00F11AC9" w:rsidP="00F11AC9">
      <w:pPr>
        <w:pStyle w:val="Normal1"/>
        <w:spacing w:line="24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i/>
          <w:sz w:val="24"/>
          <w:szCs w:val="24"/>
        </w:rPr>
        <w:t>Marikae Grace Toye</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Esq.,</w:t>
      </w:r>
      <w:r>
        <w:rPr>
          <w:rFonts w:ascii="Courier New" w:eastAsia="Courier New" w:hAnsi="Courier New" w:cs="Courier New"/>
          <w:i/>
          <w:sz w:val="24"/>
          <w:szCs w:val="24"/>
        </w:rPr>
        <w:t xml:space="preserve"> Michael </w:t>
      </w:r>
      <w:r w:rsidR="00D90CC3">
        <w:rPr>
          <w:rFonts w:ascii="Courier New" w:eastAsia="Courier New" w:hAnsi="Courier New" w:cs="Courier New"/>
          <w:i/>
          <w:sz w:val="24"/>
          <w:szCs w:val="24"/>
        </w:rPr>
        <w:t xml:space="preserve">P. </w:t>
      </w:r>
      <w:r>
        <w:rPr>
          <w:rFonts w:ascii="Courier New" w:eastAsia="Courier New" w:hAnsi="Courier New" w:cs="Courier New"/>
          <w:i/>
          <w:sz w:val="24"/>
          <w:szCs w:val="24"/>
        </w:rPr>
        <w:t>Clifford</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Esq.,</w:t>
      </w:r>
      <w:r>
        <w:rPr>
          <w:rFonts w:ascii="Courier New" w:eastAsia="Courier New" w:hAnsi="Courier New" w:cs="Courier New"/>
          <w:i/>
          <w:sz w:val="24"/>
          <w:szCs w:val="24"/>
        </w:rPr>
        <w:t xml:space="preserve"> and Frances Donovan</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Esq. for the Commissioner. </w:t>
      </w:r>
    </w:p>
    <w:p w:rsidR="00F11AC9" w:rsidRDefault="00F11AC9" w:rsidP="00F11AC9">
      <w:pPr>
        <w:pStyle w:val="Normal1"/>
        <w:spacing w:line="480" w:lineRule="auto"/>
        <w:contextualSpacing w:val="0"/>
        <w:jc w:val="center"/>
        <w:rPr>
          <w:rFonts w:ascii="Courier New" w:eastAsia="Courier New" w:hAnsi="Courier New" w:cs="Courier New"/>
          <w:b/>
          <w:sz w:val="24"/>
          <w:szCs w:val="24"/>
        </w:rPr>
      </w:pPr>
      <w:r>
        <w:rPr>
          <w:rFonts w:ascii="Courier New" w:eastAsia="Courier New" w:hAnsi="Courier New" w:cs="Courier New"/>
          <w:b/>
          <w:sz w:val="24"/>
          <w:szCs w:val="24"/>
        </w:rPr>
        <w:lastRenderedPageBreak/>
        <w:t>FINDINGS OF FACT AND REPORT</w:t>
      </w:r>
    </w:p>
    <w:p w:rsidR="00F11AC9" w:rsidRDefault="00F11AC9" w:rsidP="00F11AC9">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On the basis of the record in its entirety, including testimony, a </w:t>
      </w:r>
      <w:r w:rsidR="00D710C8">
        <w:rPr>
          <w:rFonts w:ascii="Courier New" w:eastAsia="Courier New" w:hAnsi="Courier New" w:cs="Courier New"/>
          <w:sz w:val="24"/>
          <w:szCs w:val="24"/>
        </w:rPr>
        <w:t>Statement of Agreed Facts</w:t>
      </w:r>
      <w:r>
        <w:rPr>
          <w:rFonts w:ascii="Courier New" w:eastAsia="Courier New" w:hAnsi="Courier New" w:cs="Courier New"/>
          <w:sz w:val="24"/>
          <w:szCs w:val="24"/>
        </w:rPr>
        <w:t xml:space="preserve"> </w:t>
      </w:r>
      <w:r w:rsidR="00D710C8">
        <w:rPr>
          <w:rFonts w:ascii="Courier New" w:eastAsia="Courier New" w:hAnsi="Courier New" w:cs="Courier New"/>
          <w:sz w:val="24"/>
          <w:szCs w:val="24"/>
        </w:rPr>
        <w:t>with</w:t>
      </w:r>
      <w:r>
        <w:rPr>
          <w:rFonts w:ascii="Courier New" w:eastAsia="Courier New" w:hAnsi="Courier New" w:cs="Courier New"/>
          <w:sz w:val="24"/>
          <w:szCs w:val="24"/>
        </w:rPr>
        <w:t xml:space="preserve"> exhibits, and trial exhibits, the Appellate Tax Board (“Board”) made</w:t>
      </w:r>
      <w:r w:rsidR="00BA5FFD">
        <w:rPr>
          <w:rFonts w:ascii="Courier New" w:eastAsia="Courier New" w:hAnsi="Courier New" w:cs="Courier New"/>
          <w:sz w:val="24"/>
          <w:szCs w:val="24"/>
        </w:rPr>
        <w:t xml:space="preserve"> the following findings of fact:</w:t>
      </w:r>
    </w:p>
    <w:p w:rsidR="007C3259" w:rsidRPr="007C3259" w:rsidRDefault="007C3259" w:rsidP="007C3259">
      <w:pPr>
        <w:spacing w:line="480" w:lineRule="auto"/>
        <w:jc w:val="both"/>
        <w:rPr>
          <w:rFonts w:ascii="Courier New" w:eastAsia="Courier New" w:hAnsi="Courier New" w:cs="Courier New"/>
          <w:b/>
          <w:sz w:val="24"/>
          <w:szCs w:val="24"/>
        </w:rPr>
      </w:pPr>
      <w:r w:rsidRPr="007C3259">
        <w:rPr>
          <w:rFonts w:ascii="Courier New" w:eastAsia="Courier New" w:hAnsi="Courier New" w:cs="Courier New"/>
          <w:b/>
          <w:sz w:val="24"/>
          <w:szCs w:val="24"/>
        </w:rPr>
        <w:t>I. Introduction</w:t>
      </w:r>
    </w:p>
    <w:p w:rsidR="004B781E" w:rsidRDefault="00413DEE" w:rsidP="009C4EFE">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During the periods at issue, t</w:t>
      </w:r>
      <w:r w:rsidR="004B781E">
        <w:rPr>
          <w:rFonts w:ascii="Courier New" w:eastAsia="Courier New" w:hAnsi="Courier New" w:cs="Courier New"/>
          <w:sz w:val="24"/>
          <w:szCs w:val="24"/>
        </w:rPr>
        <w:t xml:space="preserve">he appellant </w:t>
      </w:r>
      <w:r>
        <w:rPr>
          <w:rFonts w:ascii="Courier New" w:eastAsia="Courier New" w:hAnsi="Courier New" w:cs="Courier New"/>
          <w:sz w:val="24"/>
          <w:szCs w:val="24"/>
        </w:rPr>
        <w:t>was</w:t>
      </w:r>
      <w:r w:rsidR="004B781E">
        <w:rPr>
          <w:rFonts w:ascii="Courier New" w:eastAsia="Courier New" w:hAnsi="Courier New" w:cs="Courier New"/>
          <w:sz w:val="24"/>
          <w:szCs w:val="24"/>
        </w:rPr>
        <w:t xml:space="preserve"> a large furniture retailer based in New England. </w:t>
      </w:r>
      <w:r w:rsidR="006B066A">
        <w:rPr>
          <w:rFonts w:ascii="Courier New" w:eastAsia="Courier New" w:hAnsi="Courier New" w:cs="Courier New"/>
          <w:sz w:val="24"/>
          <w:szCs w:val="24"/>
        </w:rPr>
        <w:t>At all material times, i</w:t>
      </w:r>
      <w:r w:rsidR="004B781E">
        <w:rPr>
          <w:rFonts w:ascii="Courier New" w:eastAsia="Courier New" w:hAnsi="Courier New" w:cs="Courier New"/>
          <w:sz w:val="24"/>
          <w:szCs w:val="24"/>
        </w:rPr>
        <w:t xml:space="preserve">t </w:t>
      </w:r>
      <w:r w:rsidR="006B066A">
        <w:rPr>
          <w:rFonts w:ascii="Courier New" w:eastAsia="Courier New" w:hAnsi="Courier New" w:cs="Courier New"/>
          <w:sz w:val="24"/>
          <w:szCs w:val="24"/>
        </w:rPr>
        <w:t>was</w:t>
      </w:r>
      <w:r w:rsidR="004B781E">
        <w:rPr>
          <w:rFonts w:ascii="Courier New" w:eastAsia="Courier New" w:hAnsi="Courier New" w:cs="Courier New"/>
          <w:sz w:val="24"/>
          <w:szCs w:val="24"/>
        </w:rPr>
        <w:t xml:space="preserve"> registered with the Department of Revenue as a vendor of tangible personal property and </w:t>
      </w:r>
      <w:r w:rsidR="006B066A">
        <w:rPr>
          <w:rFonts w:ascii="Courier New" w:eastAsia="Courier New" w:hAnsi="Courier New" w:cs="Courier New"/>
          <w:sz w:val="24"/>
          <w:szCs w:val="24"/>
        </w:rPr>
        <w:t>wa</w:t>
      </w:r>
      <w:r w:rsidR="004B781E">
        <w:rPr>
          <w:rFonts w:ascii="Courier New" w:eastAsia="Courier New" w:hAnsi="Courier New" w:cs="Courier New"/>
          <w:sz w:val="24"/>
          <w:szCs w:val="24"/>
        </w:rPr>
        <w:t>s required to collect and remit sales tax to the Commonwealth on its sales of tangible personal property subject to sales tax and to file monthly sales tax returns.</w:t>
      </w:r>
    </w:p>
    <w:p w:rsidR="00E74849" w:rsidRDefault="009C4EFE" w:rsidP="00F11AC9">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Also d</w:t>
      </w:r>
      <w:r w:rsidR="00F11AC9" w:rsidRPr="00766262">
        <w:rPr>
          <w:rFonts w:ascii="Courier New" w:eastAsia="Courier New" w:hAnsi="Courier New" w:cs="Courier New"/>
          <w:sz w:val="24"/>
          <w:szCs w:val="24"/>
        </w:rPr>
        <w:t>uring the perio</w:t>
      </w:r>
      <w:r w:rsidR="00D710C8">
        <w:rPr>
          <w:rFonts w:ascii="Courier New" w:eastAsia="Courier New" w:hAnsi="Courier New" w:cs="Courier New"/>
          <w:sz w:val="24"/>
          <w:szCs w:val="24"/>
        </w:rPr>
        <w:t>ds at issue, the Massachusetts L</w:t>
      </w:r>
      <w:r w:rsidR="00F11AC9" w:rsidRPr="00766262">
        <w:rPr>
          <w:rFonts w:ascii="Courier New" w:eastAsia="Courier New" w:hAnsi="Courier New" w:cs="Courier New"/>
          <w:sz w:val="24"/>
          <w:szCs w:val="24"/>
        </w:rPr>
        <w:t xml:space="preserve">egislature passed legislation </w:t>
      </w:r>
      <w:r w:rsidR="00766262">
        <w:rPr>
          <w:rFonts w:ascii="Courier New" w:hAnsi="Courier New" w:cs="Courier New"/>
          <w:sz w:val="24"/>
          <w:szCs w:val="24"/>
        </w:rPr>
        <w:t>(“</w:t>
      </w:r>
      <w:r w:rsidR="006B066A">
        <w:rPr>
          <w:rFonts w:ascii="Courier New" w:hAnsi="Courier New" w:cs="Courier New"/>
          <w:sz w:val="24"/>
          <w:szCs w:val="24"/>
        </w:rPr>
        <w:t xml:space="preserve">Sales </w:t>
      </w:r>
      <w:r w:rsidR="00766262">
        <w:rPr>
          <w:rFonts w:ascii="Courier New" w:hAnsi="Courier New" w:cs="Courier New"/>
          <w:sz w:val="24"/>
          <w:szCs w:val="24"/>
        </w:rPr>
        <w:t xml:space="preserve">Tax Holiday Legislation”) </w:t>
      </w:r>
      <w:r w:rsidR="00F11AC9" w:rsidRPr="00766262">
        <w:rPr>
          <w:rFonts w:ascii="Courier New" w:eastAsia="Courier New" w:hAnsi="Courier New" w:cs="Courier New"/>
          <w:sz w:val="24"/>
          <w:szCs w:val="24"/>
        </w:rPr>
        <w:t xml:space="preserve">mandating that vendors </w:t>
      </w:r>
      <w:r w:rsidR="00766262" w:rsidRPr="00766262">
        <w:rPr>
          <w:rFonts w:ascii="Courier New" w:eastAsia="Courier New" w:hAnsi="Courier New" w:cs="Courier New"/>
          <w:sz w:val="24"/>
          <w:szCs w:val="24"/>
        </w:rPr>
        <w:t>“</w:t>
      </w:r>
      <w:r w:rsidR="00766262" w:rsidRPr="00766262">
        <w:rPr>
          <w:rFonts w:ascii="Courier New" w:hAnsi="Courier New" w:cs="Courier New"/>
          <w:sz w:val="24"/>
          <w:szCs w:val="24"/>
        </w:rPr>
        <w:t>not add to the sales price or collect from a nonbusiness purchaser an excise upon sales at retail of tangible personal property”</w:t>
      </w:r>
      <w:r w:rsidR="00766262">
        <w:rPr>
          <w:rFonts w:ascii="Courier New" w:hAnsi="Courier New" w:cs="Courier New"/>
          <w:sz w:val="24"/>
          <w:szCs w:val="24"/>
        </w:rPr>
        <w:t xml:space="preserve"> </w:t>
      </w:r>
      <w:r w:rsidR="00351581">
        <w:rPr>
          <w:rFonts w:ascii="Courier New" w:hAnsi="Courier New" w:cs="Courier New"/>
          <w:sz w:val="24"/>
          <w:szCs w:val="24"/>
        </w:rPr>
        <w:t xml:space="preserve">made on </w:t>
      </w:r>
      <w:r w:rsidR="00E731C0">
        <w:rPr>
          <w:rFonts w:ascii="Courier New" w:hAnsi="Courier New" w:cs="Courier New"/>
          <w:sz w:val="24"/>
          <w:szCs w:val="24"/>
        </w:rPr>
        <w:t xml:space="preserve">certain specified </w:t>
      </w:r>
      <w:r w:rsidR="00351581">
        <w:rPr>
          <w:rFonts w:ascii="Courier New" w:hAnsi="Courier New" w:cs="Courier New"/>
          <w:sz w:val="24"/>
          <w:szCs w:val="24"/>
        </w:rPr>
        <w:t>dates (“</w:t>
      </w:r>
      <w:r w:rsidR="006B066A">
        <w:rPr>
          <w:rFonts w:ascii="Courier New" w:hAnsi="Courier New" w:cs="Courier New"/>
          <w:sz w:val="24"/>
          <w:szCs w:val="24"/>
        </w:rPr>
        <w:t xml:space="preserve">Sales </w:t>
      </w:r>
      <w:r w:rsidR="00351581">
        <w:rPr>
          <w:rFonts w:ascii="Courier New" w:hAnsi="Courier New" w:cs="Courier New"/>
          <w:sz w:val="24"/>
          <w:szCs w:val="24"/>
        </w:rPr>
        <w:t xml:space="preserve">Tax Holidays”). </w:t>
      </w:r>
      <w:r w:rsidR="00E731C0" w:rsidRPr="00E731C0">
        <w:rPr>
          <w:rFonts w:ascii="Courier New" w:hAnsi="Courier New" w:cs="Courier New"/>
          <w:i/>
          <w:sz w:val="24"/>
          <w:szCs w:val="24"/>
        </w:rPr>
        <w:t>See</w:t>
      </w:r>
      <w:r w:rsidR="00E731C0">
        <w:rPr>
          <w:rFonts w:ascii="Courier New" w:hAnsi="Courier New" w:cs="Courier New"/>
          <w:sz w:val="24"/>
          <w:szCs w:val="24"/>
        </w:rPr>
        <w:t xml:space="preserve"> </w:t>
      </w:r>
      <w:r w:rsidR="00766262">
        <w:rPr>
          <w:rFonts w:ascii="Courier New" w:eastAsia="Courier New" w:hAnsi="Courier New" w:cs="Courier New"/>
          <w:sz w:val="24"/>
          <w:szCs w:val="24"/>
        </w:rPr>
        <w:t>St. 2012, c. 238, § 80; St. 2011, c. 86; St. 2010, c. 240, §§ 174–79.</w:t>
      </w:r>
      <w:r w:rsidR="00911311">
        <w:rPr>
          <w:rStyle w:val="FootnoteReference"/>
          <w:rFonts w:ascii="Courier New" w:eastAsia="Courier New" w:hAnsi="Courier New" w:cs="Courier New"/>
          <w:sz w:val="24"/>
          <w:szCs w:val="24"/>
        </w:rPr>
        <w:footnoteReference w:id="1"/>
      </w:r>
      <w:r w:rsidR="00766262">
        <w:rPr>
          <w:rFonts w:ascii="Courier New" w:eastAsia="Courier New" w:hAnsi="Courier New" w:cs="Courier New"/>
          <w:sz w:val="24"/>
          <w:szCs w:val="24"/>
        </w:rPr>
        <w:t xml:space="preserve"> </w:t>
      </w:r>
      <w:r w:rsidR="00E74849">
        <w:rPr>
          <w:rFonts w:ascii="Courier New" w:eastAsia="Courier New" w:hAnsi="Courier New" w:cs="Courier New"/>
          <w:sz w:val="24"/>
          <w:szCs w:val="24"/>
        </w:rPr>
        <w:t xml:space="preserve">The </w:t>
      </w:r>
      <w:r w:rsidR="006B066A">
        <w:rPr>
          <w:rFonts w:ascii="Courier New" w:eastAsia="Courier New" w:hAnsi="Courier New" w:cs="Courier New"/>
          <w:sz w:val="24"/>
          <w:szCs w:val="24"/>
        </w:rPr>
        <w:t xml:space="preserve">Sales </w:t>
      </w:r>
      <w:r w:rsidR="00E74849">
        <w:rPr>
          <w:rFonts w:ascii="Courier New" w:eastAsia="Courier New" w:hAnsi="Courier New" w:cs="Courier New"/>
          <w:sz w:val="24"/>
          <w:szCs w:val="24"/>
        </w:rPr>
        <w:t xml:space="preserve">Tax Holidays took place on August 14-15, 2010, August 13-14, 2011, and August 11-12, 2012. </w:t>
      </w:r>
    </w:p>
    <w:p w:rsidR="00A60D36" w:rsidRDefault="00351581" w:rsidP="00F11AC9">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lastRenderedPageBreak/>
        <w:t xml:space="preserve">The primary issue in this matter is whether certain </w:t>
      </w:r>
      <w:r w:rsidR="000B61E2">
        <w:rPr>
          <w:rFonts w:ascii="Courier New" w:eastAsia="Courier New" w:hAnsi="Courier New" w:cs="Courier New"/>
          <w:sz w:val="24"/>
          <w:szCs w:val="24"/>
        </w:rPr>
        <w:t xml:space="preserve">orders for merchandise that were subsequently </w:t>
      </w:r>
      <w:r w:rsidR="00B214A6">
        <w:rPr>
          <w:rFonts w:ascii="Courier New" w:eastAsia="Courier New" w:hAnsi="Courier New" w:cs="Courier New"/>
          <w:sz w:val="24"/>
          <w:szCs w:val="24"/>
        </w:rPr>
        <w:t xml:space="preserve">cancelled and </w:t>
      </w:r>
      <w:r>
        <w:rPr>
          <w:rFonts w:ascii="Courier New" w:eastAsia="Courier New" w:hAnsi="Courier New" w:cs="Courier New"/>
          <w:sz w:val="24"/>
          <w:szCs w:val="24"/>
        </w:rPr>
        <w:t xml:space="preserve">rewritten </w:t>
      </w:r>
      <w:r w:rsidR="000B61E2">
        <w:rPr>
          <w:rFonts w:ascii="Courier New" w:eastAsia="Courier New" w:hAnsi="Courier New" w:cs="Courier New"/>
          <w:sz w:val="24"/>
          <w:szCs w:val="24"/>
        </w:rPr>
        <w:t xml:space="preserve">on </w:t>
      </w:r>
      <w:r w:rsidR="006B066A">
        <w:rPr>
          <w:rFonts w:ascii="Courier New" w:eastAsia="Courier New" w:hAnsi="Courier New" w:cs="Courier New"/>
          <w:sz w:val="24"/>
          <w:szCs w:val="24"/>
        </w:rPr>
        <w:t xml:space="preserve">Sales </w:t>
      </w:r>
      <w:r w:rsidR="000B61E2">
        <w:rPr>
          <w:rFonts w:ascii="Courier New" w:eastAsia="Courier New" w:hAnsi="Courier New" w:cs="Courier New"/>
          <w:sz w:val="24"/>
          <w:szCs w:val="24"/>
        </w:rPr>
        <w:t>Tax Holidays</w:t>
      </w:r>
      <w:r>
        <w:rPr>
          <w:rFonts w:ascii="Courier New" w:eastAsia="Courier New" w:hAnsi="Courier New" w:cs="Courier New"/>
          <w:sz w:val="24"/>
          <w:szCs w:val="24"/>
        </w:rPr>
        <w:t xml:space="preserve"> qualified as </w:t>
      </w:r>
      <w:r w:rsidR="000B61E2">
        <w:rPr>
          <w:rFonts w:ascii="Courier New" w:eastAsia="Courier New" w:hAnsi="Courier New" w:cs="Courier New"/>
          <w:sz w:val="24"/>
          <w:szCs w:val="24"/>
        </w:rPr>
        <w:t xml:space="preserve">exempt </w:t>
      </w:r>
      <w:r>
        <w:rPr>
          <w:rFonts w:ascii="Courier New" w:eastAsia="Courier New" w:hAnsi="Courier New" w:cs="Courier New"/>
          <w:sz w:val="24"/>
          <w:szCs w:val="24"/>
        </w:rPr>
        <w:t xml:space="preserve">sales </w:t>
      </w:r>
      <w:r w:rsidR="00067ECB">
        <w:rPr>
          <w:rFonts w:ascii="Courier New" w:eastAsia="Courier New" w:hAnsi="Courier New" w:cs="Courier New"/>
          <w:sz w:val="24"/>
          <w:szCs w:val="24"/>
        </w:rPr>
        <w:t xml:space="preserve">contemplated by the </w:t>
      </w:r>
      <w:r w:rsidR="006B066A">
        <w:rPr>
          <w:rFonts w:ascii="Courier New" w:eastAsia="Courier New" w:hAnsi="Courier New" w:cs="Courier New"/>
          <w:sz w:val="24"/>
          <w:szCs w:val="24"/>
        </w:rPr>
        <w:t xml:space="preserve">Sales </w:t>
      </w:r>
      <w:r w:rsidR="00067ECB">
        <w:rPr>
          <w:rFonts w:ascii="Courier New" w:eastAsia="Courier New" w:hAnsi="Courier New" w:cs="Courier New"/>
          <w:sz w:val="24"/>
          <w:szCs w:val="24"/>
        </w:rPr>
        <w:t>Tax Holiday Legislation</w:t>
      </w:r>
      <w:r w:rsidR="00832C0A">
        <w:rPr>
          <w:rFonts w:ascii="Courier New" w:eastAsia="Courier New" w:hAnsi="Courier New" w:cs="Courier New"/>
          <w:sz w:val="24"/>
          <w:szCs w:val="24"/>
        </w:rPr>
        <w:t xml:space="preserve"> (“sales at issue”)</w:t>
      </w:r>
      <w:r>
        <w:rPr>
          <w:rFonts w:ascii="Courier New" w:eastAsia="Courier New" w:hAnsi="Courier New" w:cs="Courier New"/>
          <w:sz w:val="24"/>
          <w:szCs w:val="24"/>
        </w:rPr>
        <w:t>.</w:t>
      </w:r>
      <w:r w:rsidR="00192628">
        <w:rPr>
          <w:rFonts w:ascii="Courier New" w:eastAsia="Courier New" w:hAnsi="Courier New" w:cs="Courier New"/>
          <w:sz w:val="24"/>
          <w:szCs w:val="24"/>
        </w:rPr>
        <w:t xml:space="preserve"> </w:t>
      </w:r>
      <w:r w:rsidR="00FF1FE5">
        <w:rPr>
          <w:rFonts w:ascii="Courier New" w:eastAsia="Courier New" w:hAnsi="Courier New" w:cs="Courier New"/>
          <w:sz w:val="24"/>
          <w:szCs w:val="24"/>
        </w:rPr>
        <w:t xml:space="preserve">For the </w:t>
      </w:r>
      <w:r w:rsidR="006B066A">
        <w:rPr>
          <w:rFonts w:ascii="Courier New" w:eastAsia="Courier New" w:hAnsi="Courier New" w:cs="Courier New"/>
          <w:sz w:val="24"/>
          <w:szCs w:val="24"/>
        </w:rPr>
        <w:t xml:space="preserve">monthly </w:t>
      </w:r>
      <w:r w:rsidR="00FF1FE5">
        <w:rPr>
          <w:rFonts w:ascii="Courier New" w:eastAsia="Courier New" w:hAnsi="Courier New" w:cs="Courier New"/>
          <w:sz w:val="24"/>
          <w:szCs w:val="24"/>
        </w:rPr>
        <w:t xml:space="preserve">periods ending August 31, 2010 and August 31, 2011, the appellant neither collected nor remitted sales tax on the sales at issue. While it did not collect sales tax on the sales at issue for the </w:t>
      </w:r>
      <w:r w:rsidR="006B066A">
        <w:rPr>
          <w:rFonts w:ascii="Courier New" w:eastAsia="Courier New" w:hAnsi="Courier New" w:cs="Courier New"/>
          <w:sz w:val="24"/>
          <w:szCs w:val="24"/>
        </w:rPr>
        <w:t xml:space="preserve">monthly </w:t>
      </w:r>
      <w:r w:rsidR="00FF1FE5">
        <w:rPr>
          <w:rFonts w:ascii="Courier New" w:eastAsia="Courier New" w:hAnsi="Courier New" w:cs="Courier New"/>
          <w:sz w:val="24"/>
          <w:szCs w:val="24"/>
        </w:rPr>
        <w:t xml:space="preserve">period ending August 31, 2012, it self-assessed and remitted sales tax in an amount </w:t>
      </w:r>
      <w:r w:rsidR="00F667E6">
        <w:rPr>
          <w:rFonts w:ascii="Courier New" w:eastAsia="Courier New" w:hAnsi="Courier New" w:cs="Courier New"/>
          <w:sz w:val="24"/>
          <w:szCs w:val="24"/>
        </w:rPr>
        <w:t>that it believed would be due on</w:t>
      </w:r>
      <w:r w:rsidR="00FF1FE5">
        <w:rPr>
          <w:rFonts w:ascii="Courier New" w:eastAsia="Courier New" w:hAnsi="Courier New" w:cs="Courier New"/>
          <w:sz w:val="24"/>
          <w:szCs w:val="24"/>
        </w:rPr>
        <w:t xml:space="preserve"> these sales for th</w:t>
      </w:r>
      <w:r w:rsidR="006B066A">
        <w:rPr>
          <w:rFonts w:ascii="Courier New" w:eastAsia="Courier New" w:hAnsi="Courier New" w:cs="Courier New"/>
          <w:sz w:val="24"/>
          <w:szCs w:val="24"/>
        </w:rPr>
        <w:t>at</w:t>
      </w:r>
      <w:r w:rsidR="00FF1FE5">
        <w:rPr>
          <w:rFonts w:ascii="Courier New" w:eastAsia="Courier New" w:hAnsi="Courier New" w:cs="Courier New"/>
          <w:sz w:val="24"/>
          <w:szCs w:val="24"/>
        </w:rPr>
        <w:t xml:space="preserve"> period </w:t>
      </w:r>
      <w:r w:rsidR="006B066A">
        <w:rPr>
          <w:rFonts w:ascii="Courier New" w:eastAsia="Courier New" w:hAnsi="Courier New" w:cs="Courier New"/>
          <w:sz w:val="24"/>
          <w:szCs w:val="24"/>
        </w:rPr>
        <w:t>under the</w:t>
      </w:r>
      <w:r w:rsidR="00F667E6">
        <w:rPr>
          <w:rFonts w:ascii="Courier New" w:eastAsia="Courier New" w:hAnsi="Courier New" w:cs="Courier New"/>
          <w:sz w:val="24"/>
          <w:szCs w:val="24"/>
        </w:rPr>
        <w:t xml:space="preserve"> language included in the Commissioner’s Technical Information Release 12-5: The 2012 Massachusetts Sales Tax Holiday Weekend</w:t>
      </w:r>
      <w:r w:rsidR="008E4AB3">
        <w:rPr>
          <w:rFonts w:ascii="Courier New" w:eastAsia="Courier New" w:hAnsi="Courier New" w:cs="Courier New"/>
          <w:sz w:val="24"/>
          <w:szCs w:val="24"/>
        </w:rPr>
        <w:t xml:space="preserve"> (“TIR 12-5”)</w:t>
      </w:r>
      <w:r w:rsidR="00F667E6">
        <w:rPr>
          <w:rFonts w:ascii="Courier New" w:eastAsia="Courier New" w:hAnsi="Courier New" w:cs="Courier New"/>
          <w:sz w:val="24"/>
          <w:szCs w:val="24"/>
        </w:rPr>
        <w:t>.</w:t>
      </w:r>
      <w:r w:rsidR="00BB7AC9">
        <w:rPr>
          <w:rStyle w:val="FootnoteReference"/>
          <w:rFonts w:ascii="Courier New" w:eastAsia="Courier New" w:hAnsi="Courier New" w:cs="Courier New"/>
          <w:sz w:val="24"/>
          <w:szCs w:val="24"/>
        </w:rPr>
        <w:footnoteReference w:id="2"/>
      </w:r>
      <w:r w:rsidR="00F667E6">
        <w:rPr>
          <w:rFonts w:ascii="Courier New" w:eastAsia="Courier New" w:hAnsi="Courier New" w:cs="Courier New"/>
          <w:sz w:val="24"/>
          <w:szCs w:val="24"/>
        </w:rPr>
        <w:t xml:space="preserve"> Upon audit, the Commissioner made an additional assessment of $83,850 in sales tax </w:t>
      </w:r>
      <w:r w:rsidR="00FE72DF">
        <w:rPr>
          <w:rFonts w:ascii="Courier New" w:eastAsia="Courier New" w:hAnsi="Courier New" w:cs="Courier New"/>
          <w:sz w:val="24"/>
          <w:szCs w:val="24"/>
        </w:rPr>
        <w:t xml:space="preserve">for the </w:t>
      </w:r>
      <w:r w:rsidR="006B066A">
        <w:rPr>
          <w:rFonts w:ascii="Courier New" w:eastAsia="Courier New" w:hAnsi="Courier New" w:cs="Courier New"/>
          <w:sz w:val="24"/>
          <w:szCs w:val="24"/>
        </w:rPr>
        <w:t xml:space="preserve">monthly </w:t>
      </w:r>
      <w:r w:rsidR="00FE72DF">
        <w:rPr>
          <w:rFonts w:ascii="Courier New" w:eastAsia="Courier New" w:hAnsi="Courier New" w:cs="Courier New"/>
          <w:sz w:val="24"/>
          <w:szCs w:val="24"/>
        </w:rPr>
        <w:t xml:space="preserve">period ending August 31, 2012, </w:t>
      </w:r>
      <w:r w:rsidR="00F667E6">
        <w:rPr>
          <w:rFonts w:ascii="Courier New" w:eastAsia="Courier New" w:hAnsi="Courier New" w:cs="Courier New"/>
          <w:sz w:val="24"/>
          <w:szCs w:val="24"/>
        </w:rPr>
        <w:t xml:space="preserve">based upon the inclusion of additional sales that he deemed to be </w:t>
      </w:r>
      <w:r w:rsidR="006B066A">
        <w:rPr>
          <w:rFonts w:ascii="Courier New" w:eastAsia="Courier New" w:hAnsi="Courier New" w:cs="Courier New"/>
          <w:sz w:val="24"/>
          <w:szCs w:val="24"/>
        </w:rPr>
        <w:t>subject to tax</w:t>
      </w:r>
      <w:r w:rsidR="00F667E6">
        <w:rPr>
          <w:rFonts w:ascii="Courier New" w:eastAsia="Courier New" w:hAnsi="Courier New" w:cs="Courier New"/>
          <w:sz w:val="24"/>
          <w:szCs w:val="24"/>
        </w:rPr>
        <w:t>.</w:t>
      </w:r>
      <w:r w:rsidR="00592EEB">
        <w:rPr>
          <w:rFonts w:ascii="Courier New" w:eastAsia="Courier New" w:hAnsi="Courier New" w:cs="Courier New"/>
          <w:sz w:val="24"/>
          <w:szCs w:val="24"/>
        </w:rPr>
        <w:t xml:space="preserve"> </w:t>
      </w:r>
      <w:r>
        <w:rPr>
          <w:rFonts w:ascii="Courier New" w:eastAsia="Courier New" w:hAnsi="Courier New" w:cs="Courier New"/>
          <w:sz w:val="24"/>
          <w:szCs w:val="24"/>
        </w:rPr>
        <w:t xml:space="preserve">The Board also considered the </w:t>
      </w:r>
      <w:r w:rsidR="00FF1FE5">
        <w:rPr>
          <w:rFonts w:ascii="Courier New" w:eastAsia="Courier New" w:hAnsi="Courier New" w:cs="Courier New"/>
          <w:sz w:val="24"/>
          <w:szCs w:val="24"/>
        </w:rPr>
        <w:t xml:space="preserve">secondary issue </w:t>
      </w:r>
      <w:r w:rsidR="0006704D">
        <w:rPr>
          <w:rFonts w:ascii="Courier New" w:eastAsia="Courier New" w:hAnsi="Courier New" w:cs="Courier New"/>
          <w:sz w:val="24"/>
          <w:szCs w:val="24"/>
        </w:rPr>
        <w:t xml:space="preserve">of </w:t>
      </w:r>
      <w:r w:rsidR="00FF1FE5">
        <w:rPr>
          <w:rFonts w:ascii="Courier New" w:eastAsia="Courier New" w:hAnsi="Courier New" w:cs="Courier New"/>
          <w:sz w:val="24"/>
          <w:szCs w:val="24"/>
        </w:rPr>
        <w:t xml:space="preserve">whether penalties imposed by the Commissioner </w:t>
      </w:r>
      <w:r>
        <w:rPr>
          <w:rFonts w:ascii="Courier New" w:eastAsia="Courier New" w:hAnsi="Courier New" w:cs="Courier New"/>
          <w:sz w:val="24"/>
          <w:szCs w:val="24"/>
        </w:rPr>
        <w:t>pursuant to G.L. c. 62C, § 35A</w:t>
      </w:r>
      <w:r w:rsidR="00FF1FE5">
        <w:rPr>
          <w:rFonts w:ascii="Courier New" w:eastAsia="Courier New" w:hAnsi="Courier New" w:cs="Courier New"/>
          <w:sz w:val="24"/>
          <w:szCs w:val="24"/>
        </w:rPr>
        <w:t xml:space="preserve"> </w:t>
      </w:r>
      <w:r w:rsidR="003E1319">
        <w:rPr>
          <w:rFonts w:ascii="Courier New" w:eastAsia="Courier New" w:hAnsi="Courier New" w:cs="Courier New"/>
          <w:sz w:val="24"/>
          <w:szCs w:val="24"/>
        </w:rPr>
        <w:t xml:space="preserve">for the </w:t>
      </w:r>
      <w:r w:rsidR="008E5397">
        <w:rPr>
          <w:rFonts w:ascii="Courier New" w:eastAsia="Courier New" w:hAnsi="Courier New" w:cs="Courier New"/>
          <w:sz w:val="24"/>
          <w:szCs w:val="24"/>
        </w:rPr>
        <w:t xml:space="preserve">monthly </w:t>
      </w:r>
      <w:r w:rsidR="003E1319">
        <w:rPr>
          <w:rFonts w:ascii="Courier New" w:eastAsia="Courier New" w:hAnsi="Courier New" w:cs="Courier New"/>
          <w:sz w:val="24"/>
          <w:szCs w:val="24"/>
        </w:rPr>
        <w:t xml:space="preserve">periods ending August 31, 2010, August 31, 2011, and August 31, 2012 </w:t>
      </w:r>
      <w:r w:rsidR="00FF1FE5">
        <w:rPr>
          <w:rFonts w:ascii="Courier New" w:eastAsia="Courier New" w:hAnsi="Courier New" w:cs="Courier New"/>
          <w:sz w:val="24"/>
          <w:szCs w:val="24"/>
        </w:rPr>
        <w:t>were proper.</w:t>
      </w:r>
    </w:p>
    <w:p w:rsidR="006B066A" w:rsidRDefault="00FF1FE5" w:rsidP="00F11AC9">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 </w:t>
      </w:r>
    </w:p>
    <w:p w:rsidR="002115D2" w:rsidRPr="00830133" w:rsidRDefault="002115D2" w:rsidP="007C3259">
      <w:pPr>
        <w:spacing w:line="480" w:lineRule="auto"/>
        <w:jc w:val="both"/>
        <w:rPr>
          <w:rFonts w:ascii="Courier New" w:eastAsia="Courier New" w:hAnsi="Courier New" w:cs="Courier New"/>
          <w:b/>
          <w:sz w:val="24"/>
          <w:szCs w:val="24"/>
        </w:rPr>
      </w:pPr>
      <w:r w:rsidRPr="00830133">
        <w:rPr>
          <w:rFonts w:ascii="Courier New" w:eastAsia="Courier New" w:hAnsi="Courier New" w:cs="Courier New"/>
          <w:b/>
          <w:sz w:val="24"/>
          <w:szCs w:val="24"/>
        </w:rPr>
        <w:lastRenderedPageBreak/>
        <w:t>II. Jurisdiction</w:t>
      </w:r>
    </w:p>
    <w:p w:rsidR="0065652C" w:rsidRDefault="002115D2" w:rsidP="006B066A">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appellant filed Massachusetts sales and use tax returns on a monthly basis for the periods at issue and timely paid the tax shown to be due. </w:t>
      </w:r>
      <w:r w:rsidR="006B066A">
        <w:rPr>
          <w:rFonts w:ascii="Courier New" w:eastAsia="Courier New" w:hAnsi="Courier New" w:cs="Courier New"/>
          <w:sz w:val="24"/>
          <w:szCs w:val="24"/>
        </w:rPr>
        <w:t>After the parties entered into a series of consents extending the statute of limitations for assessments, t</w:t>
      </w:r>
      <w:r>
        <w:rPr>
          <w:rFonts w:ascii="Courier New" w:eastAsia="Courier New" w:hAnsi="Courier New" w:cs="Courier New"/>
          <w:sz w:val="24"/>
          <w:szCs w:val="24"/>
        </w:rPr>
        <w:t xml:space="preserve">he Commissioner issued a Notice of Intent to Assess dated December 6, 2013, in the amount of $2,292,803 for the periods at issue, </w:t>
      </w:r>
      <w:r w:rsidR="00994031">
        <w:rPr>
          <w:rFonts w:ascii="Courier New" w:eastAsia="Courier New" w:hAnsi="Courier New" w:cs="Courier New"/>
          <w:sz w:val="24"/>
          <w:szCs w:val="24"/>
        </w:rPr>
        <w:t xml:space="preserve">as well as other monthly periods not at issue, </w:t>
      </w:r>
      <w:r>
        <w:rPr>
          <w:rFonts w:ascii="Courier New" w:eastAsia="Courier New" w:hAnsi="Courier New" w:cs="Courier New"/>
          <w:sz w:val="24"/>
          <w:szCs w:val="24"/>
        </w:rPr>
        <w:t xml:space="preserve">inclusive of penalties under G.L. c. 62C, § 35A and applicable interest. The Commissioner then issued a Notice of Assessment, dated January 14, 2014, in the amount of $2,303,477 for the periods at issue, </w:t>
      </w:r>
      <w:r w:rsidR="00994031">
        <w:rPr>
          <w:rFonts w:ascii="Courier New" w:eastAsia="Courier New" w:hAnsi="Courier New" w:cs="Courier New"/>
          <w:sz w:val="24"/>
          <w:szCs w:val="24"/>
        </w:rPr>
        <w:t>as well as other monthly periods not at issue,</w:t>
      </w:r>
      <w:r w:rsidR="00994031">
        <w:rPr>
          <w:rStyle w:val="FootnoteReference"/>
          <w:rFonts w:ascii="Courier New" w:eastAsia="Courier New" w:hAnsi="Courier New" w:cs="Courier New"/>
          <w:sz w:val="24"/>
          <w:szCs w:val="24"/>
        </w:rPr>
        <w:footnoteReference w:id="3"/>
      </w:r>
      <w:r w:rsidR="00994031">
        <w:rPr>
          <w:rFonts w:ascii="Courier New" w:eastAsia="Courier New" w:hAnsi="Courier New" w:cs="Courier New"/>
          <w:sz w:val="24"/>
          <w:szCs w:val="24"/>
        </w:rPr>
        <w:t xml:space="preserve"> </w:t>
      </w:r>
      <w:r>
        <w:rPr>
          <w:rFonts w:ascii="Courier New" w:eastAsia="Courier New" w:hAnsi="Courier New" w:cs="Courier New"/>
          <w:sz w:val="24"/>
          <w:szCs w:val="24"/>
        </w:rPr>
        <w:t xml:space="preserve">inclusive of penalties under G.L. c. 62C, § 35A and applicable interest. </w:t>
      </w:r>
    </w:p>
    <w:p w:rsidR="002115D2" w:rsidRDefault="002115D2" w:rsidP="0065652C">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On March 14, 2014, the appellant timely filed a Form CA-6: Application for Abatement/Amended Return (“abatement application”), seeking an abatement of sales tax and penalties for the periods at issue. The Commissioner issued two Notices of Abatement Determination dated July 22, 2014, denying the abatement application in full for the periods at issue. On September 15, 2014, the appellant timely filed a petition under formal procedure with the Board for the periods at issue. Based </w:t>
      </w:r>
      <w:r>
        <w:rPr>
          <w:rFonts w:ascii="Courier New" w:eastAsia="Courier New" w:hAnsi="Courier New" w:cs="Courier New"/>
          <w:sz w:val="24"/>
          <w:szCs w:val="24"/>
        </w:rPr>
        <w:lastRenderedPageBreak/>
        <w:t>on the foregoing, the Board found and ruled that it had jurisdiction to hear and decide this appeal.</w:t>
      </w:r>
    </w:p>
    <w:p w:rsidR="0065652C" w:rsidRDefault="0065652C" w:rsidP="0065652C">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The appellant and the Commissioner stipulated that if the appellant prevailed </w:t>
      </w:r>
      <w:r w:rsidR="00CD2E33">
        <w:rPr>
          <w:rFonts w:ascii="Courier New" w:eastAsia="Courier New" w:hAnsi="Courier New" w:cs="Courier New"/>
          <w:sz w:val="24"/>
          <w:szCs w:val="24"/>
        </w:rPr>
        <w:t xml:space="preserve">on all issues </w:t>
      </w:r>
      <w:r>
        <w:rPr>
          <w:rFonts w:ascii="Courier New" w:eastAsia="Courier New" w:hAnsi="Courier New" w:cs="Courier New"/>
          <w:sz w:val="24"/>
          <w:szCs w:val="24"/>
        </w:rPr>
        <w:t>in this appeal</w:t>
      </w:r>
      <w:r w:rsidR="003B0D19">
        <w:rPr>
          <w:rFonts w:ascii="Courier New" w:eastAsia="Courier New" w:hAnsi="Courier New" w:cs="Courier New"/>
          <w:sz w:val="24"/>
          <w:szCs w:val="24"/>
        </w:rPr>
        <w:t>,</w:t>
      </w:r>
      <w:r>
        <w:rPr>
          <w:rFonts w:ascii="Courier New" w:eastAsia="Courier New" w:hAnsi="Courier New" w:cs="Courier New"/>
          <w:sz w:val="24"/>
          <w:szCs w:val="24"/>
        </w:rPr>
        <w:t xml:space="preserve"> it would be entitled to an abatement of tax in the amount of $847,370 for the </w:t>
      </w:r>
      <w:r w:rsidR="006B066A">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 ending August </w:t>
      </w:r>
      <w:r w:rsidR="003B0D19">
        <w:rPr>
          <w:rFonts w:ascii="Courier New" w:eastAsia="Courier New" w:hAnsi="Courier New" w:cs="Courier New"/>
          <w:sz w:val="24"/>
          <w:szCs w:val="24"/>
        </w:rPr>
        <w:t xml:space="preserve">31, </w:t>
      </w:r>
      <w:r>
        <w:rPr>
          <w:rFonts w:ascii="Courier New" w:eastAsia="Courier New" w:hAnsi="Courier New" w:cs="Courier New"/>
          <w:sz w:val="24"/>
          <w:szCs w:val="24"/>
        </w:rPr>
        <w:t xml:space="preserve">2010, $752,890 for the </w:t>
      </w:r>
      <w:r w:rsidR="006B066A">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 ending August </w:t>
      </w:r>
      <w:r w:rsidR="003B0D19">
        <w:rPr>
          <w:rFonts w:ascii="Courier New" w:eastAsia="Courier New" w:hAnsi="Courier New" w:cs="Courier New"/>
          <w:sz w:val="24"/>
          <w:szCs w:val="24"/>
        </w:rPr>
        <w:t xml:space="preserve">31, </w:t>
      </w:r>
      <w:r>
        <w:rPr>
          <w:rFonts w:ascii="Courier New" w:eastAsia="Courier New" w:hAnsi="Courier New" w:cs="Courier New"/>
          <w:sz w:val="24"/>
          <w:szCs w:val="24"/>
        </w:rPr>
        <w:t xml:space="preserve">2011, and $706,546 for the </w:t>
      </w:r>
      <w:r w:rsidR="006B066A">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 ending August </w:t>
      </w:r>
      <w:r w:rsidR="003B0D19">
        <w:rPr>
          <w:rFonts w:ascii="Courier New" w:eastAsia="Courier New" w:hAnsi="Courier New" w:cs="Courier New"/>
          <w:sz w:val="24"/>
          <w:szCs w:val="24"/>
        </w:rPr>
        <w:t xml:space="preserve">31, </w:t>
      </w:r>
      <w:r>
        <w:rPr>
          <w:rFonts w:ascii="Courier New" w:eastAsia="Courier New" w:hAnsi="Courier New" w:cs="Courier New"/>
          <w:sz w:val="24"/>
          <w:szCs w:val="24"/>
        </w:rPr>
        <w:t>2012</w:t>
      </w:r>
      <w:r w:rsidR="007A5BC2">
        <w:rPr>
          <w:rFonts w:ascii="Courier New" w:eastAsia="Courier New" w:hAnsi="Courier New" w:cs="Courier New"/>
          <w:sz w:val="24"/>
          <w:szCs w:val="24"/>
        </w:rPr>
        <w:t xml:space="preserve"> (consisting of $83,850 in tax assessments made by the Commissioner and $622,696 in self-assessments made by the appellant)</w:t>
      </w:r>
      <w:r>
        <w:rPr>
          <w:rFonts w:ascii="Courier New" w:eastAsia="Courier New" w:hAnsi="Courier New" w:cs="Courier New"/>
          <w:sz w:val="24"/>
          <w:szCs w:val="24"/>
        </w:rPr>
        <w:t xml:space="preserve">, </w:t>
      </w:r>
      <w:r w:rsidR="00CC128E">
        <w:rPr>
          <w:rFonts w:ascii="Courier New" w:eastAsia="Courier New" w:hAnsi="Courier New" w:cs="Courier New"/>
          <w:sz w:val="24"/>
          <w:szCs w:val="24"/>
        </w:rPr>
        <w:t xml:space="preserve">for a total tax abatement of $2,306,806, </w:t>
      </w:r>
      <w:r>
        <w:rPr>
          <w:rFonts w:ascii="Courier New" w:eastAsia="Courier New" w:hAnsi="Courier New" w:cs="Courier New"/>
          <w:sz w:val="24"/>
          <w:szCs w:val="24"/>
        </w:rPr>
        <w:t xml:space="preserve">plus penalties imposed pursuant to G.L. c. 62C, </w:t>
      </w:r>
      <w:r w:rsidR="00CC128E">
        <w:rPr>
          <w:rFonts w:ascii="Courier New" w:eastAsia="Courier New" w:hAnsi="Courier New" w:cs="Courier New"/>
          <w:sz w:val="24"/>
          <w:szCs w:val="24"/>
        </w:rPr>
        <w:t>§</w:t>
      </w:r>
      <w:r w:rsidR="00F95B59">
        <w:rPr>
          <w:rFonts w:ascii="Courier New" w:eastAsia="Courier New" w:hAnsi="Courier New" w:cs="Courier New"/>
          <w:sz w:val="24"/>
          <w:szCs w:val="24"/>
        </w:rPr>
        <w:t> </w:t>
      </w:r>
      <w:r>
        <w:rPr>
          <w:rFonts w:ascii="Courier New" w:eastAsia="Courier New" w:hAnsi="Courier New" w:cs="Courier New"/>
          <w:sz w:val="24"/>
          <w:szCs w:val="24"/>
        </w:rPr>
        <w:t>35A.</w:t>
      </w:r>
    </w:p>
    <w:p w:rsidR="006B2445" w:rsidRPr="00830133" w:rsidRDefault="006B2445" w:rsidP="006B2445">
      <w:pPr>
        <w:spacing w:line="480" w:lineRule="auto"/>
        <w:jc w:val="both"/>
        <w:rPr>
          <w:rFonts w:ascii="Courier New" w:eastAsia="Courier New" w:hAnsi="Courier New" w:cs="Courier New"/>
          <w:b/>
          <w:sz w:val="24"/>
          <w:szCs w:val="24"/>
        </w:rPr>
      </w:pPr>
      <w:r w:rsidRPr="00830133">
        <w:rPr>
          <w:rFonts w:ascii="Courier New" w:eastAsia="Courier New" w:hAnsi="Courier New" w:cs="Courier New"/>
          <w:b/>
          <w:sz w:val="24"/>
          <w:szCs w:val="24"/>
        </w:rPr>
        <w:t xml:space="preserve">III. </w:t>
      </w:r>
      <w:r w:rsidR="00757CE4">
        <w:rPr>
          <w:rFonts w:ascii="Courier New" w:eastAsia="Courier New" w:hAnsi="Courier New" w:cs="Courier New"/>
          <w:b/>
          <w:sz w:val="24"/>
          <w:szCs w:val="24"/>
        </w:rPr>
        <w:t>Facts Concerning the Sales at Issue</w:t>
      </w:r>
    </w:p>
    <w:p w:rsidR="001F08A6" w:rsidRDefault="000F67EE" w:rsidP="00830133">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The appellant </w:t>
      </w:r>
      <w:r w:rsidR="007C4237">
        <w:rPr>
          <w:rFonts w:ascii="Courier New" w:eastAsia="Courier New" w:hAnsi="Courier New" w:cs="Courier New"/>
          <w:sz w:val="24"/>
          <w:szCs w:val="24"/>
        </w:rPr>
        <w:t>sells</w:t>
      </w:r>
      <w:r>
        <w:rPr>
          <w:rFonts w:ascii="Courier New" w:eastAsia="Courier New" w:hAnsi="Courier New" w:cs="Courier New"/>
          <w:sz w:val="24"/>
          <w:szCs w:val="24"/>
        </w:rPr>
        <w:t xml:space="preserve"> items such as mattresses, sofas, dining room sets, bedroom sets, lamps, pillows, and other accessories</w:t>
      </w:r>
      <w:r w:rsidR="007C4237">
        <w:rPr>
          <w:rFonts w:ascii="Courier New" w:eastAsia="Courier New" w:hAnsi="Courier New" w:cs="Courier New"/>
          <w:sz w:val="24"/>
          <w:szCs w:val="24"/>
        </w:rPr>
        <w:t xml:space="preserve">, which it buys </w:t>
      </w:r>
      <w:r w:rsidR="00CB3D0C">
        <w:rPr>
          <w:rFonts w:ascii="Courier New" w:eastAsia="Courier New" w:hAnsi="Courier New" w:cs="Courier New"/>
          <w:sz w:val="24"/>
          <w:szCs w:val="24"/>
        </w:rPr>
        <w:t>from manufacturers all over the world.</w:t>
      </w:r>
      <w:r w:rsidR="007C4237">
        <w:rPr>
          <w:rFonts w:ascii="Courier New" w:eastAsia="Courier New" w:hAnsi="Courier New" w:cs="Courier New"/>
          <w:sz w:val="24"/>
          <w:szCs w:val="24"/>
        </w:rPr>
        <w:t xml:space="preserve"> </w:t>
      </w:r>
      <w:r w:rsidR="00CD083E">
        <w:rPr>
          <w:rFonts w:ascii="Courier New" w:eastAsia="Courier New" w:hAnsi="Courier New" w:cs="Courier New"/>
          <w:sz w:val="24"/>
          <w:szCs w:val="24"/>
        </w:rPr>
        <w:t>While a customer could purchase items such as lamps and pillows in-store, most items were not available for same</w:t>
      </w:r>
      <w:r w:rsidR="001F08A6">
        <w:rPr>
          <w:rFonts w:ascii="Courier New" w:eastAsia="Courier New" w:hAnsi="Courier New" w:cs="Courier New"/>
          <w:sz w:val="24"/>
          <w:szCs w:val="24"/>
        </w:rPr>
        <w:t>-</w:t>
      </w:r>
      <w:r w:rsidR="00CD083E">
        <w:rPr>
          <w:rFonts w:ascii="Courier New" w:eastAsia="Courier New" w:hAnsi="Courier New" w:cs="Courier New"/>
          <w:sz w:val="24"/>
          <w:szCs w:val="24"/>
        </w:rPr>
        <w:t>day pickup or delivery</w:t>
      </w:r>
      <w:r w:rsidR="001F08A6">
        <w:rPr>
          <w:rFonts w:ascii="Courier New" w:eastAsia="Courier New" w:hAnsi="Courier New" w:cs="Courier New"/>
          <w:sz w:val="24"/>
          <w:szCs w:val="24"/>
        </w:rPr>
        <w:t xml:space="preserve"> and could take weeks or months to become available</w:t>
      </w:r>
      <w:r w:rsidR="00CD083E">
        <w:rPr>
          <w:rFonts w:ascii="Courier New" w:eastAsia="Courier New" w:hAnsi="Courier New" w:cs="Courier New"/>
          <w:sz w:val="24"/>
          <w:szCs w:val="24"/>
        </w:rPr>
        <w:t xml:space="preserve">. </w:t>
      </w:r>
      <w:r w:rsidR="001F08A6">
        <w:rPr>
          <w:rFonts w:ascii="Courier New" w:eastAsia="Courier New" w:hAnsi="Courier New" w:cs="Courier New"/>
          <w:sz w:val="24"/>
          <w:szCs w:val="24"/>
        </w:rPr>
        <w:t xml:space="preserve">Salespeople would assist customers in selecting items, ordering the items, and arranging for pickup or delivery. According to </w:t>
      </w:r>
      <w:r w:rsidR="002C4127">
        <w:rPr>
          <w:rFonts w:ascii="Courier New" w:eastAsia="Courier New" w:hAnsi="Courier New" w:cs="Courier New"/>
          <w:sz w:val="24"/>
          <w:szCs w:val="24"/>
        </w:rPr>
        <w:t xml:space="preserve">Scott Wantman, the store manager of the appellant’s Reading, Massachusetts location during the periods at issue, </w:t>
      </w:r>
      <w:r w:rsidR="001F08A6">
        <w:rPr>
          <w:rFonts w:ascii="Courier New" w:eastAsia="Courier New" w:hAnsi="Courier New" w:cs="Courier New"/>
          <w:sz w:val="24"/>
          <w:szCs w:val="24"/>
        </w:rPr>
        <w:t>c</w:t>
      </w:r>
      <w:r w:rsidR="007B5463">
        <w:rPr>
          <w:rFonts w:ascii="Courier New" w:eastAsia="Courier New" w:hAnsi="Courier New" w:cs="Courier New"/>
          <w:sz w:val="24"/>
          <w:szCs w:val="24"/>
        </w:rPr>
        <w:t>ustomers received order receipts u</w:t>
      </w:r>
      <w:r w:rsidR="00EF180A">
        <w:rPr>
          <w:rFonts w:ascii="Courier New" w:eastAsia="Courier New" w:hAnsi="Courier New" w:cs="Courier New"/>
          <w:sz w:val="24"/>
          <w:szCs w:val="24"/>
        </w:rPr>
        <w:t>pon placing orders</w:t>
      </w:r>
      <w:r w:rsidR="007B5463">
        <w:rPr>
          <w:rFonts w:ascii="Courier New" w:eastAsia="Courier New" w:hAnsi="Courier New" w:cs="Courier New"/>
          <w:sz w:val="24"/>
          <w:szCs w:val="24"/>
        </w:rPr>
        <w:t>. The order receipts</w:t>
      </w:r>
      <w:r w:rsidR="00EF180A">
        <w:rPr>
          <w:rFonts w:ascii="Courier New" w:eastAsia="Courier New" w:hAnsi="Courier New" w:cs="Courier New"/>
          <w:sz w:val="24"/>
          <w:szCs w:val="24"/>
        </w:rPr>
        <w:t xml:space="preserve"> </w:t>
      </w:r>
      <w:r w:rsidR="00EF180A">
        <w:rPr>
          <w:rFonts w:ascii="Courier New" w:eastAsia="Courier New" w:hAnsi="Courier New" w:cs="Courier New"/>
          <w:sz w:val="24"/>
          <w:szCs w:val="24"/>
        </w:rPr>
        <w:lastRenderedPageBreak/>
        <w:t xml:space="preserve">detailed the items, </w:t>
      </w:r>
      <w:r w:rsidR="00824F09">
        <w:rPr>
          <w:rFonts w:ascii="Courier New" w:eastAsia="Courier New" w:hAnsi="Courier New" w:cs="Courier New"/>
          <w:sz w:val="24"/>
          <w:szCs w:val="24"/>
        </w:rPr>
        <w:t xml:space="preserve">an order number, </w:t>
      </w:r>
      <w:r w:rsidR="00EF180A">
        <w:rPr>
          <w:rFonts w:ascii="Courier New" w:eastAsia="Courier New" w:hAnsi="Courier New" w:cs="Courier New"/>
          <w:sz w:val="24"/>
          <w:szCs w:val="24"/>
        </w:rPr>
        <w:t>amounts paid by the customers,</w:t>
      </w:r>
      <w:r w:rsidR="00B21DCA">
        <w:rPr>
          <w:rFonts w:ascii="Courier New" w:eastAsia="Courier New" w:hAnsi="Courier New" w:cs="Courier New"/>
          <w:sz w:val="24"/>
          <w:szCs w:val="24"/>
        </w:rPr>
        <w:t xml:space="preserve"> </w:t>
      </w:r>
      <w:r w:rsidR="00497C96">
        <w:rPr>
          <w:rFonts w:ascii="Courier New" w:eastAsia="Courier New" w:hAnsi="Courier New" w:cs="Courier New"/>
          <w:sz w:val="24"/>
          <w:szCs w:val="24"/>
        </w:rPr>
        <w:t xml:space="preserve">remaining amounts left to be paid by the customers, anticipated dates when the items would come in, and the </w:t>
      </w:r>
      <w:r w:rsidR="001F08A6">
        <w:rPr>
          <w:rFonts w:ascii="Courier New" w:eastAsia="Courier New" w:hAnsi="Courier New" w:cs="Courier New"/>
          <w:sz w:val="24"/>
          <w:szCs w:val="24"/>
        </w:rPr>
        <w:t xml:space="preserve">appellant’s </w:t>
      </w:r>
      <w:r w:rsidR="00497C96">
        <w:rPr>
          <w:rFonts w:ascii="Courier New" w:eastAsia="Courier New" w:hAnsi="Courier New" w:cs="Courier New"/>
          <w:sz w:val="24"/>
          <w:szCs w:val="24"/>
        </w:rPr>
        <w:t>policies and procedures relative to order</w:t>
      </w:r>
      <w:r w:rsidR="00683033">
        <w:rPr>
          <w:rFonts w:ascii="Courier New" w:eastAsia="Courier New" w:hAnsi="Courier New" w:cs="Courier New"/>
          <w:sz w:val="24"/>
          <w:szCs w:val="24"/>
        </w:rPr>
        <w:t>s</w:t>
      </w:r>
      <w:r w:rsidR="00497C96">
        <w:rPr>
          <w:rFonts w:ascii="Courier New" w:eastAsia="Courier New" w:hAnsi="Courier New" w:cs="Courier New"/>
          <w:sz w:val="24"/>
          <w:szCs w:val="24"/>
        </w:rPr>
        <w:t>.</w:t>
      </w:r>
      <w:r w:rsidR="00C2234A">
        <w:rPr>
          <w:rFonts w:ascii="Courier New" w:eastAsia="Courier New" w:hAnsi="Courier New" w:cs="Courier New"/>
          <w:sz w:val="24"/>
          <w:szCs w:val="24"/>
        </w:rPr>
        <w:t xml:space="preserve"> </w:t>
      </w:r>
    </w:p>
    <w:p w:rsidR="00AC4973" w:rsidRDefault="00380714" w:rsidP="00830133">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If a customer w</w:t>
      </w:r>
      <w:r w:rsidR="0049224E">
        <w:rPr>
          <w:rFonts w:ascii="Courier New" w:eastAsia="Courier New" w:hAnsi="Courier New" w:cs="Courier New"/>
          <w:sz w:val="24"/>
          <w:szCs w:val="24"/>
        </w:rPr>
        <w:t>as</w:t>
      </w:r>
      <w:r>
        <w:rPr>
          <w:rFonts w:ascii="Courier New" w:eastAsia="Courier New" w:hAnsi="Courier New" w:cs="Courier New"/>
          <w:sz w:val="24"/>
          <w:szCs w:val="24"/>
        </w:rPr>
        <w:t xml:space="preserve"> taking an item home on the same day, noted Mr. Wantman, the customer would</w:t>
      </w:r>
      <w:r w:rsidR="0079285E">
        <w:rPr>
          <w:rFonts w:ascii="Courier New" w:eastAsia="Courier New" w:hAnsi="Courier New" w:cs="Courier New"/>
          <w:sz w:val="24"/>
          <w:szCs w:val="24"/>
        </w:rPr>
        <w:t xml:space="preserve"> pay for the item in full at that</w:t>
      </w:r>
      <w:r>
        <w:rPr>
          <w:rFonts w:ascii="Courier New" w:eastAsia="Courier New" w:hAnsi="Courier New" w:cs="Courier New"/>
          <w:sz w:val="24"/>
          <w:szCs w:val="24"/>
        </w:rPr>
        <w:t xml:space="preserve"> time. Similarly, if the customer w</w:t>
      </w:r>
      <w:r w:rsidR="00BA5FFD">
        <w:rPr>
          <w:rFonts w:ascii="Courier New" w:eastAsia="Courier New" w:hAnsi="Courier New" w:cs="Courier New"/>
          <w:sz w:val="24"/>
          <w:szCs w:val="24"/>
        </w:rPr>
        <w:t>as</w:t>
      </w:r>
      <w:r>
        <w:rPr>
          <w:rFonts w:ascii="Courier New" w:eastAsia="Courier New" w:hAnsi="Courier New" w:cs="Courier New"/>
          <w:sz w:val="24"/>
          <w:szCs w:val="24"/>
        </w:rPr>
        <w:t xml:space="preserve"> scheduling a delivery or a pickup at the time of placing the order, the customer would pay in full at th</w:t>
      </w:r>
      <w:r w:rsidR="0079285E">
        <w:rPr>
          <w:rFonts w:ascii="Courier New" w:eastAsia="Courier New" w:hAnsi="Courier New" w:cs="Courier New"/>
          <w:sz w:val="24"/>
          <w:szCs w:val="24"/>
        </w:rPr>
        <w:t>at</w:t>
      </w:r>
      <w:r>
        <w:rPr>
          <w:rFonts w:ascii="Courier New" w:eastAsia="Courier New" w:hAnsi="Courier New" w:cs="Courier New"/>
          <w:sz w:val="24"/>
          <w:szCs w:val="24"/>
        </w:rPr>
        <w:t xml:space="preserve"> time. Otherwise, </w:t>
      </w:r>
      <w:r w:rsidR="00824F09">
        <w:rPr>
          <w:rFonts w:ascii="Courier New" w:eastAsia="Courier New" w:hAnsi="Courier New" w:cs="Courier New"/>
          <w:sz w:val="24"/>
          <w:szCs w:val="24"/>
        </w:rPr>
        <w:t xml:space="preserve">a </w:t>
      </w:r>
      <w:r>
        <w:rPr>
          <w:rFonts w:ascii="Courier New" w:eastAsia="Courier New" w:hAnsi="Courier New" w:cs="Courier New"/>
          <w:sz w:val="24"/>
          <w:szCs w:val="24"/>
        </w:rPr>
        <w:t xml:space="preserve">customer would </w:t>
      </w:r>
      <w:r w:rsidR="001F08A6">
        <w:rPr>
          <w:rFonts w:ascii="Courier New" w:eastAsia="Courier New" w:hAnsi="Courier New" w:cs="Courier New"/>
          <w:sz w:val="24"/>
          <w:szCs w:val="24"/>
        </w:rPr>
        <w:t>typically</w:t>
      </w:r>
      <w:r w:rsidR="009D57F2">
        <w:rPr>
          <w:rFonts w:ascii="Courier New" w:eastAsia="Courier New" w:hAnsi="Courier New" w:cs="Courier New"/>
          <w:sz w:val="24"/>
          <w:szCs w:val="24"/>
        </w:rPr>
        <w:t xml:space="preserve"> </w:t>
      </w:r>
      <w:r>
        <w:rPr>
          <w:rFonts w:ascii="Courier New" w:eastAsia="Courier New" w:hAnsi="Courier New" w:cs="Courier New"/>
          <w:sz w:val="24"/>
          <w:szCs w:val="24"/>
        </w:rPr>
        <w:t xml:space="preserve">place </w:t>
      </w:r>
      <w:r w:rsidR="00CF4181">
        <w:rPr>
          <w:rFonts w:ascii="Courier New" w:eastAsia="Courier New" w:hAnsi="Courier New" w:cs="Courier New"/>
          <w:sz w:val="24"/>
          <w:szCs w:val="24"/>
        </w:rPr>
        <w:t xml:space="preserve">only </w:t>
      </w:r>
      <w:r>
        <w:rPr>
          <w:rFonts w:ascii="Courier New" w:eastAsia="Courier New" w:hAnsi="Courier New" w:cs="Courier New"/>
          <w:sz w:val="24"/>
          <w:szCs w:val="24"/>
        </w:rPr>
        <w:t>a 30 percent deposit at the time of</w:t>
      </w:r>
      <w:r w:rsidR="000A504B">
        <w:rPr>
          <w:rFonts w:ascii="Courier New" w:eastAsia="Courier New" w:hAnsi="Courier New" w:cs="Courier New"/>
          <w:sz w:val="24"/>
          <w:szCs w:val="24"/>
        </w:rPr>
        <w:t xml:space="preserve"> placing</w:t>
      </w:r>
      <w:r>
        <w:rPr>
          <w:rFonts w:ascii="Courier New" w:eastAsia="Courier New" w:hAnsi="Courier New" w:cs="Courier New"/>
          <w:sz w:val="24"/>
          <w:szCs w:val="24"/>
        </w:rPr>
        <w:t xml:space="preserve"> the order while waiting for the items to </w:t>
      </w:r>
      <w:r w:rsidR="00737B6D">
        <w:rPr>
          <w:rFonts w:ascii="Courier New" w:eastAsia="Courier New" w:hAnsi="Courier New" w:cs="Courier New"/>
          <w:sz w:val="24"/>
          <w:szCs w:val="24"/>
        </w:rPr>
        <w:t>come in</w:t>
      </w:r>
      <w:r>
        <w:rPr>
          <w:rFonts w:ascii="Courier New" w:eastAsia="Courier New" w:hAnsi="Courier New" w:cs="Courier New"/>
          <w:sz w:val="24"/>
          <w:szCs w:val="24"/>
        </w:rPr>
        <w:t>, explained Mr. Wantman.</w:t>
      </w:r>
      <w:r w:rsidR="00614715">
        <w:rPr>
          <w:rStyle w:val="FootnoteReference"/>
          <w:rFonts w:ascii="Courier New" w:eastAsia="Courier New" w:hAnsi="Courier New" w:cs="Courier New"/>
          <w:sz w:val="24"/>
          <w:szCs w:val="24"/>
        </w:rPr>
        <w:footnoteReference w:id="4"/>
      </w:r>
      <w:r w:rsidR="00737B6D">
        <w:rPr>
          <w:rFonts w:ascii="Courier New" w:eastAsia="Courier New" w:hAnsi="Courier New" w:cs="Courier New"/>
          <w:sz w:val="24"/>
          <w:szCs w:val="24"/>
        </w:rPr>
        <w:t xml:space="preserve"> </w:t>
      </w:r>
      <w:r w:rsidR="00CF4181">
        <w:rPr>
          <w:rFonts w:ascii="Courier New" w:eastAsia="Courier New" w:hAnsi="Courier New" w:cs="Courier New"/>
          <w:sz w:val="24"/>
          <w:szCs w:val="24"/>
        </w:rPr>
        <w:t>A</w:t>
      </w:r>
      <w:r w:rsidR="00737B6D">
        <w:rPr>
          <w:rFonts w:ascii="Courier New" w:eastAsia="Courier New" w:hAnsi="Courier New" w:cs="Courier New"/>
          <w:sz w:val="24"/>
          <w:szCs w:val="24"/>
        </w:rPr>
        <w:t>fter the items came in</w:t>
      </w:r>
      <w:r w:rsidR="000A504B">
        <w:rPr>
          <w:rFonts w:ascii="Courier New" w:eastAsia="Courier New" w:hAnsi="Courier New" w:cs="Courier New"/>
          <w:sz w:val="24"/>
          <w:szCs w:val="24"/>
        </w:rPr>
        <w:t>,</w:t>
      </w:r>
      <w:r w:rsidR="00737B6D">
        <w:rPr>
          <w:rFonts w:ascii="Courier New" w:eastAsia="Courier New" w:hAnsi="Courier New" w:cs="Courier New"/>
          <w:sz w:val="24"/>
          <w:szCs w:val="24"/>
        </w:rPr>
        <w:t xml:space="preserve"> the appellant </w:t>
      </w:r>
      <w:r w:rsidR="00CF4181">
        <w:rPr>
          <w:rFonts w:ascii="Courier New" w:eastAsia="Courier New" w:hAnsi="Courier New" w:cs="Courier New"/>
          <w:sz w:val="24"/>
          <w:szCs w:val="24"/>
        </w:rPr>
        <w:t xml:space="preserve">would </w:t>
      </w:r>
      <w:r w:rsidR="00737B6D">
        <w:rPr>
          <w:rFonts w:ascii="Courier New" w:eastAsia="Courier New" w:hAnsi="Courier New" w:cs="Courier New"/>
          <w:sz w:val="24"/>
          <w:szCs w:val="24"/>
        </w:rPr>
        <w:t xml:space="preserve">collect any remaining </w:t>
      </w:r>
      <w:r w:rsidR="000A504B">
        <w:rPr>
          <w:rFonts w:ascii="Courier New" w:eastAsia="Courier New" w:hAnsi="Courier New" w:cs="Courier New"/>
          <w:sz w:val="24"/>
          <w:szCs w:val="24"/>
        </w:rPr>
        <w:t>payment balance</w:t>
      </w:r>
      <w:r w:rsidR="00737B6D">
        <w:rPr>
          <w:rFonts w:ascii="Courier New" w:eastAsia="Courier New" w:hAnsi="Courier New" w:cs="Courier New"/>
          <w:sz w:val="24"/>
          <w:szCs w:val="24"/>
        </w:rPr>
        <w:t xml:space="preserve"> prior to scheduling the delivery to the customer or arranging for pickup by the customer.</w:t>
      </w:r>
      <w:r w:rsidR="00614715">
        <w:rPr>
          <w:rFonts w:ascii="Courier New" w:eastAsia="Courier New" w:hAnsi="Courier New" w:cs="Courier New"/>
          <w:sz w:val="24"/>
          <w:szCs w:val="24"/>
        </w:rPr>
        <w:t xml:space="preserve"> </w:t>
      </w:r>
    </w:p>
    <w:p w:rsidR="0017017D" w:rsidRDefault="00AC4973" w:rsidP="00830133">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Prior to </w:t>
      </w:r>
      <w:r w:rsidR="0046038C">
        <w:rPr>
          <w:rFonts w:ascii="Courier New" w:eastAsia="Courier New" w:hAnsi="Courier New" w:cs="Courier New"/>
          <w:sz w:val="24"/>
          <w:szCs w:val="24"/>
        </w:rPr>
        <w:t xml:space="preserve">and </w:t>
      </w:r>
      <w:r>
        <w:rPr>
          <w:rFonts w:ascii="Courier New" w:eastAsia="Courier New" w:hAnsi="Courier New" w:cs="Courier New"/>
          <w:sz w:val="24"/>
          <w:szCs w:val="24"/>
        </w:rPr>
        <w:t>during the periods at issue, t</w:t>
      </w:r>
      <w:r w:rsidR="00842F66">
        <w:rPr>
          <w:rFonts w:ascii="Courier New" w:eastAsia="Courier New" w:hAnsi="Courier New" w:cs="Courier New"/>
          <w:sz w:val="24"/>
          <w:szCs w:val="24"/>
        </w:rPr>
        <w:t xml:space="preserve">he appellant offered a generous cancellation policy, </w:t>
      </w:r>
      <w:r w:rsidR="007B5FA4">
        <w:rPr>
          <w:rFonts w:ascii="Courier New" w:eastAsia="Courier New" w:hAnsi="Courier New" w:cs="Courier New"/>
          <w:sz w:val="24"/>
          <w:szCs w:val="24"/>
        </w:rPr>
        <w:t>according to Mr.</w:t>
      </w:r>
      <w:r w:rsidR="00F95B59">
        <w:rPr>
          <w:rFonts w:ascii="Courier New" w:eastAsia="Courier New" w:hAnsi="Courier New" w:cs="Courier New"/>
          <w:sz w:val="24"/>
          <w:szCs w:val="24"/>
        </w:rPr>
        <w:t> </w:t>
      </w:r>
      <w:r w:rsidR="007B5FA4">
        <w:rPr>
          <w:rFonts w:ascii="Courier New" w:eastAsia="Courier New" w:hAnsi="Courier New" w:cs="Courier New"/>
          <w:sz w:val="24"/>
          <w:szCs w:val="24"/>
        </w:rPr>
        <w:t xml:space="preserve">Wantman, </w:t>
      </w:r>
      <w:r w:rsidR="00842F66">
        <w:rPr>
          <w:rFonts w:ascii="Courier New" w:eastAsia="Courier New" w:hAnsi="Courier New" w:cs="Courier New"/>
          <w:sz w:val="24"/>
          <w:szCs w:val="24"/>
        </w:rPr>
        <w:t>allowing customers to cancel or change any order prior to pickup or delivery.</w:t>
      </w:r>
      <w:r w:rsidR="00C1268E">
        <w:rPr>
          <w:rFonts w:ascii="Courier New" w:eastAsia="Courier New" w:hAnsi="Courier New" w:cs="Courier New"/>
          <w:sz w:val="24"/>
          <w:szCs w:val="24"/>
        </w:rPr>
        <w:t xml:space="preserve"> </w:t>
      </w:r>
      <w:r w:rsidR="00DA5812">
        <w:rPr>
          <w:rFonts w:ascii="Courier New" w:eastAsia="Courier New" w:hAnsi="Courier New" w:cs="Courier New"/>
          <w:sz w:val="24"/>
          <w:szCs w:val="24"/>
        </w:rPr>
        <w:t xml:space="preserve">Customers could either select different merchandise and use their credit towards </w:t>
      </w:r>
      <w:r w:rsidR="00BA5FFD">
        <w:rPr>
          <w:rFonts w:ascii="Courier New" w:eastAsia="Courier New" w:hAnsi="Courier New" w:cs="Courier New"/>
          <w:sz w:val="24"/>
          <w:szCs w:val="24"/>
        </w:rPr>
        <w:t>a</w:t>
      </w:r>
      <w:r w:rsidR="00DA5812">
        <w:rPr>
          <w:rFonts w:ascii="Courier New" w:eastAsia="Courier New" w:hAnsi="Courier New" w:cs="Courier New"/>
          <w:sz w:val="24"/>
          <w:szCs w:val="24"/>
        </w:rPr>
        <w:t xml:space="preserve"> new order, or receive a refund. Mr. Wantman noted that in most cases, the deposit was refunded in full. For special orders, the appellant tried to discourage cancellation by stating that the deposit was </w:t>
      </w:r>
      <w:r w:rsidR="00DA5812">
        <w:rPr>
          <w:rFonts w:ascii="Courier New" w:eastAsia="Courier New" w:hAnsi="Courier New" w:cs="Courier New"/>
          <w:sz w:val="24"/>
          <w:szCs w:val="24"/>
        </w:rPr>
        <w:lastRenderedPageBreak/>
        <w:t xml:space="preserve">nonrefundable, but did not consistently enforce that policy. </w:t>
      </w:r>
      <w:r w:rsidR="00C1268E">
        <w:rPr>
          <w:rFonts w:ascii="Courier New" w:eastAsia="Courier New" w:hAnsi="Courier New" w:cs="Courier New"/>
          <w:sz w:val="24"/>
          <w:szCs w:val="24"/>
        </w:rPr>
        <w:t xml:space="preserve">He noted that these open orders were cancelled for various reasons, including to permit customers to qualify for </w:t>
      </w:r>
      <w:r w:rsidR="00B4054C">
        <w:rPr>
          <w:rFonts w:ascii="Courier New" w:eastAsia="Courier New" w:hAnsi="Courier New" w:cs="Courier New"/>
          <w:sz w:val="24"/>
          <w:szCs w:val="24"/>
        </w:rPr>
        <w:t xml:space="preserve">internal </w:t>
      </w:r>
      <w:r w:rsidR="00C1268E">
        <w:rPr>
          <w:rFonts w:ascii="Courier New" w:eastAsia="Courier New" w:hAnsi="Courier New" w:cs="Courier New"/>
          <w:sz w:val="24"/>
          <w:szCs w:val="24"/>
        </w:rPr>
        <w:t xml:space="preserve">promotions that had begun during the time since they placed their orders. Before an order was rewritten, the original order was cancelled and voided. A new order was then placed with a new order number for the same type of item, and reflected any changes to the terms of the order. Mr. Wantman testified that on average, approximately </w:t>
      </w:r>
      <w:r w:rsidR="009C4EFE">
        <w:rPr>
          <w:rFonts w:ascii="Courier New" w:eastAsia="Courier New" w:hAnsi="Courier New" w:cs="Courier New"/>
          <w:sz w:val="24"/>
          <w:szCs w:val="24"/>
        </w:rPr>
        <w:t>10</w:t>
      </w:r>
      <w:r w:rsidR="00C1268E">
        <w:rPr>
          <w:rFonts w:ascii="Courier New" w:eastAsia="Courier New" w:hAnsi="Courier New" w:cs="Courier New"/>
          <w:sz w:val="24"/>
          <w:szCs w:val="24"/>
        </w:rPr>
        <w:t xml:space="preserve"> to </w:t>
      </w:r>
      <w:r w:rsidR="009C4EFE">
        <w:rPr>
          <w:rFonts w:ascii="Courier New" w:eastAsia="Courier New" w:hAnsi="Courier New" w:cs="Courier New"/>
          <w:sz w:val="24"/>
          <w:szCs w:val="24"/>
        </w:rPr>
        <w:t>20</w:t>
      </w:r>
      <w:r w:rsidR="00C1268E">
        <w:rPr>
          <w:rFonts w:ascii="Courier New" w:eastAsia="Courier New" w:hAnsi="Courier New" w:cs="Courier New"/>
          <w:sz w:val="24"/>
          <w:szCs w:val="24"/>
        </w:rPr>
        <w:t xml:space="preserve"> percent of orders were cancelled for various reasons.</w:t>
      </w:r>
      <w:r w:rsidR="00574F76">
        <w:rPr>
          <w:rFonts w:ascii="Courier New" w:eastAsia="Courier New" w:hAnsi="Courier New" w:cs="Courier New"/>
          <w:sz w:val="24"/>
          <w:szCs w:val="24"/>
        </w:rPr>
        <w:t xml:space="preserve"> </w:t>
      </w:r>
    </w:p>
    <w:p w:rsidR="000C5B47" w:rsidRPr="000C5B47" w:rsidRDefault="00E55492"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During the </w:t>
      </w:r>
      <w:r w:rsidR="0017017D">
        <w:rPr>
          <w:rFonts w:ascii="Courier New" w:eastAsia="Courier New" w:hAnsi="Courier New" w:cs="Courier New"/>
          <w:sz w:val="24"/>
          <w:szCs w:val="24"/>
        </w:rPr>
        <w:t xml:space="preserve">first of the </w:t>
      </w:r>
      <w:r w:rsidR="008E5397">
        <w:rPr>
          <w:rFonts w:ascii="Courier New" w:eastAsia="Courier New" w:hAnsi="Courier New" w:cs="Courier New"/>
          <w:sz w:val="24"/>
          <w:szCs w:val="24"/>
        </w:rPr>
        <w:t xml:space="preserve">Sales </w:t>
      </w:r>
      <w:r w:rsidR="0017017D">
        <w:rPr>
          <w:rFonts w:ascii="Courier New" w:eastAsia="Courier New" w:hAnsi="Courier New" w:cs="Courier New"/>
          <w:sz w:val="24"/>
          <w:szCs w:val="24"/>
        </w:rPr>
        <w:t>T</w:t>
      </w:r>
      <w:r>
        <w:rPr>
          <w:rFonts w:ascii="Courier New" w:eastAsia="Courier New" w:hAnsi="Courier New" w:cs="Courier New"/>
          <w:sz w:val="24"/>
          <w:szCs w:val="24"/>
        </w:rPr>
        <w:t xml:space="preserve">ax </w:t>
      </w:r>
      <w:r w:rsidR="0017017D">
        <w:rPr>
          <w:rFonts w:ascii="Courier New" w:eastAsia="Courier New" w:hAnsi="Courier New" w:cs="Courier New"/>
          <w:sz w:val="24"/>
          <w:szCs w:val="24"/>
        </w:rPr>
        <w:t>H</w:t>
      </w:r>
      <w:r>
        <w:rPr>
          <w:rFonts w:ascii="Courier New" w:eastAsia="Courier New" w:hAnsi="Courier New" w:cs="Courier New"/>
          <w:sz w:val="24"/>
          <w:szCs w:val="24"/>
        </w:rPr>
        <w:t>oliday</w:t>
      </w:r>
      <w:r w:rsidR="0017017D">
        <w:rPr>
          <w:rFonts w:ascii="Courier New" w:eastAsia="Courier New" w:hAnsi="Courier New" w:cs="Courier New"/>
          <w:sz w:val="24"/>
          <w:szCs w:val="24"/>
        </w:rPr>
        <w:t>s in 2004</w:t>
      </w:r>
      <w:r>
        <w:rPr>
          <w:rFonts w:ascii="Courier New" w:eastAsia="Courier New" w:hAnsi="Courier New" w:cs="Courier New"/>
          <w:sz w:val="24"/>
          <w:szCs w:val="24"/>
        </w:rPr>
        <w:t xml:space="preserve">, </w:t>
      </w:r>
      <w:r w:rsidR="0017017D">
        <w:rPr>
          <w:rFonts w:ascii="Courier New" w:eastAsia="Courier New" w:hAnsi="Courier New" w:cs="Courier New"/>
          <w:sz w:val="24"/>
          <w:szCs w:val="24"/>
        </w:rPr>
        <w:t>Mr.</w:t>
      </w:r>
      <w:r w:rsidR="00F95B59">
        <w:rPr>
          <w:rFonts w:ascii="Courier New" w:eastAsia="Courier New" w:hAnsi="Courier New" w:cs="Courier New"/>
          <w:sz w:val="24"/>
          <w:szCs w:val="24"/>
        </w:rPr>
        <w:t> </w:t>
      </w:r>
      <w:r w:rsidR="0017017D">
        <w:rPr>
          <w:rFonts w:ascii="Courier New" w:eastAsia="Courier New" w:hAnsi="Courier New" w:cs="Courier New"/>
          <w:sz w:val="24"/>
          <w:szCs w:val="24"/>
        </w:rPr>
        <w:t xml:space="preserve">Wantman described the </w:t>
      </w:r>
      <w:r w:rsidR="00E52FB7">
        <w:rPr>
          <w:rFonts w:ascii="Courier New" w:eastAsia="Courier New" w:hAnsi="Courier New" w:cs="Courier New"/>
          <w:sz w:val="24"/>
          <w:szCs w:val="24"/>
        </w:rPr>
        <w:t xml:space="preserve">scene in the appellant’s stores as “complete chaos” due to customers coming in and wanting to cancel orders to take advantage of the tax exemption. The appellant allowed this because </w:t>
      </w:r>
      <w:r>
        <w:rPr>
          <w:rFonts w:ascii="Courier New" w:eastAsia="Courier New" w:hAnsi="Courier New" w:cs="Courier New"/>
          <w:sz w:val="24"/>
          <w:szCs w:val="24"/>
        </w:rPr>
        <w:t>“</w:t>
      </w:r>
      <w:r w:rsidR="00E52FB7">
        <w:rPr>
          <w:rFonts w:ascii="Courier New" w:eastAsia="Courier New" w:hAnsi="Courier New" w:cs="Courier New"/>
          <w:sz w:val="24"/>
          <w:szCs w:val="24"/>
        </w:rPr>
        <w:t>[i]</w:t>
      </w:r>
      <w:r>
        <w:rPr>
          <w:rFonts w:ascii="Courier New" w:eastAsia="Courier New" w:hAnsi="Courier New" w:cs="Courier New"/>
          <w:sz w:val="24"/>
          <w:szCs w:val="24"/>
        </w:rPr>
        <w:t>t’s our stated policy</w:t>
      </w:r>
      <w:r w:rsidR="00E52FB7">
        <w:rPr>
          <w:rFonts w:ascii="Courier New" w:eastAsia="Courier New" w:hAnsi="Courier New" w:cs="Courier New"/>
          <w:sz w:val="24"/>
          <w:szCs w:val="24"/>
        </w:rPr>
        <w:t>,” testified Mr. Wantman. “</w:t>
      </w:r>
      <w:r>
        <w:rPr>
          <w:rFonts w:ascii="Courier New" w:eastAsia="Courier New" w:hAnsi="Courier New" w:cs="Courier New"/>
          <w:sz w:val="24"/>
          <w:szCs w:val="24"/>
        </w:rPr>
        <w:t>If they have an order they don’t take delivery of yet, they can cancel it</w:t>
      </w:r>
      <w:r>
        <w:rPr>
          <w:rFonts w:ascii="Courier New" w:eastAsia="Courier New" w:hAnsi="Courier New" w:cs="Courier New"/>
          <w:b/>
          <w:sz w:val="24"/>
          <w:szCs w:val="24"/>
        </w:rPr>
        <w:t xml:space="preserve">.” </w:t>
      </w:r>
      <w:r w:rsidR="000C5B47" w:rsidRPr="000C5B47">
        <w:rPr>
          <w:rFonts w:ascii="Courier New" w:eastAsia="Courier New" w:hAnsi="Courier New" w:cs="Courier New"/>
          <w:sz w:val="24"/>
          <w:szCs w:val="24"/>
        </w:rPr>
        <w:t>He further explained that “[t]he sales tax holiday isn’t our promotion. We can’t tell customers we’re not going to do it.”</w:t>
      </w:r>
    </w:p>
    <w:p w:rsidR="00D81A02" w:rsidRDefault="00A249BE" w:rsidP="00E55492">
      <w:pPr>
        <w:pStyle w:val="Normal1"/>
        <w:spacing w:line="480" w:lineRule="auto"/>
        <w:ind w:firstLine="720"/>
        <w:contextualSpacing w:val="0"/>
        <w:jc w:val="both"/>
        <w:rPr>
          <w:rFonts w:ascii="Courier New" w:eastAsia="Courier New" w:hAnsi="Courier New" w:cs="Courier New"/>
          <w:sz w:val="24"/>
          <w:szCs w:val="24"/>
        </w:rPr>
      </w:pPr>
      <w:r w:rsidRPr="00A249BE">
        <w:rPr>
          <w:rFonts w:ascii="Courier New" w:eastAsia="Courier New" w:hAnsi="Courier New" w:cs="Courier New"/>
          <w:sz w:val="24"/>
          <w:szCs w:val="24"/>
        </w:rPr>
        <w:t>To avoid the influx of customers coming into the stores,</w:t>
      </w:r>
      <w:r>
        <w:rPr>
          <w:rFonts w:ascii="Courier New" w:eastAsia="Courier New" w:hAnsi="Courier New" w:cs="Courier New"/>
          <w:b/>
          <w:sz w:val="24"/>
          <w:szCs w:val="24"/>
        </w:rPr>
        <w:t xml:space="preserve"> </w:t>
      </w:r>
      <w:r>
        <w:rPr>
          <w:rFonts w:ascii="Courier New" w:eastAsia="Courier New" w:hAnsi="Courier New" w:cs="Courier New"/>
          <w:sz w:val="24"/>
          <w:szCs w:val="24"/>
        </w:rPr>
        <w:t>d</w:t>
      </w:r>
      <w:r w:rsidR="00E55492">
        <w:rPr>
          <w:rFonts w:ascii="Courier New" w:eastAsia="Courier New" w:hAnsi="Courier New" w:cs="Courier New"/>
          <w:sz w:val="24"/>
          <w:szCs w:val="24"/>
        </w:rPr>
        <w:t xml:space="preserve">uring </w:t>
      </w:r>
      <w:r w:rsidR="00E52FB7">
        <w:rPr>
          <w:rFonts w:ascii="Courier New" w:eastAsia="Courier New" w:hAnsi="Courier New" w:cs="Courier New"/>
          <w:sz w:val="24"/>
          <w:szCs w:val="24"/>
        </w:rPr>
        <w:t xml:space="preserve">subsequent </w:t>
      </w:r>
      <w:r w:rsidR="008E5397">
        <w:rPr>
          <w:rFonts w:ascii="Courier New" w:eastAsia="Courier New" w:hAnsi="Courier New" w:cs="Courier New"/>
          <w:sz w:val="24"/>
          <w:szCs w:val="24"/>
        </w:rPr>
        <w:t xml:space="preserve">Sales </w:t>
      </w:r>
      <w:r w:rsidR="00E52FB7">
        <w:rPr>
          <w:rFonts w:ascii="Courier New" w:eastAsia="Courier New" w:hAnsi="Courier New" w:cs="Courier New"/>
          <w:sz w:val="24"/>
          <w:szCs w:val="24"/>
        </w:rPr>
        <w:t xml:space="preserve">Tax Holidays in </w:t>
      </w:r>
      <w:r w:rsidR="00E55492">
        <w:rPr>
          <w:rFonts w:ascii="Courier New" w:eastAsia="Courier New" w:hAnsi="Courier New" w:cs="Courier New"/>
          <w:sz w:val="24"/>
          <w:szCs w:val="24"/>
        </w:rPr>
        <w:t>2005, 2006, and 2007, Mr. Wantman explained</w:t>
      </w:r>
      <w:r w:rsidR="00E52FB7">
        <w:rPr>
          <w:rFonts w:ascii="Courier New" w:eastAsia="Courier New" w:hAnsi="Courier New" w:cs="Courier New"/>
          <w:sz w:val="24"/>
          <w:szCs w:val="24"/>
        </w:rPr>
        <w:t xml:space="preserve"> that</w:t>
      </w:r>
      <w:r w:rsidR="00E55492">
        <w:rPr>
          <w:rFonts w:ascii="Courier New" w:eastAsia="Courier New" w:hAnsi="Courier New" w:cs="Courier New"/>
          <w:sz w:val="24"/>
          <w:szCs w:val="24"/>
        </w:rPr>
        <w:t xml:space="preserve"> </w:t>
      </w:r>
      <w:r w:rsidR="00E52FB7">
        <w:rPr>
          <w:rFonts w:ascii="Courier New" w:eastAsia="Courier New" w:hAnsi="Courier New" w:cs="Courier New"/>
          <w:sz w:val="24"/>
          <w:szCs w:val="24"/>
        </w:rPr>
        <w:t>the appellant permitted customers who wished to cancel orders to call and speak to an employee</w:t>
      </w:r>
      <w:r>
        <w:rPr>
          <w:rFonts w:ascii="Courier New" w:eastAsia="Courier New" w:hAnsi="Courier New" w:cs="Courier New"/>
          <w:sz w:val="24"/>
          <w:szCs w:val="24"/>
        </w:rPr>
        <w:t xml:space="preserve"> on the designated </w:t>
      </w:r>
      <w:r w:rsidR="008E5397">
        <w:rPr>
          <w:rFonts w:ascii="Courier New" w:eastAsia="Courier New" w:hAnsi="Courier New" w:cs="Courier New"/>
          <w:sz w:val="24"/>
          <w:szCs w:val="24"/>
        </w:rPr>
        <w:t xml:space="preserve">Sales </w:t>
      </w:r>
      <w:r>
        <w:rPr>
          <w:rFonts w:ascii="Courier New" w:eastAsia="Courier New" w:hAnsi="Courier New" w:cs="Courier New"/>
          <w:sz w:val="24"/>
          <w:szCs w:val="24"/>
        </w:rPr>
        <w:t>Tax Holidays</w:t>
      </w:r>
      <w:r w:rsidR="00CE01AB">
        <w:rPr>
          <w:rFonts w:ascii="Courier New" w:eastAsia="Courier New" w:hAnsi="Courier New" w:cs="Courier New"/>
          <w:sz w:val="24"/>
          <w:szCs w:val="24"/>
        </w:rPr>
        <w:t xml:space="preserve"> instead of physically coming into </w:t>
      </w:r>
      <w:r w:rsidR="00CE01AB">
        <w:rPr>
          <w:rFonts w:ascii="Courier New" w:eastAsia="Courier New" w:hAnsi="Courier New" w:cs="Courier New"/>
          <w:sz w:val="24"/>
          <w:szCs w:val="24"/>
        </w:rPr>
        <w:lastRenderedPageBreak/>
        <w:t>a store</w:t>
      </w:r>
      <w:r>
        <w:rPr>
          <w:rFonts w:ascii="Courier New" w:eastAsia="Courier New" w:hAnsi="Courier New" w:cs="Courier New"/>
          <w:sz w:val="24"/>
          <w:szCs w:val="24"/>
        </w:rPr>
        <w:t>. The employee in turn would cancel the existing order and generate a new order from a computer terminal</w:t>
      </w:r>
      <w:r w:rsidR="00E55492">
        <w:rPr>
          <w:rFonts w:ascii="Courier New" w:eastAsia="Courier New" w:hAnsi="Courier New" w:cs="Courier New"/>
          <w:sz w:val="24"/>
          <w:szCs w:val="24"/>
        </w:rPr>
        <w:t xml:space="preserve">. </w:t>
      </w:r>
    </w:p>
    <w:p w:rsidR="004C3244" w:rsidRDefault="00E52FB7"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appellant </w:t>
      </w:r>
      <w:r w:rsidR="00945F31">
        <w:rPr>
          <w:rFonts w:ascii="Courier New" w:eastAsia="Courier New" w:hAnsi="Courier New" w:cs="Courier New"/>
          <w:sz w:val="24"/>
          <w:szCs w:val="24"/>
        </w:rPr>
        <w:t xml:space="preserve">subsequently </w:t>
      </w:r>
      <w:r>
        <w:rPr>
          <w:rFonts w:ascii="Courier New" w:eastAsia="Courier New" w:hAnsi="Courier New" w:cs="Courier New"/>
          <w:sz w:val="24"/>
          <w:szCs w:val="24"/>
        </w:rPr>
        <w:t xml:space="preserve">modified </w:t>
      </w:r>
      <w:r w:rsidR="00945F31">
        <w:rPr>
          <w:rFonts w:ascii="Courier New" w:eastAsia="Courier New" w:hAnsi="Courier New" w:cs="Courier New"/>
          <w:sz w:val="24"/>
          <w:szCs w:val="24"/>
        </w:rPr>
        <w:t xml:space="preserve">this procedure because “[e]ssentially 10,000 phone calls would come in over the course of a day,” testified Mr. Wantman. He further explained that “[w]e don’t really have people in that capacity to answer the phones.” </w:t>
      </w:r>
      <w:r w:rsidR="00E55492">
        <w:rPr>
          <w:rFonts w:ascii="Courier New" w:eastAsia="Courier New" w:hAnsi="Courier New" w:cs="Courier New"/>
          <w:sz w:val="24"/>
          <w:szCs w:val="24"/>
        </w:rPr>
        <w:t xml:space="preserve">In 2008, for customers who </w:t>
      </w:r>
      <w:r w:rsidR="00D81A02">
        <w:rPr>
          <w:rFonts w:ascii="Courier New" w:eastAsia="Courier New" w:hAnsi="Courier New" w:cs="Courier New"/>
          <w:sz w:val="24"/>
          <w:szCs w:val="24"/>
        </w:rPr>
        <w:t xml:space="preserve">had </w:t>
      </w:r>
      <w:r w:rsidR="00E55492">
        <w:rPr>
          <w:rFonts w:ascii="Courier New" w:eastAsia="Courier New" w:hAnsi="Courier New" w:cs="Courier New"/>
          <w:sz w:val="24"/>
          <w:szCs w:val="24"/>
        </w:rPr>
        <w:t xml:space="preserve">visited stores prior to the </w:t>
      </w:r>
      <w:r w:rsidR="00D81A02">
        <w:rPr>
          <w:rFonts w:ascii="Courier New" w:eastAsia="Courier New" w:hAnsi="Courier New" w:cs="Courier New"/>
          <w:sz w:val="24"/>
          <w:szCs w:val="24"/>
        </w:rPr>
        <w:t xml:space="preserve">designated </w:t>
      </w:r>
      <w:r w:rsidR="004C3244">
        <w:rPr>
          <w:rFonts w:ascii="Courier New" w:eastAsia="Courier New" w:hAnsi="Courier New" w:cs="Courier New"/>
          <w:sz w:val="24"/>
          <w:szCs w:val="24"/>
        </w:rPr>
        <w:t>dates</w:t>
      </w:r>
      <w:r w:rsidR="00D81A02">
        <w:rPr>
          <w:rFonts w:ascii="Courier New" w:eastAsia="Courier New" w:hAnsi="Courier New" w:cs="Courier New"/>
          <w:sz w:val="24"/>
          <w:szCs w:val="24"/>
        </w:rPr>
        <w:t xml:space="preserve"> but who </w:t>
      </w:r>
      <w:r w:rsidR="002D2B78">
        <w:rPr>
          <w:rFonts w:ascii="Courier New" w:eastAsia="Courier New" w:hAnsi="Courier New" w:cs="Courier New"/>
          <w:sz w:val="24"/>
          <w:szCs w:val="24"/>
        </w:rPr>
        <w:t xml:space="preserve">wanted to take advantage of the </w:t>
      </w:r>
      <w:r w:rsidR="008E5397">
        <w:rPr>
          <w:rFonts w:ascii="Courier New" w:eastAsia="Courier New" w:hAnsi="Courier New" w:cs="Courier New"/>
          <w:sz w:val="24"/>
          <w:szCs w:val="24"/>
        </w:rPr>
        <w:t xml:space="preserve">Sales </w:t>
      </w:r>
      <w:r w:rsidR="002D2B78">
        <w:rPr>
          <w:rFonts w:ascii="Courier New" w:eastAsia="Courier New" w:hAnsi="Courier New" w:cs="Courier New"/>
          <w:sz w:val="24"/>
          <w:szCs w:val="24"/>
        </w:rPr>
        <w:t>Tax Holiday</w:t>
      </w:r>
      <w:r w:rsidR="004C3244">
        <w:rPr>
          <w:rFonts w:ascii="Courier New" w:eastAsia="Courier New" w:hAnsi="Courier New" w:cs="Courier New"/>
          <w:sz w:val="24"/>
          <w:szCs w:val="24"/>
        </w:rPr>
        <w:t>s</w:t>
      </w:r>
      <w:r w:rsidR="002D2B78">
        <w:rPr>
          <w:rFonts w:ascii="Courier New" w:eastAsia="Courier New" w:hAnsi="Courier New" w:cs="Courier New"/>
          <w:sz w:val="24"/>
          <w:szCs w:val="24"/>
        </w:rPr>
        <w:t xml:space="preserve">, </w:t>
      </w:r>
      <w:r w:rsidR="00E55492">
        <w:rPr>
          <w:rFonts w:ascii="Courier New" w:eastAsia="Courier New" w:hAnsi="Courier New" w:cs="Courier New"/>
          <w:sz w:val="24"/>
          <w:szCs w:val="24"/>
        </w:rPr>
        <w:t>the appellant placed identifying codes on the orders</w:t>
      </w:r>
      <w:r w:rsidR="004C3244">
        <w:rPr>
          <w:rFonts w:ascii="Courier New" w:eastAsia="Courier New" w:hAnsi="Courier New" w:cs="Courier New"/>
          <w:sz w:val="24"/>
          <w:szCs w:val="24"/>
        </w:rPr>
        <w:t xml:space="preserve"> and employees cancelled and rewrote the orders on the designated dates</w:t>
      </w:r>
      <w:r w:rsidR="00E55492">
        <w:rPr>
          <w:rFonts w:ascii="Courier New" w:eastAsia="Courier New" w:hAnsi="Courier New" w:cs="Courier New"/>
          <w:sz w:val="24"/>
          <w:szCs w:val="24"/>
        </w:rPr>
        <w:t xml:space="preserve">. </w:t>
      </w:r>
      <w:r w:rsidR="004C3244">
        <w:rPr>
          <w:rFonts w:ascii="Courier New" w:eastAsia="Courier New" w:hAnsi="Courier New" w:cs="Courier New"/>
          <w:sz w:val="24"/>
          <w:szCs w:val="24"/>
        </w:rPr>
        <w:t xml:space="preserve">During the periods at issue, the appellant further modified its procedure by implementing software to cancel and rewrite orders for customers who had indicated they wished to take advantage of the </w:t>
      </w:r>
      <w:r w:rsidR="008E5397">
        <w:rPr>
          <w:rFonts w:ascii="Courier New" w:eastAsia="Courier New" w:hAnsi="Courier New" w:cs="Courier New"/>
          <w:sz w:val="24"/>
          <w:szCs w:val="24"/>
        </w:rPr>
        <w:t xml:space="preserve">Sales </w:t>
      </w:r>
      <w:r w:rsidR="004C3244">
        <w:rPr>
          <w:rFonts w:ascii="Courier New" w:eastAsia="Courier New" w:hAnsi="Courier New" w:cs="Courier New"/>
          <w:sz w:val="24"/>
          <w:szCs w:val="24"/>
        </w:rPr>
        <w:t xml:space="preserve">Tax Holidays. Mr. Wantman stressed that only customers with open orders could cancel and take advantage of the </w:t>
      </w:r>
      <w:r w:rsidR="008E5397">
        <w:rPr>
          <w:rFonts w:ascii="Courier New" w:eastAsia="Courier New" w:hAnsi="Courier New" w:cs="Courier New"/>
          <w:sz w:val="24"/>
          <w:szCs w:val="24"/>
        </w:rPr>
        <w:t xml:space="preserve">Sales </w:t>
      </w:r>
      <w:r w:rsidR="004C3244">
        <w:rPr>
          <w:rFonts w:ascii="Courier New" w:eastAsia="Courier New" w:hAnsi="Courier New" w:cs="Courier New"/>
          <w:sz w:val="24"/>
          <w:szCs w:val="24"/>
        </w:rPr>
        <w:t>Tax Holidays: “Any customer who had the merchandise already there was nothing we could do to help them.”</w:t>
      </w:r>
      <w:r w:rsidR="00C60BE8">
        <w:rPr>
          <w:rStyle w:val="FootnoteReference"/>
          <w:rFonts w:ascii="Courier New" w:eastAsia="Courier New" w:hAnsi="Courier New" w:cs="Courier New"/>
          <w:sz w:val="24"/>
          <w:szCs w:val="24"/>
        </w:rPr>
        <w:footnoteReference w:id="5"/>
      </w:r>
      <w:r w:rsidR="00E3742C">
        <w:rPr>
          <w:rFonts w:ascii="Courier New" w:eastAsia="Courier New" w:hAnsi="Courier New" w:cs="Courier New"/>
          <w:sz w:val="24"/>
          <w:szCs w:val="24"/>
        </w:rPr>
        <w:t xml:space="preserve"> </w:t>
      </w:r>
    </w:p>
    <w:p w:rsidR="00E3742C" w:rsidRDefault="00656910"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Mr. Wantman also discussed a printed guide </w:t>
      </w:r>
      <w:r w:rsidR="0035467F">
        <w:rPr>
          <w:rFonts w:ascii="Courier New" w:eastAsia="Courier New" w:hAnsi="Courier New" w:cs="Courier New"/>
          <w:sz w:val="24"/>
          <w:szCs w:val="24"/>
        </w:rPr>
        <w:t xml:space="preserve">in the record that </w:t>
      </w:r>
      <w:r>
        <w:rPr>
          <w:rFonts w:ascii="Courier New" w:eastAsia="Courier New" w:hAnsi="Courier New" w:cs="Courier New"/>
          <w:sz w:val="24"/>
          <w:szCs w:val="24"/>
        </w:rPr>
        <w:t xml:space="preserve">the appellant created in 2010 called </w:t>
      </w:r>
      <w:r w:rsidR="00B005DB">
        <w:rPr>
          <w:rFonts w:ascii="Courier New" w:eastAsia="Courier New" w:hAnsi="Courier New" w:cs="Courier New"/>
          <w:sz w:val="24"/>
          <w:szCs w:val="24"/>
        </w:rPr>
        <w:t>“</w:t>
      </w:r>
      <w:r>
        <w:rPr>
          <w:rFonts w:ascii="Courier New" w:eastAsia="Courier New" w:hAnsi="Courier New" w:cs="Courier New"/>
          <w:sz w:val="24"/>
          <w:szCs w:val="24"/>
        </w:rPr>
        <w:t>Tax Holiday Procedure for Right Now &amp; Friday August 13, 2010</w:t>
      </w:r>
      <w:r w:rsidR="00B005DB">
        <w:rPr>
          <w:rFonts w:ascii="Courier New" w:eastAsia="Courier New" w:hAnsi="Courier New" w:cs="Courier New"/>
          <w:sz w:val="24"/>
          <w:szCs w:val="24"/>
        </w:rPr>
        <w:t>”</w:t>
      </w:r>
      <w:r>
        <w:rPr>
          <w:rFonts w:ascii="Courier New" w:eastAsia="Courier New" w:hAnsi="Courier New" w:cs="Courier New"/>
          <w:sz w:val="24"/>
          <w:szCs w:val="24"/>
        </w:rPr>
        <w:t xml:space="preserve"> (“2010 guide”). The </w:t>
      </w:r>
      <w:r w:rsidR="00E67362">
        <w:rPr>
          <w:rFonts w:ascii="Courier New" w:eastAsia="Courier New" w:hAnsi="Courier New" w:cs="Courier New"/>
          <w:sz w:val="24"/>
          <w:szCs w:val="24"/>
        </w:rPr>
        <w:t xml:space="preserve">2010 </w:t>
      </w:r>
      <w:r w:rsidR="00E67362">
        <w:rPr>
          <w:rFonts w:ascii="Courier New" w:eastAsia="Courier New" w:hAnsi="Courier New" w:cs="Courier New"/>
          <w:sz w:val="24"/>
          <w:szCs w:val="24"/>
        </w:rPr>
        <w:lastRenderedPageBreak/>
        <w:t xml:space="preserve">guide detailed the </w:t>
      </w:r>
      <w:r>
        <w:rPr>
          <w:rFonts w:ascii="Courier New" w:eastAsia="Courier New" w:hAnsi="Courier New" w:cs="Courier New"/>
          <w:sz w:val="24"/>
          <w:szCs w:val="24"/>
        </w:rPr>
        <w:t>appellant</w:t>
      </w:r>
      <w:r w:rsidR="00E67362">
        <w:rPr>
          <w:rFonts w:ascii="Courier New" w:eastAsia="Courier New" w:hAnsi="Courier New" w:cs="Courier New"/>
          <w:sz w:val="24"/>
          <w:szCs w:val="24"/>
        </w:rPr>
        <w:t>’s</w:t>
      </w:r>
      <w:r>
        <w:rPr>
          <w:rFonts w:ascii="Courier New" w:eastAsia="Courier New" w:hAnsi="Courier New" w:cs="Courier New"/>
          <w:sz w:val="24"/>
          <w:szCs w:val="24"/>
        </w:rPr>
        <w:t xml:space="preserve"> policy that employees were not to initiate </w:t>
      </w:r>
      <w:r w:rsidR="0035467F">
        <w:rPr>
          <w:rFonts w:ascii="Courier New" w:eastAsia="Courier New" w:hAnsi="Courier New" w:cs="Courier New"/>
          <w:sz w:val="24"/>
          <w:szCs w:val="24"/>
        </w:rPr>
        <w:t>any</w:t>
      </w:r>
      <w:r>
        <w:rPr>
          <w:rFonts w:ascii="Courier New" w:eastAsia="Courier New" w:hAnsi="Courier New" w:cs="Courier New"/>
          <w:sz w:val="24"/>
          <w:szCs w:val="24"/>
        </w:rPr>
        <w:t xml:space="preserve"> conversation regarding cancelling and reordering</w:t>
      </w:r>
      <w:r w:rsidR="00C923B1">
        <w:rPr>
          <w:rFonts w:ascii="Courier New" w:eastAsia="Courier New" w:hAnsi="Courier New" w:cs="Courier New"/>
          <w:sz w:val="24"/>
          <w:szCs w:val="24"/>
        </w:rPr>
        <w:t>.</w:t>
      </w:r>
      <w:r>
        <w:rPr>
          <w:rFonts w:ascii="Courier New" w:eastAsia="Courier New" w:hAnsi="Courier New" w:cs="Courier New"/>
          <w:sz w:val="24"/>
          <w:szCs w:val="24"/>
        </w:rPr>
        <w:t xml:space="preserve"> </w:t>
      </w:r>
      <w:r w:rsidR="00C923B1">
        <w:rPr>
          <w:rFonts w:ascii="Courier New" w:eastAsia="Courier New" w:hAnsi="Courier New" w:cs="Courier New"/>
          <w:sz w:val="24"/>
          <w:szCs w:val="24"/>
        </w:rPr>
        <w:t>C</w:t>
      </w:r>
      <w:r>
        <w:rPr>
          <w:rFonts w:ascii="Courier New" w:eastAsia="Courier New" w:hAnsi="Courier New" w:cs="Courier New"/>
          <w:sz w:val="24"/>
          <w:szCs w:val="24"/>
        </w:rPr>
        <w:t xml:space="preserve">ustomers placing orders ahead of the </w:t>
      </w:r>
      <w:r w:rsidR="008E5397">
        <w:rPr>
          <w:rFonts w:ascii="Courier New" w:eastAsia="Courier New" w:hAnsi="Courier New" w:cs="Courier New"/>
          <w:sz w:val="24"/>
          <w:szCs w:val="24"/>
        </w:rPr>
        <w:t>Sales T</w:t>
      </w:r>
      <w:r>
        <w:rPr>
          <w:rFonts w:ascii="Courier New" w:eastAsia="Courier New" w:hAnsi="Courier New" w:cs="Courier New"/>
          <w:sz w:val="24"/>
          <w:szCs w:val="24"/>
        </w:rPr>
        <w:t xml:space="preserve">ax </w:t>
      </w:r>
      <w:r w:rsidR="008E5397">
        <w:rPr>
          <w:rFonts w:ascii="Courier New" w:eastAsia="Courier New" w:hAnsi="Courier New" w:cs="Courier New"/>
          <w:sz w:val="24"/>
          <w:szCs w:val="24"/>
        </w:rPr>
        <w:t>H</w:t>
      </w:r>
      <w:r>
        <w:rPr>
          <w:rFonts w:ascii="Courier New" w:eastAsia="Courier New" w:hAnsi="Courier New" w:cs="Courier New"/>
          <w:sz w:val="24"/>
          <w:szCs w:val="24"/>
        </w:rPr>
        <w:t>oliday</w:t>
      </w:r>
      <w:r w:rsidR="009C4EFE">
        <w:rPr>
          <w:rFonts w:ascii="Courier New" w:eastAsia="Courier New" w:hAnsi="Courier New" w:cs="Courier New"/>
          <w:sz w:val="24"/>
          <w:szCs w:val="24"/>
        </w:rPr>
        <w:t>s</w:t>
      </w:r>
      <w:r>
        <w:rPr>
          <w:rFonts w:ascii="Courier New" w:eastAsia="Courier New" w:hAnsi="Courier New" w:cs="Courier New"/>
          <w:sz w:val="24"/>
          <w:szCs w:val="24"/>
        </w:rPr>
        <w:t xml:space="preserve"> had to broach </w:t>
      </w:r>
      <w:r w:rsidR="00C923B1">
        <w:rPr>
          <w:rFonts w:ascii="Courier New" w:eastAsia="Courier New" w:hAnsi="Courier New" w:cs="Courier New"/>
          <w:sz w:val="24"/>
          <w:szCs w:val="24"/>
        </w:rPr>
        <w:t xml:space="preserve">the </w:t>
      </w:r>
      <w:r w:rsidR="0035467F">
        <w:rPr>
          <w:rFonts w:ascii="Courier New" w:eastAsia="Courier New" w:hAnsi="Courier New" w:cs="Courier New"/>
          <w:sz w:val="24"/>
          <w:szCs w:val="24"/>
        </w:rPr>
        <w:t xml:space="preserve">subject of </w:t>
      </w:r>
      <w:r>
        <w:rPr>
          <w:rFonts w:ascii="Courier New" w:eastAsia="Courier New" w:hAnsi="Courier New" w:cs="Courier New"/>
          <w:sz w:val="24"/>
          <w:szCs w:val="24"/>
        </w:rPr>
        <w:t xml:space="preserve">the </w:t>
      </w:r>
      <w:r w:rsidR="008E5397">
        <w:rPr>
          <w:rFonts w:ascii="Courier New" w:eastAsia="Courier New" w:hAnsi="Courier New" w:cs="Courier New"/>
          <w:sz w:val="24"/>
          <w:szCs w:val="24"/>
        </w:rPr>
        <w:t xml:space="preserve">Sales </w:t>
      </w:r>
      <w:r w:rsidR="0035467F">
        <w:rPr>
          <w:rFonts w:ascii="Courier New" w:eastAsia="Courier New" w:hAnsi="Courier New" w:cs="Courier New"/>
          <w:sz w:val="24"/>
          <w:szCs w:val="24"/>
        </w:rPr>
        <w:t>Tax Holidays</w:t>
      </w:r>
      <w:r>
        <w:rPr>
          <w:rFonts w:ascii="Courier New" w:eastAsia="Courier New" w:hAnsi="Courier New" w:cs="Courier New"/>
          <w:sz w:val="24"/>
          <w:szCs w:val="24"/>
        </w:rPr>
        <w:t xml:space="preserve"> </w:t>
      </w:r>
      <w:r w:rsidR="0035467F">
        <w:rPr>
          <w:rFonts w:ascii="Courier New" w:eastAsia="Courier New" w:hAnsi="Courier New" w:cs="Courier New"/>
          <w:sz w:val="24"/>
          <w:szCs w:val="24"/>
        </w:rPr>
        <w:t xml:space="preserve">themselves </w:t>
      </w:r>
      <w:r>
        <w:rPr>
          <w:rFonts w:ascii="Courier New" w:eastAsia="Courier New" w:hAnsi="Courier New" w:cs="Courier New"/>
          <w:sz w:val="24"/>
          <w:szCs w:val="24"/>
        </w:rPr>
        <w:t>in order to</w:t>
      </w:r>
      <w:r w:rsidR="0035467F">
        <w:rPr>
          <w:rFonts w:ascii="Courier New" w:eastAsia="Courier New" w:hAnsi="Courier New" w:cs="Courier New"/>
          <w:sz w:val="24"/>
          <w:szCs w:val="24"/>
        </w:rPr>
        <w:t xml:space="preserve"> exercise their right to cancel an open order</w:t>
      </w:r>
      <w:r w:rsidR="00B4361F">
        <w:rPr>
          <w:rFonts w:ascii="Courier New" w:eastAsia="Courier New" w:hAnsi="Courier New" w:cs="Courier New"/>
          <w:sz w:val="24"/>
          <w:szCs w:val="24"/>
        </w:rPr>
        <w:t xml:space="preserve"> during the </w:t>
      </w:r>
      <w:r w:rsidR="008E5397">
        <w:rPr>
          <w:rFonts w:ascii="Courier New" w:eastAsia="Courier New" w:hAnsi="Courier New" w:cs="Courier New"/>
          <w:sz w:val="24"/>
          <w:szCs w:val="24"/>
        </w:rPr>
        <w:t xml:space="preserve">Sales </w:t>
      </w:r>
      <w:r w:rsidR="00B4361F">
        <w:rPr>
          <w:rFonts w:ascii="Courier New" w:eastAsia="Courier New" w:hAnsi="Courier New" w:cs="Courier New"/>
          <w:sz w:val="24"/>
          <w:szCs w:val="24"/>
        </w:rPr>
        <w:t>Tax Holidays</w:t>
      </w:r>
      <w:r>
        <w:rPr>
          <w:rFonts w:ascii="Courier New" w:eastAsia="Courier New" w:hAnsi="Courier New" w:cs="Courier New"/>
          <w:sz w:val="24"/>
          <w:szCs w:val="24"/>
        </w:rPr>
        <w:t xml:space="preserve">. The policy contained in the 2010 guide provided that the salespersons could not “guarantee eligibility” because the </w:t>
      </w:r>
      <w:r w:rsidR="008E5397">
        <w:rPr>
          <w:rFonts w:ascii="Courier New" w:eastAsia="Courier New" w:hAnsi="Courier New" w:cs="Courier New"/>
          <w:sz w:val="24"/>
          <w:szCs w:val="24"/>
        </w:rPr>
        <w:t xml:space="preserve">Sales </w:t>
      </w:r>
      <w:r w:rsidR="0035467F">
        <w:rPr>
          <w:rFonts w:ascii="Courier New" w:eastAsia="Courier New" w:hAnsi="Courier New" w:cs="Courier New"/>
          <w:sz w:val="24"/>
          <w:szCs w:val="24"/>
        </w:rPr>
        <w:t>T</w:t>
      </w:r>
      <w:r>
        <w:rPr>
          <w:rFonts w:ascii="Courier New" w:eastAsia="Courier New" w:hAnsi="Courier New" w:cs="Courier New"/>
          <w:sz w:val="24"/>
          <w:szCs w:val="24"/>
        </w:rPr>
        <w:t xml:space="preserve">ax </w:t>
      </w:r>
      <w:r w:rsidR="0035467F">
        <w:rPr>
          <w:rFonts w:ascii="Courier New" w:eastAsia="Courier New" w:hAnsi="Courier New" w:cs="Courier New"/>
          <w:sz w:val="24"/>
          <w:szCs w:val="24"/>
        </w:rPr>
        <w:t>H</w:t>
      </w:r>
      <w:r>
        <w:rPr>
          <w:rFonts w:ascii="Courier New" w:eastAsia="Courier New" w:hAnsi="Courier New" w:cs="Courier New"/>
          <w:sz w:val="24"/>
          <w:szCs w:val="24"/>
        </w:rPr>
        <w:t>oliday</w:t>
      </w:r>
      <w:r w:rsidR="002472D5">
        <w:rPr>
          <w:rFonts w:ascii="Courier New" w:eastAsia="Courier New" w:hAnsi="Courier New" w:cs="Courier New"/>
          <w:sz w:val="24"/>
          <w:szCs w:val="24"/>
        </w:rPr>
        <w:t>s</w:t>
      </w:r>
      <w:r>
        <w:rPr>
          <w:rFonts w:ascii="Courier New" w:eastAsia="Courier New" w:hAnsi="Courier New" w:cs="Courier New"/>
          <w:sz w:val="24"/>
          <w:szCs w:val="24"/>
        </w:rPr>
        <w:t xml:space="preserve"> had not yet been established</w:t>
      </w:r>
      <w:r w:rsidR="00C60BE8">
        <w:rPr>
          <w:rFonts w:ascii="Courier New" w:eastAsia="Courier New" w:hAnsi="Courier New" w:cs="Courier New"/>
          <w:sz w:val="24"/>
          <w:szCs w:val="24"/>
        </w:rPr>
        <w:t xml:space="preserve"> and that deliveries on the </w:t>
      </w:r>
      <w:r w:rsidR="008E5397">
        <w:rPr>
          <w:rFonts w:ascii="Courier New" w:eastAsia="Courier New" w:hAnsi="Courier New" w:cs="Courier New"/>
          <w:sz w:val="24"/>
          <w:szCs w:val="24"/>
        </w:rPr>
        <w:t xml:space="preserve">Sales </w:t>
      </w:r>
      <w:r w:rsidR="00C60BE8">
        <w:rPr>
          <w:rFonts w:ascii="Courier New" w:eastAsia="Courier New" w:hAnsi="Courier New" w:cs="Courier New"/>
          <w:sz w:val="24"/>
          <w:szCs w:val="24"/>
        </w:rPr>
        <w:t>Tax Holidays would not be eligible</w:t>
      </w:r>
      <w:r>
        <w:rPr>
          <w:rFonts w:ascii="Courier New" w:eastAsia="Courier New" w:hAnsi="Courier New" w:cs="Courier New"/>
          <w:sz w:val="24"/>
          <w:szCs w:val="24"/>
        </w:rPr>
        <w:t xml:space="preserve">. </w:t>
      </w:r>
      <w:r w:rsidR="00E3742C">
        <w:rPr>
          <w:rFonts w:ascii="Courier New" w:eastAsia="Courier New" w:hAnsi="Courier New" w:cs="Courier New"/>
          <w:sz w:val="24"/>
          <w:szCs w:val="24"/>
        </w:rPr>
        <w:t xml:space="preserve">The record also contained back office procedural documents </w:t>
      </w:r>
      <w:r w:rsidR="00B4361F">
        <w:rPr>
          <w:rFonts w:ascii="Courier New" w:eastAsia="Courier New" w:hAnsi="Courier New" w:cs="Courier New"/>
          <w:sz w:val="24"/>
          <w:szCs w:val="24"/>
        </w:rPr>
        <w:t xml:space="preserve">for each of the periods at issue detailing </w:t>
      </w:r>
      <w:r w:rsidR="00E3742C">
        <w:rPr>
          <w:rFonts w:ascii="Courier New" w:eastAsia="Courier New" w:hAnsi="Courier New" w:cs="Courier New"/>
          <w:sz w:val="24"/>
          <w:szCs w:val="24"/>
        </w:rPr>
        <w:t xml:space="preserve">implementation </w:t>
      </w:r>
      <w:r w:rsidR="00B4361F">
        <w:rPr>
          <w:rFonts w:ascii="Courier New" w:eastAsia="Courier New" w:hAnsi="Courier New" w:cs="Courier New"/>
          <w:sz w:val="24"/>
          <w:szCs w:val="24"/>
        </w:rPr>
        <w:t xml:space="preserve">procedures for </w:t>
      </w:r>
      <w:r w:rsidR="00E3742C">
        <w:rPr>
          <w:rFonts w:ascii="Courier New" w:eastAsia="Courier New" w:hAnsi="Courier New" w:cs="Courier New"/>
          <w:sz w:val="24"/>
          <w:szCs w:val="24"/>
        </w:rPr>
        <w:t xml:space="preserve">the </w:t>
      </w:r>
      <w:r w:rsidR="008E5397">
        <w:rPr>
          <w:rFonts w:ascii="Courier New" w:eastAsia="Courier New" w:hAnsi="Courier New" w:cs="Courier New"/>
          <w:sz w:val="24"/>
          <w:szCs w:val="24"/>
        </w:rPr>
        <w:t xml:space="preserve">Sales </w:t>
      </w:r>
      <w:r w:rsidR="00E3742C">
        <w:rPr>
          <w:rFonts w:ascii="Courier New" w:eastAsia="Courier New" w:hAnsi="Courier New" w:cs="Courier New"/>
          <w:sz w:val="24"/>
          <w:szCs w:val="24"/>
        </w:rPr>
        <w:t>Tax Holidays</w:t>
      </w:r>
      <w:r w:rsidR="00B4361F">
        <w:rPr>
          <w:rFonts w:ascii="Courier New" w:eastAsia="Courier New" w:hAnsi="Courier New" w:cs="Courier New"/>
          <w:sz w:val="24"/>
          <w:szCs w:val="24"/>
        </w:rPr>
        <w:t>.</w:t>
      </w:r>
      <w:r w:rsidR="002472D5">
        <w:rPr>
          <w:rFonts w:ascii="Courier New" w:eastAsia="Courier New" w:hAnsi="Courier New" w:cs="Courier New"/>
          <w:sz w:val="24"/>
          <w:szCs w:val="24"/>
        </w:rPr>
        <w:t xml:space="preserve"> </w:t>
      </w:r>
      <w:r w:rsidR="00B4361F">
        <w:rPr>
          <w:rFonts w:ascii="Courier New" w:eastAsia="Courier New" w:hAnsi="Courier New" w:cs="Courier New"/>
          <w:sz w:val="24"/>
          <w:szCs w:val="24"/>
        </w:rPr>
        <w:t xml:space="preserve">Both the 2010 guide and the back office procedural documents stated that customers wishing to have orders cancelled and rewritten on the </w:t>
      </w:r>
      <w:r w:rsidR="008E5397">
        <w:rPr>
          <w:rFonts w:ascii="Courier New" w:eastAsia="Courier New" w:hAnsi="Courier New" w:cs="Courier New"/>
          <w:sz w:val="24"/>
          <w:szCs w:val="24"/>
        </w:rPr>
        <w:t xml:space="preserve">Sales </w:t>
      </w:r>
      <w:r w:rsidR="00B4361F">
        <w:rPr>
          <w:rFonts w:ascii="Courier New" w:eastAsia="Courier New" w:hAnsi="Courier New" w:cs="Courier New"/>
          <w:sz w:val="24"/>
          <w:szCs w:val="24"/>
        </w:rPr>
        <w:t xml:space="preserve">Tax Holidays had to have paid in full for the </w:t>
      </w:r>
      <w:r w:rsidR="000C5B47">
        <w:rPr>
          <w:rFonts w:ascii="Courier New" w:eastAsia="Courier New" w:hAnsi="Courier New" w:cs="Courier New"/>
          <w:sz w:val="24"/>
          <w:szCs w:val="24"/>
        </w:rPr>
        <w:t>order</w:t>
      </w:r>
      <w:r w:rsidR="00E67362">
        <w:rPr>
          <w:rFonts w:ascii="Courier New" w:eastAsia="Courier New" w:hAnsi="Courier New" w:cs="Courier New"/>
          <w:sz w:val="24"/>
          <w:szCs w:val="24"/>
        </w:rPr>
        <w:t>, exclusive of</w:t>
      </w:r>
      <w:r w:rsidR="000C5B47">
        <w:rPr>
          <w:rFonts w:ascii="Courier New" w:eastAsia="Courier New" w:hAnsi="Courier New" w:cs="Courier New"/>
          <w:sz w:val="24"/>
          <w:szCs w:val="24"/>
        </w:rPr>
        <w:t xml:space="preserve"> </w:t>
      </w:r>
      <w:r w:rsidR="002472D5">
        <w:rPr>
          <w:rFonts w:ascii="Courier New" w:eastAsia="Courier New" w:hAnsi="Courier New" w:cs="Courier New"/>
          <w:sz w:val="24"/>
          <w:szCs w:val="24"/>
        </w:rPr>
        <w:t>the Massachusetts sales tax</w:t>
      </w:r>
      <w:r w:rsidR="00E67362">
        <w:rPr>
          <w:rFonts w:ascii="Courier New" w:eastAsia="Courier New" w:hAnsi="Courier New" w:cs="Courier New"/>
          <w:sz w:val="24"/>
          <w:szCs w:val="24"/>
        </w:rPr>
        <w:t>,</w:t>
      </w:r>
      <w:r w:rsidR="002472D5">
        <w:rPr>
          <w:rFonts w:ascii="Courier New" w:eastAsia="Courier New" w:hAnsi="Courier New" w:cs="Courier New"/>
          <w:sz w:val="24"/>
          <w:szCs w:val="24"/>
        </w:rPr>
        <w:t xml:space="preserve"> </w:t>
      </w:r>
      <w:r w:rsidR="00B4361F">
        <w:rPr>
          <w:rFonts w:ascii="Courier New" w:eastAsia="Courier New" w:hAnsi="Courier New" w:cs="Courier New"/>
          <w:sz w:val="24"/>
          <w:szCs w:val="24"/>
        </w:rPr>
        <w:t xml:space="preserve">and that </w:t>
      </w:r>
      <w:r w:rsidR="002472D5">
        <w:rPr>
          <w:rFonts w:ascii="Courier New" w:eastAsia="Courier New" w:hAnsi="Courier New" w:cs="Courier New"/>
          <w:sz w:val="24"/>
          <w:szCs w:val="24"/>
        </w:rPr>
        <w:t xml:space="preserve">customers </w:t>
      </w:r>
      <w:r w:rsidR="005D1E63">
        <w:rPr>
          <w:rFonts w:ascii="Courier New" w:eastAsia="Courier New" w:hAnsi="Courier New" w:cs="Courier New"/>
          <w:sz w:val="24"/>
          <w:szCs w:val="24"/>
        </w:rPr>
        <w:t xml:space="preserve">could not have deliveries scheduled for the </w:t>
      </w:r>
      <w:r w:rsidR="008E5397">
        <w:rPr>
          <w:rFonts w:ascii="Courier New" w:eastAsia="Courier New" w:hAnsi="Courier New" w:cs="Courier New"/>
          <w:sz w:val="24"/>
          <w:szCs w:val="24"/>
        </w:rPr>
        <w:t xml:space="preserve">Sales </w:t>
      </w:r>
      <w:r w:rsidR="005D1E63">
        <w:rPr>
          <w:rFonts w:ascii="Courier New" w:eastAsia="Courier New" w:hAnsi="Courier New" w:cs="Courier New"/>
          <w:sz w:val="24"/>
          <w:szCs w:val="24"/>
        </w:rPr>
        <w:t>Tax Holidays.</w:t>
      </w:r>
      <w:r w:rsidR="005D1E63">
        <w:rPr>
          <w:rStyle w:val="FootnoteReference"/>
          <w:rFonts w:ascii="Courier New" w:eastAsia="Courier New" w:hAnsi="Courier New" w:cs="Courier New"/>
          <w:sz w:val="24"/>
          <w:szCs w:val="24"/>
        </w:rPr>
        <w:footnoteReference w:id="6"/>
      </w:r>
      <w:r w:rsidR="00B4361F">
        <w:rPr>
          <w:rFonts w:ascii="Courier New" w:eastAsia="Courier New" w:hAnsi="Courier New" w:cs="Courier New"/>
          <w:sz w:val="24"/>
          <w:szCs w:val="24"/>
        </w:rPr>
        <w:t xml:space="preserve"> </w:t>
      </w:r>
      <w:r w:rsidR="008D450A">
        <w:rPr>
          <w:rFonts w:ascii="Courier New" w:eastAsia="Courier New" w:hAnsi="Courier New" w:cs="Courier New"/>
          <w:sz w:val="24"/>
          <w:szCs w:val="24"/>
        </w:rPr>
        <w:t xml:space="preserve"> </w:t>
      </w:r>
    </w:p>
    <w:p w:rsidR="002B0F50" w:rsidRDefault="0097316A"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lastRenderedPageBreak/>
        <w:t>On the basis of the above</w:t>
      </w:r>
      <w:r w:rsidR="008B0C87">
        <w:rPr>
          <w:rFonts w:ascii="Courier New" w:eastAsia="Courier New" w:hAnsi="Courier New" w:cs="Courier New"/>
          <w:sz w:val="24"/>
          <w:szCs w:val="24"/>
        </w:rPr>
        <w:t>,</w:t>
      </w:r>
      <w:r>
        <w:rPr>
          <w:rFonts w:ascii="Courier New" w:eastAsia="Courier New" w:hAnsi="Courier New" w:cs="Courier New"/>
          <w:sz w:val="24"/>
          <w:szCs w:val="24"/>
        </w:rPr>
        <w:t xml:space="preserve"> the evidence of record</w:t>
      </w:r>
      <w:r w:rsidR="00B005DB">
        <w:rPr>
          <w:rFonts w:ascii="Courier New" w:eastAsia="Courier New" w:hAnsi="Courier New" w:cs="Courier New"/>
          <w:sz w:val="24"/>
          <w:szCs w:val="24"/>
        </w:rPr>
        <w:t>,</w:t>
      </w:r>
      <w:r>
        <w:rPr>
          <w:rFonts w:ascii="Courier New" w:eastAsia="Courier New" w:hAnsi="Courier New" w:cs="Courier New"/>
          <w:sz w:val="24"/>
          <w:szCs w:val="24"/>
        </w:rPr>
        <w:t xml:space="preserve"> and the Statement of Agreed Facts</w:t>
      </w:r>
      <w:r w:rsidR="008B0C87">
        <w:rPr>
          <w:rFonts w:ascii="Courier New" w:eastAsia="Courier New" w:hAnsi="Courier New" w:cs="Courier New"/>
          <w:sz w:val="24"/>
          <w:szCs w:val="24"/>
        </w:rPr>
        <w:t>,</w:t>
      </w:r>
      <w:r w:rsidR="002806F7">
        <w:rPr>
          <w:rFonts w:ascii="Courier New" w:eastAsia="Courier New" w:hAnsi="Courier New" w:cs="Courier New"/>
          <w:sz w:val="24"/>
          <w:szCs w:val="24"/>
        </w:rPr>
        <w:t xml:space="preserve"> and as discussed further in the opinion</w:t>
      </w:r>
      <w:r>
        <w:rPr>
          <w:rFonts w:ascii="Courier New" w:eastAsia="Courier New" w:hAnsi="Courier New" w:cs="Courier New"/>
          <w:sz w:val="24"/>
          <w:szCs w:val="24"/>
        </w:rPr>
        <w:t xml:space="preserve">, the Board found that the sales at issue qualified as </w:t>
      </w:r>
      <w:r w:rsidR="00586E3D">
        <w:rPr>
          <w:rFonts w:ascii="Courier New" w:eastAsia="Courier New" w:hAnsi="Courier New" w:cs="Courier New"/>
          <w:sz w:val="24"/>
          <w:szCs w:val="24"/>
        </w:rPr>
        <w:t xml:space="preserve">exempt </w:t>
      </w:r>
      <w:r>
        <w:rPr>
          <w:rFonts w:ascii="Courier New" w:eastAsia="Courier New" w:hAnsi="Courier New" w:cs="Courier New"/>
          <w:sz w:val="24"/>
          <w:szCs w:val="24"/>
        </w:rPr>
        <w:t xml:space="preserve">sales contemplated by the </w:t>
      </w:r>
      <w:r w:rsidR="008E5397">
        <w:rPr>
          <w:rFonts w:ascii="Courier New" w:eastAsia="Courier New" w:hAnsi="Courier New" w:cs="Courier New"/>
          <w:sz w:val="24"/>
          <w:szCs w:val="24"/>
        </w:rPr>
        <w:t xml:space="preserve">Sales </w:t>
      </w:r>
      <w:r>
        <w:rPr>
          <w:rFonts w:ascii="Courier New" w:eastAsia="Courier New" w:hAnsi="Courier New" w:cs="Courier New"/>
          <w:sz w:val="24"/>
          <w:szCs w:val="24"/>
        </w:rPr>
        <w:t>Tax Holiday Legislation.</w:t>
      </w:r>
      <w:r w:rsidR="00586E3D">
        <w:rPr>
          <w:rFonts w:ascii="Courier New" w:eastAsia="Courier New" w:hAnsi="Courier New" w:cs="Courier New"/>
          <w:sz w:val="24"/>
          <w:szCs w:val="24"/>
        </w:rPr>
        <w:t xml:space="preserve"> The sales at issue qualified as sales made during the </w:t>
      </w:r>
      <w:r w:rsidR="008E5397">
        <w:rPr>
          <w:rFonts w:ascii="Courier New" w:eastAsia="Courier New" w:hAnsi="Courier New" w:cs="Courier New"/>
          <w:sz w:val="24"/>
          <w:szCs w:val="24"/>
        </w:rPr>
        <w:t xml:space="preserve">Sales </w:t>
      </w:r>
      <w:r w:rsidR="00586E3D">
        <w:rPr>
          <w:rFonts w:ascii="Courier New" w:eastAsia="Courier New" w:hAnsi="Courier New" w:cs="Courier New"/>
          <w:sz w:val="24"/>
          <w:szCs w:val="24"/>
        </w:rPr>
        <w:t xml:space="preserve">Tax Holidays, not prior sales or layaway sales, and payment in full occurred through the appellant’s process of cancelling and rewriting the sales at issue during the </w:t>
      </w:r>
      <w:r w:rsidR="008E5397">
        <w:rPr>
          <w:rFonts w:ascii="Courier New" w:eastAsia="Courier New" w:hAnsi="Courier New" w:cs="Courier New"/>
          <w:sz w:val="24"/>
          <w:szCs w:val="24"/>
        </w:rPr>
        <w:t xml:space="preserve">Sales </w:t>
      </w:r>
      <w:r w:rsidR="00586E3D">
        <w:rPr>
          <w:rFonts w:ascii="Courier New" w:eastAsia="Courier New" w:hAnsi="Courier New" w:cs="Courier New"/>
          <w:sz w:val="24"/>
          <w:szCs w:val="24"/>
        </w:rPr>
        <w:t xml:space="preserve">Tax Holidays. The Board found that the appellant’s policy of permitting customers to cancel </w:t>
      </w:r>
      <w:r w:rsidR="000F05CE">
        <w:rPr>
          <w:rFonts w:ascii="Courier New" w:eastAsia="Courier New" w:hAnsi="Courier New" w:cs="Courier New"/>
          <w:sz w:val="24"/>
          <w:szCs w:val="24"/>
        </w:rPr>
        <w:t xml:space="preserve">open </w:t>
      </w:r>
      <w:r w:rsidR="00586E3D">
        <w:rPr>
          <w:rFonts w:ascii="Courier New" w:eastAsia="Courier New" w:hAnsi="Courier New" w:cs="Courier New"/>
          <w:sz w:val="24"/>
          <w:szCs w:val="24"/>
        </w:rPr>
        <w:t xml:space="preserve">orders anytime prior to taking receipt of the items was a longstanding </w:t>
      </w:r>
      <w:r w:rsidR="00696931">
        <w:rPr>
          <w:rFonts w:ascii="Courier New" w:eastAsia="Courier New" w:hAnsi="Courier New" w:cs="Courier New"/>
          <w:sz w:val="24"/>
          <w:szCs w:val="24"/>
        </w:rPr>
        <w:t xml:space="preserve">general company </w:t>
      </w:r>
      <w:r w:rsidR="00586E3D">
        <w:rPr>
          <w:rFonts w:ascii="Courier New" w:eastAsia="Courier New" w:hAnsi="Courier New" w:cs="Courier New"/>
          <w:sz w:val="24"/>
          <w:szCs w:val="24"/>
        </w:rPr>
        <w:t>policy</w:t>
      </w:r>
      <w:r w:rsidR="00696931">
        <w:rPr>
          <w:rFonts w:ascii="Courier New" w:eastAsia="Courier New" w:hAnsi="Courier New" w:cs="Courier New"/>
          <w:sz w:val="24"/>
          <w:szCs w:val="24"/>
        </w:rPr>
        <w:t xml:space="preserve"> upon which customers relied</w:t>
      </w:r>
      <w:r w:rsidR="009861F4">
        <w:rPr>
          <w:rFonts w:ascii="Courier New" w:eastAsia="Courier New" w:hAnsi="Courier New" w:cs="Courier New"/>
          <w:sz w:val="24"/>
          <w:szCs w:val="24"/>
        </w:rPr>
        <w:t>.</w:t>
      </w:r>
      <w:r w:rsidR="0085503A">
        <w:rPr>
          <w:rFonts w:ascii="Courier New" w:eastAsia="Courier New" w:hAnsi="Courier New" w:cs="Courier New"/>
          <w:sz w:val="24"/>
          <w:szCs w:val="24"/>
        </w:rPr>
        <w:t xml:space="preserve"> </w:t>
      </w:r>
    </w:p>
    <w:p w:rsidR="002B0F50" w:rsidRDefault="00696931"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Board </w:t>
      </w:r>
      <w:r w:rsidR="002B0F50">
        <w:rPr>
          <w:rFonts w:ascii="Courier New" w:eastAsia="Courier New" w:hAnsi="Courier New" w:cs="Courier New"/>
          <w:sz w:val="24"/>
          <w:szCs w:val="24"/>
        </w:rPr>
        <w:t xml:space="preserve">further </w:t>
      </w:r>
      <w:r>
        <w:rPr>
          <w:rFonts w:ascii="Courier New" w:eastAsia="Courier New" w:hAnsi="Courier New" w:cs="Courier New"/>
          <w:sz w:val="24"/>
          <w:szCs w:val="24"/>
        </w:rPr>
        <w:t>found that</w:t>
      </w:r>
      <w:r w:rsidR="002B0F50">
        <w:rPr>
          <w:rFonts w:ascii="Courier New" w:eastAsia="Courier New" w:hAnsi="Courier New" w:cs="Courier New"/>
          <w:sz w:val="24"/>
          <w:szCs w:val="24"/>
        </w:rPr>
        <w:t xml:space="preserve"> </w:t>
      </w:r>
      <w:r>
        <w:rPr>
          <w:rFonts w:ascii="Courier New" w:eastAsia="Courier New" w:hAnsi="Courier New" w:cs="Courier New"/>
          <w:sz w:val="24"/>
          <w:szCs w:val="24"/>
        </w:rPr>
        <w:t xml:space="preserve">the appellant took </w:t>
      </w:r>
      <w:r w:rsidR="008B0C87">
        <w:rPr>
          <w:rFonts w:ascii="Courier New" w:eastAsia="Courier New" w:hAnsi="Courier New" w:cs="Courier New"/>
          <w:sz w:val="24"/>
          <w:szCs w:val="24"/>
        </w:rPr>
        <w:t xml:space="preserve">an excess of caution in trying to adhere to the </w:t>
      </w:r>
      <w:r w:rsidR="008E5397">
        <w:rPr>
          <w:rFonts w:ascii="Courier New" w:eastAsia="Courier New" w:hAnsi="Courier New" w:cs="Courier New"/>
          <w:sz w:val="24"/>
          <w:szCs w:val="24"/>
        </w:rPr>
        <w:t xml:space="preserve">Sales </w:t>
      </w:r>
      <w:r w:rsidR="008B0C87">
        <w:rPr>
          <w:rFonts w:ascii="Courier New" w:eastAsia="Courier New" w:hAnsi="Courier New" w:cs="Courier New"/>
          <w:sz w:val="24"/>
          <w:szCs w:val="24"/>
        </w:rPr>
        <w:t xml:space="preserve">Tax Holiday Legislation, going so far as forbidding employees to initiate discussions about the </w:t>
      </w:r>
      <w:r w:rsidR="008E5397">
        <w:rPr>
          <w:rFonts w:ascii="Courier New" w:eastAsia="Courier New" w:hAnsi="Courier New" w:cs="Courier New"/>
          <w:sz w:val="24"/>
          <w:szCs w:val="24"/>
        </w:rPr>
        <w:t xml:space="preserve">Sales </w:t>
      </w:r>
      <w:r w:rsidR="008B0C87">
        <w:rPr>
          <w:rFonts w:ascii="Courier New" w:eastAsia="Courier New" w:hAnsi="Courier New" w:cs="Courier New"/>
          <w:sz w:val="24"/>
          <w:szCs w:val="24"/>
        </w:rPr>
        <w:t xml:space="preserve">Tax Holidays or telling customers </w:t>
      </w:r>
      <w:r w:rsidR="00B500E0">
        <w:rPr>
          <w:rFonts w:ascii="Courier New" w:eastAsia="Courier New" w:hAnsi="Courier New" w:cs="Courier New"/>
          <w:sz w:val="24"/>
          <w:szCs w:val="24"/>
        </w:rPr>
        <w:t xml:space="preserve">who wished to cancel and have their orders rewritten </w:t>
      </w:r>
      <w:r w:rsidR="008B0C87">
        <w:rPr>
          <w:rFonts w:ascii="Courier New" w:eastAsia="Courier New" w:hAnsi="Courier New" w:cs="Courier New"/>
          <w:sz w:val="24"/>
          <w:szCs w:val="24"/>
        </w:rPr>
        <w:t xml:space="preserve">that pickup or delivery could not occur on the </w:t>
      </w:r>
      <w:r w:rsidR="008E5397">
        <w:rPr>
          <w:rFonts w:ascii="Courier New" w:eastAsia="Courier New" w:hAnsi="Courier New" w:cs="Courier New"/>
          <w:sz w:val="24"/>
          <w:szCs w:val="24"/>
        </w:rPr>
        <w:t xml:space="preserve">Sales </w:t>
      </w:r>
      <w:r w:rsidR="008B0C87">
        <w:rPr>
          <w:rFonts w:ascii="Courier New" w:eastAsia="Courier New" w:hAnsi="Courier New" w:cs="Courier New"/>
          <w:sz w:val="24"/>
          <w:szCs w:val="24"/>
        </w:rPr>
        <w:t xml:space="preserve">Tax Holidays, neither of which is forbidden by the </w:t>
      </w:r>
      <w:r w:rsidR="008E5397">
        <w:rPr>
          <w:rFonts w:ascii="Courier New" w:eastAsia="Courier New" w:hAnsi="Courier New" w:cs="Courier New"/>
          <w:sz w:val="24"/>
          <w:szCs w:val="24"/>
        </w:rPr>
        <w:t>Sales Tax Holiday</w:t>
      </w:r>
      <w:r w:rsidR="008B0C87">
        <w:rPr>
          <w:rFonts w:ascii="Courier New" w:eastAsia="Courier New" w:hAnsi="Courier New" w:cs="Courier New"/>
          <w:sz w:val="24"/>
          <w:szCs w:val="24"/>
        </w:rPr>
        <w:t xml:space="preserve"> Legislation.</w:t>
      </w:r>
      <w:r w:rsidR="0093168A">
        <w:rPr>
          <w:rFonts w:ascii="Courier New" w:eastAsia="Courier New" w:hAnsi="Courier New" w:cs="Courier New"/>
          <w:sz w:val="24"/>
          <w:szCs w:val="24"/>
        </w:rPr>
        <w:t xml:space="preserve"> </w:t>
      </w:r>
    </w:p>
    <w:p w:rsidR="004C3244" w:rsidRDefault="0093168A" w:rsidP="00E55492">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Accordingly, the Board found that the appellant was entitled to abatement</w:t>
      </w:r>
      <w:r w:rsidR="001E1C4F">
        <w:rPr>
          <w:rFonts w:ascii="Courier New" w:eastAsia="Courier New" w:hAnsi="Courier New" w:cs="Courier New"/>
          <w:sz w:val="24"/>
          <w:szCs w:val="24"/>
        </w:rPr>
        <w:t>s</w:t>
      </w:r>
      <w:r>
        <w:rPr>
          <w:rFonts w:ascii="Courier New" w:eastAsia="Courier New" w:hAnsi="Courier New" w:cs="Courier New"/>
          <w:sz w:val="24"/>
          <w:szCs w:val="24"/>
        </w:rPr>
        <w:t xml:space="preserve"> for the </w:t>
      </w:r>
      <w:r w:rsidR="009861F4">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periods ending August 31, 2010, August 31, 2011, and August 31, 2012, on the basis that the sales at issue were not subject to sales tax. Further, the Board found that the appellant was entitled to an abatement of </w:t>
      </w:r>
      <w:r>
        <w:rPr>
          <w:rFonts w:ascii="Courier New" w:eastAsia="Courier New" w:hAnsi="Courier New" w:cs="Courier New"/>
          <w:sz w:val="24"/>
          <w:szCs w:val="24"/>
        </w:rPr>
        <w:lastRenderedPageBreak/>
        <w:t xml:space="preserve">any corresponding penalties imposed by the Commissioner pursuant to G.L. c. 62C, § 35A since the underlying tax upon which the penalties were imposed </w:t>
      </w:r>
      <w:r w:rsidR="00B044BE">
        <w:rPr>
          <w:rFonts w:ascii="Courier New" w:eastAsia="Courier New" w:hAnsi="Courier New" w:cs="Courier New"/>
          <w:sz w:val="24"/>
          <w:szCs w:val="24"/>
        </w:rPr>
        <w:t>was improper</w:t>
      </w:r>
      <w:r w:rsidR="00BD5C00">
        <w:rPr>
          <w:rFonts w:ascii="Courier New" w:eastAsia="Courier New" w:hAnsi="Courier New" w:cs="Courier New"/>
          <w:sz w:val="24"/>
          <w:szCs w:val="24"/>
        </w:rPr>
        <w:t>ly assessed</w:t>
      </w:r>
      <w:r>
        <w:rPr>
          <w:rFonts w:ascii="Courier New" w:eastAsia="Courier New" w:hAnsi="Courier New" w:cs="Courier New"/>
          <w:sz w:val="24"/>
          <w:szCs w:val="24"/>
        </w:rPr>
        <w:t xml:space="preserve">.   </w:t>
      </w:r>
    </w:p>
    <w:p w:rsidR="00693C58" w:rsidRPr="002C3080" w:rsidRDefault="00693C58" w:rsidP="002C3080">
      <w:pPr>
        <w:spacing w:line="480" w:lineRule="auto"/>
        <w:jc w:val="center"/>
        <w:rPr>
          <w:rFonts w:ascii="Courier New" w:hAnsi="Courier New" w:cs="Courier New"/>
          <w:b/>
          <w:sz w:val="24"/>
          <w:szCs w:val="24"/>
        </w:rPr>
      </w:pPr>
      <w:r w:rsidRPr="002C3080">
        <w:rPr>
          <w:rFonts w:ascii="Courier New" w:hAnsi="Courier New" w:cs="Courier New"/>
          <w:b/>
          <w:sz w:val="24"/>
          <w:szCs w:val="24"/>
        </w:rPr>
        <w:t>OPINION</w:t>
      </w:r>
    </w:p>
    <w:p w:rsidR="002C3080" w:rsidRDefault="009C4649" w:rsidP="006C0E50">
      <w:pPr>
        <w:spacing w:line="240" w:lineRule="auto"/>
        <w:jc w:val="both"/>
        <w:rPr>
          <w:rFonts w:ascii="Courier New" w:hAnsi="Courier New" w:cs="Courier New"/>
          <w:sz w:val="24"/>
          <w:szCs w:val="24"/>
        </w:rPr>
      </w:pPr>
      <w:r w:rsidRPr="000759E9">
        <w:rPr>
          <w:rFonts w:ascii="Courier New" w:hAnsi="Courier New" w:cs="Courier New"/>
          <w:b/>
          <w:sz w:val="24"/>
          <w:szCs w:val="24"/>
        </w:rPr>
        <w:t>I.</w:t>
      </w:r>
      <w:r>
        <w:rPr>
          <w:rFonts w:ascii="Courier New" w:hAnsi="Courier New" w:cs="Courier New"/>
          <w:sz w:val="24"/>
          <w:szCs w:val="24"/>
        </w:rPr>
        <w:t xml:space="preserve"> </w:t>
      </w:r>
      <w:r w:rsidRPr="000759E9">
        <w:rPr>
          <w:rFonts w:ascii="Courier New" w:hAnsi="Courier New" w:cs="Courier New"/>
          <w:b/>
          <w:sz w:val="24"/>
          <w:szCs w:val="24"/>
        </w:rPr>
        <w:t xml:space="preserve">The Sales at Issue Met the Requisites of the </w:t>
      </w:r>
      <w:r w:rsidR="003505C6">
        <w:rPr>
          <w:rFonts w:ascii="Courier New" w:hAnsi="Courier New" w:cs="Courier New"/>
          <w:b/>
          <w:sz w:val="24"/>
          <w:szCs w:val="24"/>
        </w:rPr>
        <w:t xml:space="preserve">Sales </w:t>
      </w:r>
      <w:r w:rsidRPr="000759E9">
        <w:rPr>
          <w:rFonts w:ascii="Courier New" w:hAnsi="Courier New" w:cs="Courier New"/>
          <w:b/>
          <w:sz w:val="24"/>
          <w:szCs w:val="24"/>
        </w:rPr>
        <w:t>Tax Holiday Legislation</w:t>
      </w:r>
      <w:r w:rsidR="000759E9">
        <w:rPr>
          <w:rFonts w:ascii="Courier New" w:hAnsi="Courier New" w:cs="Courier New"/>
          <w:sz w:val="24"/>
          <w:szCs w:val="24"/>
        </w:rPr>
        <w:t>.</w:t>
      </w:r>
    </w:p>
    <w:p w:rsidR="006C0E50" w:rsidRDefault="006C0E50" w:rsidP="006C0E50">
      <w:pPr>
        <w:spacing w:line="240" w:lineRule="auto"/>
        <w:jc w:val="both"/>
        <w:rPr>
          <w:rFonts w:ascii="Courier New" w:hAnsi="Courier New" w:cs="Courier New"/>
          <w:sz w:val="24"/>
          <w:szCs w:val="24"/>
        </w:rPr>
      </w:pPr>
    </w:p>
    <w:p w:rsidR="008411FB" w:rsidRDefault="003505C6" w:rsidP="003505C6">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Under G.L. c. 64H, § 2, vendors making retail sales in Massachusetts of tangible personal property must pay an excise equal to 6.25 percent of all such sales and file returns as prescribed in G.L. c. 62C, § 16. The excise is paid by the purchaser to the vendor, which is obligated to remit the excise to Massachusetts. </w:t>
      </w:r>
      <w:r w:rsidRPr="003505C6">
        <w:rPr>
          <w:rFonts w:ascii="Courier New" w:eastAsia="Courier New" w:hAnsi="Courier New" w:cs="Courier New"/>
          <w:i/>
          <w:sz w:val="24"/>
          <w:szCs w:val="24"/>
        </w:rPr>
        <w:t>See</w:t>
      </w:r>
      <w:r>
        <w:rPr>
          <w:rFonts w:ascii="Courier New" w:eastAsia="Courier New" w:hAnsi="Courier New" w:cs="Courier New"/>
          <w:sz w:val="24"/>
          <w:szCs w:val="24"/>
        </w:rPr>
        <w:t xml:space="preserve"> G.L. c. 64H, § 3. </w:t>
      </w:r>
      <w:r w:rsidR="008411FB">
        <w:rPr>
          <w:rFonts w:ascii="Courier New" w:eastAsia="Courier New" w:hAnsi="Courier New" w:cs="Courier New"/>
          <w:sz w:val="24"/>
          <w:szCs w:val="24"/>
        </w:rPr>
        <w:t xml:space="preserve">The </w:t>
      </w:r>
      <w:r>
        <w:rPr>
          <w:rFonts w:ascii="Courier New" w:eastAsia="Courier New" w:hAnsi="Courier New" w:cs="Courier New"/>
          <w:sz w:val="24"/>
          <w:szCs w:val="24"/>
        </w:rPr>
        <w:t xml:space="preserve">Sales </w:t>
      </w:r>
      <w:r w:rsidR="008411FB">
        <w:rPr>
          <w:rFonts w:ascii="Courier New" w:eastAsia="Courier New" w:hAnsi="Courier New" w:cs="Courier New"/>
          <w:sz w:val="24"/>
          <w:szCs w:val="24"/>
        </w:rPr>
        <w:t xml:space="preserve">Tax Holiday </w:t>
      </w:r>
      <w:r w:rsidR="0084263C">
        <w:rPr>
          <w:rFonts w:ascii="Courier New" w:eastAsia="Courier New" w:hAnsi="Courier New" w:cs="Courier New"/>
          <w:sz w:val="24"/>
          <w:szCs w:val="24"/>
        </w:rPr>
        <w:t>Legislation</w:t>
      </w:r>
      <w:r w:rsidR="008411FB">
        <w:rPr>
          <w:rFonts w:ascii="Courier New" w:eastAsia="Courier New" w:hAnsi="Courier New" w:cs="Courier New"/>
          <w:sz w:val="24"/>
          <w:szCs w:val="24"/>
        </w:rPr>
        <w:t xml:space="preserve"> for </w:t>
      </w:r>
      <w:r w:rsidR="00DF2CE7">
        <w:rPr>
          <w:rFonts w:ascii="Courier New" w:eastAsia="Courier New" w:hAnsi="Courier New" w:cs="Courier New"/>
          <w:sz w:val="24"/>
          <w:szCs w:val="24"/>
        </w:rPr>
        <w:t>the monthly periods ending August 31, 2010, August 31, 2011, and August 31, 2012</w:t>
      </w:r>
      <w:r w:rsidR="008411FB">
        <w:rPr>
          <w:rFonts w:ascii="Courier New" w:eastAsia="Courier New" w:hAnsi="Courier New" w:cs="Courier New"/>
          <w:sz w:val="24"/>
          <w:szCs w:val="24"/>
        </w:rPr>
        <w:t xml:space="preserve"> provide</w:t>
      </w:r>
      <w:r w:rsidR="00DF2CE7">
        <w:rPr>
          <w:rFonts w:ascii="Courier New" w:eastAsia="Courier New" w:hAnsi="Courier New" w:cs="Courier New"/>
          <w:sz w:val="24"/>
          <w:szCs w:val="24"/>
        </w:rPr>
        <w:t>d</w:t>
      </w:r>
      <w:r w:rsidR="008411FB">
        <w:rPr>
          <w:rFonts w:ascii="Courier New" w:eastAsia="Courier New" w:hAnsi="Courier New" w:cs="Courier New"/>
          <w:sz w:val="24"/>
          <w:szCs w:val="24"/>
        </w:rPr>
        <w:t xml:space="preserve"> </w:t>
      </w:r>
      <w:r w:rsidR="000C6DA8">
        <w:rPr>
          <w:rFonts w:ascii="Courier New" w:eastAsia="Courier New" w:hAnsi="Courier New" w:cs="Courier New"/>
          <w:sz w:val="24"/>
          <w:szCs w:val="24"/>
        </w:rPr>
        <w:t>an exception to th</w:t>
      </w:r>
      <w:r w:rsidR="00DF2CE7">
        <w:rPr>
          <w:rFonts w:ascii="Courier New" w:eastAsia="Courier New" w:hAnsi="Courier New" w:cs="Courier New"/>
          <w:sz w:val="24"/>
          <w:szCs w:val="24"/>
        </w:rPr>
        <w:t>is</w:t>
      </w:r>
      <w:r w:rsidR="000C6DA8">
        <w:rPr>
          <w:rFonts w:ascii="Courier New" w:eastAsia="Courier New" w:hAnsi="Courier New" w:cs="Courier New"/>
          <w:sz w:val="24"/>
          <w:szCs w:val="24"/>
        </w:rPr>
        <w:t xml:space="preserve"> standard rule</w:t>
      </w:r>
      <w:r w:rsidR="00DF2CE7">
        <w:rPr>
          <w:rFonts w:ascii="Courier New" w:eastAsia="Courier New" w:hAnsi="Courier New" w:cs="Courier New"/>
          <w:sz w:val="24"/>
          <w:szCs w:val="24"/>
        </w:rPr>
        <w:t>,</w:t>
      </w:r>
      <w:r w:rsidR="000C6DA8">
        <w:rPr>
          <w:rFonts w:ascii="Courier New" w:eastAsia="Courier New" w:hAnsi="Courier New" w:cs="Courier New"/>
          <w:sz w:val="24"/>
          <w:szCs w:val="24"/>
        </w:rPr>
        <w:t xml:space="preserve"> stating </w:t>
      </w:r>
      <w:r w:rsidR="008411FB">
        <w:rPr>
          <w:rFonts w:ascii="Courier New" w:eastAsia="Courier New" w:hAnsi="Courier New" w:cs="Courier New"/>
          <w:sz w:val="24"/>
          <w:szCs w:val="24"/>
        </w:rPr>
        <w:t>in pertinent part that</w:t>
      </w:r>
    </w:p>
    <w:p w:rsidR="008411FB" w:rsidRDefault="008411FB" w:rsidP="008411FB">
      <w:pPr>
        <w:pStyle w:val="Normal1"/>
        <w:ind w:left="720" w:right="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[f]or the [days identified as </w:t>
      </w:r>
      <w:r w:rsidR="008E5397">
        <w:rPr>
          <w:rFonts w:ascii="Courier New" w:eastAsia="Courier New" w:hAnsi="Courier New" w:cs="Courier New"/>
          <w:sz w:val="24"/>
          <w:szCs w:val="24"/>
        </w:rPr>
        <w:t xml:space="preserve">Sales </w:t>
      </w:r>
      <w:r w:rsidR="0084263C">
        <w:rPr>
          <w:rFonts w:ascii="Courier New" w:eastAsia="Courier New" w:hAnsi="Courier New" w:cs="Courier New"/>
          <w:sz w:val="24"/>
          <w:szCs w:val="24"/>
        </w:rPr>
        <w:t>Tax Holidays</w:t>
      </w:r>
      <w:r>
        <w:rPr>
          <w:rFonts w:ascii="Courier New" w:eastAsia="Courier New" w:hAnsi="Courier New" w:cs="Courier New"/>
          <w:sz w:val="24"/>
          <w:szCs w:val="24"/>
        </w:rPr>
        <w:t xml:space="preserve">], an excise shall not be imposed upon nonbusiness sales at retail of tangible personal property . . . . [A] vendor shall not add to the sales price </w:t>
      </w:r>
      <w:r w:rsidR="0084263C">
        <w:rPr>
          <w:rFonts w:ascii="Courier New" w:eastAsia="Courier New" w:hAnsi="Courier New" w:cs="Courier New"/>
          <w:sz w:val="24"/>
          <w:szCs w:val="24"/>
        </w:rPr>
        <w:t>or collect from a nonbusiness purchaser</w:t>
      </w:r>
      <w:r>
        <w:rPr>
          <w:rFonts w:ascii="Courier New" w:eastAsia="Courier New" w:hAnsi="Courier New" w:cs="Courier New"/>
          <w:sz w:val="24"/>
          <w:szCs w:val="24"/>
        </w:rPr>
        <w:t xml:space="preserve"> an excise upon sales at retail of tangible personal property . . . . The commissioner of revenue shall not require a vendor to collect and pay excise upon sales at retail of tangible personal property purchased </w:t>
      </w:r>
      <w:r w:rsidR="0084263C">
        <w:rPr>
          <w:rFonts w:ascii="Courier New" w:eastAsia="Courier New" w:hAnsi="Courier New" w:cs="Courier New"/>
          <w:sz w:val="24"/>
          <w:szCs w:val="24"/>
        </w:rPr>
        <w:t xml:space="preserve">on [the </w:t>
      </w:r>
      <w:r w:rsidR="008E5397">
        <w:rPr>
          <w:rFonts w:ascii="Courier New" w:eastAsia="Courier New" w:hAnsi="Courier New" w:cs="Courier New"/>
          <w:sz w:val="24"/>
          <w:szCs w:val="24"/>
        </w:rPr>
        <w:t xml:space="preserve">Sales </w:t>
      </w:r>
      <w:r w:rsidR="0084263C">
        <w:rPr>
          <w:rFonts w:ascii="Courier New" w:eastAsia="Courier New" w:hAnsi="Courier New" w:cs="Courier New"/>
          <w:sz w:val="24"/>
          <w:szCs w:val="24"/>
        </w:rPr>
        <w:t>Tax Holidays]</w:t>
      </w:r>
      <w:r>
        <w:rPr>
          <w:rFonts w:ascii="Courier New" w:eastAsia="Courier New" w:hAnsi="Courier New" w:cs="Courier New"/>
          <w:sz w:val="24"/>
          <w:szCs w:val="24"/>
        </w:rPr>
        <w:t>.</w:t>
      </w:r>
    </w:p>
    <w:p w:rsidR="008411FB" w:rsidRDefault="008411FB" w:rsidP="008411FB">
      <w:pPr>
        <w:pStyle w:val="Normal1"/>
        <w:ind w:left="1440"/>
        <w:contextualSpacing w:val="0"/>
        <w:jc w:val="both"/>
        <w:rPr>
          <w:rFonts w:ascii="Courier New" w:eastAsia="Courier New" w:hAnsi="Courier New" w:cs="Courier New"/>
          <w:sz w:val="24"/>
          <w:szCs w:val="24"/>
        </w:rPr>
      </w:pPr>
    </w:p>
    <w:p w:rsidR="00F06F18" w:rsidRDefault="0084263C" w:rsidP="008411FB">
      <w:pPr>
        <w:pStyle w:val="Normal1"/>
        <w:spacing w:line="480" w:lineRule="auto"/>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St. 2012, c. 238, § 80; St. 2011, c. 86; St. 2010, c. 240, §§ 174–79. </w:t>
      </w:r>
      <w:r w:rsidR="008411FB">
        <w:rPr>
          <w:rFonts w:ascii="Courier New" w:eastAsia="Courier New" w:hAnsi="Courier New" w:cs="Courier New"/>
          <w:sz w:val="24"/>
          <w:szCs w:val="24"/>
        </w:rPr>
        <w:t xml:space="preserve">The </w:t>
      </w:r>
      <w:r w:rsidR="00DF2CE7">
        <w:rPr>
          <w:rFonts w:ascii="Courier New" w:eastAsia="Courier New" w:hAnsi="Courier New" w:cs="Courier New"/>
          <w:sz w:val="24"/>
          <w:szCs w:val="24"/>
        </w:rPr>
        <w:t xml:space="preserve">Sales </w:t>
      </w:r>
      <w:r w:rsidR="008411FB">
        <w:rPr>
          <w:rFonts w:ascii="Courier New" w:eastAsia="Courier New" w:hAnsi="Courier New" w:cs="Courier New"/>
          <w:sz w:val="24"/>
          <w:szCs w:val="24"/>
        </w:rPr>
        <w:t xml:space="preserve">Tax Holiday </w:t>
      </w:r>
      <w:r>
        <w:rPr>
          <w:rFonts w:ascii="Courier New" w:eastAsia="Courier New" w:hAnsi="Courier New" w:cs="Courier New"/>
          <w:sz w:val="24"/>
          <w:szCs w:val="24"/>
        </w:rPr>
        <w:t>Legislation</w:t>
      </w:r>
      <w:r w:rsidR="008411FB">
        <w:rPr>
          <w:rFonts w:ascii="Courier New" w:eastAsia="Courier New" w:hAnsi="Courier New" w:cs="Courier New"/>
          <w:sz w:val="24"/>
          <w:szCs w:val="24"/>
        </w:rPr>
        <w:t xml:space="preserve"> further require</w:t>
      </w:r>
      <w:r w:rsidR="00DF2CE7">
        <w:rPr>
          <w:rFonts w:ascii="Courier New" w:eastAsia="Courier New" w:hAnsi="Courier New" w:cs="Courier New"/>
          <w:sz w:val="24"/>
          <w:szCs w:val="24"/>
        </w:rPr>
        <w:t>d</w:t>
      </w:r>
      <w:r w:rsidR="006B31B4">
        <w:rPr>
          <w:rFonts w:ascii="Courier New" w:eastAsia="Courier New" w:hAnsi="Courier New" w:cs="Courier New"/>
          <w:sz w:val="24"/>
          <w:szCs w:val="24"/>
        </w:rPr>
        <w:t xml:space="preserve"> that “</w:t>
      </w:r>
      <w:r w:rsidR="008411FB">
        <w:rPr>
          <w:rFonts w:ascii="Courier New" w:eastAsia="Courier New" w:hAnsi="Courier New" w:cs="Courier New"/>
          <w:sz w:val="24"/>
          <w:szCs w:val="24"/>
        </w:rPr>
        <w:t xml:space="preserve">eligible sales” </w:t>
      </w:r>
      <w:r w:rsidR="00DF2CE7">
        <w:rPr>
          <w:rFonts w:ascii="Courier New" w:eastAsia="Courier New" w:hAnsi="Courier New" w:cs="Courier New"/>
          <w:sz w:val="24"/>
          <w:szCs w:val="24"/>
        </w:rPr>
        <w:t>were</w:t>
      </w:r>
      <w:r w:rsidR="008411FB">
        <w:rPr>
          <w:rFonts w:ascii="Courier New" w:eastAsia="Courier New" w:hAnsi="Courier New" w:cs="Courier New"/>
          <w:sz w:val="24"/>
          <w:szCs w:val="24"/>
        </w:rPr>
        <w:t xml:space="preserve"> “restricted to those transactions </w:t>
      </w:r>
      <w:r w:rsidR="008411FB">
        <w:rPr>
          <w:rFonts w:ascii="Courier New" w:eastAsia="Courier New" w:hAnsi="Courier New" w:cs="Courier New"/>
          <w:sz w:val="24"/>
          <w:szCs w:val="24"/>
        </w:rPr>
        <w:lastRenderedPageBreak/>
        <w:t>occurring on [</w:t>
      </w:r>
      <w:r>
        <w:rPr>
          <w:rFonts w:ascii="Courier New" w:eastAsia="Courier New" w:hAnsi="Courier New" w:cs="Courier New"/>
          <w:sz w:val="24"/>
          <w:szCs w:val="24"/>
        </w:rPr>
        <w:t>the</w:t>
      </w:r>
      <w:r w:rsidR="008411FB">
        <w:rPr>
          <w:rFonts w:ascii="Courier New" w:eastAsia="Courier New" w:hAnsi="Courier New" w:cs="Courier New"/>
          <w:sz w:val="24"/>
          <w:szCs w:val="24"/>
        </w:rPr>
        <w:t xml:space="preserve"> </w:t>
      </w:r>
      <w:r w:rsidR="008E5397">
        <w:rPr>
          <w:rFonts w:ascii="Courier New" w:eastAsia="Courier New" w:hAnsi="Courier New" w:cs="Courier New"/>
          <w:sz w:val="24"/>
          <w:szCs w:val="24"/>
        </w:rPr>
        <w:t xml:space="preserve">Sales </w:t>
      </w:r>
      <w:r>
        <w:rPr>
          <w:rFonts w:ascii="Courier New" w:eastAsia="Courier New" w:hAnsi="Courier New" w:cs="Courier New"/>
          <w:sz w:val="24"/>
          <w:szCs w:val="24"/>
        </w:rPr>
        <w:t>T</w:t>
      </w:r>
      <w:r w:rsidR="008411FB">
        <w:rPr>
          <w:rFonts w:ascii="Courier New" w:eastAsia="Courier New" w:hAnsi="Courier New" w:cs="Courier New"/>
          <w:sz w:val="24"/>
          <w:szCs w:val="24"/>
        </w:rPr>
        <w:t xml:space="preserve">ax </w:t>
      </w:r>
      <w:r>
        <w:rPr>
          <w:rFonts w:ascii="Courier New" w:eastAsia="Courier New" w:hAnsi="Courier New" w:cs="Courier New"/>
          <w:sz w:val="24"/>
          <w:szCs w:val="24"/>
        </w:rPr>
        <w:t>H</w:t>
      </w:r>
      <w:r w:rsidR="008411FB">
        <w:rPr>
          <w:rFonts w:ascii="Courier New" w:eastAsia="Courier New" w:hAnsi="Courier New" w:cs="Courier New"/>
          <w:sz w:val="24"/>
          <w:szCs w:val="24"/>
        </w:rPr>
        <w:t xml:space="preserve">olidays]” and </w:t>
      </w:r>
      <w:r>
        <w:rPr>
          <w:rFonts w:ascii="Courier New" w:eastAsia="Courier New" w:hAnsi="Courier New" w:cs="Courier New"/>
          <w:sz w:val="24"/>
          <w:szCs w:val="24"/>
        </w:rPr>
        <w:t xml:space="preserve">that </w:t>
      </w:r>
      <w:r w:rsidR="008411FB">
        <w:rPr>
          <w:rFonts w:ascii="Courier New" w:eastAsia="Courier New" w:hAnsi="Courier New" w:cs="Courier New"/>
          <w:sz w:val="24"/>
          <w:szCs w:val="24"/>
        </w:rPr>
        <w:t xml:space="preserve">“[t]ransfer of possession of or payment in full for the property shall occur on 1 of those days [of the </w:t>
      </w:r>
      <w:r w:rsidR="008E5397">
        <w:rPr>
          <w:rFonts w:ascii="Courier New" w:eastAsia="Courier New" w:hAnsi="Courier New" w:cs="Courier New"/>
          <w:sz w:val="24"/>
          <w:szCs w:val="24"/>
        </w:rPr>
        <w:t xml:space="preserve">Sales </w:t>
      </w:r>
      <w:r>
        <w:rPr>
          <w:rFonts w:ascii="Courier New" w:eastAsia="Courier New" w:hAnsi="Courier New" w:cs="Courier New"/>
          <w:sz w:val="24"/>
          <w:szCs w:val="24"/>
        </w:rPr>
        <w:t>T</w:t>
      </w:r>
      <w:r w:rsidR="008411FB">
        <w:rPr>
          <w:rFonts w:ascii="Courier New" w:eastAsia="Courier New" w:hAnsi="Courier New" w:cs="Courier New"/>
          <w:sz w:val="24"/>
          <w:szCs w:val="24"/>
        </w:rPr>
        <w:t xml:space="preserve">ax </w:t>
      </w:r>
      <w:r>
        <w:rPr>
          <w:rFonts w:ascii="Courier New" w:eastAsia="Courier New" w:hAnsi="Courier New" w:cs="Courier New"/>
          <w:sz w:val="24"/>
          <w:szCs w:val="24"/>
        </w:rPr>
        <w:t>H</w:t>
      </w:r>
      <w:r w:rsidR="008411FB">
        <w:rPr>
          <w:rFonts w:ascii="Courier New" w:eastAsia="Courier New" w:hAnsi="Courier New" w:cs="Courier New"/>
          <w:sz w:val="24"/>
          <w:szCs w:val="24"/>
        </w:rPr>
        <w:t>oliday</w:t>
      </w:r>
      <w:r w:rsidR="00AF799D">
        <w:rPr>
          <w:rFonts w:ascii="Courier New" w:eastAsia="Courier New" w:hAnsi="Courier New" w:cs="Courier New"/>
          <w:sz w:val="24"/>
          <w:szCs w:val="24"/>
        </w:rPr>
        <w:t>s</w:t>
      </w:r>
      <w:r w:rsidR="008411FB">
        <w:rPr>
          <w:rFonts w:ascii="Courier New" w:eastAsia="Courier New" w:hAnsi="Courier New" w:cs="Courier New"/>
          <w:sz w:val="24"/>
          <w:szCs w:val="24"/>
        </w:rPr>
        <w:t>]</w:t>
      </w:r>
      <w:r>
        <w:rPr>
          <w:rFonts w:ascii="Courier New" w:eastAsia="Courier New" w:hAnsi="Courier New" w:cs="Courier New"/>
          <w:sz w:val="24"/>
          <w:szCs w:val="24"/>
        </w:rPr>
        <w:t xml:space="preserve"> and prior sales or layaway sales shall be ineligible.</w:t>
      </w:r>
      <w:r w:rsidR="006B31B4">
        <w:rPr>
          <w:rFonts w:ascii="Courier New" w:eastAsia="Courier New" w:hAnsi="Courier New" w:cs="Courier New"/>
          <w:sz w:val="24"/>
          <w:szCs w:val="24"/>
        </w:rPr>
        <w:t>”</w:t>
      </w:r>
      <w:r w:rsidR="008411FB">
        <w:rPr>
          <w:rFonts w:ascii="Courier New" w:eastAsia="Courier New" w:hAnsi="Courier New" w:cs="Courier New"/>
          <w:sz w:val="24"/>
          <w:szCs w:val="24"/>
        </w:rPr>
        <w:t xml:space="preserve"> </w:t>
      </w:r>
      <w:r w:rsidRPr="0084263C">
        <w:rPr>
          <w:rFonts w:ascii="Courier New" w:eastAsia="Courier New" w:hAnsi="Courier New" w:cs="Courier New"/>
          <w:i/>
          <w:sz w:val="24"/>
          <w:szCs w:val="24"/>
        </w:rPr>
        <w:t>Id</w:t>
      </w:r>
      <w:r w:rsidR="008411FB">
        <w:rPr>
          <w:rFonts w:ascii="Courier New" w:eastAsia="Courier New" w:hAnsi="Courier New" w:cs="Courier New"/>
          <w:sz w:val="24"/>
          <w:szCs w:val="24"/>
        </w:rPr>
        <w:t>.</w:t>
      </w:r>
      <w:r w:rsidR="000F05CE">
        <w:rPr>
          <w:rFonts w:ascii="Courier New" w:eastAsia="Courier New" w:hAnsi="Courier New" w:cs="Courier New"/>
          <w:sz w:val="24"/>
          <w:szCs w:val="24"/>
        </w:rPr>
        <w:t xml:space="preserve"> </w:t>
      </w:r>
    </w:p>
    <w:p w:rsidR="00766BF1" w:rsidRDefault="006B31B4" w:rsidP="006B31B4">
      <w:pPr>
        <w:pStyle w:val="Normal1"/>
        <w:spacing w:line="480" w:lineRule="auto"/>
        <w:contextualSpacing w:val="0"/>
        <w:jc w:val="both"/>
        <w:rPr>
          <w:rFonts w:ascii="Courier New" w:eastAsia="Courier New" w:hAnsi="Courier New" w:cs="Courier New"/>
          <w:sz w:val="24"/>
          <w:szCs w:val="24"/>
        </w:rPr>
      </w:pPr>
      <w:r>
        <w:rPr>
          <w:rFonts w:ascii="Courier New" w:eastAsia="Courier New" w:hAnsi="Courier New" w:cs="Courier New"/>
          <w:sz w:val="24"/>
          <w:szCs w:val="24"/>
        </w:rPr>
        <w:tab/>
      </w:r>
      <w:r w:rsidR="00F06F18">
        <w:rPr>
          <w:rFonts w:ascii="Courier New" w:eastAsia="Courier New" w:hAnsi="Courier New" w:cs="Courier New"/>
          <w:sz w:val="24"/>
          <w:szCs w:val="24"/>
        </w:rPr>
        <w:t xml:space="preserve">As </w:t>
      </w:r>
      <w:r w:rsidR="0035503B">
        <w:rPr>
          <w:rFonts w:ascii="Courier New" w:eastAsia="Courier New" w:hAnsi="Courier New" w:cs="Courier New"/>
          <w:sz w:val="24"/>
          <w:szCs w:val="24"/>
        </w:rPr>
        <w:t>described below, the Board determined that “payment in full” occurred on the sales at issue through</w:t>
      </w:r>
      <w:r>
        <w:rPr>
          <w:rFonts w:ascii="Courier New" w:eastAsia="Courier New" w:hAnsi="Courier New" w:cs="Courier New"/>
          <w:sz w:val="24"/>
          <w:szCs w:val="24"/>
        </w:rPr>
        <w:t xml:space="preserve"> the appellant’s cancellation and rewrite process and that the sales at issue were neither prior sales nor layaway sales that were forbidden by the Sales Tax Holiday Legislation. St. 2012, c. 238, § 80; St. 2011, c. 86; St. 2010, c. 240, §§ 174–79.</w:t>
      </w:r>
    </w:p>
    <w:p w:rsidR="000C6DA8" w:rsidRDefault="000F05CE" w:rsidP="006C0E50">
      <w:pPr>
        <w:pStyle w:val="Normal1"/>
        <w:spacing w:line="240" w:lineRule="auto"/>
        <w:contextualSpacing w:val="0"/>
        <w:jc w:val="both"/>
        <w:rPr>
          <w:rFonts w:ascii="Courier New" w:eastAsia="Courier New" w:hAnsi="Courier New" w:cs="Courier New"/>
          <w:sz w:val="24"/>
          <w:szCs w:val="24"/>
        </w:rPr>
      </w:pPr>
      <w:r w:rsidRPr="006C0E50">
        <w:rPr>
          <w:rFonts w:ascii="Courier New" w:eastAsia="Courier New" w:hAnsi="Courier New" w:cs="Courier New"/>
          <w:b/>
          <w:sz w:val="24"/>
          <w:szCs w:val="24"/>
        </w:rPr>
        <w:t xml:space="preserve">A. </w:t>
      </w:r>
      <w:r w:rsidR="006C0E50" w:rsidRPr="006C0E50">
        <w:rPr>
          <w:rFonts w:ascii="Courier New" w:eastAsia="Courier New" w:hAnsi="Courier New" w:cs="Courier New"/>
          <w:b/>
          <w:sz w:val="24"/>
          <w:szCs w:val="24"/>
        </w:rPr>
        <w:t>P</w:t>
      </w:r>
      <w:r w:rsidR="000C6DA8" w:rsidRPr="006C0E50">
        <w:rPr>
          <w:rFonts w:ascii="Courier New" w:eastAsia="Courier New" w:hAnsi="Courier New" w:cs="Courier New"/>
          <w:b/>
          <w:sz w:val="24"/>
          <w:szCs w:val="24"/>
        </w:rPr>
        <w:t xml:space="preserve">ayment in </w:t>
      </w:r>
      <w:r w:rsidR="006C0E50" w:rsidRPr="006C0E50">
        <w:rPr>
          <w:rFonts w:ascii="Courier New" w:eastAsia="Courier New" w:hAnsi="Courier New" w:cs="Courier New"/>
          <w:b/>
          <w:sz w:val="24"/>
          <w:szCs w:val="24"/>
        </w:rPr>
        <w:t>F</w:t>
      </w:r>
      <w:r w:rsidR="000C6DA8" w:rsidRPr="006C0E50">
        <w:rPr>
          <w:rFonts w:ascii="Courier New" w:eastAsia="Courier New" w:hAnsi="Courier New" w:cs="Courier New"/>
          <w:b/>
          <w:sz w:val="24"/>
          <w:szCs w:val="24"/>
        </w:rPr>
        <w:t xml:space="preserve">ull </w:t>
      </w:r>
      <w:r w:rsidR="006C0E50" w:rsidRPr="006C0E50">
        <w:rPr>
          <w:rFonts w:ascii="Courier New" w:eastAsia="Courier New" w:hAnsi="Courier New" w:cs="Courier New"/>
          <w:b/>
          <w:sz w:val="24"/>
          <w:szCs w:val="24"/>
        </w:rPr>
        <w:t>O</w:t>
      </w:r>
      <w:r w:rsidR="000C6DA8" w:rsidRPr="006C0E50">
        <w:rPr>
          <w:rFonts w:ascii="Courier New" w:eastAsia="Courier New" w:hAnsi="Courier New" w:cs="Courier New"/>
          <w:b/>
          <w:sz w:val="24"/>
          <w:szCs w:val="24"/>
        </w:rPr>
        <w:t xml:space="preserve">ccurred on the </w:t>
      </w:r>
      <w:r w:rsidR="008E5397">
        <w:rPr>
          <w:rFonts w:ascii="Courier New" w:eastAsia="Courier New" w:hAnsi="Courier New" w:cs="Courier New"/>
          <w:b/>
          <w:sz w:val="24"/>
          <w:szCs w:val="24"/>
        </w:rPr>
        <w:t xml:space="preserve">Sales </w:t>
      </w:r>
      <w:r w:rsidR="000C6DA8" w:rsidRPr="006C0E50">
        <w:rPr>
          <w:rFonts w:ascii="Courier New" w:eastAsia="Courier New" w:hAnsi="Courier New" w:cs="Courier New"/>
          <w:b/>
          <w:sz w:val="24"/>
          <w:szCs w:val="24"/>
        </w:rPr>
        <w:t>Tax Holidays</w:t>
      </w:r>
      <w:r>
        <w:rPr>
          <w:rFonts w:ascii="Courier New" w:eastAsia="Courier New" w:hAnsi="Courier New" w:cs="Courier New"/>
          <w:sz w:val="24"/>
          <w:szCs w:val="24"/>
        </w:rPr>
        <w:t>.</w:t>
      </w:r>
    </w:p>
    <w:p w:rsidR="006C0E50" w:rsidRDefault="006C0E50" w:rsidP="006C0E50">
      <w:pPr>
        <w:pStyle w:val="Normal1"/>
        <w:spacing w:line="240" w:lineRule="auto"/>
        <w:contextualSpacing w:val="0"/>
        <w:jc w:val="both"/>
        <w:rPr>
          <w:rFonts w:ascii="Courier New" w:eastAsia="Courier New" w:hAnsi="Courier New" w:cs="Courier New"/>
          <w:sz w:val="24"/>
          <w:szCs w:val="24"/>
        </w:rPr>
      </w:pPr>
    </w:p>
    <w:p w:rsidR="00DF2CE7" w:rsidRDefault="000F05CE" w:rsidP="0049224E">
      <w:pPr>
        <w:spacing w:line="480" w:lineRule="auto"/>
        <w:ind w:firstLine="720"/>
        <w:jc w:val="both"/>
        <w:rPr>
          <w:rFonts w:ascii="Courier New" w:hAnsi="Courier New" w:cs="Courier New"/>
          <w:sz w:val="24"/>
          <w:szCs w:val="24"/>
        </w:rPr>
      </w:pPr>
      <w:r>
        <w:rPr>
          <w:rFonts w:ascii="Courier New" w:hAnsi="Courier New" w:cs="Courier New"/>
          <w:sz w:val="24"/>
          <w:szCs w:val="24"/>
        </w:rPr>
        <w:t>The Commissioner argued in h</w:t>
      </w:r>
      <w:r w:rsidR="004D22E7">
        <w:rPr>
          <w:rFonts w:ascii="Courier New" w:hAnsi="Courier New" w:cs="Courier New"/>
          <w:sz w:val="24"/>
          <w:szCs w:val="24"/>
        </w:rPr>
        <w:t>is</w:t>
      </w:r>
      <w:r>
        <w:rPr>
          <w:rFonts w:ascii="Courier New" w:hAnsi="Courier New" w:cs="Courier New"/>
          <w:sz w:val="24"/>
          <w:szCs w:val="24"/>
        </w:rPr>
        <w:t xml:space="preserve"> brief that for the sales at issue, customers did not take possession during the </w:t>
      </w:r>
      <w:r w:rsidR="00217804">
        <w:rPr>
          <w:rFonts w:ascii="Courier New" w:hAnsi="Courier New" w:cs="Courier New"/>
          <w:sz w:val="24"/>
          <w:szCs w:val="24"/>
        </w:rPr>
        <w:t xml:space="preserve">Sales </w:t>
      </w:r>
      <w:r>
        <w:rPr>
          <w:rFonts w:ascii="Courier New" w:hAnsi="Courier New" w:cs="Courier New"/>
          <w:sz w:val="24"/>
          <w:szCs w:val="24"/>
        </w:rPr>
        <w:t xml:space="preserve">Tax Holidays and that “in fact, it was the ability of customers to cancel their orders before taking possession of the furniture that caused problems for Jordan’s in the first place.” The Commissioner also contended that the appellant did not refund payments and recharge credit cards when rewriting orders, so the sales at issue were not paid in full during the </w:t>
      </w:r>
      <w:r w:rsidR="00217804">
        <w:rPr>
          <w:rFonts w:ascii="Courier New" w:hAnsi="Courier New" w:cs="Courier New"/>
          <w:sz w:val="24"/>
          <w:szCs w:val="24"/>
        </w:rPr>
        <w:t xml:space="preserve">Sales </w:t>
      </w:r>
      <w:r>
        <w:rPr>
          <w:rFonts w:ascii="Courier New" w:hAnsi="Courier New" w:cs="Courier New"/>
          <w:sz w:val="24"/>
          <w:szCs w:val="24"/>
        </w:rPr>
        <w:t>Tax Holidays.</w:t>
      </w:r>
    </w:p>
    <w:p w:rsidR="00DF2CE7" w:rsidRDefault="006C0E50" w:rsidP="0049224E">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While the Board agreed that possession did not occur during the </w:t>
      </w:r>
      <w:r w:rsidR="00217804">
        <w:rPr>
          <w:rFonts w:ascii="Courier New" w:hAnsi="Courier New" w:cs="Courier New"/>
          <w:sz w:val="24"/>
          <w:szCs w:val="24"/>
        </w:rPr>
        <w:t xml:space="preserve">Sales </w:t>
      </w:r>
      <w:r>
        <w:rPr>
          <w:rFonts w:ascii="Courier New" w:hAnsi="Courier New" w:cs="Courier New"/>
          <w:sz w:val="24"/>
          <w:szCs w:val="24"/>
        </w:rPr>
        <w:t xml:space="preserve">Tax Holidays, it </w:t>
      </w:r>
      <w:r w:rsidR="00DF2CE7">
        <w:rPr>
          <w:rFonts w:ascii="Courier New" w:hAnsi="Courier New" w:cs="Courier New"/>
          <w:sz w:val="24"/>
          <w:szCs w:val="24"/>
        </w:rPr>
        <w:t>found no basis in the Sales Tax Holiday Legislation to support the Commissioner’s reading of “payment in full.”</w:t>
      </w:r>
      <w:r w:rsidR="00850934">
        <w:rPr>
          <w:rFonts w:ascii="Courier New" w:hAnsi="Courier New" w:cs="Courier New"/>
          <w:sz w:val="24"/>
          <w:szCs w:val="24"/>
        </w:rPr>
        <w:t xml:space="preserve"> </w:t>
      </w:r>
      <w:r w:rsidR="00850934">
        <w:rPr>
          <w:rFonts w:ascii="Courier New" w:eastAsia="Courier New" w:hAnsi="Courier New" w:cs="Courier New"/>
          <w:sz w:val="24"/>
          <w:szCs w:val="24"/>
        </w:rPr>
        <w:t xml:space="preserve">The </w:t>
      </w:r>
      <w:r w:rsidR="00217804">
        <w:rPr>
          <w:rFonts w:ascii="Courier New" w:eastAsia="Courier New" w:hAnsi="Courier New" w:cs="Courier New"/>
          <w:sz w:val="24"/>
          <w:szCs w:val="24"/>
        </w:rPr>
        <w:t xml:space="preserve">Sales </w:t>
      </w:r>
      <w:r w:rsidR="00850934">
        <w:rPr>
          <w:rFonts w:ascii="Courier New" w:eastAsia="Courier New" w:hAnsi="Courier New" w:cs="Courier New"/>
          <w:sz w:val="24"/>
          <w:szCs w:val="24"/>
        </w:rPr>
        <w:t xml:space="preserve">Tax Holiday Legislation does not </w:t>
      </w:r>
      <w:r w:rsidR="00850934">
        <w:rPr>
          <w:rFonts w:ascii="Courier New" w:eastAsia="Courier New" w:hAnsi="Courier New" w:cs="Courier New"/>
          <w:sz w:val="24"/>
          <w:szCs w:val="24"/>
        </w:rPr>
        <w:lastRenderedPageBreak/>
        <w:t xml:space="preserve">dictate any particular method by which “payment in full for the property” must occur. General Laws c. 64H, § 1, in defining the “sales price” for a retail sale, states that it is “the total amount paid by a purchaser to a vendor as consideration for a retail sale, valued in money or otherwise” and that “there shall be included . . . any amount for which credit is given to the purchaser by the vendor.” Here, the sales at issue were cancelled, providing customers with a credit towards their new rewritten orders. Customers who expressed an interest in cancelling and rewriting their orders to take advantage of the </w:t>
      </w:r>
      <w:r w:rsidR="00217804">
        <w:rPr>
          <w:rFonts w:ascii="Courier New" w:eastAsia="Courier New" w:hAnsi="Courier New" w:cs="Courier New"/>
          <w:sz w:val="24"/>
          <w:szCs w:val="24"/>
        </w:rPr>
        <w:t xml:space="preserve">Sales </w:t>
      </w:r>
      <w:r w:rsidR="00850934">
        <w:rPr>
          <w:rFonts w:ascii="Courier New" w:eastAsia="Courier New" w:hAnsi="Courier New" w:cs="Courier New"/>
          <w:sz w:val="24"/>
          <w:szCs w:val="24"/>
        </w:rPr>
        <w:t>Tax Holidays were required to fully pay the price of their open order, exclusive of the Massachusetts sales tax, prior to the start of the Sales Tax Holidays. The cancellation and rewrite process then occurred during the Sales Tax Holidays and the amount credited toward the new order constituted “payment in full” on the Sales Tax Holidays.</w:t>
      </w:r>
    </w:p>
    <w:p w:rsidR="009B7BA3" w:rsidRDefault="0049224E" w:rsidP="000F05CE">
      <w:pPr>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The Board also did not find the lack of a refund and subsequent recharging of a credit card to be unseemly as </w:t>
      </w:r>
      <w:r w:rsidR="00DF2CE7">
        <w:rPr>
          <w:rFonts w:ascii="Courier New" w:eastAsia="Courier New" w:hAnsi="Courier New" w:cs="Courier New"/>
          <w:sz w:val="24"/>
          <w:szCs w:val="24"/>
        </w:rPr>
        <w:t>implied</w:t>
      </w:r>
      <w:r>
        <w:rPr>
          <w:rFonts w:ascii="Courier New" w:eastAsia="Courier New" w:hAnsi="Courier New" w:cs="Courier New"/>
          <w:sz w:val="24"/>
          <w:szCs w:val="24"/>
        </w:rPr>
        <w:t xml:space="preserve"> by the Commissioner in his brief,</w:t>
      </w:r>
      <w:r>
        <w:rPr>
          <w:rFonts w:ascii="Courier New" w:hAnsi="Courier New" w:cs="Courier New"/>
          <w:sz w:val="24"/>
          <w:szCs w:val="24"/>
        </w:rPr>
        <w:t xml:space="preserve"> but rather a process implemented by the appellant to more smoothly comply with the mandated </w:t>
      </w:r>
      <w:r w:rsidR="00217804">
        <w:rPr>
          <w:rFonts w:ascii="Courier New" w:hAnsi="Courier New" w:cs="Courier New"/>
          <w:sz w:val="24"/>
          <w:szCs w:val="24"/>
        </w:rPr>
        <w:t xml:space="preserve">Sales </w:t>
      </w:r>
      <w:r>
        <w:rPr>
          <w:rFonts w:ascii="Courier New" w:hAnsi="Courier New" w:cs="Courier New"/>
          <w:sz w:val="24"/>
          <w:szCs w:val="24"/>
        </w:rPr>
        <w:t xml:space="preserve">Tax Holidays while honoring its longstanding policy of permitting customers to cancel orders anytime prior to </w:t>
      </w:r>
      <w:r>
        <w:rPr>
          <w:rFonts w:ascii="Courier New" w:hAnsi="Courier New" w:cs="Courier New"/>
          <w:sz w:val="24"/>
          <w:szCs w:val="24"/>
        </w:rPr>
        <w:lastRenderedPageBreak/>
        <w:t>delivery or pickup.</w:t>
      </w:r>
      <w:r>
        <w:rPr>
          <w:rStyle w:val="FootnoteReference"/>
          <w:rFonts w:ascii="Courier New" w:hAnsi="Courier New" w:cs="Courier New"/>
          <w:sz w:val="24"/>
          <w:szCs w:val="24"/>
        </w:rPr>
        <w:footnoteReference w:id="7"/>
      </w:r>
      <w:r>
        <w:rPr>
          <w:rFonts w:ascii="Courier New" w:hAnsi="Courier New" w:cs="Courier New"/>
          <w:sz w:val="24"/>
          <w:szCs w:val="24"/>
        </w:rPr>
        <w:t xml:space="preserve"> </w:t>
      </w:r>
      <w:r w:rsidRPr="009B7BA3">
        <w:rPr>
          <w:rFonts w:ascii="Courier New" w:hAnsi="Courier New" w:cs="Courier New"/>
          <w:i/>
          <w:sz w:val="24"/>
          <w:szCs w:val="24"/>
        </w:rPr>
        <w:t>See</w:t>
      </w:r>
      <w:r>
        <w:rPr>
          <w:rFonts w:ascii="Courier New" w:hAnsi="Courier New" w:cs="Courier New"/>
          <w:sz w:val="24"/>
          <w:szCs w:val="24"/>
        </w:rPr>
        <w:t xml:space="preserve"> </w:t>
      </w:r>
      <w:r>
        <w:rPr>
          <w:rFonts w:ascii="Courier New" w:eastAsia="Courier New" w:hAnsi="Courier New" w:cs="Courier New"/>
          <w:sz w:val="24"/>
          <w:szCs w:val="24"/>
        </w:rPr>
        <w:t xml:space="preserve">St. 2012, c. 238, § 80; St. 2011, c. 86; St. 2010, c. 240, §§ 174–79; TIR 12-5 (“All Massachusetts businesses normally making taxable sales of tangible personal property that are open on [the </w:t>
      </w:r>
      <w:r w:rsidR="00217804">
        <w:rPr>
          <w:rFonts w:ascii="Courier New" w:eastAsia="Courier New" w:hAnsi="Courier New" w:cs="Courier New"/>
          <w:sz w:val="24"/>
          <w:szCs w:val="24"/>
        </w:rPr>
        <w:t xml:space="preserve">Sales </w:t>
      </w:r>
      <w:r>
        <w:rPr>
          <w:rFonts w:ascii="Courier New" w:eastAsia="Courier New" w:hAnsi="Courier New" w:cs="Courier New"/>
          <w:sz w:val="24"/>
          <w:szCs w:val="24"/>
        </w:rPr>
        <w:t>Tax Holidays] must participate in this sales tax holiday.”).</w:t>
      </w:r>
      <w:r w:rsidR="00DF2CE7">
        <w:rPr>
          <w:rFonts w:ascii="Courier New" w:eastAsia="Courier New" w:hAnsi="Courier New" w:cs="Courier New"/>
          <w:sz w:val="24"/>
          <w:szCs w:val="24"/>
        </w:rPr>
        <w:t xml:space="preserve"> In light of the appellant’s testimony about its experience and complications with in-person and phone re-orders on Sales Tax Holidays in prior years, the Board found the procedures at issue in this appeal were reasonable and consistent with the Sales Tax Holiday Legislation. </w:t>
      </w:r>
      <w:r w:rsidR="0065087C">
        <w:rPr>
          <w:rFonts w:ascii="Courier New" w:eastAsia="Courier New" w:hAnsi="Courier New" w:cs="Courier New"/>
          <w:sz w:val="24"/>
          <w:szCs w:val="24"/>
        </w:rPr>
        <w:t xml:space="preserve"> </w:t>
      </w:r>
    </w:p>
    <w:p w:rsidR="000F05CE" w:rsidRDefault="008921C7" w:rsidP="000F05CE">
      <w:pPr>
        <w:pStyle w:val="Normal1"/>
        <w:spacing w:line="480" w:lineRule="auto"/>
        <w:contextualSpacing w:val="0"/>
        <w:jc w:val="both"/>
        <w:rPr>
          <w:rFonts w:ascii="Courier New" w:eastAsia="Courier New" w:hAnsi="Courier New" w:cs="Courier New"/>
          <w:sz w:val="24"/>
          <w:szCs w:val="24"/>
        </w:rPr>
      </w:pPr>
      <w:r>
        <w:rPr>
          <w:rFonts w:ascii="Courier New" w:eastAsia="Courier New" w:hAnsi="Courier New" w:cs="Courier New"/>
          <w:b/>
          <w:sz w:val="24"/>
          <w:szCs w:val="24"/>
        </w:rPr>
        <w:t>B. The Sales at Issue Were N</w:t>
      </w:r>
      <w:r w:rsidR="000F05CE" w:rsidRPr="00CD5E7F">
        <w:rPr>
          <w:rFonts w:ascii="Courier New" w:eastAsia="Courier New" w:hAnsi="Courier New" w:cs="Courier New"/>
          <w:b/>
          <w:sz w:val="24"/>
          <w:szCs w:val="24"/>
        </w:rPr>
        <w:t>ot Prior Sales</w:t>
      </w:r>
      <w:r w:rsidR="00CD5E7F">
        <w:rPr>
          <w:rFonts w:ascii="Courier New" w:eastAsia="Courier New" w:hAnsi="Courier New" w:cs="Courier New"/>
          <w:sz w:val="24"/>
          <w:szCs w:val="24"/>
        </w:rPr>
        <w:t>.</w:t>
      </w:r>
    </w:p>
    <w:p w:rsidR="00446A1D" w:rsidRDefault="00A8246C" w:rsidP="004422A3">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Prior sales are excluded from the Sales Tax Holidays</w:t>
      </w:r>
      <w:r w:rsidR="00F06F18">
        <w:rPr>
          <w:rFonts w:ascii="Courier New" w:eastAsia="Courier New" w:hAnsi="Courier New" w:cs="Courier New"/>
          <w:sz w:val="24"/>
          <w:szCs w:val="24"/>
        </w:rPr>
        <w:t xml:space="preserve">. </w:t>
      </w:r>
      <w:r w:rsidR="001E1C4F">
        <w:rPr>
          <w:rFonts w:ascii="Courier New" w:eastAsia="Courier New" w:hAnsi="Courier New" w:cs="Courier New"/>
          <w:sz w:val="24"/>
          <w:szCs w:val="24"/>
        </w:rPr>
        <w:t>With respect to the sales at issue in this appeal, a</w:t>
      </w:r>
      <w:r w:rsidR="0035503B">
        <w:rPr>
          <w:rFonts w:ascii="Courier New" w:eastAsia="Courier New" w:hAnsi="Courier New" w:cs="Courier New"/>
          <w:sz w:val="24"/>
          <w:szCs w:val="24"/>
        </w:rPr>
        <w:t xml:space="preserve"> “sale” under G.L. c. 64H, § 1 requires either a “transfer of title or possession.” </w:t>
      </w:r>
      <w:r w:rsidR="00855030">
        <w:rPr>
          <w:rFonts w:ascii="Courier New" w:eastAsia="Courier New" w:hAnsi="Courier New" w:cs="Courier New"/>
          <w:sz w:val="24"/>
          <w:szCs w:val="24"/>
        </w:rPr>
        <w:t>As noted above, t</w:t>
      </w:r>
      <w:r w:rsidR="008F2A4F">
        <w:rPr>
          <w:rFonts w:ascii="Courier New" w:eastAsia="Courier New" w:hAnsi="Courier New" w:cs="Courier New"/>
          <w:sz w:val="24"/>
          <w:szCs w:val="24"/>
        </w:rPr>
        <w:t xml:space="preserve">he Commissioner </w:t>
      </w:r>
      <w:r w:rsidR="00855030">
        <w:rPr>
          <w:rFonts w:ascii="Courier New" w:eastAsia="Courier New" w:hAnsi="Courier New" w:cs="Courier New"/>
          <w:sz w:val="24"/>
          <w:szCs w:val="24"/>
        </w:rPr>
        <w:t>contend</w:t>
      </w:r>
      <w:r w:rsidR="004422A3">
        <w:rPr>
          <w:rFonts w:ascii="Courier New" w:eastAsia="Courier New" w:hAnsi="Courier New" w:cs="Courier New"/>
          <w:sz w:val="24"/>
          <w:szCs w:val="24"/>
        </w:rPr>
        <w:t>ed</w:t>
      </w:r>
      <w:r w:rsidR="00855030">
        <w:rPr>
          <w:rFonts w:ascii="Courier New" w:eastAsia="Courier New" w:hAnsi="Courier New" w:cs="Courier New"/>
          <w:sz w:val="24"/>
          <w:szCs w:val="24"/>
        </w:rPr>
        <w:t xml:space="preserve"> in his brief that possession did not occur during the Sales Tax Holidays. </w:t>
      </w:r>
      <w:r w:rsidR="00F06F18">
        <w:rPr>
          <w:rFonts w:ascii="Courier New" w:eastAsia="Courier New" w:hAnsi="Courier New" w:cs="Courier New"/>
          <w:sz w:val="24"/>
          <w:szCs w:val="24"/>
        </w:rPr>
        <w:t xml:space="preserve">The Board agreed. </w:t>
      </w:r>
      <w:r w:rsidR="004422A3">
        <w:rPr>
          <w:rFonts w:ascii="Courier New" w:eastAsia="Courier New" w:hAnsi="Courier New" w:cs="Courier New"/>
          <w:sz w:val="24"/>
          <w:szCs w:val="24"/>
        </w:rPr>
        <w:t>Neither title nor possession was transferred prior to the Sales Tax Holidays. T</w:t>
      </w:r>
      <w:r w:rsidR="004D22E7">
        <w:rPr>
          <w:rFonts w:ascii="Courier New" w:eastAsia="Courier New" w:hAnsi="Courier New" w:cs="Courier New"/>
          <w:sz w:val="24"/>
          <w:szCs w:val="24"/>
        </w:rPr>
        <w:t xml:space="preserve">he appellant’s policy of allowing customers to cancel open orders anytime prior to pickup or delivery </w:t>
      </w:r>
      <w:r w:rsidR="00E37190">
        <w:rPr>
          <w:rFonts w:ascii="Courier New" w:eastAsia="Courier New" w:hAnsi="Courier New" w:cs="Courier New"/>
          <w:sz w:val="24"/>
          <w:szCs w:val="24"/>
        </w:rPr>
        <w:t>w</w:t>
      </w:r>
      <w:r w:rsidR="004D22E7">
        <w:rPr>
          <w:rFonts w:ascii="Courier New" w:eastAsia="Courier New" w:hAnsi="Courier New" w:cs="Courier New"/>
          <w:sz w:val="24"/>
          <w:szCs w:val="24"/>
        </w:rPr>
        <w:t xml:space="preserve">as an explicit agreement between the appellant and customers that title would not pass until physical </w:t>
      </w:r>
      <w:r w:rsidR="004D22E7">
        <w:rPr>
          <w:rFonts w:ascii="Courier New" w:eastAsia="Courier New" w:hAnsi="Courier New" w:cs="Courier New"/>
          <w:sz w:val="24"/>
          <w:szCs w:val="24"/>
        </w:rPr>
        <w:lastRenderedPageBreak/>
        <w:t>possession</w:t>
      </w:r>
      <w:r w:rsidR="004422A3">
        <w:rPr>
          <w:rFonts w:ascii="Courier New" w:eastAsia="Courier New" w:hAnsi="Courier New" w:cs="Courier New"/>
          <w:sz w:val="24"/>
          <w:szCs w:val="24"/>
        </w:rPr>
        <w:t xml:space="preserve"> was transferred</w:t>
      </w:r>
      <w:r w:rsidR="004D22E7">
        <w:rPr>
          <w:rFonts w:ascii="Courier New" w:eastAsia="Courier New" w:hAnsi="Courier New" w:cs="Courier New"/>
          <w:sz w:val="24"/>
          <w:szCs w:val="24"/>
        </w:rPr>
        <w:t>.</w:t>
      </w:r>
      <w:r w:rsidR="00E37190">
        <w:rPr>
          <w:rFonts w:ascii="Courier New" w:eastAsia="Courier New" w:hAnsi="Courier New" w:cs="Courier New"/>
          <w:sz w:val="24"/>
          <w:szCs w:val="24"/>
        </w:rPr>
        <w:t xml:space="preserve"> </w:t>
      </w:r>
      <w:r w:rsidR="00E37190" w:rsidRPr="00E37190">
        <w:rPr>
          <w:rFonts w:ascii="Courier New" w:eastAsia="Courier New" w:hAnsi="Courier New" w:cs="Courier New"/>
          <w:i/>
          <w:sz w:val="24"/>
          <w:szCs w:val="24"/>
        </w:rPr>
        <w:t xml:space="preserve">See </w:t>
      </w:r>
      <w:r w:rsidR="004422A3">
        <w:rPr>
          <w:rFonts w:ascii="Courier New" w:eastAsia="Courier New" w:hAnsi="Courier New" w:cs="Courier New"/>
          <w:sz w:val="24"/>
          <w:szCs w:val="24"/>
        </w:rPr>
        <w:t xml:space="preserve">G.L. </w:t>
      </w:r>
      <w:r w:rsidR="00E37190">
        <w:rPr>
          <w:rFonts w:ascii="Courier New" w:eastAsia="Courier New" w:hAnsi="Courier New" w:cs="Courier New"/>
          <w:sz w:val="24"/>
          <w:szCs w:val="24"/>
        </w:rPr>
        <w:t>c. 106, § 2-401 (“Unless otherwise explicitly agreed title passes to the buyer at the time and place at which the seller completes his performance with reference to the physical delivery of the goods.”). Consequently, no transfer o</w:t>
      </w:r>
      <w:r w:rsidR="004422A3">
        <w:rPr>
          <w:rFonts w:ascii="Courier New" w:eastAsia="Courier New" w:hAnsi="Courier New" w:cs="Courier New"/>
          <w:sz w:val="24"/>
          <w:szCs w:val="24"/>
        </w:rPr>
        <w:t>f</w:t>
      </w:r>
      <w:r w:rsidR="00E37190">
        <w:rPr>
          <w:rFonts w:ascii="Courier New" w:eastAsia="Courier New" w:hAnsi="Courier New" w:cs="Courier New"/>
          <w:sz w:val="24"/>
          <w:szCs w:val="24"/>
        </w:rPr>
        <w:t xml:space="preserve"> title or possession passed with the sales at issue and they d</w:t>
      </w:r>
      <w:r w:rsidR="004422A3">
        <w:rPr>
          <w:rFonts w:ascii="Courier New" w:eastAsia="Courier New" w:hAnsi="Courier New" w:cs="Courier New"/>
          <w:sz w:val="24"/>
          <w:szCs w:val="24"/>
        </w:rPr>
        <w:t>id</w:t>
      </w:r>
      <w:r w:rsidR="00E37190">
        <w:rPr>
          <w:rFonts w:ascii="Courier New" w:eastAsia="Courier New" w:hAnsi="Courier New" w:cs="Courier New"/>
          <w:sz w:val="24"/>
          <w:szCs w:val="24"/>
        </w:rPr>
        <w:t xml:space="preserve"> not constitute prior sales prohibited by the </w:t>
      </w:r>
      <w:r w:rsidR="00217804">
        <w:rPr>
          <w:rFonts w:ascii="Courier New" w:eastAsia="Courier New" w:hAnsi="Courier New" w:cs="Courier New"/>
          <w:sz w:val="24"/>
          <w:szCs w:val="24"/>
        </w:rPr>
        <w:t xml:space="preserve">Sales </w:t>
      </w:r>
      <w:r w:rsidR="00E37190">
        <w:rPr>
          <w:rFonts w:ascii="Courier New" w:eastAsia="Courier New" w:hAnsi="Courier New" w:cs="Courier New"/>
          <w:sz w:val="24"/>
          <w:szCs w:val="24"/>
        </w:rPr>
        <w:t xml:space="preserve">Tax Holiday Legislation. </w:t>
      </w:r>
      <w:r w:rsidR="004D22E7">
        <w:rPr>
          <w:rFonts w:ascii="Courier New" w:eastAsia="Courier New" w:hAnsi="Courier New" w:cs="Courier New"/>
          <w:sz w:val="24"/>
          <w:szCs w:val="24"/>
        </w:rPr>
        <w:t xml:space="preserve">  </w:t>
      </w:r>
    </w:p>
    <w:p w:rsidR="000F05CE" w:rsidRDefault="000F05CE" w:rsidP="000F05CE">
      <w:pPr>
        <w:pStyle w:val="Normal1"/>
        <w:spacing w:line="480" w:lineRule="auto"/>
        <w:contextualSpacing w:val="0"/>
        <w:jc w:val="both"/>
        <w:rPr>
          <w:rFonts w:ascii="Courier New" w:eastAsia="Courier New" w:hAnsi="Courier New" w:cs="Courier New"/>
          <w:sz w:val="24"/>
          <w:szCs w:val="24"/>
        </w:rPr>
      </w:pPr>
      <w:r w:rsidRPr="00763F9B">
        <w:rPr>
          <w:rFonts w:ascii="Courier New" w:eastAsia="Courier New" w:hAnsi="Courier New" w:cs="Courier New"/>
          <w:b/>
          <w:sz w:val="24"/>
          <w:szCs w:val="24"/>
        </w:rPr>
        <w:t xml:space="preserve">C. </w:t>
      </w:r>
      <w:r w:rsidR="00763F9B" w:rsidRPr="00763F9B">
        <w:rPr>
          <w:rFonts w:ascii="Courier New" w:eastAsia="Courier New" w:hAnsi="Courier New" w:cs="Courier New"/>
          <w:b/>
          <w:sz w:val="24"/>
          <w:szCs w:val="24"/>
        </w:rPr>
        <w:t>The Sales at Issue Were Not L</w:t>
      </w:r>
      <w:r w:rsidRPr="00763F9B">
        <w:rPr>
          <w:rFonts w:ascii="Courier New" w:eastAsia="Courier New" w:hAnsi="Courier New" w:cs="Courier New"/>
          <w:b/>
          <w:sz w:val="24"/>
          <w:szCs w:val="24"/>
        </w:rPr>
        <w:t xml:space="preserve">ayaway </w:t>
      </w:r>
      <w:r w:rsidR="00763F9B" w:rsidRPr="00763F9B">
        <w:rPr>
          <w:rFonts w:ascii="Courier New" w:eastAsia="Courier New" w:hAnsi="Courier New" w:cs="Courier New"/>
          <w:b/>
          <w:sz w:val="24"/>
          <w:szCs w:val="24"/>
        </w:rPr>
        <w:t>S</w:t>
      </w:r>
      <w:r w:rsidRPr="00763F9B">
        <w:rPr>
          <w:rFonts w:ascii="Courier New" w:eastAsia="Courier New" w:hAnsi="Courier New" w:cs="Courier New"/>
          <w:b/>
          <w:sz w:val="24"/>
          <w:szCs w:val="24"/>
        </w:rPr>
        <w:t>ales</w:t>
      </w:r>
      <w:r w:rsidR="00763F9B">
        <w:rPr>
          <w:rFonts w:ascii="Courier New" w:eastAsia="Courier New" w:hAnsi="Courier New" w:cs="Courier New"/>
          <w:sz w:val="24"/>
          <w:szCs w:val="24"/>
        </w:rPr>
        <w:t>.</w:t>
      </w:r>
    </w:p>
    <w:p w:rsidR="00A75729" w:rsidRDefault="00763F9B" w:rsidP="00CD5E7F">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Board </w:t>
      </w:r>
      <w:r w:rsidR="00F40137">
        <w:rPr>
          <w:rFonts w:ascii="Courier New" w:eastAsia="Courier New" w:hAnsi="Courier New" w:cs="Courier New"/>
          <w:sz w:val="24"/>
          <w:szCs w:val="24"/>
        </w:rPr>
        <w:t>determined</w:t>
      </w:r>
      <w:r>
        <w:rPr>
          <w:rFonts w:ascii="Courier New" w:eastAsia="Courier New" w:hAnsi="Courier New" w:cs="Courier New"/>
          <w:sz w:val="24"/>
          <w:szCs w:val="24"/>
        </w:rPr>
        <w:t xml:space="preserve"> that the sales at issue were not “layaway sales” excluded from the exemption under the </w:t>
      </w:r>
      <w:r w:rsidR="00217804">
        <w:rPr>
          <w:rFonts w:ascii="Courier New" w:eastAsia="Courier New" w:hAnsi="Courier New" w:cs="Courier New"/>
          <w:sz w:val="24"/>
          <w:szCs w:val="24"/>
        </w:rPr>
        <w:t xml:space="preserve">Sales </w:t>
      </w:r>
      <w:r>
        <w:rPr>
          <w:rFonts w:ascii="Courier New" w:eastAsia="Courier New" w:hAnsi="Courier New" w:cs="Courier New"/>
          <w:sz w:val="24"/>
          <w:szCs w:val="24"/>
        </w:rPr>
        <w:t xml:space="preserve">Tax Holiday Legislation. According to TIR 12-5, “[a] layaway sale is a transaction in which property is set aside for future delivery to a customer who makes a deposit, agrees to pay the balance of the purchase price over a period of time and receives the property when the last payment is made.” </w:t>
      </w:r>
      <w:r w:rsidR="009B7BA3" w:rsidRPr="009B7BA3">
        <w:rPr>
          <w:rFonts w:ascii="Courier New" w:eastAsia="Courier New" w:hAnsi="Courier New" w:cs="Courier New"/>
          <w:i/>
          <w:sz w:val="24"/>
          <w:szCs w:val="24"/>
        </w:rPr>
        <w:t>See also</w:t>
      </w:r>
      <w:r w:rsidR="009B7BA3">
        <w:rPr>
          <w:rFonts w:ascii="Courier New" w:eastAsia="Courier New" w:hAnsi="Courier New" w:cs="Courier New"/>
          <w:sz w:val="24"/>
          <w:szCs w:val="24"/>
        </w:rPr>
        <w:t xml:space="preserve"> Technical Information Release 10-10: The 2010 Massachusetts Sales Tax Holiday Weekend and Technical Information Release 11-7: The 2011 Massachusetts Sales Tax Holiday Weekend. </w:t>
      </w:r>
    </w:p>
    <w:p w:rsidR="009B7BA3" w:rsidRDefault="009B7BA3" w:rsidP="00CD5E7F">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record here did not support a finding that the appellant set aside specific merchandise for customers and that customers made payments over a period of time. Conversely, </w:t>
      </w:r>
      <w:r w:rsidR="00431FD3">
        <w:rPr>
          <w:rFonts w:ascii="Courier New" w:eastAsia="Courier New" w:hAnsi="Courier New" w:cs="Courier New"/>
          <w:sz w:val="24"/>
          <w:szCs w:val="24"/>
        </w:rPr>
        <w:t>most items needed to be ordered and could take weeks or months to become available. T</w:t>
      </w:r>
      <w:r>
        <w:rPr>
          <w:rFonts w:ascii="Courier New" w:eastAsia="Courier New" w:hAnsi="Courier New" w:cs="Courier New"/>
          <w:sz w:val="24"/>
          <w:szCs w:val="24"/>
        </w:rPr>
        <w:t xml:space="preserve">he appellant generally took a deposit of approximately 30 percent </w:t>
      </w:r>
      <w:r w:rsidR="00F40137">
        <w:rPr>
          <w:rFonts w:ascii="Courier New" w:eastAsia="Courier New" w:hAnsi="Courier New" w:cs="Courier New"/>
          <w:sz w:val="24"/>
          <w:szCs w:val="24"/>
        </w:rPr>
        <w:t xml:space="preserve">at the </w:t>
      </w:r>
      <w:r w:rsidR="000019BA">
        <w:rPr>
          <w:rFonts w:ascii="Courier New" w:eastAsia="Courier New" w:hAnsi="Courier New" w:cs="Courier New"/>
          <w:sz w:val="24"/>
          <w:szCs w:val="24"/>
        </w:rPr>
        <w:t xml:space="preserve">time of placing an order for a </w:t>
      </w:r>
      <w:r w:rsidR="000019BA">
        <w:rPr>
          <w:rFonts w:ascii="Courier New" w:eastAsia="Courier New" w:hAnsi="Courier New" w:cs="Courier New"/>
          <w:sz w:val="24"/>
          <w:szCs w:val="24"/>
        </w:rPr>
        <w:lastRenderedPageBreak/>
        <w:t xml:space="preserve">customer </w:t>
      </w:r>
      <w:r>
        <w:rPr>
          <w:rFonts w:ascii="Courier New" w:eastAsia="Courier New" w:hAnsi="Courier New" w:cs="Courier New"/>
          <w:sz w:val="24"/>
          <w:szCs w:val="24"/>
        </w:rPr>
        <w:t xml:space="preserve">and </w:t>
      </w:r>
      <w:r w:rsidR="000019BA">
        <w:rPr>
          <w:rFonts w:ascii="Courier New" w:eastAsia="Courier New" w:hAnsi="Courier New" w:cs="Courier New"/>
          <w:sz w:val="24"/>
          <w:szCs w:val="24"/>
        </w:rPr>
        <w:t xml:space="preserve">it </w:t>
      </w:r>
      <w:r>
        <w:rPr>
          <w:rFonts w:ascii="Courier New" w:eastAsia="Courier New" w:hAnsi="Courier New" w:cs="Courier New"/>
          <w:sz w:val="24"/>
          <w:szCs w:val="24"/>
        </w:rPr>
        <w:t>collected the balance prior to delivery or pickup</w:t>
      </w:r>
      <w:r w:rsidR="00431FD3">
        <w:rPr>
          <w:rFonts w:ascii="Courier New" w:eastAsia="Courier New" w:hAnsi="Courier New" w:cs="Courier New"/>
          <w:sz w:val="24"/>
          <w:szCs w:val="24"/>
        </w:rPr>
        <w:t>, not over an agreed period of time</w:t>
      </w:r>
      <w:r>
        <w:rPr>
          <w:rFonts w:ascii="Courier New" w:eastAsia="Courier New" w:hAnsi="Courier New" w:cs="Courier New"/>
          <w:sz w:val="24"/>
          <w:szCs w:val="24"/>
        </w:rPr>
        <w:t xml:space="preserve">. </w:t>
      </w:r>
    </w:p>
    <w:p w:rsidR="009C4649" w:rsidRDefault="009C4649" w:rsidP="00E52FB7">
      <w:pPr>
        <w:spacing w:line="480" w:lineRule="auto"/>
        <w:jc w:val="both"/>
        <w:rPr>
          <w:rFonts w:ascii="Courier New" w:hAnsi="Courier New" w:cs="Courier New"/>
          <w:sz w:val="24"/>
          <w:szCs w:val="24"/>
        </w:rPr>
      </w:pPr>
      <w:r w:rsidRPr="000759E9">
        <w:rPr>
          <w:rFonts w:ascii="Courier New" w:hAnsi="Courier New" w:cs="Courier New"/>
          <w:b/>
          <w:sz w:val="24"/>
          <w:szCs w:val="24"/>
        </w:rPr>
        <w:t>II.</w:t>
      </w:r>
      <w:r>
        <w:rPr>
          <w:rFonts w:ascii="Courier New" w:hAnsi="Courier New" w:cs="Courier New"/>
          <w:sz w:val="24"/>
          <w:szCs w:val="24"/>
        </w:rPr>
        <w:t xml:space="preserve"> </w:t>
      </w:r>
      <w:r w:rsidRPr="000759E9">
        <w:rPr>
          <w:rFonts w:ascii="Courier New" w:hAnsi="Courier New" w:cs="Courier New"/>
          <w:b/>
          <w:sz w:val="24"/>
          <w:szCs w:val="24"/>
        </w:rPr>
        <w:t>The G.L. c. 62C, § 35A Penalties Were Improperly Imposed</w:t>
      </w:r>
      <w:r w:rsidR="000759E9">
        <w:rPr>
          <w:rFonts w:ascii="Courier New" w:hAnsi="Courier New" w:cs="Courier New"/>
          <w:sz w:val="24"/>
          <w:szCs w:val="24"/>
        </w:rPr>
        <w:t>.</w:t>
      </w:r>
      <w:r>
        <w:rPr>
          <w:rFonts w:ascii="Courier New" w:hAnsi="Courier New" w:cs="Courier New"/>
          <w:sz w:val="24"/>
          <w:szCs w:val="24"/>
        </w:rPr>
        <w:t xml:space="preserve"> </w:t>
      </w:r>
    </w:p>
    <w:p w:rsidR="009C4649" w:rsidRDefault="009C4649" w:rsidP="009C4649">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The penalty under G.L. c. 62C, § 35A applies “to the portion of any underpayment which is attributable to 1 or more of the following: (1) negligence or disregard of the tax laws of the commonwealth or of public written statements issued by the commissioner; (2) any substantial understatement of liability for a tax referred to in section 2.” Here, the Board determined that the sales at issue met the requisites of the </w:t>
      </w:r>
      <w:r w:rsidR="00217804">
        <w:rPr>
          <w:rFonts w:ascii="Courier New" w:eastAsia="Courier New" w:hAnsi="Courier New" w:cs="Courier New"/>
          <w:sz w:val="24"/>
          <w:szCs w:val="24"/>
        </w:rPr>
        <w:t xml:space="preserve">Sales </w:t>
      </w:r>
      <w:r>
        <w:rPr>
          <w:rFonts w:ascii="Courier New" w:eastAsia="Courier New" w:hAnsi="Courier New" w:cs="Courier New"/>
          <w:sz w:val="24"/>
          <w:szCs w:val="24"/>
        </w:rPr>
        <w:t xml:space="preserve">Tax Holiday Legislation and were not subject to sales tax for the </w:t>
      </w:r>
      <w:r w:rsidR="008E5397">
        <w:rPr>
          <w:rFonts w:ascii="Courier New" w:eastAsia="Courier New" w:hAnsi="Courier New" w:cs="Courier New"/>
          <w:sz w:val="24"/>
          <w:szCs w:val="24"/>
        </w:rPr>
        <w:t xml:space="preserve">monthly </w:t>
      </w:r>
      <w:r>
        <w:rPr>
          <w:rFonts w:ascii="Courier New" w:eastAsia="Courier New" w:hAnsi="Courier New" w:cs="Courier New"/>
          <w:sz w:val="24"/>
          <w:szCs w:val="24"/>
        </w:rPr>
        <w:t>periods ending August 31, 2010, August 31, 2011, and August 31, 2012. Consequently, there can be no underpayment or triggering of G.L. c. 62C, § 35A with respect to sales tax on the sales at issue and the appellant is entitled to an abatement of the associated penalties imposed pursuant to G.L. c. 62C, §</w:t>
      </w:r>
      <w:r w:rsidR="00F95B59">
        <w:rPr>
          <w:rFonts w:ascii="Courier New" w:eastAsia="Courier New" w:hAnsi="Courier New" w:cs="Courier New"/>
          <w:sz w:val="24"/>
          <w:szCs w:val="24"/>
        </w:rPr>
        <w:t> </w:t>
      </w:r>
      <w:r>
        <w:rPr>
          <w:rFonts w:ascii="Courier New" w:eastAsia="Courier New" w:hAnsi="Courier New" w:cs="Courier New"/>
          <w:sz w:val="24"/>
          <w:szCs w:val="24"/>
        </w:rPr>
        <w:t xml:space="preserve">35A. </w:t>
      </w:r>
    </w:p>
    <w:p w:rsidR="002C3080" w:rsidRDefault="002C3080" w:rsidP="009C4649">
      <w:pPr>
        <w:pStyle w:val="Normal1"/>
        <w:spacing w:line="480" w:lineRule="auto"/>
        <w:contextualSpacing w:val="0"/>
        <w:jc w:val="center"/>
        <w:rPr>
          <w:rFonts w:ascii="Courier New" w:eastAsia="Courier New" w:hAnsi="Courier New" w:cs="Courier New"/>
          <w:b/>
          <w:sz w:val="24"/>
          <w:szCs w:val="24"/>
        </w:rPr>
      </w:pPr>
      <w:r>
        <w:rPr>
          <w:rFonts w:ascii="Courier New" w:eastAsia="Courier New" w:hAnsi="Courier New" w:cs="Courier New"/>
          <w:b/>
          <w:sz w:val="24"/>
          <w:szCs w:val="24"/>
        </w:rPr>
        <w:t>CONCLUSION</w:t>
      </w:r>
    </w:p>
    <w:p w:rsidR="002C3080" w:rsidRDefault="002C3080" w:rsidP="002C3080">
      <w:pPr>
        <w:pStyle w:val="Normal1"/>
        <w:spacing w:line="480" w:lineRule="auto"/>
        <w:ind w:firstLine="720"/>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Based upon the above, the Board found that the sales at issue met the requisites of the </w:t>
      </w:r>
      <w:r w:rsidR="00217804">
        <w:rPr>
          <w:rFonts w:ascii="Courier New" w:eastAsia="Courier New" w:hAnsi="Courier New" w:cs="Courier New"/>
          <w:sz w:val="24"/>
          <w:szCs w:val="24"/>
        </w:rPr>
        <w:t xml:space="preserve">Sales </w:t>
      </w:r>
      <w:r>
        <w:rPr>
          <w:rFonts w:ascii="Courier New" w:eastAsia="Courier New" w:hAnsi="Courier New" w:cs="Courier New"/>
          <w:sz w:val="24"/>
          <w:szCs w:val="24"/>
        </w:rPr>
        <w:t xml:space="preserve">Tax Holiday Legislation and consequently the sales at issue were not subject to </w:t>
      </w:r>
      <w:r w:rsidR="008411FB">
        <w:rPr>
          <w:rFonts w:ascii="Courier New" w:eastAsia="Courier New" w:hAnsi="Courier New" w:cs="Courier New"/>
          <w:sz w:val="24"/>
          <w:szCs w:val="24"/>
        </w:rPr>
        <w:t xml:space="preserve">sales </w:t>
      </w:r>
      <w:r>
        <w:rPr>
          <w:rFonts w:ascii="Courier New" w:eastAsia="Courier New" w:hAnsi="Courier New" w:cs="Courier New"/>
          <w:sz w:val="24"/>
          <w:szCs w:val="24"/>
        </w:rPr>
        <w:t xml:space="preserve">tax for the </w:t>
      </w:r>
      <w:r w:rsidR="008E5397">
        <w:rPr>
          <w:rFonts w:ascii="Courier New" w:eastAsia="Courier New" w:hAnsi="Courier New" w:cs="Courier New"/>
          <w:sz w:val="24"/>
          <w:szCs w:val="24"/>
        </w:rPr>
        <w:t xml:space="preserve">monthly </w:t>
      </w:r>
      <w:r>
        <w:rPr>
          <w:rFonts w:ascii="Courier New" w:eastAsia="Courier New" w:hAnsi="Courier New" w:cs="Courier New"/>
          <w:sz w:val="24"/>
          <w:szCs w:val="24"/>
        </w:rPr>
        <w:t xml:space="preserve">periods ending August 31, 2010, August 31, 2011, and August 31, 2012. Further, the Board found that any associated penalties imposed by the Commissioner pursuant to </w:t>
      </w:r>
      <w:r>
        <w:rPr>
          <w:rFonts w:ascii="Courier New" w:eastAsia="Courier New" w:hAnsi="Courier New" w:cs="Courier New"/>
          <w:sz w:val="24"/>
          <w:szCs w:val="24"/>
        </w:rPr>
        <w:lastRenderedPageBreak/>
        <w:t xml:space="preserve">G.L. c. 62C, § 35A were improper on the basis that the underlying tax was found to be improperly assessed. Accordingly, the Board issued a decision for the appellant and ordered an abatement in the amount of $2,306,806, plus penalties pursuant to G.L. c. 62C, § 35A, and statutory interest under G.L. c. 62C, § 40 for the </w:t>
      </w:r>
      <w:r w:rsidR="008E5397">
        <w:rPr>
          <w:rFonts w:ascii="Courier New" w:eastAsia="Courier New" w:hAnsi="Courier New" w:cs="Courier New"/>
          <w:sz w:val="24"/>
          <w:szCs w:val="24"/>
        </w:rPr>
        <w:t xml:space="preserve">monthly </w:t>
      </w:r>
      <w:r>
        <w:rPr>
          <w:rFonts w:ascii="Courier New" w:eastAsia="Courier New" w:hAnsi="Courier New" w:cs="Courier New"/>
          <w:sz w:val="24"/>
          <w:szCs w:val="24"/>
        </w:rPr>
        <w:t>periods ending August 31, 2010, August 31, 2011, and August 31, 2012.</w:t>
      </w:r>
    </w:p>
    <w:p w:rsidR="002C3080" w:rsidRDefault="002C3080" w:rsidP="002C3080">
      <w:pPr>
        <w:pStyle w:val="Normal1"/>
        <w:spacing w:line="480" w:lineRule="auto"/>
        <w:ind w:left="4320" w:firstLine="720"/>
        <w:contextualSpacing w:val="0"/>
        <w:rPr>
          <w:rFonts w:ascii="Courier New" w:eastAsia="Courier New" w:hAnsi="Courier New" w:cs="Courier New"/>
          <w:b/>
          <w:sz w:val="24"/>
          <w:szCs w:val="24"/>
        </w:rPr>
      </w:pPr>
      <w:r>
        <w:rPr>
          <w:rFonts w:ascii="Courier New" w:eastAsia="Courier New" w:hAnsi="Courier New" w:cs="Courier New"/>
          <w:sz w:val="24"/>
          <w:szCs w:val="24"/>
        </w:rPr>
        <w:t xml:space="preserve"> </w:t>
      </w:r>
      <w:r>
        <w:rPr>
          <w:rFonts w:ascii="Courier New" w:eastAsia="Courier New" w:hAnsi="Courier New" w:cs="Courier New"/>
          <w:b/>
          <w:sz w:val="24"/>
          <w:szCs w:val="24"/>
        </w:rPr>
        <w:t xml:space="preserve">                                                              THE APPELLATE TAX BOARD</w:t>
      </w:r>
    </w:p>
    <w:p w:rsidR="002C3080" w:rsidRDefault="002C3080" w:rsidP="002C3080">
      <w:pPr>
        <w:pStyle w:val="Normal1"/>
        <w:spacing w:line="24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2C3080" w:rsidRDefault="002C3080" w:rsidP="002C3080">
      <w:pPr>
        <w:pStyle w:val="Normal1"/>
        <w:spacing w:line="24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2C3080" w:rsidRDefault="002C3080" w:rsidP="002C3080">
      <w:pPr>
        <w:pStyle w:val="Normal1"/>
        <w:spacing w:line="24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r>
        <w:rPr>
          <w:rFonts w:ascii="Courier New" w:eastAsia="Courier New" w:hAnsi="Courier New" w:cs="Courier New"/>
          <w:b/>
          <w:sz w:val="24"/>
          <w:szCs w:val="24"/>
        </w:rPr>
        <w:tab/>
        <w:t xml:space="preserve">    </w:t>
      </w:r>
    </w:p>
    <w:p w:rsidR="002C3080" w:rsidRDefault="002C3080" w:rsidP="002C3080">
      <w:pPr>
        <w:pStyle w:val="Normal1"/>
        <w:spacing w:line="240" w:lineRule="auto"/>
        <w:ind w:left="3600"/>
        <w:contextualSpacing w:val="0"/>
        <w:jc w:val="both"/>
        <w:rPr>
          <w:rFonts w:ascii="Courier New" w:eastAsia="Courier New" w:hAnsi="Courier New" w:cs="Courier New"/>
          <w:b/>
          <w:sz w:val="24"/>
          <w:szCs w:val="24"/>
          <w:u w:val="single"/>
        </w:rPr>
      </w:pPr>
      <w:r>
        <w:rPr>
          <w:rFonts w:ascii="Courier New" w:eastAsia="Courier New" w:hAnsi="Courier New" w:cs="Courier New"/>
          <w:b/>
          <w:sz w:val="24"/>
          <w:szCs w:val="24"/>
        </w:rPr>
        <w:t xml:space="preserve">  By: </w:t>
      </w:r>
      <w:r>
        <w:rPr>
          <w:rFonts w:ascii="Courier New" w:eastAsia="Courier New" w:hAnsi="Courier New" w:cs="Courier New"/>
          <w:b/>
          <w:sz w:val="24"/>
          <w:szCs w:val="24"/>
          <w:u w:val="single"/>
        </w:rPr>
        <w:t>_________________________________</w:t>
      </w:r>
    </w:p>
    <w:p w:rsidR="002C3080" w:rsidRDefault="002C3080" w:rsidP="002C3080">
      <w:pPr>
        <w:pStyle w:val="Normal1"/>
        <w:spacing w:line="240" w:lineRule="auto"/>
        <w:ind w:left="3600" w:firstLine="720"/>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Thomas W. Hammond, Jr., Chairman</w:t>
      </w:r>
    </w:p>
    <w:p w:rsidR="00F95B59" w:rsidRDefault="00F95B59" w:rsidP="00217804">
      <w:pPr>
        <w:pStyle w:val="Normal1"/>
        <w:spacing w:line="480" w:lineRule="auto"/>
        <w:contextualSpacing w:val="0"/>
        <w:jc w:val="both"/>
        <w:rPr>
          <w:rFonts w:ascii="Courier New" w:eastAsia="Courier New" w:hAnsi="Courier New" w:cs="Courier New"/>
          <w:b/>
          <w:sz w:val="24"/>
          <w:szCs w:val="24"/>
        </w:rPr>
      </w:pPr>
    </w:p>
    <w:p w:rsidR="001B45CB" w:rsidRDefault="001B45CB" w:rsidP="001B45CB">
      <w:pPr>
        <w:pStyle w:val="Normal1"/>
        <w:spacing w:line="480" w:lineRule="auto"/>
        <w:contextualSpacing w:val="0"/>
        <w:jc w:val="both"/>
        <w:rPr>
          <w:rFonts w:ascii="Courier New" w:eastAsia="Courier New" w:hAnsi="Courier New" w:cs="Courier New"/>
          <w:b/>
          <w:sz w:val="24"/>
          <w:szCs w:val="24"/>
        </w:rPr>
      </w:pPr>
    </w:p>
    <w:p w:rsidR="001B45CB" w:rsidRDefault="001B45CB" w:rsidP="001B45CB">
      <w:pPr>
        <w:pStyle w:val="Normal1"/>
        <w:spacing w:line="48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A true copy,</w:t>
      </w:r>
    </w:p>
    <w:p w:rsidR="001B45CB" w:rsidRDefault="001B45CB" w:rsidP="001B45CB">
      <w:pPr>
        <w:pStyle w:val="Normal1"/>
        <w:spacing w:line="24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1B45CB" w:rsidRDefault="001B45CB" w:rsidP="001B45CB">
      <w:pPr>
        <w:pStyle w:val="Normal1"/>
        <w:spacing w:line="240" w:lineRule="auto"/>
        <w:contextualSpacing w:val="0"/>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1B45CB" w:rsidRDefault="001B45CB" w:rsidP="001B45CB">
      <w:pPr>
        <w:pStyle w:val="Normal1"/>
        <w:spacing w:line="240" w:lineRule="auto"/>
        <w:contextualSpacing w:val="0"/>
        <w:jc w:val="both"/>
        <w:rPr>
          <w:rFonts w:ascii="Courier New" w:eastAsia="Courier New" w:hAnsi="Courier New" w:cs="Courier New"/>
          <w:b/>
          <w:sz w:val="24"/>
          <w:szCs w:val="24"/>
          <w:u w:val="single"/>
        </w:rPr>
      </w:pPr>
      <w:r>
        <w:rPr>
          <w:rFonts w:ascii="Courier New" w:eastAsia="Courier New" w:hAnsi="Courier New" w:cs="Courier New"/>
          <w:b/>
          <w:sz w:val="24"/>
          <w:szCs w:val="24"/>
        </w:rPr>
        <w:t xml:space="preserve">Attest:  </w:t>
      </w:r>
      <w:r>
        <w:rPr>
          <w:rFonts w:ascii="Courier New" w:eastAsia="Courier New" w:hAnsi="Courier New" w:cs="Courier New"/>
          <w:b/>
          <w:sz w:val="24"/>
          <w:szCs w:val="24"/>
          <w:u w:val="single"/>
        </w:rPr>
        <w:t>________________________</w:t>
      </w:r>
    </w:p>
    <w:p w:rsidR="001B45CB" w:rsidRDefault="001B45CB" w:rsidP="001B45CB">
      <w:pPr>
        <w:pStyle w:val="Normal1"/>
        <w:spacing w:line="240" w:lineRule="auto"/>
        <w:contextualSpacing w:val="0"/>
        <w:jc w:val="both"/>
        <w:rPr>
          <w:rFonts w:ascii="Courier New" w:eastAsia="Courier New" w:hAnsi="Courier New" w:cs="Courier New"/>
          <w:sz w:val="24"/>
          <w:szCs w:val="24"/>
        </w:rPr>
      </w:pPr>
      <w:r>
        <w:rPr>
          <w:rFonts w:ascii="Courier New" w:eastAsia="Courier New" w:hAnsi="Courier New" w:cs="Courier New"/>
          <w:b/>
          <w:sz w:val="24"/>
          <w:szCs w:val="24"/>
        </w:rPr>
        <w:t xml:space="preserve"> </w:t>
      </w:r>
      <w:r>
        <w:rPr>
          <w:rFonts w:ascii="Courier New" w:eastAsia="Courier New" w:hAnsi="Courier New" w:cs="Courier New"/>
          <w:b/>
          <w:sz w:val="24"/>
          <w:szCs w:val="24"/>
        </w:rPr>
        <w:tab/>
        <w:t xml:space="preserve">     Clerk of the Board</w:t>
      </w:r>
    </w:p>
    <w:p w:rsidR="002C3080" w:rsidRDefault="002C3080" w:rsidP="00E52FB7">
      <w:pPr>
        <w:spacing w:line="480" w:lineRule="auto"/>
        <w:jc w:val="both"/>
        <w:rPr>
          <w:rFonts w:ascii="Courier New" w:hAnsi="Courier New" w:cs="Courier New"/>
          <w:sz w:val="24"/>
          <w:szCs w:val="24"/>
        </w:rPr>
      </w:pPr>
    </w:p>
    <w:sectPr w:rsidR="002C3080" w:rsidSect="001B45CB">
      <w:footerReference w:type="default" r:id="rId9"/>
      <w:pgSz w:w="12240" w:h="15840"/>
      <w:pgMar w:top="1440" w:right="1440" w:bottom="1440" w:left="1440" w:header="720" w:footer="576" w:gutter="0"/>
      <w:pgNumType w:start="4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9" w:rsidRDefault="003B0D19" w:rsidP="003B0D19">
      <w:pPr>
        <w:spacing w:line="240" w:lineRule="auto"/>
      </w:pPr>
      <w:r>
        <w:separator/>
      </w:r>
    </w:p>
  </w:endnote>
  <w:endnote w:type="continuationSeparator" w:id="0">
    <w:p w:rsidR="003B0D19" w:rsidRDefault="003B0D19" w:rsidP="003B0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4E" w:rsidRPr="001B45CB" w:rsidRDefault="001B45CB">
    <w:pPr>
      <w:pStyle w:val="Footer"/>
      <w:jc w:val="center"/>
      <w:rPr>
        <w:rFonts w:ascii="Courier New" w:hAnsi="Courier New" w:cs="Courier New"/>
        <w:b/>
        <w:sz w:val="24"/>
        <w:szCs w:val="24"/>
      </w:rPr>
    </w:pPr>
    <w:r w:rsidRPr="001B45CB">
      <w:rPr>
        <w:rFonts w:ascii="Courier New" w:hAnsi="Courier New" w:cs="Courier New"/>
        <w:b/>
        <w:sz w:val="24"/>
        <w:szCs w:val="24"/>
      </w:rPr>
      <w:t>ATB 2018-</w:t>
    </w:r>
    <w:sdt>
      <w:sdtPr>
        <w:rPr>
          <w:rFonts w:ascii="Courier New" w:hAnsi="Courier New" w:cs="Courier New"/>
          <w:b/>
          <w:sz w:val="24"/>
          <w:szCs w:val="24"/>
        </w:rPr>
        <w:id w:val="-1039045722"/>
        <w:docPartObj>
          <w:docPartGallery w:val="Page Numbers (Bottom of Page)"/>
          <w:docPartUnique/>
        </w:docPartObj>
      </w:sdtPr>
      <w:sdtEndPr>
        <w:rPr>
          <w:noProof/>
        </w:rPr>
      </w:sdtEndPr>
      <w:sdtContent>
        <w:r w:rsidR="0049224E" w:rsidRPr="001B45CB">
          <w:rPr>
            <w:rFonts w:ascii="Courier New" w:hAnsi="Courier New" w:cs="Courier New"/>
            <w:b/>
            <w:sz w:val="24"/>
            <w:szCs w:val="24"/>
          </w:rPr>
          <w:fldChar w:fldCharType="begin"/>
        </w:r>
        <w:r w:rsidR="0049224E" w:rsidRPr="001B45CB">
          <w:rPr>
            <w:rFonts w:ascii="Courier New" w:hAnsi="Courier New" w:cs="Courier New"/>
            <w:b/>
            <w:sz w:val="24"/>
            <w:szCs w:val="24"/>
          </w:rPr>
          <w:instrText xml:space="preserve"> PAGE   \* MERGEFORMAT </w:instrText>
        </w:r>
        <w:r w:rsidR="0049224E" w:rsidRPr="001B45CB">
          <w:rPr>
            <w:rFonts w:ascii="Courier New" w:hAnsi="Courier New" w:cs="Courier New"/>
            <w:b/>
            <w:sz w:val="24"/>
            <w:szCs w:val="24"/>
          </w:rPr>
          <w:fldChar w:fldCharType="separate"/>
        </w:r>
        <w:r w:rsidR="00E524C6">
          <w:rPr>
            <w:rFonts w:ascii="Courier New" w:hAnsi="Courier New" w:cs="Courier New"/>
            <w:b/>
            <w:noProof/>
            <w:sz w:val="24"/>
            <w:szCs w:val="24"/>
          </w:rPr>
          <w:t>405</w:t>
        </w:r>
        <w:r w:rsidR="0049224E" w:rsidRPr="001B45CB">
          <w:rPr>
            <w:rFonts w:ascii="Courier New" w:hAnsi="Courier New" w:cs="Courier New"/>
            <w:b/>
            <w:noProof/>
            <w:sz w:val="24"/>
            <w:szCs w:val="24"/>
          </w:rPr>
          <w:fldChar w:fldCharType="end"/>
        </w:r>
      </w:sdtContent>
    </w:sdt>
  </w:p>
  <w:p w:rsidR="0049224E" w:rsidRDefault="00492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9" w:rsidRDefault="003B0D19" w:rsidP="003B0D19">
      <w:pPr>
        <w:spacing w:line="240" w:lineRule="auto"/>
      </w:pPr>
      <w:r>
        <w:separator/>
      </w:r>
    </w:p>
  </w:footnote>
  <w:footnote w:type="continuationSeparator" w:id="0">
    <w:p w:rsidR="003B0D19" w:rsidRDefault="003B0D19" w:rsidP="003B0D19">
      <w:pPr>
        <w:spacing w:line="240" w:lineRule="auto"/>
      </w:pPr>
      <w:r>
        <w:continuationSeparator/>
      </w:r>
    </w:p>
  </w:footnote>
  <w:footnote w:id="1">
    <w:p w:rsidR="00911311" w:rsidRPr="00911311" w:rsidRDefault="00911311" w:rsidP="00911311">
      <w:pPr>
        <w:pStyle w:val="FootnoteText"/>
        <w:jc w:val="both"/>
        <w:rPr>
          <w:rFonts w:ascii="Courier New" w:hAnsi="Courier New" w:cs="Courier New"/>
          <w:lang w:val="en-US"/>
        </w:rPr>
      </w:pPr>
      <w:r w:rsidRPr="00911311">
        <w:rPr>
          <w:rStyle w:val="FootnoteReference"/>
          <w:rFonts w:ascii="Courier New" w:hAnsi="Courier New" w:cs="Courier New"/>
        </w:rPr>
        <w:footnoteRef/>
      </w:r>
      <w:r w:rsidRPr="00911311">
        <w:rPr>
          <w:rFonts w:ascii="Courier New" w:hAnsi="Courier New" w:cs="Courier New"/>
        </w:rPr>
        <w:t xml:space="preserve"> </w:t>
      </w:r>
      <w:r w:rsidR="00852826">
        <w:rPr>
          <w:rFonts w:ascii="Courier New" w:hAnsi="Courier New" w:cs="Courier New"/>
        </w:rPr>
        <w:t>Since 2004, s</w:t>
      </w:r>
      <w:r w:rsidRPr="00911311">
        <w:rPr>
          <w:rFonts w:ascii="Courier New" w:hAnsi="Courier New" w:cs="Courier New"/>
        </w:rPr>
        <w:t xml:space="preserve">imilar </w:t>
      </w:r>
      <w:r w:rsidR="008E5397">
        <w:rPr>
          <w:rFonts w:ascii="Courier New" w:hAnsi="Courier New" w:cs="Courier New"/>
        </w:rPr>
        <w:t xml:space="preserve">Sales </w:t>
      </w:r>
      <w:r w:rsidRPr="00911311">
        <w:rPr>
          <w:rFonts w:ascii="Courier New" w:hAnsi="Courier New" w:cs="Courier New"/>
        </w:rPr>
        <w:t xml:space="preserve">Tax Holidays </w:t>
      </w:r>
      <w:r>
        <w:rPr>
          <w:rFonts w:ascii="Courier New" w:hAnsi="Courier New" w:cs="Courier New"/>
        </w:rPr>
        <w:t xml:space="preserve">have </w:t>
      </w:r>
      <w:r w:rsidRPr="00911311">
        <w:rPr>
          <w:rFonts w:ascii="Courier New" w:hAnsi="Courier New" w:cs="Courier New"/>
        </w:rPr>
        <w:t xml:space="preserve">occurred </w:t>
      </w:r>
      <w:r>
        <w:rPr>
          <w:rFonts w:ascii="Courier New" w:hAnsi="Courier New" w:cs="Courier New"/>
        </w:rPr>
        <w:t>prior to and subsequent to the periods at issue</w:t>
      </w:r>
      <w:r w:rsidR="00592EEB">
        <w:rPr>
          <w:rFonts w:ascii="Courier New" w:hAnsi="Courier New" w:cs="Courier New"/>
        </w:rPr>
        <w:t>, with few exceptions</w:t>
      </w:r>
      <w:r w:rsidRPr="00911311">
        <w:rPr>
          <w:rFonts w:ascii="Courier New" w:hAnsi="Courier New" w:cs="Courier New"/>
        </w:rPr>
        <w:t xml:space="preserve">. </w:t>
      </w:r>
      <w:r w:rsidRPr="00911311">
        <w:rPr>
          <w:rFonts w:ascii="Courier New" w:eastAsia="Courier New" w:hAnsi="Courier New" w:cs="Courier New"/>
          <w:i/>
        </w:rPr>
        <w:t>See, e.g.</w:t>
      </w:r>
      <w:r w:rsidRPr="00911311">
        <w:rPr>
          <w:rFonts w:ascii="Courier New" w:eastAsia="Courier New" w:hAnsi="Courier New" w:cs="Courier New"/>
        </w:rPr>
        <w:t>, St. 2003, c. 141, §§</w:t>
      </w:r>
      <w:r w:rsidR="00F95B59">
        <w:rPr>
          <w:rFonts w:ascii="Courier New" w:eastAsia="Courier New" w:hAnsi="Courier New" w:cs="Courier New"/>
        </w:rPr>
        <w:t> </w:t>
      </w:r>
      <w:r w:rsidRPr="00911311">
        <w:rPr>
          <w:rFonts w:ascii="Courier New" w:eastAsia="Courier New" w:hAnsi="Courier New" w:cs="Courier New"/>
        </w:rPr>
        <w:t>55-59; St. 2005, c. 52.</w:t>
      </w:r>
      <w:r>
        <w:rPr>
          <w:rFonts w:ascii="Courier New" w:eastAsia="Courier New" w:hAnsi="Courier New" w:cs="Courier New"/>
        </w:rPr>
        <w:t xml:space="preserve"> </w:t>
      </w:r>
    </w:p>
  </w:footnote>
  <w:footnote w:id="2">
    <w:p w:rsidR="00BB7AC9" w:rsidRPr="00BB7AC9" w:rsidRDefault="00BB7AC9" w:rsidP="00BB7AC9">
      <w:pPr>
        <w:pStyle w:val="FootnoteText"/>
        <w:jc w:val="both"/>
        <w:rPr>
          <w:rFonts w:ascii="Courier New" w:hAnsi="Courier New" w:cs="Courier New"/>
          <w:lang w:val="en-US"/>
        </w:rPr>
      </w:pPr>
      <w:r w:rsidRPr="00BB7AC9">
        <w:rPr>
          <w:rStyle w:val="FootnoteReference"/>
          <w:rFonts w:ascii="Courier New" w:hAnsi="Courier New" w:cs="Courier New"/>
        </w:rPr>
        <w:footnoteRef/>
      </w:r>
      <w:r w:rsidRPr="00BB7AC9">
        <w:rPr>
          <w:rFonts w:ascii="Courier New" w:hAnsi="Courier New" w:cs="Courier New"/>
        </w:rPr>
        <w:t xml:space="preserve"> </w:t>
      </w:r>
      <w:r w:rsidR="008B5B42">
        <w:rPr>
          <w:rFonts w:ascii="Courier New" w:hAnsi="Courier New" w:cs="Courier New"/>
          <w:lang w:val="en-US"/>
        </w:rPr>
        <w:t xml:space="preserve">The language in TIR 12-5 that prompted the appellant to self-assess </w:t>
      </w:r>
      <w:r w:rsidR="001E1E5F">
        <w:rPr>
          <w:rFonts w:ascii="Courier New" w:hAnsi="Courier New" w:cs="Courier New"/>
          <w:lang w:val="en-US"/>
        </w:rPr>
        <w:t xml:space="preserve">and later file for a refund of the self-assessed amounts </w:t>
      </w:r>
      <w:r w:rsidR="008B5B42">
        <w:rPr>
          <w:rFonts w:ascii="Courier New" w:hAnsi="Courier New" w:cs="Courier New"/>
          <w:lang w:val="en-US"/>
        </w:rPr>
        <w:t>was located in Section IV.E entitled “Penalties,” stating in pertinent part that “[a] vendor may not void and rewrite a sale that has taken place before August 11, 2012 for the purpose of bringing the transaction under the sales tax holiday rules</w:t>
      </w:r>
      <w:r>
        <w:rPr>
          <w:rFonts w:ascii="Courier New" w:hAnsi="Courier New" w:cs="Courier New"/>
          <w:lang w:val="en-US"/>
        </w:rPr>
        <w:t>.</w:t>
      </w:r>
      <w:r w:rsidR="008B5B42">
        <w:rPr>
          <w:rFonts w:ascii="Courier New" w:hAnsi="Courier New" w:cs="Courier New"/>
          <w:lang w:val="en-US"/>
        </w:rPr>
        <w:t>”</w:t>
      </w:r>
      <w:r w:rsidRPr="00BB7AC9">
        <w:rPr>
          <w:rFonts w:ascii="Courier New" w:hAnsi="Courier New" w:cs="Courier New"/>
          <w:lang w:val="en-US"/>
        </w:rPr>
        <w:t xml:space="preserve"> </w:t>
      </w:r>
    </w:p>
  </w:footnote>
  <w:footnote w:id="3">
    <w:p w:rsidR="00994031" w:rsidRPr="00994031" w:rsidRDefault="00994031" w:rsidP="00994031">
      <w:pPr>
        <w:pStyle w:val="FootnoteText"/>
        <w:jc w:val="both"/>
        <w:rPr>
          <w:rFonts w:ascii="Courier New" w:hAnsi="Courier New" w:cs="Courier New"/>
          <w:lang w:val="en-US"/>
        </w:rPr>
      </w:pPr>
      <w:r w:rsidRPr="00994031">
        <w:rPr>
          <w:rStyle w:val="FootnoteReference"/>
          <w:rFonts w:ascii="Courier New" w:hAnsi="Courier New" w:cs="Courier New"/>
        </w:rPr>
        <w:footnoteRef/>
      </w:r>
      <w:r w:rsidRPr="00994031">
        <w:rPr>
          <w:rFonts w:ascii="Courier New" w:hAnsi="Courier New" w:cs="Courier New"/>
        </w:rPr>
        <w:t xml:space="preserve"> </w:t>
      </w:r>
      <w:r w:rsidRPr="00994031">
        <w:rPr>
          <w:rFonts w:ascii="Courier New" w:hAnsi="Courier New" w:cs="Courier New"/>
          <w:lang w:val="en-US"/>
        </w:rPr>
        <w:t>For purposes of this appeal, the appellant and the Commissioner stipulated that the appellant would contest</w:t>
      </w:r>
      <w:r w:rsidR="00AF799D">
        <w:rPr>
          <w:rFonts w:ascii="Courier New" w:hAnsi="Courier New" w:cs="Courier New"/>
          <w:lang w:val="en-US"/>
        </w:rPr>
        <w:t xml:space="preserve"> only</w:t>
      </w:r>
      <w:r w:rsidRPr="00994031">
        <w:rPr>
          <w:rFonts w:ascii="Courier New" w:hAnsi="Courier New" w:cs="Courier New"/>
          <w:lang w:val="en-US"/>
        </w:rPr>
        <w:t xml:space="preserve"> the tax assessments for the monthly periods ending August 31, 2010, August 31, 2011, and August 31, 2012, the periods at issue. </w:t>
      </w:r>
    </w:p>
  </w:footnote>
  <w:footnote w:id="4">
    <w:p w:rsidR="00614715" w:rsidRPr="00614715" w:rsidRDefault="00614715" w:rsidP="00614715">
      <w:pPr>
        <w:pStyle w:val="FootnoteText"/>
        <w:jc w:val="both"/>
        <w:rPr>
          <w:rFonts w:ascii="Courier New" w:hAnsi="Courier New" w:cs="Courier New"/>
          <w:lang w:val="en-US"/>
        </w:rPr>
      </w:pPr>
      <w:r w:rsidRPr="00614715">
        <w:rPr>
          <w:rStyle w:val="FootnoteReference"/>
          <w:rFonts w:ascii="Courier New" w:hAnsi="Courier New" w:cs="Courier New"/>
        </w:rPr>
        <w:footnoteRef/>
      </w:r>
      <w:r w:rsidRPr="00614715">
        <w:rPr>
          <w:rFonts w:ascii="Courier New" w:hAnsi="Courier New" w:cs="Courier New"/>
        </w:rPr>
        <w:t xml:space="preserve"> </w:t>
      </w:r>
      <w:r w:rsidRPr="00614715">
        <w:rPr>
          <w:rFonts w:ascii="Courier New" w:hAnsi="Courier New" w:cs="Courier New"/>
          <w:lang w:val="en-US"/>
        </w:rPr>
        <w:t xml:space="preserve">Numerous order receipts were entered into evidence. </w:t>
      </w:r>
    </w:p>
  </w:footnote>
  <w:footnote w:id="5">
    <w:p w:rsidR="00C60BE8" w:rsidRPr="00521A47" w:rsidRDefault="00C60BE8" w:rsidP="00521A47">
      <w:pPr>
        <w:pStyle w:val="FootnoteText"/>
        <w:jc w:val="both"/>
        <w:rPr>
          <w:rFonts w:ascii="Courier New" w:hAnsi="Courier New" w:cs="Courier New"/>
          <w:lang w:val="en-US"/>
        </w:rPr>
      </w:pPr>
      <w:r w:rsidRPr="00521A47">
        <w:rPr>
          <w:rStyle w:val="FootnoteReference"/>
          <w:rFonts w:ascii="Courier New" w:hAnsi="Courier New" w:cs="Courier New"/>
        </w:rPr>
        <w:footnoteRef/>
      </w:r>
      <w:r w:rsidRPr="00521A47">
        <w:rPr>
          <w:rFonts w:ascii="Courier New" w:hAnsi="Courier New" w:cs="Courier New"/>
        </w:rPr>
        <w:t xml:space="preserve"> </w:t>
      </w:r>
      <w:r w:rsidRPr="00521A47">
        <w:rPr>
          <w:rFonts w:ascii="Courier New" w:hAnsi="Courier New" w:cs="Courier New"/>
          <w:lang w:val="en-US"/>
        </w:rPr>
        <w:t>Starting in 2013, the appellant decided to offer customers a greater discount</w:t>
      </w:r>
      <w:r w:rsidR="00521A47" w:rsidRPr="00521A47">
        <w:rPr>
          <w:rFonts w:ascii="Courier New" w:hAnsi="Courier New" w:cs="Courier New"/>
          <w:lang w:val="en-US"/>
        </w:rPr>
        <w:t xml:space="preserve"> in advance of the </w:t>
      </w:r>
      <w:r w:rsidR="00217804">
        <w:rPr>
          <w:rFonts w:ascii="Courier New" w:hAnsi="Courier New" w:cs="Courier New"/>
          <w:lang w:val="en-US"/>
        </w:rPr>
        <w:t xml:space="preserve">Sales </w:t>
      </w:r>
      <w:r w:rsidR="00521A47" w:rsidRPr="00521A47">
        <w:rPr>
          <w:rFonts w:ascii="Courier New" w:hAnsi="Courier New" w:cs="Courier New"/>
          <w:lang w:val="en-US"/>
        </w:rPr>
        <w:t>Tax Holidays “to prevent the mass hysteria in the stores on Saturday and Sunday,” according to Mr. Wantman. “The discount was 12.5 percent,” he explained, “so you’d save a little bit more money buying before the sales holiday.”</w:t>
      </w:r>
    </w:p>
  </w:footnote>
  <w:footnote w:id="6">
    <w:p w:rsidR="005D1E63" w:rsidRPr="00B4361F" w:rsidRDefault="005D1E63" w:rsidP="00B4361F">
      <w:pPr>
        <w:pStyle w:val="FootnoteText"/>
        <w:jc w:val="both"/>
        <w:rPr>
          <w:rFonts w:ascii="Courier New" w:hAnsi="Courier New" w:cs="Courier New"/>
          <w:lang w:val="en-US"/>
        </w:rPr>
      </w:pPr>
      <w:r w:rsidRPr="00B4361F">
        <w:rPr>
          <w:rStyle w:val="FootnoteReference"/>
          <w:rFonts w:ascii="Courier New" w:hAnsi="Courier New" w:cs="Courier New"/>
        </w:rPr>
        <w:footnoteRef/>
      </w:r>
      <w:r w:rsidRPr="00B4361F">
        <w:rPr>
          <w:rFonts w:ascii="Courier New" w:hAnsi="Courier New" w:cs="Courier New"/>
        </w:rPr>
        <w:t xml:space="preserve"> </w:t>
      </w:r>
      <w:r w:rsidR="00B4361F" w:rsidRPr="00B4361F">
        <w:rPr>
          <w:rFonts w:ascii="Courier New" w:hAnsi="Courier New" w:cs="Courier New"/>
        </w:rPr>
        <w:t>The 2010 guide stated that deliveries could not occur on either the Saturday or the Sunday</w:t>
      </w:r>
      <w:r w:rsidR="009C4EFE">
        <w:rPr>
          <w:rFonts w:ascii="Courier New" w:hAnsi="Courier New" w:cs="Courier New"/>
        </w:rPr>
        <w:t xml:space="preserve"> of the Sales Tax Holidays</w:t>
      </w:r>
      <w:r w:rsidR="00B4361F" w:rsidRPr="00B4361F">
        <w:rPr>
          <w:rFonts w:ascii="Courier New" w:hAnsi="Courier New" w:cs="Courier New"/>
        </w:rPr>
        <w:t xml:space="preserve">. Similarly, the back office procedural document for 2010 stated the same, but that customers who were “distressed” would be given “a miscellaneous credit” of 6.25 percent to use towards a future purchase. The back office procedural documents for 2011 and 2012 only disallowed deliveries on the Saturdays of the </w:t>
      </w:r>
      <w:r w:rsidR="00217804">
        <w:rPr>
          <w:rFonts w:ascii="Courier New" w:hAnsi="Courier New" w:cs="Courier New"/>
        </w:rPr>
        <w:t xml:space="preserve">Sales </w:t>
      </w:r>
      <w:r w:rsidR="00B4361F" w:rsidRPr="00B4361F">
        <w:rPr>
          <w:rFonts w:ascii="Courier New" w:hAnsi="Courier New" w:cs="Courier New"/>
        </w:rPr>
        <w:t>Tax Holidays, with similar 6.25 percent credi</w:t>
      </w:r>
      <w:r w:rsidR="001E1C4F">
        <w:rPr>
          <w:rFonts w:ascii="Courier New" w:hAnsi="Courier New" w:cs="Courier New"/>
        </w:rPr>
        <w:t>ts offered to customers who felt</w:t>
      </w:r>
      <w:r w:rsidR="00B4361F" w:rsidRPr="00B4361F">
        <w:rPr>
          <w:rFonts w:ascii="Courier New" w:hAnsi="Courier New" w:cs="Courier New"/>
        </w:rPr>
        <w:t xml:space="preserve"> entitled to the benefit of the </w:t>
      </w:r>
      <w:r w:rsidR="00217804">
        <w:rPr>
          <w:rFonts w:ascii="Courier New" w:hAnsi="Courier New" w:cs="Courier New"/>
        </w:rPr>
        <w:t xml:space="preserve">Sales </w:t>
      </w:r>
      <w:r w:rsidR="00B4361F" w:rsidRPr="00B4361F">
        <w:rPr>
          <w:rFonts w:ascii="Courier New" w:hAnsi="Courier New" w:cs="Courier New"/>
        </w:rPr>
        <w:t xml:space="preserve">Tax Holidays. The back office procedural documents for each of the periods at issue also stated that customers scheduled to pick up orders on either the Saturday or Sunday of the </w:t>
      </w:r>
      <w:r w:rsidR="00217804">
        <w:rPr>
          <w:rFonts w:ascii="Courier New" w:hAnsi="Courier New" w:cs="Courier New"/>
        </w:rPr>
        <w:t xml:space="preserve">Sales </w:t>
      </w:r>
      <w:r w:rsidR="00B4361F" w:rsidRPr="00B4361F">
        <w:rPr>
          <w:rFonts w:ascii="Courier New" w:hAnsi="Courier New" w:cs="Courier New"/>
        </w:rPr>
        <w:t xml:space="preserve">Tax Holidays would be ineligible for the </w:t>
      </w:r>
      <w:r w:rsidR="00217804">
        <w:rPr>
          <w:rFonts w:ascii="Courier New" w:hAnsi="Courier New" w:cs="Courier New"/>
        </w:rPr>
        <w:t xml:space="preserve">Sales </w:t>
      </w:r>
      <w:r w:rsidR="00B4361F" w:rsidRPr="00B4361F">
        <w:rPr>
          <w:rFonts w:ascii="Courier New" w:hAnsi="Courier New" w:cs="Courier New"/>
        </w:rPr>
        <w:t>Tax Holidays, but that if customers objected to this, the appellant would cancel and rewrite the order.</w:t>
      </w:r>
      <w:r w:rsidR="00B4361F">
        <w:rPr>
          <w:rFonts w:ascii="Courier New" w:hAnsi="Courier New" w:cs="Courier New"/>
        </w:rPr>
        <w:t xml:space="preserve"> </w:t>
      </w:r>
      <w:r w:rsidR="00455EE0">
        <w:rPr>
          <w:rFonts w:ascii="Courier New" w:hAnsi="Courier New" w:cs="Courier New"/>
        </w:rPr>
        <w:t>T</w:t>
      </w:r>
      <w:r w:rsidR="00B4361F">
        <w:rPr>
          <w:rFonts w:ascii="Courier New" w:hAnsi="Courier New" w:cs="Courier New"/>
        </w:rPr>
        <w:t xml:space="preserve">he </w:t>
      </w:r>
      <w:r w:rsidR="00100667">
        <w:rPr>
          <w:rFonts w:ascii="Courier New" w:hAnsi="Courier New" w:cs="Courier New"/>
        </w:rPr>
        <w:t>record was not clear as to why the appellant implemented this policy regarding deliveries and pickups on the Sales Tax Holidays.</w:t>
      </w:r>
      <w:r w:rsidR="008F1F78">
        <w:rPr>
          <w:rFonts w:ascii="Courier New" w:hAnsi="Courier New" w:cs="Courier New"/>
        </w:rPr>
        <w:t xml:space="preserve"> </w:t>
      </w:r>
      <w:r w:rsidR="00B4361F">
        <w:rPr>
          <w:rFonts w:ascii="Courier New" w:hAnsi="Courier New" w:cs="Courier New"/>
        </w:rPr>
        <w:t xml:space="preserve"> </w:t>
      </w:r>
      <w:r w:rsidR="00B4361F" w:rsidRPr="00B4361F">
        <w:rPr>
          <w:rFonts w:ascii="Courier New" w:hAnsi="Courier New" w:cs="Courier New"/>
        </w:rPr>
        <w:t xml:space="preserve"> </w:t>
      </w:r>
    </w:p>
  </w:footnote>
  <w:footnote w:id="7">
    <w:p w:rsidR="0049224E" w:rsidRPr="008E4AB3" w:rsidRDefault="0049224E" w:rsidP="0049224E">
      <w:pPr>
        <w:pStyle w:val="FootnoteText"/>
        <w:jc w:val="both"/>
        <w:rPr>
          <w:rFonts w:ascii="Courier New" w:hAnsi="Courier New" w:cs="Courier New"/>
          <w:lang w:val="en-US"/>
        </w:rPr>
      </w:pPr>
      <w:r w:rsidRPr="008E4AB3">
        <w:rPr>
          <w:rStyle w:val="FootnoteReference"/>
          <w:rFonts w:ascii="Courier New" w:hAnsi="Courier New" w:cs="Courier New"/>
        </w:rPr>
        <w:footnoteRef/>
      </w:r>
      <w:r w:rsidRPr="008E4AB3">
        <w:rPr>
          <w:rFonts w:ascii="Courier New" w:hAnsi="Courier New" w:cs="Courier New"/>
        </w:rPr>
        <w:t xml:space="preserve"> The Board was also not constrained to follow the language in the Commissioner’s TIR 12-5, that “[a] vendor may not void and rewrite a sale that has taken place before August 11, 2012 for the purpose of bringing the transaction under the sales tax holiday rules</w:t>
      </w:r>
      <w:r>
        <w:rPr>
          <w:rFonts w:ascii="Courier New" w:hAnsi="Courier New" w:cs="Courier New"/>
        </w:rPr>
        <w:t>,</w:t>
      </w:r>
      <w:r w:rsidRPr="008E4AB3">
        <w:rPr>
          <w:rFonts w:ascii="Courier New" w:hAnsi="Courier New" w:cs="Courier New"/>
        </w:rPr>
        <w:t>”</w:t>
      </w:r>
      <w:r>
        <w:rPr>
          <w:rFonts w:ascii="Courier New" w:hAnsi="Courier New" w:cs="Courier New"/>
        </w:rPr>
        <w:t xml:space="preserve"> since the sales at issue were not prior sales, as discussed further below.</w:t>
      </w:r>
      <w:r w:rsidRPr="008E4AB3">
        <w:rPr>
          <w:rFonts w:ascii="Courier New" w:hAnsi="Courier New" w:cs="Courier New"/>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7E4"/>
    <w:multiLevelType w:val="hybridMultilevel"/>
    <w:tmpl w:val="0FC41020"/>
    <w:lvl w:ilvl="0" w:tplc="DE98F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19B0"/>
    <w:multiLevelType w:val="hybridMultilevel"/>
    <w:tmpl w:val="D3D63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054D"/>
    <w:multiLevelType w:val="hybridMultilevel"/>
    <w:tmpl w:val="EF7AC352"/>
    <w:lvl w:ilvl="0" w:tplc="4BC2D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B3983"/>
    <w:multiLevelType w:val="hybridMultilevel"/>
    <w:tmpl w:val="B6C2DFCE"/>
    <w:lvl w:ilvl="0" w:tplc="611CDD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D499F"/>
    <w:multiLevelType w:val="hybridMultilevel"/>
    <w:tmpl w:val="5E7AF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A3653F"/>
    <w:multiLevelType w:val="hybridMultilevel"/>
    <w:tmpl w:val="6F60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15"/>
    <w:rsid w:val="0000049F"/>
    <w:rsid w:val="000019BA"/>
    <w:rsid w:val="00036A15"/>
    <w:rsid w:val="0006704D"/>
    <w:rsid w:val="00067ECB"/>
    <w:rsid w:val="000759E9"/>
    <w:rsid w:val="00086E17"/>
    <w:rsid w:val="000A504B"/>
    <w:rsid w:val="000B61E2"/>
    <w:rsid w:val="000C2E52"/>
    <w:rsid w:val="000C4A0A"/>
    <w:rsid w:val="000C5B47"/>
    <w:rsid w:val="000C6DA8"/>
    <w:rsid w:val="000D0DB7"/>
    <w:rsid w:val="000F05CE"/>
    <w:rsid w:val="000F290F"/>
    <w:rsid w:val="000F67EE"/>
    <w:rsid w:val="00100667"/>
    <w:rsid w:val="00102870"/>
    <w:rsid w:val="00120BE5"/>
    <w:rsid w:val="0014039C"/>
    <w:rsid w:val="00145039"/>
    <w:rsid w:val="0017017D"/>
    <w:rsid w:val="00183092"/>
    <w:rsid w:val="001871C5"/>
    <w:rsid w:val="00192628"/>
    <w:rsid w:val="001A3B32"/>
    <w:rsid w:val="001B45CB"/>
    <w:rsid w:val="001C0CB8"/>
    <w:rsid w:val="001C2472"/>
    <w:rsid w:val="001C6E31"/>
    <w:rsid w:val="001E1C4F"/>
    <w:rsid w:val="001E1E5F"/>
    <w:rsid w:val="001F08A6"/>
    <w:rsid w:val="002115D2"/>
    <w:rsid w:val="00217804"/>
    <w:rsid w:val="002204DF"/>
    <w:rsid w:val="002472D5"/>
    <w:rsid w:val="00255C39"/>
    <w:rsid w:val="0026031F"/>
    <w:rsid w:val="00264F74"/>
    <w:rsid w:val="002806F7"/>
    <w:rsid w:val="002B0F50"/>
    <w:rsid w:val="002C156F"/>
    <w:rsid w:val="002C3080"/>
    <w:rsid w:val="002C4127"/>
    <w:rsid w:val="002D2B78"/>
    <w:rsid w:val="002E32DE"/>
    <w:rsid w:val="00334B9A"/>
    <w:rsid w:val="00336FCB"/>
    <w:rsid w:val="003418D9"/>
    <w:rsid w:val="003505C6"/>
    <w:rsid w:val="00351581"/>
    <w:rsid w:val="0035467F"/>
    <w:rsid w:val="0035503B"/>
    <w:rsid w:val="00371F62"/>
    <w:rsid w:val="00380714"/>
    <w:rsid w:val="003B0D19"/>
    <w:rsid w:val="003E1319"/>
    <w:rsid w:val="00413DEE"/>
    <w:rsid w:val="00431FD3"/>
    <w:rsid w:val="00432CEA"/>
    <w:rsid w:val="0044182E"/>
    <w:rsid w:val="004422A3"/>
    <w:rsid w:val="00446A1D"/>
    <w:rsid w:val="00455EE0"/>
    <w:rsid w:val="0046038C"/>
    <w:rsid w:val="0047717A"/>
    <w:rsid w:val="0049224E"/>
    <w:rsid w:val="00497C96"/>
    <w:rsid w:val="004B781E"/>
    <w:rsid w:val="004C3244"/>
    <w:rsid w:val="004C6BF1"/>
    <w:rsid w:val="004D22E7"/>
    <w:rsid w:val="00521A47"/>
    <w:rsid w:val="005519D9"/>
    <w:rsid w:val="0056796E"/>
    <w:rsid w:val="00570269"/>
    <w:rsid w:val="005742B3"/>
    <w:rsid w:val="00574F76"/>
    <w:rsid w:val="0058695E"/>
    <w:rsid w:val="00586E3D"/>
    <w:rsid w:val="00592EEB"/>
    <w:rsid w:val="005D1E63"/>
    <w:rsid w:val="005D5283"/>
    <w:rsid w:val="005D6E63"/>
    <w:rsid w:val="005E0CAA"/>
    <w:rsid w:val="00614715"/>
    <w:rsid w:val="00626247"/>
    <w:rsid w:val="0065087C"/>
    <w:rsid w:val="0065652C"/>
    <w:rsid w:val="00656910"/>
    <w:rsid w:val="00674EC8"/>
    <w:rsid w:val="00683033"/>
    <w:rsid w:val="00693C58"/>
    <w:rsid w:val="00696931"/>
    <w:rsid w:val="006A101E"/>
    <w:rsid w:val="006A240B"/>
    <w:rsid w:val="006B066A"/>
    <w:rsid w:val="006B2445"/>
    <w:rsid w:val="006B31B4"/>
    <w:rsid w:val="006C0E50"/>
    <w:rsid w:val="006D46DE"/>
    <w:rsid w:val="006E4F9A"/>
    <w:rsid w:val="00702F81"/>
    <w:rsid w:val="00737B6D"/>
    <w:rsid w:val="00741BF0"/>
    <w:rsid w:val="00743AA1"/>
    <w:rsid w:val="00757CE4"/>
    <w:rsid w:val="00763F9B"/>
    <w:rsid w:val="0076446D"/>
    <w:rsid w:val="00766262"/>
    <w:rsid w:val="00766BF1"/>
    <w:rsid w:val="007855E3"/>
    <w:rsid w:val="00785B1A"/>
    <w:rsid w:val="0079285E"/>
    <w:rsid w:val="0079509B"/>
    <w:rsid w:val="007A5BC2"/>
    <w:rsid w:val="007A6DAB"/>
    <w:rsid w:val="007B1D84"/>
    <w:rsid w:val="007B5463"/>
    <w:rsid w:val="007B5FA4"/>
    <w:rsid w:val="007B6742"/>
    <w:rsid w:val="007C3259"/>
    <w:rsid w:val="007C4237"/>
    <w:rsid w:val="007D32A9"/>
    <w:rsid w:val="007D6C74"/>
    <w:rsid w:val="007E67F7"/>
    <w:rsid w:val="0081238E"/>
    <w:rsid w:val="00824F09"/>
    <w:rsid w:val="00830133"/>
    <w:rsid w:val="00832C0A"/>
    <w:rsid w:val="008411FB"/>
    <w:rsid w:val="0084263C"/>
    <w:rsid w:val="00842F66"/>
    <w:rsid w:val="00850934"/>
    <w:rsid w:val="00852826"/>
    <w:rsid w:val="00855030"/>
    <w:rsid w:val="0085503A"/>
    <w:rsid w:val="008916FD"/>
    <w:rsid w:val="008921C7"/>
    <w:rsid w:val="008A178C"/>
    <w:rsid w:val="008B0C87"/>
    <w:rsid w:val="008B4EBB"/>
    <w:rsid w:val="008B5B42"/>
    <w:rsid w:val="008D1C96"/>
    <w:rsid w:val="008D450A"/>
    <w:rsid w:val="008E4AB3"/>
    <w:rsid w:val="008E5397"/>
    <w:rsid w:val="008F1F78"/>
    <w:rsid w:val="008F2A4F"/>
    <w:rsid w:val="009077B2"/>
    <w:rsid w:val="00911311"/>
    <w:rsid w:val="009252C9"/>
    <w:rsid w:val="0093168A"/>
    <w:rsid w:val="00945F31"/>
    <w:rsid w:val="00960EB0"/>
    <w:rsid w:val="00963991"/>
    <w:rsid w:val="0097316A"/>
    <w:rsid w:val="009861F4"/>
    <w:rsid w:val="00994031"/>
    <w:rsid w:val="00997C04"/>
    <w:rsid w:val="009B7BA3"/>
    <w:rsid w:val="009C4649"/>
    <w:rsid w:val="009C4EFE"/>
    <w:rsid w:val="009D57F2"/>
    <w:rsid w:val="00A00254"/>
    <w:rsid w:val="00A014C0"/>
    <w:rsid w:val="00A249BE"/>
    <w:rsid w:val="00A60D36"/>
    <w:rsid w:val="00A671EE"/>
    <w:rsid w:val="00A75729"/>
    <w:rsid w:val="00A75A1C"/>
    <w:rsid w:val="00A8246C"/>
    <w:rsid w:val="00A8675B"/>
    <w:rsid w:val="00AB50C0"/>
    <w:rsid w:val="00AC4973"/>
    <w:rsid w:val="00AE05E9"/>
    <w:rsid w:val="00AF2FB4"/>
    <w:rsid w:val="00AF6202"/>
    <w:rsid w:val="00AF799D"/>
    <w:rsid w:val="00B005DB"/>
    <w:rsid w:val="00B044BE"/>
    <w:rsid w:val="00B214A6"/>
    <w:rsid w:val="00B21DCA"/>
    <w:rsid w:val="00B244C4"/>
    <w:rsid w:val="00B31D2A"/>
    <w:rsid w:val="00B4054C"/>
    <w:rsid w:val="00B4361F"/>
    <w:rsid w:val="00B500E0"/>
    <w:rsid w:val="00B54DC5"/>
    <w:rsid w:val="00B653EB"/>
    <w:rsid w:val="00B70A0B"/>
    <w:rsid w:val="00B7788C"/>
    <w:rsid w:val="00BA5FFD"/>
    <w:rsid w:val="00BB087C"/>
    <w:rsid w:val="00BB3680"/>
    <w:rsid w:val="00BB7AC9"/>
    <w:rsid w:val="00BD5C00"/>
    <w:rsid w:val="00BE58BE"/>
    <w:rsid w:val="00BF43D7"/>
    <w:rsid w:val="00C1268E"/>
    <w:rsid w:val="00C2234A"/>
    <w:rsid w:val="00C31B91"/>
    <w:rsid w:val="00C37E80"/>
    <w:rsid w:val="00C4609E"/>
    <w:rsid w:val="00C60BE8"/>
    <w:rsid w:val="00C714EE"/>
    <w:rsid w:val="00C923B1"/>
    <w:rsid w:val="00CB0273"/>
    <w:rsid w:val="00CB3D0C"/>
    <w:rsid w:val="00CC128E"/>
    <w:rsid w:val="00CD083E"/>
    <w:rsid w:val="00CD2E33"/>
    <w:rsid w:val="00CD5E7F"/>
    <w:rsid w:val="00CE01AB"/>
    <w:rsid w:val="00CF4181"/>
    <w:rsid w:val="00D03B4B"/>
    <w:rsid w:val="00D112AD"/>
    <w:rsid w:val="00D6730A"/>
    <w:rsid w:val="00D710C8"/>
    <w:rsid w:val="00D713C7"/>
    <w:rsid w:val="00D81A02"/>
    <w:rsid w:val="00D90CC3"/>
    <w:rsid w:val="00D9482F"/>
    <w:rsid w:val="00DA5812"/>
    <w:rsid w:val="00DB3BFC"/>
    <w:rsid w:val="00DE777A"/>
    <w:rsid w:val="00DF2CE7"/>
    <w:rsid w:val="00E23A1D"/>
    <w:rsid w:val="00E3128F"/>
    <w:rsid w:val="00E37190"/>
    <w:rsid w:val="00E3742C"/>
    <w:rsid w:val="00E524C6"/>
    <w:rsid w:val="00E52FB7"/>
    <w:rsid w:val="00E55492"/>
    <w:rsid w:val="00E67362"/>
    <w:rsid w:val="00E731C0"/>
    <w:rsid w:val="00E74849"/>
    <w:rsid w:val="00E81DCC"/>
    <w:rsid w:val="00E94073"/>
    <w:rsid w:val="00E94D1B"/>
    <w:rsid w:val="00EB4AB5"/>
    <w:rsid w:val="00EC3ACC"/>
    <w:rsid w:val="00ED01E0"/>
    <w:rsid w:val="00EE110E"/>
    <w:rsid w:val="00EF180A"/>
    <w:rsid w:val="00EF18D7"/>
    <w:rsid w:val="00EF3C62"/>
    <w:rsid w:val="00F06F18"/>
    <w:rsid w:val="00F11AC9"/>
    <w:rsid w:val="00F27AC9"/>
    <w:rsid w:val="00F40137"/>
    <w:rsid w:val="00F46756"/>
    <w:rsid w:val="00F667E6"/>
    <w:rsid w:val="00F73E4C"/>
    <w:rsid w:val="00F84B9C"/>
    <w:rsid w:val="00F95B59"/>
    <w:rsid w:val="00FA16DF"/>
    <w:rsid w:val="00FE140C"/>
    <w:rsid w:val="00FE72DF"/>
    <w:rsid w:val="00FF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C9"/>
    <w:pPr>
      <w:spacing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1AC9"/>
    <w:pPr>
      <w:spacing w:line="276" w:lineRule="auto"/>
      <w:contextualSpacing/>
    </w:pPr>
    <w:rPr>
      <w:rFonts w:ascii="Arial" w:eastAsia="Arial" w:hAnsi="Arial" w:cs="Arial"/>
      <w:lang w:val="en"/>
    </w:rPr>
  </w:style>
  <w:style w:type="paragraph" w:styleId="ListParagraph">
    <w:name w:val="List Paragraph"/>
    <w:basedOn w:val="Normal"/>
    <w:uiPriority w:val="34"/>
    <w:qFormat/>
    <w:rsid w:val="002115D2"/>
    <w:pPr>
      <w:ind w:left="720"/>
    </w:pPr>
  </w:style>
  <w:style w:type="paragraph" w:styleId="FootnoteText">
    <w:name w:val="footnote text"/>
    <w:basedOn w:val="Normal"/>
    <w:link w:val="FootnoteTextChar"/>
    <w:uiPriority w:val="99"/>
    <w:semiHidden/>
    <w:unhideWhenUsed/>
    <w:rsid w:val="003B0D19"/>
    <w:pPr>
      <w:spacing w:line="240" w:lineRule="auto"/>
    </w:pPr>
    <w:rPr>
      <w:sz w:val="20"/>
      <w:szCs w:val="20"/>
    </w:rPr>
  </w:style>
  <w:style w:type="character" w:customStyle="1" w:styleId="FootnoteTextChar">
    <w:name w:val="Footnote Text Char"/>
    <w:basedOn w:val="DefaultParagraphFont"/>
    <w:link w:val="FootnoteText"/>
    <w:uiPriority w:val="99"/>
    <w:semiHidden/>
    <w:rsid w:val="003B0D19"/>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3B0D19"/>
    <w:rPr>
      <w:vertAlign w:val="superscript"/>
    </w:rPr>
  </w:style>
  <w:style w:type="character" w:styleId="Strong">
    <w:name w:val="Strong"/>
    <w:basedOn w:val="DefaultParagraphFont"/>
    <w:uiPriority w:val="22"/>
    <w:qFormat/>
    <w:rsid w:val="001A3B32"/>
    <w:rPr>
      <w:b/>
      <w:bCs/>
    </w:rPr>
  </w:style>
  <w:style w:type="paragraph" w:styleId="Header">
    <w:name w:val="header"/>
    <w:basedOn w:val="Normal"/>
    <w:link w:val="HeaderChar"/>
    <w:uiPriority w:val="99"/>
    <w:unhideWhenUsed/>
    <w:rsid w:val="0049224E"/>
    <w:pPr>
      <w:tabs>
        <w:tab w:val="center" w:pos="4680"/>
        <w:tab w:val="right" w:pos="9360"/>
      </w:tabs>
      <w:spacing w:line="240" w:lineRule="auto"/>
    </w:pPr>
  </w:style>
  <w:style w:type="character" w:customStyle="1" w:styleId="HeaderChar">
    <w:name w:val="Header Char"/>
    <w:basedOn w:val="DefaultParagraphFont"/>
    <w:link w:val="Header"/>
    <w:uiPriority w:val="99"/>
    <w:rsid w:val="0049224E"/>
    <w:rPr>
      <w:rFonts w:ascii="Arial" w:eastAsia="Arial" w:hAnsi="Arial" w:cs="Arial"/>
      <w:lang w:val="en"/>
    </w:rPr>
  </w:style>
  <w:style w:type="paragraph" w:styleId="Footer">
    <w:name w:val="footer"/>
    <w:basedOn w:val="Normal"/>
    <w:link w:val="FooterChar"/>
    <w:uiPriority w:val="99"/>
    <w:unhideWhenUsed/>
    <w:rsid w:val="0049224E"/>
    <w:pPr>
      <w:tabs>
        <w:tab w:val="center" w:pos="4680"/>
        <w:tab w:val="right" w:pos="9360"/>
      </w:tabs>
      <w:spacing w:line="240" w:lineRule="auto"/>
    </w:pPr>
  </w:style>
  <w:style w:type="character" w:customStyle="1" w:styleId="FooterChar">
    <w:name w:val="Footer Char"/>
    <w:basedOn w:val="DefaultParagraphFont"/>
    <w:link w:val="Footer"/>
    <w:uiPriority w:val="99"/>
    <w:rsid w:val="0049224E"/>
    <w:rPr>
      <w:rFonts w:ascii="Arial" w:eastAsia="Arial" w:hAnsi="Arial" w:cs="Arial"/>
      <w:lang w:val="en"/>
    </w:rPr>
  </w:style>
  <w:style w:type="paragraph" w:styleId="BalloonText">
    <w:name w:val="Balloon Text"/>
    <w:basedOn w:val="Normal"/>
    <w:link w:val="BalloonTextChar"/>
    <w:uiPriority w:val="99"/>
    <w:semiHidden/>
    <w:unhideWhenUsed/>
    <w:rsid w:val="008E5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7"/>
    <w:rPr>
      <w:rFonts w:ascii="Tahoma" w:eastAsia="Arial"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C9"/>
    <w:pPr>
      <w:spacing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1AC9"/>
    <w:pPr>
      <w:spacing w:line="276" w:lineRule="auto"/>
      <w:contextualSpacing/>
    </w:pPr>
    <w:rPr>
      <w:rFonts w:ascii="Arial" w:eastAsia="Arial" w:hAnsi="Arial" w:cs="Arial"/>
      <w:lang w:val="en"/>
    </w:rPr>
  </w:style>
  <w:style w:type="paragraph" w:styleId="ListParagraph">
    <w:name w:val="List Paragraph"/>
    <w:basedOn w:val="Normal"/>
    <w:uiPriority w:val="34"/>
    <w:qFormat/>
    <w:rsid w:val="002115D2"/>
    <w:pPr>
      <w:ind w:left="720"/>
    </w:pPr>
  </w:style>
  <w:style w:type="paragraph" w:styleId="FootnoteText">
    <w:name w:val="footnote text"/>
    <w:basedOn w:val="Normal"/>
    <w:link w:val="FootnoteTextChar"/>
    <w:uiPriority w:val="99"/>
    <w:semiHidden/>
    <w:unhideWhenUsed/>
    <w:rsid w:val="003B0D19"/>
    <w:pPr>
      <w:spacing w:line="240" w:lineRule="auto"/>
    </w:pPr>
    <w:rPr>
      <w:sz w:val="20"/>
      <w:szCs w:val="20"/>
    </w:rPr>
  </w:style>
  <w:style w:type="character" w:customStyle="1" w:styleId="FootnoteTextChar">
    <w:name w:val="Footnote Text Char"/>
    <w:basedOn w:val="DefaultParagraphFont"/>
    <w:link w:val="FootnoteText"/>
    <w:uiPriority w:val="99"/>
    <w:semiHidden/>
    <w:rsid w:val="003B0D19"/>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3B0D19"/>
    <w:rPr>
      <w:vertAlign w:val="superscript"/>
    </w:rPr>
  </w:style>
  <w:style w:type="character" w:styleId="Strong">
    <w:name w:val="Strong"/>
    <w:basedOn w:val="DefaultParagraphFont"/>
    <w:uiPriority w:val="22"/>
    <w:qFormat/>
    <w:rsid w:val="001A3B32"/>
    <w:rPr>
      <w:b/>
      <w:bCs/>
    </w:rPr>
  </w:style>
  <w:style w:type="paragraph" w:styleId="Header">
    <w:name w:val="header"/>
    <w:basedOn w:val="Normal"/>
    <w:link w:val="HeaderChar"/>
    <w:uiPriority w:val="99"/>
    <w:unhideWhenUsed/>
    <w:rsid w:val="0049224E"/>
    <w:pPr>
      <w:tabs>
        <w:tab w:val="center" w:pos="4680"/>
        <w:tab w:val="right" w:pos="9360"/>
      </w:tabs>
      <w:spacing w:line="240" w:lineRule="auto"/>
    </w:pPr>
  </w:style>
  <w:style w:type="character" w:customStyle="1" w:styleId="HeaderChar">
    <w:name w:val="Header Char"/>
    <w:basedOn w:val="DefaultParagraphFont"/>
    <w:link w:val="Header"/>
    <w:uiPriority w:val="99"/>
    <w:rsid w:val="0049224E"/>
    <w:rPr>
      <w:rFonts w:ascii="Arial" w:eastAsia="Arial" w:hAnsi="Arial" w:cs="Arial"/>
      <w:lang w:val="en"/>
    </w:rPr>
  </w:style>
  <w:style w:type="paragraph" w:styleId="Footer">
    <w:name w:val="footer"/>
    <w:basedOn w:val="Normal"/>
    <w:link w:val="FooterChar"/>
    <w:uiPriority w:val="99"/>
    <w:unhideWhenUsed/>
    <w:rsid w:val="0049224E"/>
    <w:pPr>
      <w:tabs>
        <w:tab w:val="center" w:pos="4680"/>
        <w:tab w:val="right" w:pos="9360"/>
      </w:tabs>
      <w:spacing w:line="240" w:lineRule="auto"/>
    </w:pPr>
  </w:style>
  <w:style w:type="character" w:customStyle="1" w:styleId="FooterChar">
    <w:name w:val="Footer Char"/>
    <w:basedOn w:val="DefaultParagraphFont"/>
    <w:link w:val="Footer"/>
    <w:uiPriority w:val="99"/>
    <w:rsid w:val="0049224E"/>
    <w:rPr>
      <w:rFonts w:ascii="Arial" w:eastAsia="Arial" w:hAnsi="Arial" w:cs="Arial"/>
      <w:lang w:val="en"/>
    </w:rPr>
  </w:style>
  <w:style w:type="paragraph" w:styleId="BalloonText">
    <w:name w:val="Balloon Text"/>
    <w:basedOn w:val="Normal"/>
    <w:link w:val="BalloonTextChar"/>
    <w:uiPriority w:val="99"/>
    <w:semiHidden/>
    <w:unhideWhenUsed/>
    <w:rsid w:val="008E5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7"/>
    <w:rPr>
      <w:rFonts w:ascii="Tahoma" w:eastAsia="Arial"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50AC-E464-4563-A446-E36C4D98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2018-09-27T16:13:00Z</cp:lastPrinted>
  <dcterms:created xsi:type="dcterms:W3CDTF">2018-09-27T16:15:00Z</dcterms:created>
  <dcterms:modified xsi:type="dcterms:W3CDTF">2018-09-27T16:15:00Z</dcterms:modified>
</cp:coreProperties>
</file>